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E175" w14:textId="77777777" w:rsidR="004064E3" w:rsidRPr="00E26F9B" w:rsidRDefault="004064E3" w:rsidP="004064E3">
      <w:pPr>
        <w:pStyle w:val="DefaultStyleSimont-Braun"/>
        <w:jc w:val="both"/>
        <w:rPr>
          <w:rFonts w:cs="Arial"/>
          <w:lang w:val="fr-BE"/>
        </w:rPr>
      </w:pPr>
    </w:p>
    <w:p w14:paraId="359BF7C8" w14:textId="77777777" w:rsidR="004064E3" w:rsidRPr="00E26F9B" w:rsidRDefault="004064E3" w:rsidP="009B0A72">
      <w:pPr>
        <w:pStyle w:val="DefaultStyleSimont-Braun"/>
        <w:rPr>
          <w:rFonts w:cs="Arial"/>
          <w:lang w:val="fr-FR"/>
        </w:rPr>
      </w:pPr>
    </w:p>
    <w:p w14:paraId="3B7D88ED" w14:textId="77777777" w:rsidR="00797688" w:rsidRPr="00E26F9B" w:rsidRDefault="004064E3" w:rsidP="00797688">
      <w:pPr>
        <w:pStyle w:val="DefaultStyleSimont-Braun"/>
        <w:spacing w:line="276" w:lineRule="auto"/>
        <w:jc w:val="center"/>
        <w:rPr>
          <w:rFonts w:cs="Arial"/>
          <w:b/>
          <w:color w:val="003399"/>
          <w:sz w:val="32"/>
          <w:szCs w:val="32"/>
          <w:lang w:val="fr-FR"/>
        </w:rPr>
      </w:pPr>
      <w:r w:rsidRPr="00650D54">
        <w:rPr>
          <w:rFonts w:cs="Arial"/>
          <w:b/>
          <w:color w:val="003399"/>
          <w:sz w:val="32"/>
          <w:szCs w:val="32"/>
          <w:lang w:val="fr-FR"/>
        </w:rPr>
        <w:t>Supplément à la n</w:t>
      </w:r>
      <w:r w:rsidR="00A251BC" w:rsidRPr="00E26F9B">
        <w:rPr>
          <w:rFonts w:cs="Arial"/>
          <w:b/>
          <w:color w:val="003399"/>
          <w:sz w:val="32"/>
          <w:szCs w:val="32"/>
          <w:lang w:val="fr-FR"/>
        </w:rPr>
        <w:t xml:space="preserve">ote d’information relative à l’offre de parts coopératives par la société coopérative européenne à </w:t>
      </w:r>
    </w:p>
    <w:p w14:paraId="59FABAB2" w14:textId="77777777" w:rsidR="00A251BC" w:rsidRPr="00650D54" w:rsidRDefault="00A251BC" w:rsidP="00797688">
      <w:pPr>
        <w:pStyle w:val="DefaultStyleSimont-Braun"/>
        <w:spacing w:line="276" w:lineRule="auto"/>
        <w:jc w:val="center"/>
        <w:rPr>
          <w:rFonts w:cs="Arial"/>
          <w:b/>
          <w:color w:val="003399"/>
          <w:sz w:val="32"/>
          <w:szCs w:val="32"/>
          <w:lang w:val="fr-FR"/>
        </w:rPr>
      </w:pPr>
      <w:r w:rsidRPr="00E26F9B">
        <w:rPr>
          <w:rFonts w:cs="Arial"/>
          <w:b/>
          <w:color w:val="003399"/>
          <w:sz w:val="32"/>
          <w:szCs w:val="32"/>
          <w:lang w:val="fr-FR"/>
        </w:rPr>
        <w:t xml:space="preserve">responsabilité limitée </w:t>
      </w:r>
      <w:proofErr w:type="spellStart"/>
      <w:r w:rsidRPr="00E26F9B">
        <w:rPr>
          <w:rFonts w:cs="Arial"/>
          <w:b/>
          <w:color w:val="003399"/>
          <w:sz w:val="32"/>
          <w:szCs w:val="32"/>
          <w:lang w:val="fr-FR"/>
        </w:rPr>
        <w:t>NewB</w:t>
      </w:r>
      <w:proofErr w:type="spellEnd"/>
      <w:r w:rsidR="00A505FC" w:rsidRPr="00650D54">
        <w:rPr>
          <w:rFonts w:cs="Arial"/>
          <w:b/>
          <w:color w:val="003399"/>
          <w:sz w:val="32"/>
          <w:szCs w:val="32"/>
          <w:lang w:val="fr-FR"/>
        </w:rPr>
        <w:t xml:space="preserve"> du 20/04/</w:t>
      </w:r>
      <w:r w:rsidR="0091357E" w:rsidRPr="00650D54">
        <w:rPr>
          <w:rFonts w:cs="Arial"/>
          <w:b/>
          <w:color w:val="003399"/>
          <w:sz w:val="32"/>
          <w:szCs w:val="32"/>
          <w:lang w:val="fr-FR"/>
        </w:rPr>
        <w:t>2021</w:t>
      </w:r>
      <w:r w:rsidR="004064E3" w:rsidRPr="00650D54">
        <w:rPr>
          <w:rFonts w:cs="Arial"/>
          <w:b/>
          <w:color w:val="003399"/>
          <w:sz w:val="32"/>
          <w:szCs w:val="32"/>
          <w:lang w:val="fr-FR"/>
        </w:rPr>
        <w:t xml:space="preserve"> </w:t>
      </w:r>
    </w:p>
    <w:p w14:paraId="02D92D43" w14:textId="77777777" w:rsidR="00A251BC" w:rsidRPr="00E26F9B" w:rsidRDefault="00A251BC" w:rsidP="009B0A72">
      <w:pPr>
        <w:pStyle w:val="DefaultStyleSimont-Braun"/>
        <w:rPr>
          <w:rFonts w:cs="Arial"/>
          <w:lang w:val="fr-FR"/>
        </w:rPr>
      </w:pPr>
    </w:p>
    <w:p w14:paraId="60AA1AB6" w14:textId="77777777" w:rsidR="004064E3" w:rsidRPr="00E26F9B" w:rsidRDefault="004064E3" w:rsidP="002E1978">
      <w:pPr>
        <w:pStyle w:val="DefaultStyleSimont-Braun"/>
        <w:jc w:val="center"/>
        <w:rPr>
          <w:rFonts w:cs="Arial"/>
          <w:lang w:val="fr-FR"/>
        </w:rPr>
      </w:pPr>
      <w:r w:rsidRPr="00E26F9B">
        <w:rPr>
          <w:rFonts w:cs="Arial"/>
          <w:lang w:val="fr-FR"/>
        </w:rPr>
        <w:t xml:space="preserve">Le présent document a été établi par </w:t>
      </w:r>
      <w:proofErr w:type="spellStart"/>
      <w:r w:rsidRPr="00E26F9B">
        <w:rPr>
          <w:rFonts w:cs="Arial"/>
          <w:lang w:val="fr-FR"/>
        </w:rPr>
        <w:t>NewB</w:t>
      </w:r>
      <w:proofErr w:type="spellEnd"/>
      <w:r w:rsidRPr="00E26F9B">
        <w:rPr>
          <w:rFonts w:cs="Arial"/>
          <w:lang w:val="fr-FR"/>
        </w:rPr>
        <w:t xml:space="preserve"> SCE</w:t>
      </w:r>
    </w:p>
    <w:p w14:paraId="78CF9ADF" w14:textId="77777777" w:rsidR="004064E3" w:rsidRPr="00E26F9B" w:rsidRDefault="004064E3" w:rsidP="009B0A72">
      <w:pPr>
        <w:pStyle w:val="DefaultStyleSimont-Braun"/>
        <w:rPr>
          <w:rFonts w:cs="Arial"/>
          <w:lang w:val="fr-FR"/>
        </w:rPr>
      </w:pPr>
    </w:p>
    <w:p w14:paraId="4F755D4A" w14:textId="77777777" w:rsidR="0091357E" w:rsidRPr="00E26F9B" w:rsidRDefault="004064E3" w:rsidP="0091357E">
      <w:pPr>
        <w:pStyle w:val="DefaultStyleSimont-Braun"/>
        <w:jc w:val="center"/>
        <w:rPr>
          <w:rFonts w:cs="Arial"/>
          <w:lang w:val="fr-FR"/>
        </w:rPr>
      </w:pPr>
      <w:r w:rsidRPr="00E26F9B">
        <w:rPr>
          <w:rFonts w:cs="Arial"/>
          <w:lang w:val="fr-FR"/>
        </w:rPr>
        <w:t>LE PRÉSENT DOCUMENT N’EST PAS UN PROSPECTUS ET N’A PAS ÉTÉ VÉRIFIÉ OU APPROUVÉ PAR L’AUTORITÉ DES SERVICES ET DES MARCHÉS FINANCIERS.</w:t>
      </w:r>
    </w:p>
    <w:p w14:paraId="6488B885" w14:textId="77777777" w:rsidR="0091357E" w:rsidRPr="00E26F9B" w:rsidRDefault="0091357E" w:rsidP="009B0A72">
      <w:pPr>
        <w:pStyle w:val="DefaultStyleSimont-Braun"/>
        <w:rPr>
          <w:rFonts w:cs="Arial"/>
          <w:lang w:val="fr-FR"/>
        </w:rPr>
      </w:pPr>
    </w:p>
    <w:p w14:paraId="6C1BC1F2" w14:textId="7940E6AA" w:rsidR="0091357E" w:rsidRPr="00E26F9B" w:rsidRDefault="0091357E" w:rsidP="0091357E">
      <w:pPr>
        <w:pStyle w:val="DefaultStyleSimont-Braun"/>
        <w:jc w:val="center"/>
        <w:rPr>
          <w:rFonts w:cs="Arial"/>
          <w:lang w:val="fr-FR"/>
        </w:rPr>
      </w:pPr>
      <w:r w:rsidRPr="00650D54">
        <w:rPr>
          <w:rFonts w:cs="Arial"/>
          <w:lang w:val="fr-FR"/>
        </w:rPr>
        <w:t>[</w:t>
      </w:r>
      <w:r w:rsidRPr="00650D54">
        <w:rPr>
          <w:rFonts w:cs="Arial"/>
          <w:highlight w:val="yellow"/>
          <w:lang w:val="fr-FR"/>
        </w:rPr>
        <w:t>•</w:t>
      </w:r>
      <w:r w:rsidRPr="00650D54">
        <w:rPr>
          <w:rFonts w:cs="Arial"/>
          <w:lang w:val="fr-FR"/>
        </w:rPr>
        <w:t>]</w:t>
      </w:r>
      <w:r w:rsidRPr="00E26F9B">
        <w:rPr>
          <w:rFonts w:cs="Arial"/>
          <w:lang w:val="fr-FR"/>
        </w:rPr>
        <w:t xml:space="preserve"> </w:t>
      </w:r>
      <w:r w:rsidR="00263FC9">
        <w:rPr>
          <w:rFonts w:cs="Arial"/>
          <w:lang w:val="fr-FR"/>
        </w:rPr>
        <w:t>août</w:t>
      </w:r>
      <w:r w:rsidR="00C30279" w:rsidRPr="00E26F9B">
        <w:rPr>
          <w:rFonts w:cs="Arial"/>
          <w:lang w:val="fr-FR"/>
        </w:rPr>
        <w:t xml:space="preserve"> </w:t>
      </w:r>
      <w:r w:rsidR="004064E3" w:rsidRPr="00E26F9B">
        <w:rPr>
          <w:rFonts w:cs="Arial"/>
          <w:lang w:val="fr-FR"/>
        </w:rPr>
        <w:t>2021</w:t>
      </w:r>
    </w:p>
    <w:p w14:paraId="7FEC55E0" w14:textId="77777777" w:rsidR="0091357E" w:rsidRPr="00E26F9B" w:rsidRDefault="0091357E" w:rsidP="0091357E">
      <w:pPr>
        <w:pStyle w:val="DefaultStyleSimont-Braun"/>
        <w:rPr>
          <w:rFonts w:cs="Arial"/>
          <w:lang w:val="fr-FR"/>
        </w:rPr>
      </w:pPr>
    </w:p>
    <w:p w14:paraId="28A7610C" w14:textId="77777777" w:rsidR="0091357E" w:rsidRPr="00E26F9B" w:rsidRDefault="004064E3" w:rsidP="0091357E">
      <w:pPr>
        <w:pStyle w:val="DefaultStyleSimont-Braun"/>
        <w:jc w:val="center"/>
        <w:rPr>
          <w:rFonts w:cs="Arial"/>
          <w:lang w:val="fr-FR"/>
        </w:rPr>
      </w:pPr>
      <w:r w:rsidRPr="00E26F9B">
        <w:rPr>
          <w:rFonts w:cs="Arial"/>
          <w:b/>
          <w:lang w:val="fr-FR"/>
        </w:rPr>
        <w:t>AVERTISSEMENT</w:t>
      </w:r>
      <w:r w:rsidRPr="00E26F9B">
        <w:rPr>
          <w:rFonts w:cs="Arial"/>
          <w:lang w:val="fr-FR"/>
        </w:rPr>
        <w:t xml:space="preserve"> : L'INVESTISSEUR COURT LE RISQUE DE PERDRE TOUT OU PARTIE DE SON INVESTISSEMENT ET/OU DE NE PAS OBTENIR LE RENDEMENT ATTENDU.</w:t>
      </w:r>
    </w:p>
    <w:p w14:paraId="3842C7C7" w14:textId="77777777" w:rsidR="0091357E" w:rsidRPr="00E26F9B" w:rsidRDefault="0091357E" w:rsidP="0091357E">
      <w:pPr>
        <w:pStyle w:val="DefaultStyleSimont-Braun"/>
        <w:jc w:val="center"/>
        <w:rPr>
          <w:rFonts w:cs="Arial"/>
          <w:lang w:val="fr-FR"/>
        </w:rPr>
      </w:pPr>
    </w:p>
    <w:p w14:paraId="74F6DC88" w14:textId="77777777" w:rsidR="004064E3" w:rsidRPr="00E26F9B" w:rsidRDefault="004064E3" w:rsidP="0091357E">
      <w:pPr>
        <w:pStyle w:val="DefaultStyleSimont-Braun"/>
        <w:jc w:val="center"/>
        <w:rPr>
          <w:rFonts w:cs="Arial"/>
          <w:lang w:val="fr-FR"/>
        </w:rPr>
      </w:pPr>
      <w:r w:rsidRPr="00E26F9B">
        <w:rPr>
          <w:rFonts w:cs="Arial"/>
          <w:b/>
          <w:lang w:val="fr-FR"/>
        </w:rPr>
        <w:t>LES INSTRUMENTS DE PLACEMENT NE SONT PAS COTÉS</w:t>
      </w:r>
      <w:r w:rsidRPr="00E26F9B">
        <w:rPr>
          <w:rFonts w:cs="Arial"/>
          <w:lang w:val="fr-FR"/>
        </w:rPr>
        <w:t xml:space="preserve"> : L'INVESTISSEUR RISQUE D'ÉPROUVER DE GRANDES DIFFICULTÉS A VENDRE SA POSITION À UN TIERS AU CAS OÙ IL LE SOUHAITERAIT.</w:t>
      </w:r>
    </w:p>
    <w:p w14:paraId="3D7732EF" w14:textId="77777777" w:rsidR="002E1978" w:rsidRPr="00E26F9B" w:rsidRDefault="002E1978" w:rsidP="009B0A72">
      <w:pPr>
        <w:pStyle w:val="DefaultStyleSimont-Braun"/>
        <w:rPr>
          <w:rFonts w:cs="Arial"/>
          <w:color w:val="003399"/>
          <w:lang w:val="fr-FR"/>
        </w:rPr>
      </w:pPr>
    </w:p>
    <w:p w14:paraId="20E9D976" w14:textId="77777777" w:rsidR="00797688" w:rsidRPr="00E26F9B" w:rsidRDefault="0091357E" w:rsidP="009B0A72">
      <w:pPr>
        <w:pStyle w:val="DefaultStyleSimont-Braun"/>
        <w:rPr>
          <w:rFonts w:cs="Arial"/>
          <w:b/>
          <w:color w:val="000099"/>
          <w:lang w:val="fr-FR"/>
        </w:rPr>
      </w:pPr>
      <w:r w:rsidRPr="00E26F9B">
        <w:rPr>
          <w:rFonts w:cs="Arial"/>
          <w:b/>
          <w:color w:val="000099"/>
          <w:lang w:val="fr-FR"/>
        </w:rPr>
        <w:t xml:space="preserve">I. Introduction </w:t>
      </w:r>
    </w:p>
    <w:p w14:paraId="46484727" w14:textId="77777777" w:rsidR="00797688" w:rsidRPr="00E26F9B" w:rsidRDefault="00797688" w:rsidP="009B0A72">
      <w:pPr>
        <w:pStyle w:val="DefaultStyleSimont-Braun"/>
        <w:rPr>
          <w:rFonts w:cs="Arial"/>
          <w:lang w:val="fr-FR"/>
        </w:rPr>
      </w:pPr>
    </w:p>
    <w:p w14:paraId="5DDE815A" w14:textId="77777777" w:rsidR="00797688" w:rsidRPr="00E26F9B" w:rsidRDefault="00E33D6A" w:rsidP="00C55195">
      <w:pPr>
        <w:pStyle w:val="DefaultStyleSimont-Braun"/>
        <w:spacing w:line="276" w:lineRule="auto"/>
        <w:jc w:val="both"/>
        <w:rPr>
          <w:rFonts w:cs="Arial"/>
          <w:lang w:val="fr-FR"/>
        </w:rPr>
      </w:pPr>
      <w:r w:rsidRPr="00650D54">
        <w:rPr>
          <w:rFonts w:cs="Arial"/>
          <w:lang w:val="fr-FR"/>
        </w:rPr>
        <w:t>Le présent</w:t>
      </w:r>
      <w:r w:rsidR="00797688" w:rsidRPr="00E26F9B">
        <w:rPr>
          <w:rFonts w:cs="Arial"/>
          <w:lang w:val="fr-FR"/>
        </w:rPr>
        <w:t xml:space="preserve"> supplément (le «</w:t>
      </w:r>
      <w:r w:rsidR="00797688" w:rsidRPr="00650D54">
        <w:rPr>
          <w:rFonts w:cs="Arial"/>
          <w:lang w:val="fr-FR"/>
        </w:rPr>
        <w:t xml:space="preserve"> </w:t>
      </w:r>
      <w:r w:rsidR="00797688" w:rsidRPr="00E26F9B">
        <w:rPr>
          <w:rFonts w:cs="Arial"/>
          <w:b/>
          <w:lang w:val="fr-FR"/>
        </w:rPr>
        <w:t>Supplément</w:t>
      </w:r>
      <w:r w:rsidR="00797688" w:rsidRPr="00E26F9B">
        <w:rPr>
          <w:rFonts w:cs="Arial"/>
          <w:lang w:val="fr-FR"/>
        </w:rPr>
        <w:t xml:space="preserve"> ») à la </w:t>
      </w:r>
      <w:r w:rsidR="00C55195" w:rsidRPr="00650D54">
        <w:rPr>
          <w:rFonts w:cs="Arial"/>
          <w:lang w:val="fr-FR"/>
        </w:rPr>
        <w:t>note</w:t>
      </w:r>
      <w:r w:rsidR="00797688" w:rsidRPr="00E26F9B">
        <w:rPr>
          <w:rFonts w:cs="Arial"/>
          <w:lang w:val="fr-FR"/>
        </w:rPr>
        <w:t xml:space="preserve"> d’information du </w:t>
      </w:r>
      <w:r w:rsidR="00E91CF6" w:rsidRPr="00650D54">
        <w:rPr>
          <w:rFonts w:cs="Arial"/>
          <w:lang w:val="fr-FR"/>
        </w:rPr>
        <w:t xml:space="preserve">20 avril </w:t>
      </w:r>
      <w:r w:rsidR="00797688" w:rsidRPr="00650D54">
        <w:rPr>
          <w:rFonts w:cs="Arial"/>
          <w:lang w:val="fr-FR"/>
        </w:rPr>
        <w:t>2021</w:t>
      </w:r>
      <w:r w:rsidR="00797688" w:rsidRPr="00E26F9B">
        <w:rPr>
          <w:rFonts w:cs="Arial"/>
          <w:lang w:val="fr-FR"/>
        </w:rPr>
        <w:t xml:space="preserve"> relative à l’offre de parts coopératives par la société coopérative européenne à responsabilité limitée </w:t>
      </w:r>
      <w:proofErr w:type="spellStart"/>
      <w:r w:rsidR="00797688" w:rsidRPr="00E26F9B">
        <w:rPr>
          <w:rFonts w:cs="Arial"/>
          <w:lang w:val="fr-FR"/>
        </w:rPr>
        <w:t>NewB</w:t>
      </w:r>
      <w:proofErr w:type="spellEnd"/>
      <w:r w:rsidR="00C55195" w:rsidRPr="00650D54">
        <w:rPr>
          <w:rFonts w:cs="Arial"/>
          <w:lang w:val="fr-FR"/>
        </w:rPr>
        <w:t xml:space="preserve"> (la </w:t>
      </w:r>
      <w:r w:rsidR="00C55195" w:rsidRPr="00E26F9B">
        <w:rPr>
          <w:rFonts w:cs="Arial"/>
          <w:lang w:val="fr-FR"/>
        </w:rPr>
        <w:t>«</w:t>
      </w:r>
      <w:r w:rsidR="00C55195" w:rsidRPr="00650D54">
        <w:rPr>
          <w:rFonts w:cs="Arial"/>
          <w:lang w:val="fr-FR"/>
        </w:rPr>
        <w:t xml:space="preserve"> </w:t>
      </w:r>
      <w:r w:rsidR="00C55195" w:rsidRPr="00650D54">
        <w:rPr>
          <w:rFonts w:cs="Arial"/>
          <w:b/>
          <w:lang w:val="fr-FR"/>
        </w:rPr>
        <w:t>Note d’information</w:t>
      </w:r>
      <w:r w:rsidR="00C55195" w:rsidRPr="00E26F9B">
        <w:rPr>
          <w:rFonts w:cs="Arial"/>
          <w:lang w:val="fr-FR"/>
        </w:rPr>
        <w:t xml:space="preserve"> »</w:t>
      </w:r>
      <w:r w:rsidR="00C55195" w:rsidRPr="00650D54">
        <w:rPr>
          <w:rFonts w:cs="Arial"/>
          <w:lang w:val="fr-FR"/>
        </w:rPr>
        <w:t>)</w:t>
      </w:r>
      <w:r w:rsidR="00797688" w:rsidRPr="00650D54">
        <w:rPr>
          <w:rFonts w:cs="Arial"/>
          <w:lang w:val="fr-FR"/>
        </w:rPr>
        <w:t>,</w:t>
      </w:r>
      <w:r w:rsidR="00797688" w:rsidRPr="00E26F9B">
        <w:rPr>
          <w:rFonts w:cs="Arial"/>
          <w:lang w:val="fr-FR"/>
        </w:rPr>
        <w:t xml:space="preserve"> constitue un supplément à ladite Note d’information conformément à l’article 15 de la loi du 11 juillet 2018 relative aux offres au public d'instruments de placement et aux admissions d'instruments de placement à la négociation sur des marchés règlementés.</w:t>
      </w:r>
    </w:p>
    <w:p w14:paraId="3C153FE6" w14:textId="77777777" w:rsidR="00797688" w:rsidRPr="00E26F9B" w:rsidRDefault="00797688" w:rsidP="00C55195">
      <w:pPr>
        <w:pStyle w:val="DefaultStyleSimont-Braun"/>
        <w:spacing w:line="276" w:lineRule="auto"/>
        <w:jc w:val="both"/>
        <w:rPr>
          <w:rFonts w:cs="Arial"/>
          <w:lang w:val="fr-FR"/>
        </w:rPr>
      </w:pPr>
    </w:p>
    <w:p w14:paraId="16412B1B" w14:textId="77777777" w:rsidR="00797688" w:rsidRPr="00E26F9B" w:rsidRDefault="00797688" w:rsidP="00C55195">
      <w:pPr>
        <w:pStyle w:val="DefaultStyleSimont-Braun"/>
        <w:spacing w:line="276" w:lineRule="auto"/>
        <w:jc w:val="both"/>
        <w:rPr>
          <w:rFonts w:cs="Arial"/>
          <w:lang w:val="fr-FR"/>
        </w:rPr>
      </w:pPr>
      <w:r w:rsidRPr="00E26F9B">
        <w:rPr>
          <w:rFonts w:cs="Arial"/>
          <w:lang w:val="fr-FR"/>
        </w:rPr>
        <w:t>Ce Supplément complète et est indissociable de la Note d’information. Il doit être lu en lien avec la Note d’information</w:t>
      </w:r>
      <w:r w:rsidR="00E91CF6" w:rsidRPr="00650D54">
        <w:rPr>
          <w:rFonts w:cs="Arial"/>
          <w:lang w:val="fr-FR"/>
        </w:rPr>
        <w:t xml:space="preserve">, </w:t>
      </w:r>
      <w:r w:rsidR="00E91CF6" w:rsidRPr="00E26F9B">
        <w:rPr>
          <w:rFonts w:cs="Arial"/>
          <w:lang w:val="fr-FR"/>
        </w:rPr>
        <w:t>qui comprend des informations importantes quant aux caractéristiques de l’offre et des risques y attachés</w:t>
      </w:r>
      <w:r w:rsidRPr="00E26F9B">
        <w:rPr>
          <w:rFonts w:cs="Arial"/>
          <w:lang w:val="fr-FR"/>
        </w:rPr>
        <w:t>.</w:t>
      </w:r>
    </w:p>
    <w:p w14:paraId="5D1F6866" w14:textId="77777777" w:rsidR="00C55195" w:rsidRPr="00E26F9B" w:rsidRDefault="00C55195" w:rsidP="00C55195">
      <w:pPr>
        <w:pStyle w:val="DefaultStyleSimont-Braun"/>
        <w:spacing w:line="276" w:lineRule="auto"/>
        <w:jc w:val="both"/>
        <w:rPr>
          <w:rFonts w:cs="Arial"/>
          <w:lang w:val="fr-FR"/>
        </w:rPr>
      </w:pPr>
    </w:p>
    <w:p w14:paraId="18F4F6BC" w14:textId="77777777" w:rsidR="00C55195" w:rsidRPr="00650D54" w:rsidRDefault="00C55195" w:rsidP="00C55195">
      <w:pPr>
        <w:pStyle w:val="DefaultStyleSimont-Braun"/>
        <w:spacing w:line="276" w:lineRule="auto"/>
        <w:jc w:val="both"/>
        <w:rPr>
          <w:rFonts w:cs="Arial"/>
          <w:b/>
          <w:color w:val="000099"/>
          <w:lang w:val="fr-FR"/>
        </w:rPr>
      </w:pPr>
      <w:r w:rsidRPr="00650D54">
        <w:rPr>
          <w:rFonts w:cs="Arial"/>
          <w:b/>
          <w:color w:val="000099"/>
          <w:lang w:val="fr-FR"/>
        </w:rPr>
        <w:t xml:space="preserve">II. </w:t>
      </w:r>
      <w:r w:rsidR="00E33D6A" w:rsidRPr="00650D54">
        <w:rPr>
          <w:rFonts w:cs="Arial"/>
          <w:b/>
          <w:color w:val="000099"/>
          <w:lang w:val="fr-FR"/>
        </w:rPr>
        <w:t xml:space="preserve">Portée du Supplément </w:t>
      </w:r>
    </w:p>
    <w:p w14:paraId="08AA506F" w14:textId="77777777" w:rsidR="0091357E" w:rsidRPr="00650D54" w:rsidRDefault="0091357E" w:rsidP="009B0A72">
      <w:pPr>
        <w:pStyle w:val="DefaultStyleSimont-Braun"/>
        <w:rPr>
          <w:rFonts w:cs="Arial"/>
          <w:lang w:val="fr-FR"/>
        </w:rPr>
      </w:pPr>
    </w:p>
    <w:p w14:paraId="08DC6667" w14:textId="77777777" w:rsidR="00425271" w:rsidRPr="00E26F9B" w:rsidRDefault="00E91CF6" w:rsidP="00E91CF6">
      <w:pPr>
        <w:pStyle w:val="DefaultStyleSimont-Braun"/>
        <w:jc w:val="both"/>
        <w:rPr>
          <w:rFonts w:cs="Arial"/>
          <w:lang w:val="fr-FR"/>
        </w:rPr>
      </w:pPr>
      <w:r w:rsidRPr="00E26F9B">
        <w:rPr>
          <w:rFonts w:cs="Arial"/>
          <w:lang w:val="fr-FR"/>
        </w:rPr>
        <w:t>Ce Supplément a pour obj</w:t>
      </w:r>
      <w:r w:rsidR="001F1440" w:rsidRPr="00E26F9B">
        <w:rPr>
          <w:rFonts w:cs="Arial"/>
          <w:lang w:val="fr-FR"/>
        </w:rPr>
        <w:t>et d’informer les investisseurs des évènements suivants</w:t>
      </w:r>
      <w:r w:rsidR="00DF78F2">
        <w:rPr>
          <w:rFonts w:cs="Arial"/>
          <w:lang w:val="fr-FR"/>
        </w:rPr>
        <w:t xml:space="preserve"> </w:t>
      </w:r>
      <w:r w:rsidR="00425271" w:rsidRPr="00650D54">
        <w:rPr>
          <w:rFonts w:cs="Arial"/>
          <w:lang w:val="fr-FR"/>
        </w:rPr>
        <w:t>:</w:t>
      </w:r>
      <w:r w:rsidRPr="00E26F9B">
        <w:rPr>
          <w:rFonts w:cs="Arial"/>
          <w:lang w:val="fr-FR"/>
        </w:rPr>
        <w:t xml:space="preserve"> </w:t>
      </w:r>
    </w:p>
    <w:p w14:paraId="0A513A1D" w14:textId="77777777" w:rsidR="00425271" w:rsidRPr="00E26F9B" w:rsidRDefault="00425271" w:rsidP="00E91CF6">
      <w:pPr>
        <w:pStyle w:val="DefaultStyleSimont-Braun"/>
        <w:jc w:val="both"/>
        <w:rPr>
          <w:rFonts w:cs="Arial"/>
          <w:lang w:val="fr-FR"/>
        </w:rPr>
      </w:pPr>
    </w:p>
    <w:p w14:paraId="692F22F4" w14:textId="77777777" w:rsidR="001F1440" w:rsidRPr="00E26F9B" w:rsidRDefault="001F1440" w:rsidP="001F1440">
      <w:pPr>
        <w:pStyle w:val="DefaultStyleSimont-Braun"/>
        <w:numPr>
          <w:ilvl w:val="0"/>
          <w:numId w:val="2"/>
        </w:numPr>
        <w:jc w:val="both"/>
        <w:rPr>
          <w:rFonts w:cs="Arial"/>
          <w:lang w:val="fr-FR"/>
        </w:rPr>
      </w:pPr>
      <w:r w:rsidRPr="00650D54">
        <w:rPr>
          <w:rFonts w:cs="Arial"/>
          <w:lang w:val="fr-FR"/>
        </w:rPr>
        <w:t xml:space="preserve">Les </w:t>
      </w:r>
      <w:r w:rsidRPr="00E26F9B">
        <w:rPr>
          <w:rFonts w:cs="Arial"/>
          <w:lang w:val="fr-BE"/>
        </w:rPr>
        <w:t xml:space="preserve">départs du directeur financier </w:t>
      </w:r>
      <w:r w:rsidR="00AB41FD">
        <w:rPr>
          <w:rFonts w:cs="Arial"/>
          <w:lang w:val="fr-BE"/>
        </w:rPr>
        <w:t xml:space="preserve">(Jean-Christophe Vanhuysse) </w:t>
      </w:r>
      <w:r w:rsidRPr="00E26F9B">
        <w:rPr>
          <w:rFonts w:cs="Arial"/>
          <w:lang w:val="fr-BE"/>
        </w:rPr>
        <w:t xml:space="preserve">et du Chief Risk </w:t>
      </w:r>
      <w:proofErr w:type="spellStart"/>
      <w:r w:rsidRPr="00E26F9B">
        <w:rPr>
          <w:rFonts w:cs="Arial"/>
          <w:lang w:val="fr-BE"/>
        </w:rPr>
        <w:t>Officer</w:t>
      </w:r>
      <w:proofErr w:type="spellEnd"/>
      <w:r w:rsidRPr="00650D54">
        <w:rPr>
          <w:rFonts w:cs="Arial"/>
          <w:lang w:val="fr-FR"/>
        </w:rPr>
        <w:t xml:space="preserve"> </w:t>
      </w:r>
      <w:r w:rsidR="00AB41FD">
        <w:rPr>
          <w:rFonts w:cs="Arial"/>
          <w:lang w:val="fr-FR"/>
        </w:rPr>
        <w:t xml:space="preserve">(Frans Vandekerckhove) </w:t>
      </w:r>
      <w:r w:rsidRPr="00650D54">
        <w:rPr>
          <w:rFonts w:cs="Arial"/>
          <w:lang w:val="fr-FR"/>
        </w:rPr>
        <w:t>de la société</w:t>
      </w:r>
      <w:r w:rsidR="006D4393">
        <w:rPr>
          <w:rFonts w:cs="Arial"/>
          <w:lang w:val="fr-FR"/>
        </w:rPr>
        <w:t> ;</w:t>
      </w:r>
      <w:r w:rsidRPr="00650D54">
        <w:rPr>
          <w:rFonts w:cs="Arial"/>
          <w:lang w:val="fr-FR"/>
        </w:rPr>
        <w:t xml:space="preserve"> </w:t>
      </w:r>
    </w:p>
    <w:p w14:paraId="505CE23A" w14:textId="63A833C6" w:rsidR="001F1440" w:rsidRDefault="00615471" w:rsidP="001F1440">
      <w:pPr>
        <w:pStyle w:val="DefaultStyleSimont-Braun"/>
        <w:numPr>
          <w:ilvl w:val="0"/>
          <w:numId w:val="2"/>
        </w:numPr>
        <w:jc w:val="both"/>
        <w:rPr>
          <w:rFonts w:cs="Arial"/>
          <w:lang w:val="fr-FR"/>
        </w:rPr>
      </w:pPr>
      <w:r w:rsidRPr="00650D54">
        <w:rPr>
          <w:rFonts w:cs="Arial"/>
          <w:lang w:val="fr-FR"/>
        </w:rPr>
        <w:t>La</w:t>
      </w:r>
      <w:r w:rsidR="001F1440" w:rsidRPr="00650D54">
        <w:rPr>
          <w:rFonts w:cs="Arial"/>
          <w:lang w:val="fr-FR"/>
        </w:rPr>
        <w:t xml:space="preserve"> perte </w:t>
      </w:r>
      <w:r w:rsidRPr="00650D54">
        <w:rPr>
          <w:rFonts w:cs="Arial"/>
          <w:lang w:val="fr-FR"/>
        </w:rPr>
        <w:t>estimé</w:t>
      </w:r>
      <w:r w:rsidR="006D4393">
        <w:rPr>
          <w:rFonts w:cs="Arial"/>
          <w:lang w:val="fr-FR"/>
        </w:rPr>
        <w:t xml:space="preserve">e </w:t>
      </w:r>
      <w:r w:rsidR="001F1440" w:rsidRPr="00650D54">
        <w:rPr>
          <w:rFonts w:cs="Arial"/>
          <w:lang w:val="fr-FR"/>
        </w:rPr>
        <w:t>pour l’exercice 2021</w:t>
      </w:r>
      <w:r w:rsidR="006E219B" w:rsidRPr="00C03C18">
        <w:rPr>
          <w:rFonts w:cs="Arial"/>
          <w:lang w:val="fr-BE"/>
        </w:rPr>
        <w:t>, qui</w:t>
      </w:r>
      <w:r w:rsidR="001F1440" w:rsidRPr="00650D54">
        <w:rPr>
          <w:rFonts w:cs="Arial"/>
          <w:lang w:val="fr-FR"/>
        </w:rPr>
        <w:t xml:space="preserve"> s’élève</w:t>
      </w:r>
      <w:r w:rsidR="006D4393">
        <w:rPr>
          <w:rFonts w:cs="Arial"/>
          <w:lang w:val="fr-FR"/>
        </w:rPr>
        <w:t xml:space="preserve">rait, </w:t>
      </w:r>
      <w:r w:rsidR="001932D4">
        <w:rPr>
          <w:rFonts w:cs="Arial"/>
          <w:lang w:val="fr-FR"/>
        </w:rPr>
        <w:t xml:space="preserve">selon les projections à ce jour, </w:t>
      </w:r>
      <w:r w:rsidR="001F1440" w:rsidRPr="00650D54">
        <w:rPr>
          <w:rFonts w:cs="Arial"/>
          <w:lang w:val="fr-FR"/>
        </w:rPr>
        <w:t xml:space="preserve">à </w:t>
      </w:r>
      <w:r w:rsidR="001932D4">
        <w:rPr>
          <w:rFonts w:cs="Arial"/>
          <w:lang w:val="fr-FR"/>
        </w:rPr>
        <w:t xml:space="preserve">environ </w:t>
      </w:r>
      <w:r w:rsidR="001F1440" w:rsidRPr="00650D54">
        <w:rPr>
          <w:rFonts w:cs="Arial"/>
          <w:lang w:val="fr-FR"/>
        </w:rPr>
        <w:t>9,1 millions</w:t>
      </w:r>
      <w:r w:rsidR="009F2066">
        <w:rPr>
          <w:rFonts w:cs="Arial"/>
          <w:lang w:val="fr-FR"/>
        </w:rPr>
        <w:t xml:space="preserve"> €</w:t>
      </w:r>
      <w:r w:rsidR="006D4393">
        <w:rPr>
          <w:rFonts w:cs="Arial"/>
          <w:lang w:val="fr-FR"/>
        </w:rPr>
        <w:t>.</w:t>
      </w:r>
    </w:p>
    <w:p w14:paraId="165FA104" w14:textId="77777777" w:rsidR="007D3E4D" w:rsidRDefault="007D3E4D" w:rsidP="007D3E4D">
      <w:pPr>
        <w:pStyle w:val="DefaultStyleSimont-Braun"/>
        <w:jc w:val="both"/>
        <w:rPr>
          <w:rFonts w:cs="Arial"/>
          <w:lang w:val="fr-FR"/>
        </w:rPr>
      </w:pPr>
    </w:p>
    <w:p w14:paraId="2B6C31AF" w14:textId="46A65088" w:rsidR="001F1440" w:rsidRPr="00E26F9B" w:rsidRDefault="001F1440" w:rsidP="001F1440">
      <w:pPr>
        <w:pStyle w:val="DefaultStyleSimont-Braun"/>
        <w:jc w:val="both"/>
        <w:rPr>
          <w:rFonts w:cs="Arial"/>
          <w:lang w:val="fr-FR"/>
        </w:rPr>
      </w:pPr>
    </w:p>
    <w:p w14:paraId="70BAD09A" w14:textId="77777777" w:rsidR="001F1440" w:rsidRPr="00E26F9B" w:rsidRDefault="001F1440" w:rsidP="001F1440">
      <w:pPr>
        <w:pStyle w:val="DefaultStyleSimont-Braun"/>
        <w:numPr>
          <w:ilvl w:val="0"/>
          <w:numId w:val="3"/>
        </w:numPr>
        <w:jc w:val="both"/>
        <w:rPr>
          <w:rFonts w:cs="Arial"/>
          <w:b/>
          <w:lang w:val="fr-FR"/>
        </w:rPr>
      </w:pPr>
      <w:r w:rsidRPr="00650D54">
        <w:rPr>
          <w:rFonts w:cs="Arial"/>
          <w:b/>
          <w:lang w:val="fr-FR"/>
        </w:rPr>
        <w:t xml:space="preserve">Les </w:t>
      </w:r>
      <w:r w:rsidRPr="00E26F9B">
        <w:rPr>
          <w:rFonts w:cs="Arial"/>
          <w:b/>
          <w:lang w:val="fr-BE"/>
        </w:rPr>
        <w:t xml:space="preserve">départs du directeur financier et du Chief Risk </w:t>
      </w:r>
      <w:proofErr w:type="spellStart"/>
      <w:r w:rsidRPr="00E26F9B">
        <w:rPr>
          <w:rFonts w:cs="Arial"/>
          <w:b/>
          <w:lang w:val="fr-BE"/>
        </w:rPr>
        <w:t>Officer</w:t>
      </w:r>
      <w:proofErr w:type="spellEnd"/>
      <w:r w:rsidRPr="00650D54">
        <w:rPr>
          <w:rFonts w:cs="Arial"/>
          <w:b/>
          <w:lang w:val="fr-FR"/>
        </w:rPr>
        <w:t xml:space="preserve"> de la société </w:t>
      </w:r>
    </w:p>
    <w:p w14:paraId="49E18F78" w14:textId="77777777" w:rsidR="001F1440" w:rsidRPr="00650D54" w:rsidRDefault="001F1440" w:rsidP="001F1440">
      <w:pPr>
        <w:pStyle w:val="DefaultStyleSimont-Braun"/>
        <w:ind w:left="360"/>
        <w:jc w:val="both"/>
        <w:rPr>
          <w:rFonts w:cs="Arial"/>
          <w:lang w:val="fr-FR"/>
        </w:rPr>
      </w:pPr>
    </w:p>
    <w:p w14:paraId="6D49BB3E" w14:textId="5815516E" w:rsidR="0091357E" w:rsidRPr="009C0FFD" w:rsidRDefault="001F1440" w:rsidP="001F1440">
      <w:pPr>
        <w:pStyle w:val="DefaultStyleSimont-Braun"/>
        <w:jc w:val="both"/>
        <w:rPr>
          <w:rFonts w:cs="Arial"/>
          <w:lang w:val="fr-FR"/>
        </w:rPr>
      </w:pPr>
      <w:r w:rsidRPr="00650D54">
        <w:rPr>
          <w:rFonts w:cs="Arial"/>
          <w:lang w:val="fr-FR"/>
        </w:rPr>
        <w:t xml:space="preserve">Le directeur financier </w:t>
      </w:r>
      <w:r w:rsidR="00D6471E">
        <w:rPr>
          <w:rFonts w:cs="Arial"/>
          <w:lang w:val="fr-FR"/>
        </w:rPr>
        <w:t xml:space="preserve">et opérationnel (CFO/COO) </w:t>
      </w:r>
      <w:r w:rsidR="00E27C8B">
        <w:rPr>
          <w:rFonts w:cs="Arial"/>
          <w:lang w:val="fr-BE"/>
        </w:rPr>
        <w:t xml:space="preserve">(Jean-Christophe Vanhuysse) </w:t>
      </w:r>
      <w:r w:rsidRPr="00650D54">
        <w:rPr>
          <w:rFonts w:cs="Arial"/>
          <w:lang w:val="fr-FR"/>
        </w:rPr>
        <w:t xml:space="preserve">de </w:t>
      </w:r>
      <w:proofErr w:type="spellStart"/>
      <w:r w:rsidRPr="00650D54">
        <w:rPr>
          <w:rFonts w:cs="Arial"/>
          <w:lang w:val="fr-FR"/>
        </w:rPr>
        <w:t>NewB</w:t>
      </w:r>
      <w:proofErr w:type="spellEnd"/>
      <w:r w:rsidR="00DF2BF1" w:rsidRPr="00650D54">
        <w:rPr>
          <w:rFonts w:cs="Arial"/>
          <w:lang w:val="fr-FR"/>
        </w:rPr>
        <w:t xml:space="preserve"> </w:t>
      </w:r>
      <w:r w:rsidRPr="00650D54">
        <w:rPr>
          <w:rFonts w:cs="Arial"/>
          <w:lang w:val="fr-FR"/>
        </w:rPr>
        <w:t xml:space="preserve">a quitté la société le </w:t>
      </w:r>
      <w:r w:rsidR="00A86BE8">
        <w:rPr>
          <w:rFonts w:cs="Arial"/>
          <w:lang w:val="fr-FR"/>
        </w:rPr>
        <w:t>30 avril</w:t>
      </w:r>
      <w:r w:rsidRPr="00650D54">
        <w:rPr>
          <w:rFonts w:cs="Arial"/>
          <w:lang w:val="fr-FR"/>
        </w:rPr>
        <w:t xml:space="preserve"> 2021 et le Chief Risk </w:t>
      </w:r>
      <w:proofErr w:type="spellStart"/>
      <w:r w:rsidRPr="00650D54">
        <w:rPr>
          <w:rFonts w:cs="Arial"/>
          <w:lang w:val="fr-FR"/>
        </w:rPr>
        <w:t>Officer</w:t>
      </w:r>
      <w:proofErr w:type="spellEnd"/>
      <w:r w:rsidRPr="00650D54">
        <w:rPr>
          <w:rFonts w:cs="Arial"/>
          <w:lang w:val="fr-FR"/>
        </w:rPr>
        <w:t xml:space="preserve"> </w:t>
      </w:r>
      <w:r w:rsidR="00D6471E">
        <w:rPr>
          <w:rFonts w:cs="Arial"/>
          <w:lang w:val="fr-FR"/>
        </w:rPr>
        <w:t>(</w:t>
      </w:r>
      <w:r w:rsidR="00D6471E" w:rsidRPr="00E27C8B">
        <w:rPr>
          <w:rFonts w:cs="Arial"/>
          <w:lang w:val="fr-FR"/>
        </w:rPr>
        <w:t>CRO)</w:t>
      </w:r>
      <w:r w:rsidR="00E27C8B" w:rsidRPr="00645441">
        <w:rPr>
          <w:rFonts w:cs="Arial"/>
          <w:lang w:val="fr-FR"/>
        </w:rPr>
        <w:t xml:space="preserve"> (</w:t>
      </w:r>
      <w:r w:rsidR="00E27C8B" w:rsidRPr="0040687C">
        <w:rPr>
          <w:rFonts w:cs="Arial"/>
          <w:lang w:val="fr-BE"/>
        </w:rPr>
        <w:t>Frans Vandekerckhove</w:t>
      </w:r>
      <w:r w:rsidR="00E27C8B" w:rsidRPr="00E27C8B">
        <w:rPr>
          <w:rFonts w:cs="Arial"/>
          <w:lang w:val="fr-BE"/>
        </w:rPr>
        <w:t>)</w:t>
      </w:r>
      <w:r w:rsidR="00D6471E" w:rsidRPr="00645441">
        <w:rPr>
          <w:rFonts w:cs="Arial"/>
          <w:lang w:val="fr-FR"/>
        </w:rPr>
        <w:t xml:space="preserve"> </w:t>
      </w:r>
      <w:r w:rsidR="00645441">
        <w:rPr>
          <w:rFonts w:cs="Arial"/>
          <w:lang w:val="fr-FR"/>
        </w:rPr>
        <w:t>a quitté</w:t>
      </w:r>
      <w:r w:rsidR="00645441" w:rsidRPr="00650D54">
        <w:rPr>
          <w:rFonts w:cs="Arial"/>
          <w:lang w:val="fr-FR"/>
        </w:rPr>
        <w:t xml:space="preserve"> </w:t>
      </w:r>
      <w:r w:rsidRPr="00650D54">
        <w:rPr>
          <w:rFonts w:cs="Arial"/>
          <w:lang w:val="fr-FR"/>
        </w:rPr>
        <w:t>sa fonction le 30 juin 2021</w:t>
      </w:r>
      <w:r w:rsidR="00615471" w:rsidRPr="00650D54">
        <w:rPr>
          <w:rFonts w:cs="Arial"/>
          <w:lang w:val="fr-FR"/>
        </w:rPr>
        <w:t>.</w:t>
      </w:r>
      <w:r w:rsidR="00615471" w:rsidRPr="00E26F9B">
        <w:rPr>
          <w:rFonts w:cs="Arial"/>
          <w:lang w:val="fr-FR"/>
        </w:rPr>
        <w:t xml:space="preserve"> </w:t>
      </w:r>
      <w:r w:rsidR="00D6471E">
        <w:rPr>
          <w:rFonts w:cs="Arial"/>
          <w:lang w:val="fr-FR"/>
        </w:rPr>
        <w:t>Le successeur du CRO a pris ses fonctions ce 1</w:t>
      </w:r>
      <w:r w:rsidR="00D6471E" w:rsidRPr="009C0FFD">
        <w:rPr>
          <w:rFonts w:cs="Arial"/>
          <w:lang w:val="fr-FR"/>
        </w:rPr>
        <w:t>er</w:t>
      </w:r>
      <w:r w:rsidR="00D6471E">
        <w:rPr>
          <w:rFonts w:cs="Arial"/>
          <w:lang w:val="fr-FR"/>
        </w:rPr>
        <w:t xml:space="preserve"> juin, permettant ainsi un mois complet de hand-over entre les deux. Par ailleurs, l</w:t>
      </w:r>
      <w:r w:rsidR="00E91CF6" w:rsidRPr="00E26F9B">
        <w:rPr>
          <w:rFonts w:cs="Arial"/>
          <w:lang w:val="fr-FR"/>
        </w:rPr>
        <w:t xml:space="preserve">a société est </w:t>
      </w:r>
      <w:r w:rsidRPr="00650D54">
        <w:rPr>
          <w:rFonts w:cs="Arial"/>
          <w:lang w:val="fr-FR"/>
        </w:rPr>
        <w:t>activement</w:t>
      </w:r>
      <w:r w:rsidR="00E91CF6" w:rsidRPr="00E26F9B">
        <w:rPr>
          <w:rFonts w:cs="Arial"/>
          <w:lang w:val="fr-FR"/>
        </w:rPr>
        <w:t xml:space="preserve"> à la recherche d'un nouveau </w:t>
      </w:r>
      <w:r w:rsidR="00D6471E">
        <w:rPr>
          <w:rFonts w:cs="Arial"/>
          <w:lang w:val="fr-FR"/>
        </w:rPr>
        <w:t>CFO/COO</w:t>
      </w:r>
      <w:r w:rsidRPr="00650D54">
        <w:rPr>
          <w:rFonts w:cs="Arial"/>
          <w:lang w:val="fr-FR"/>
        </w:rPr>
        <w:t xml:space="preserve"> </w:t>
      </w:r>
      <w:r w:rsidR="00B06396" w:rsidRPr="00650D54">
        <w:rPr>
          <w:rFonts w:cs="Arial"/>
          <w:lang w:val="fr-FR"/>
        </w:rPr>
        <w:t xml:space="preserve">afin de poursuivre </w:t>
      </w:r>
      <w:r w:rsidR="00B06396" w:rsidRPr="00E26F9B">
        <w:rPr>
          <w:rFonts w:cs="Arial"/>
          <w:lang w:val="fr-FR"/>
        </w:rPr>
        <w:t xml:space="preserve">la gestion opérationnelle, et la mise en place d’une structure organisationnelle et opérationnelle </w:t>
      </w:r>
      <w:r w:rsidR="00B06396" w:rsidRPr="00650F77">
        <w:rPr>
          <w:rFonts w:cs="Arial"/>
          <w:lang w:val="fr-FR"/>
        </w:rPr>
        <w:t>adéquate, dans les limites de la stratégie générale définie par le conseil d’</w:t>
      </w:r>
      <w:r w:rsidR="00DA2A6E" w:rsidRPr="00650F77">
        <w:rPr>
          <w:rFonts w:cs="Arial"/>
          <w:lang w:val="fr-FR"/>
        </w:rPr>
        <w:t>administration</w:t>
      </w:r>
      <w:r w:rsidR="00B06396" w:rsidRPr="00650F77">
        <w:rPr>
          <w:rFonts w:cs="Arial"/>
          <w:lang w:val="fr-FR"/>
        </w:rPr>
        <w:t>, au sein de la société</w:t>
      </w:r>
      <w:r w:rsidR="00E91CF6" w:rsidRPr="00650F77">
        <w:rPr>
          <w:rFonts w:cs="Arial"/>
          <w:lang w:val="fr-FR"/>
        </w:rPr>
        <w:t xml:space="preserve">. </w:t>
      </w:r>
      <w:r w:rsidR="0033047E" w:rsidRPr="00650F77">
        <w:rPr>
          <w:rFonts w:cs="Arial"/>
          <w:lang w:val="fr-FR"/>
        </w:rPr>
        <w:t>D</w:t>
      </w:r>
      <w:r w:rsidR="0033047E" w:rsidRPr="009C0FFD">
        <w:rPr>
          <w:rFonts w:cs="Arial"/>
          <w:lang w:val="fr-FR"/>
        </w:rPr>
        <w:t xml:space="preserve">urant </w:t>
      </w:r>
      <w:r w:rsidR="00FC1FF3" w:rsidRPr="009C0FFD">
        <w:rPr>
          <w:rFonts w:cs="Arial"/>
          <w:lang w:val="fr-FR"/>
        </w:rPr>
        <w:t>la</w:t>
      </w:r>
      <w:r w:rsidR="0033047E" w:rsidRPr="009C0FFD">
        <w:rPr>
          <w:rFonts w:cs="Arial"/>
          <w:lang w:val="fr-FR"/>
        </w:rPr>
        <w:t xml:space="preserve"> période</w:t>
      </w:r>
      <w:r w:rsidR="00E343FC" w:rsidRPr="009C0FFD">
        <w:rPr>
          <w:rFonts w:cs="Arial"/>
          <w:lang w:val="fr-FR"/>
        </w:rPr>
        <w:t xml:space="preserve"> </w:t>
      </w:r>
      <w:r w:rsidR="00D6471E">
        <w:rPr>
          <w:rFonts w:cs="Arial"/>
          <w:lang w:val="fr-FR"/>
        </w:rPr>
        <w:t>intermédiaire,</w:t>
      </w:r>
      <w:r w:rsidR="0033047E" w:rsidRPr="009C0FFD">
        <w:rPr>
          <w:rFonts w:cs="Arial"/>
          <w:lang w:val="fr-FR"/>
        </w:rPr>
        <w:t xml:space="preserve"> la fonction de CFO/COO </w:t>
      </w:r>
      <w:r w:rsidR="00AF596C">
        <w:rPr>
          <w:rFonts w:cs="Arial"/>
          <w:lang w:val="fr-FR"/>
        </w:rPr>
        <w:t xml:space="preserve">est </w:t>
      </w:r>
      <w:r w:rsidR="0033047E" w:rsidRPr="009C0FFD">
        <w:rPr>
          <w:rFonts w:cs="Arial"/>
          <w:lang w:val="fr-FR"/>
        </w:rPr>
        <w:t>assurée</w:t>
      </w:r>
      <w:r w:rsidR="001978E2" w:rsidRPr="00650F77">
        <w:rPr>
          <w:rFonts w:cs="Arial"/>
          <w:lang w:val="fr-FR"/>
        </w:rPr>
        <w:t xml:space="preserve">, </w:t>
      </w:r>
      <w:r w:rsidR="0033047E" w:rsidRPr="009C0FFD">
        <w:rPr>
          <w:rFonts w:cs="Arial"/>
          <w:lang w:val="fr-FR"/>
        </w:rPr>
        <w:t xml:space="preserve">par un </w:t>
      </w:r>
      <w:proofErr w:type="spellStart"/>
      <w:r w:rsidR="0033047E" w:rsidRPr="009C0FFD">
        <w:rPr>
          <w:rFonts w:cs="Arial"/>
          <w:lang w:val="fr-FR"/>
        </w:rPr>
        <w:t>interim</w:t>
      </w:r>
      <w:proofErr w:type="spellEnd"/>
      <w:r w:rsidR="0033047E" w:rsidRPr="009C0FFD">
        <w:rPr>
          <w:rFonts w:cs="Arial"/>
          <w:lang w:val="fr-FR"/>
        </w:rPr>
        <w:t xml:space="preserve"> manager </w:t>
      </w:r>
      <w:r w:rsidR="000F4E96">
        <w:rPr>
          <w:rFonts w:cs="Arial"/>
          <w:lang w:val="fr-FR"/>
        </w:rPr>
        <w:t xml:space="preserve">(Nicolas </w:t>
      </w:r>
      <w:r w:rsidR="00884E0C">
        <w:rPr>
          <w:rFonts w:cs="Arial"/>
          <w:lang w:val="fr-FR"/>
        </w:rPr>
        <w:t>Pavlovitch)</w:t>
      </w:r>
      <w:r w:rsidR="00AF596C">
        <w:rPr>
          <w:rFonts w:cs="Arial"/>
          <w:lang w:val="fr-FR"/>
        </w:rPr>
        <w:t xml:space="preserve">, sous la responsabilité directe du CEO </w:t>
      </w:r>
      <w:r w:rsidR="00F057CC">
        <w:rPr>
          <w:rFonts w:cs="Arial"/>
          <w:lang w:val="fr-FR"/>
        </w:rPr>
        <w:t>(Thierry Smets)</w:t>
      </w:r>
      <w:r w:rsidR="0033047E">
        <w:rPr>
          <w:rFonts w:cs="Arial"/>
          <w:lang w:val="fr-FR"/>
        </w:rPr>
        <w:t>.</w:t>
      </w:r>
      <w:r w:rsidR="004572DE">
        <w:rPr>
          <w:rFonts w:cs="Arial"/>
          <w:lang w:val="fr-FR"/>
        </w:rPr>
        <w:t xml:space="preserve"> </w:t>
      </w:r>
      <w:r w:rsidR="00D6471E">
        <w:rPr>
          <w:rFonts w:cs="Arial"/>
          <w:lang w:val="fr-FR"/>
        </w:rPr>
        <w:t xml:space="preserve">Autant les activités liées à la gestion journalière que celles liées aux projets encore en cours (carte Visa débit et fonds de placement) sont donc assurées et l’impact sur l’évolution de </w:t>
      </w:r>
      <w:proofErr w:type="spellStart"/>
      <w:r w:rsidR="00D6471E">
        <w:rPr>
          <w:rFonts w:cs="Arial"/>
          <w:lang w:val="fr-FR"/>
        </w:rPr>
        <w:t>NewB</w:t>
      </w:r>
      <w:proofErr w:type="spellEnd"/>
      <w:r w:rsidR="00D6471E">
        <w:rPr>
          <w:rFonts w:cs="Arial"/>
          <w:lang w:val="fr-FR"/>
        </w:rPr>
        <w:t xml:space="preserve"> de ces deux départs est extrêmement limité.</w:t>
      </w:r>
    </w:p>
    <w:p w14:paraId="40A132C2" w14:textId="77777777" w:rsidR="00E33D6A" w:rsidRPr="00650D54" w:rsidRDefault="00E33D6A" w:rsidP="001F1440">
      <w:pPr>
        <w:pStyle w:val="DefaultStyleSimont-Braun"/>
        <w:jc w:val="both"/>
        <w:rPr>
          <w:rFonts w:cs="Arial"/>
          <w:b/>
          <w:lang w:val="fr-FR"/>
        </w:rPr>
      </w:pPr>
    </w:p>
    <w:p w14:paraId="0325126C" w14:textId="77777777" w:rsidR="00E33D6A" w:rsidRPr="00E26F9B" w:rsidRDefault="00E33D6A" w:rsidP="00E33D6A">
      <w:pPr>
        <w:pStyle w:val="DefaultStyleSimont-Braun"/>
        <w:numPr>
          <w:ilvl w:val="0"/>
          <w:numId w:val="3"/>
        </w:numPr>
        <w:jc w:val="both"/>
        <w:rPr>
          <w:rFonts w:cs="Arial"/>
          <w:b/>
        </w:rPr>
      </w:pPr>
      <w:r w:rsidRPr="00E26F9B">
        <w:rPr>
          <w:rFonts w:cs="Arial"/>
          <w:b/>
        </w:rPr>
        <w:t xml:space="preserve">Situation financière de la </w:t>
      </w:r>
      <w:proofErr w:type="spellStart"/>
      <w:r w:rsidRPr="00E26F9B">
        <w:rPr>
          <w:rFonts w:cs="Arial"/>
          <w:b/>
        </w:rPr>
        <w:t>société</w:t>
      </w:r>
      <w:proofErr w:type="spellEnd"/>
      <w:r w:rsidRPr="00E26F9B">
        <w:rPr>
          <w:rFonts w:cs="Arial"/>
          <w:b/>
        </w:rPr>
        <w:t xml:space="preserve"> </w:t>
      </w:r>
    </w:p>
    <w:p w14:paraId="404079D3" w14:textId="77777777" w:rsidR="00E33D6A" w:rsidRPr="00E26F9B" w:rsidRDefault="00E33D6A" w:rsidP="00E33D6A">
      <w:pPr>
        <w:pStyle w:val="DefaultStyleSimont-Braun"/>
        <w:jc w:val="both"/>
        <w:rPr>
          <w:rFonts w:cs="Arial"/>
          <w:b/>
        </w:rPr>
      </w:pPr>
    </w:p>
    <w:p w14:paraId="048E5D2A" w14:textId="44E1D708" w:rsidR="00D34033" w:rsidRPr="00CC4321" w:rsidRDefault="000D472B" w:rsidP="00CC4321">
      <w:pPr>
        <w:pStyle w:val="DefaultStyleSimont-Braun"/>
        <w:spacing w:after="120"/>
        <w:jc w:val="both"/>
        <w:rPr>
          <w:b/>
          <w:lang w:val="fr-FR"/>
        </w:rPr>
      </w:pPr>
      <w:r w:rsidRPr="00650D54">
        <w:rPr>
          <w:rFonts w:cs="Arial"/>
          <w:lang w:val="fr-FR"/>
        </w:rPr>
        <w:t xml:space="preserve">Lors de la publication de son </w:t>
      </w:r>
      <w:r w:rsidRPr="00E26F9B">
        <w:rPr>
          <w:rFonts w:cs="Arial"/>
          <w:lang w:val="fr-FR"/>
        </w:rPr>
        <w:t xml:space="preserve">prospectus de croissance de l'Union relatif à </w:t>
      </w:r>
      <w:r w:rsidR="006C75C6" w:rsidRPr="00650D54">
        <w:rPr>
          <w:rFonts w:cs="Arial"/>
          <w:lang w:val="fr-FR"/>
        </w:rPr>
        <w:t>l’offre</w:t>
      </w:r>
      <w:r w:rsidRPr="00E26F9B">
        <w:rPr>
          <w:rFonts w:cs="Arial"/>
          <w:lang w:val="fr-FR"/>
        </w:rPr>
        <w:t xml:space="preserve"> publique de Parts</w:t>
      </w:r>
      <w:r w:rsidRPr="00650D54">
        <w:rPr>
          <w:rFonts w:cs="Arial"/>
          <w:lang w:val="fr-FR"/>
        </w:rPr>
        <w:t xml:space="preserve"> du 25/10/2019, </w:t>
      </w:r>
      <w:proofErr w:type="spellStart"/>
      <w:r w:rsidRPr="00650D54">
        <w:rPr>
          <w:rFonts w:cs="Arial"/>
          <w:lang w:val="fr-FR"/>
        </w:rPr>
        <w:t>NewB</w:t>
      </w:r>
      <w:proofErr w:type="spellEnd"/>
      <w:r w:rsidRPr="00650D54">
        <w:rPr>
          <w:rFonts w:cs="Arial"/>
          <w:lang w:val="fr-FR"/>
        </w:rPr>
        <w:t xml:space="preserve"> avait estimé dans le compte</w:t>
      </w:r>
      <w:r w:rsidRPr="00E26F9B">
        <w:rPr>
          <w:rFonts w:cs="Arial"/>
          <w:lang w:val="fr-FR"/>
        </w:rPr>
        <w:t xml:space="preserve"> de résultat et prévisions de </w:t>
      </w:r>
      <w:r w:rsidRPr="00650D54">
        <w:rPr>
          <w:rFonts w:cs="Arial"/>
          <w:lang w:val="fr-FR"/>
        </w:rPr>
        <w:t xml:space="preserve">bénéfice une </w:t>
      </w:r>
      <w:r w:rsidR="00D34033" w:rsidRPr="00650D54">
        <w:rPr>
          <w:rFonts w:cs="Arial"/>
          <w:lang w:val="fr-FR"/>
        </w:rPr>
        <w:t xml:space="preserve">perte </w:t>
      </w:r>
      <w:r w:rsidR="00D34033" w:rsidRPr="00757A20">
        <w:rPr>
          <w:rFonts w:cs="Arial"/>
          <w:lang w:val="fr-FR"/>
        </w:rPr>
        <w:t xml:space="preserve">de </w:t>
      </w:r>
      <w:r w:rsidR="00D34033" w:rsidRPr="007D3E4D">
        <w:rPr>
          <w:rFonts w:cs="Arial"/>
          <w:lang w:val="fr-FR"/>
        </w:rPr>
        <w:t>4,2</w:t>
      </w:r>
      <w:r w:rsidR="00D34033" w:rsidRPr="00650D54">
        <w:rPr>
          <w:rFonts w:cs="Arial"/>
          <w:lang w:val="fr-FR"/>
        </w:rPr>
        <w:t xml:space="preserve"> millions</w:t>
      </w:r>
      <w:r w:rsidR="009F2066">
        <w:rPr>
          <w:rFonts w:cs="Arial"/>
          <w:lang w:val="fr-FR"/>
        </w:rPr>
        <w:t xml:space="preserve"> €</w:t>
      </w:r>
      <w:r w:rsidR="00D34033" w:rsidRPr="00650D54">
        <w:rPr>
          <w:rFonts w:cs="Arial"/>
          <w:lang w:val="fr-FR"/>
        </w:rPr>
        <w:t xml:space="preserve"> pour l’exercice 2021.</w:t>
      </w:r>
      <w:r w:rsidRPr="00650D54">
        <w:rPr>
          <w:rFonts w:cs="Arial"/>
          <w:lang w:val="fr-FR"/>
        </w:rPr>
        <w:t xml:space="preserve"> </w:t>
      </w:r>
    </w:p>
    <w:p w14:paraId="6498BFA4" w14:textId="7F867154" w:rsidR="008C2159" w:rsidRDefault="00E1512B" w:rsidP="00CC4321">
      <w:pPr>
        <w:pStyle w:val="DefaultStyleSimont-Braun"/>
        <w:spacing w:after="120"/>
        <w:jc w:val="both"/>
        <w:rPr>
          <w:rFonts w:cs="Arial"/>
          <w:lang w:val="fr-FR"/>
        </w:rPr>
      </w:pPr>
      <w:r>
        <w:rPr>
          <w:rFonts w:cs="Arial"/>
          <w:lang w:val="fr-FR"/>
        </w:rPr>
        <w:t>A</w:t>
      </w:r>
      <w:r w:rsidR="00A81F6D" w:rsidRPr="00650D54">
        <w:rPr>
          <w:rFonts w:cs="Arial"/>
          <w:lang w:val="fr-FR"/>
        </w:rPr>
        <w:t xml:space="preserve"> </w:t>
      </w:r>
      <w:r w:rsidR="001D16C4" w:rsidRPr="00650D54">
        <w:rPr>
          <w:rFonts w:cs="Arial"/>
          <w:lang w:val="fr-FR"/>
        </w:rPr>
        <w:t xml:space="preserve">ce </w:t>
      </w:r>
      <w:r w:rsidR="001D16C4" w:rsidRPr="00C30279">
        <w:rPr>
          <w:rFonts w:cs="Arial"/>
          <w:lang w:val="fr-FR"/>
        </w:rPr>
        <w:t>jour</w:t>
      </w:r>
      <w:r w:rsidR="00D34033" w:rsidRPr="00C30279">
        <w:rPr>
          <w:rFonts w:cs="Arial"/>
          <w:lang w:val="fr-FR"/>
        </w:rPr>
        <w:t xml:space="preserve">, la </w:t>
      </w:r>
      <w:r w:rsidR="00D34033" w:rsidRPr="00896AF0">
        <w:rPr>
          <w:lang w:val="fr-FR"/>
        </w:rPr>
        <w:t>perte estimée pour l’exercice 2021 s’élève à 9,1 millions</w:t>
      </w:r>
      <w:r w:rsidR="00C30279">
        <w:rPr>
          <w:rFonts w:cs="Arial"/>
          <w:lang w:val="fr-FR"/>
        </w:rPr>
        <w:t xml:space="preserve"> €</w:t>
      </w:r>
      <w:r w:rsidR="00D34033" w:rsidRPr="00C30279">
        <w:rPr>
          <w:rFonts w:cs="Arial"/>
          <w:lang w:val="fr-FR"/>
        </w:rPr>
        <w:t>.</w:t>
      </w:r>
      <w:r w:rsidR="00D34033" w:rsidRPr="00896AF0">
        <w:rPr>
          <w:lang w:val="fr-FR"/>
        </w:rPr>
        <w:t xml:space="preserve"> </w:t>
      </w:r>
      <w:r w:rsidR="006C75C6" w:rsidRPr="00896AF0">
        <w:rPr>
          <w:lang w:val="fr-FR"/>
        </w:rPr>
        <w:t>Cette différence s’</w:t>
      </w:r>
      <w:r w:rsidR="001D16C4" w:rsidRPr="00896AF0">
        <w:rPr>
          <w:lang w:val="fr-FR"/>
        </w:rPr>
        <w:t>explique</w:t>
      </w:r>
      <w:r w:rsidR="001C3A0B" w:rsidRPr="00896AF0">
        <w:rPr>
          <w:lang w:val="fr-FR"/>
        </w:rPr>
        <w:t xml:space="preserve"> </w:t>
      </w:r>
      <w:r w:rsidR="00C93509" w:rsidRPr="00896AF0">
        <w:rPr>
          <w:lang w:val="fr-FR"/>
        </w:rPr>
        <w:t>d’une part</w:t>
      </w:r>
      <w:r w:rsidR="006C75C6" w:rsidRPr="00896AF0">
        <w:rPr>
          <w:lang w:val="fr-FR"/>
        </w:rPr>
        <w:t xml:space="preserve"> par le fait que</w:t>
      </w:r>
      <w:r w:rsidR="0008335C" w:rsidRPr="00896AF0">
        <w:rPr>
          <w:lang w:val="fr-FR"/>
        </w:rPr>
        <w:t xml:space="preserve"> la crise sanitaire et le confinement complet</w:t>
      </w:r>
      <w:r w:rsidR="00B26331" w:rsidRPr="00896AF0">
        <w:rPr>
          <w:lang w:val="fr-FR"/>
        </w:rPr>
        <w:t>,</w:t>
      </w:r>
      <w:r w:rsidR="0008335C" w:rsidRPr="00896AF0">
        <w:rPr>
          <w:lang w:val="fr-FR"/>
        </w:rPr>
        <w:t xml:space="preserve"> </w:t>
      </w:r>
      <w:r w:rsidR="00591697" w:rsidRPr="00896AF0">
        <w:rPr>
          <w:lang w:val="fr-BE"/>
        </w:rPr>
        <w:t>décidé</w:t>
      </w:r>
      <w:r w:rsidR="0008335C" w:rsidRPr="00896AF0">
        <w:rPr>
          <w:lang w:val="fr-BE"/>
        </w:rPr>
        <w:t xml:space="preserve"> </w:t>
      </w:r>
      <w:r w:rsidR="0008335C" w:rsidRPr="00896AF0">
        <w:rPr>
          <w:lang w:val="fr-FR"/>
        </w:rPr>
        <w:t xml:space="preserve">au moment même où </w:t>
      </w:r>
      <w:proofErr w:type="spellStart"/>
      <w:r w:rsidR="0008335C" w:rsidRPr="00896AF0">
        <w:rPr>
          <w:lang w:val="fr-FR"/>
        </w:rPr>
        <w:t>NewB</w:t>
      </w:r>
      <w:proofErr w:type="spellEnd"/>
      <w:r w:rsidR="0008335C" w:rsidRPr="00896AF0">
        <w:rPr>
          <w:lang w:val="fr-FR"/>
        </w:rPr>
        <w:t xml:space="preserve"> commençait ses travaux de construction de la plateforme opérationnelle</w:t>
      </w:r>
      <w:r w:rsidR="0008335C" w:rsidRPr="00C30279">
        <w:rPr>
          <w:rFonts w:cs="Arial"/>
          <w:lang w:val="fr-FR"/>
        </w:rPr>
        <w:t xml:space="preserve">, </w:t>
      </w:r>
      <w:r w:rsidR="00591697" w:rsidRPr="00C30279">
        <w:rPr>
          <w:rFonts w:cs="Arial"/>
          <w:lang w:val="fr-BE"/>
        </w:rPr>
        <w:t>ont</w:t>
      </w:r>
      <w:r w:rsidR="0008335C" w:rsidRPr="009478CD">
        <w:rPr>
          <w:lang w:val="fr-BE"/>
        </w:rPr>
        <w:t xml:space="preserve"> </w:t>
      </w:r>
      <w:r w:rsidR="0008335C">
        <w:rPr>
          <w:rFonts w:cs="Arial"/>
          <w:lang w:val="fr-FR"/>
        </w:rPr>
        <w:t xml:space="preserve">retardé </w:t>
      </w:r>
      <w:r w:rsidR="00634EF1">
        <w:rPr>
          <w:rFonts w:cs="Arial"/>
          <w:lang w:val="fr-FR"/>
        </w:rPr>
        <w:t>l</w:t>
      </w:r>
      <w:r w:rsidR="0008335C">
        <w:rPr>
          <w:rFonts w:cs="Arial"/>
          <w:lang w:val="fr-FR"/>
        </w:rPr>
        <w:t xml:space="preserve">e démarrage de </w:t>
      </w:r>
      <w:r w:rsidR="00D6471E">
        <w:rPr>
          <w:rFonts w:cs="Arial"/>
          <w:lang w:val="fr-FR"/>
        </w:rPr>
        <w:t xml:space="preserve">l’activité bancaire </w:t>
      </w:r>
      <w:r w:rsidR="00DE5BD5">
        <w:rPr>
          <w:rFonts w:cs="Arial"/>
          <w:lang w:val="fr-FR"/>
        </w:rPr>
        <w:t>et d’autre part par le fait que l</w:t>
      </w:r>
      <w:r w:rsidR="0007678E">
        <w:rPr>
          <w:rFonts w:cs="Arial"/>
          <w:lang w:val="fr-FR"/>
        </w:rPr>
        <w:t>e</w:t>
      </w:r>
      <w:r w:rsidR="00F207A8">
        <w:rPr>
          <w:rFonts w:cs="Arial"/>
          <w:lang w:val="fr-FR"/>
        </w:rPr>
        <w:t xml:space="preserve"> </w:t>
      </w:r>
      <w:r w:rsidR="0044496F">
        <w:rPr>
          <w:rFonts w:cs="Arial"/>
          <w:lang w:val="fr-FR"/>
        </w:rPr>
        <w:t>temps nécessaire à la mise au point de la solution bancaire</w:t>
      </w:r>
      <w:r w:rsidR="00F52D07">
        <w:rPr>
          <w:rFonts w:cs="Arial"/>
          <w:lang w:val="fr-FR"/>
        </w:rPr>
        <w:t xml:space="preserve"> (période de tests entre la livraison des programmes et le démarrage de l’activité)</w:t>
      </w:r>
      <w:r w:rsidR="009511F9">
        <w:rPr>
          <w:rFonts w:cs="Arial"/>
          <w:lang w:val="fr-FR"/>
        </w:rPr>
        <w:t xml:space="preserve"> s’est avéré plus important que prévu dans le prospectus. </w:t>
      </w:r>
      <w:r w:rsidR="001C2CB5">
        <w:rPr>
          <w:rFonts w:cs="Arial"/>
          <w:lang w:val="fr-FR"/>
        </w:rPr>
        <w:t xml:space="preserve">Ceci </w:t>
      </w:r>
      <w:r w:rsidR="00331243">
        <w:rPr>
          <w:rFonts w:cs="Arial"/>
          <w:lang w:val="fr-FR"/>
        </w:rPr>
        <w:t>entraîne</w:t>
      </w:r>
      <w:r w:rsidR="001C2CB5">
        <w:rPr>
          <w:rFonts w:cs="Arial"/>
          <w:lang w:val="fr-FR"/>
        </w:rPr>
        <w:t xml:space="preserve"> un glissement </w:t>
      </w:r>
      <w:r w:rsidR="005A39FF">
        <w:rPr>
          <w:rFonts w:cs="Arial"/>
          <w:lang w:val="fr-FR"/>
        </w:rPr>
        <w:t xml:space="preserve">dans le planning de </w:t>
      </w:r>
      <w:r w:rsidR="004B33E6">
        <w:rPr>
          <w:rFonts w:cs="Arial"/>
          <w:lang w:val="fr-FR"/>
        </w:rPr>
        <w:t>déploiement des activités prévu</w:t>
      </w:r>
      <w:r w:rsidR="005A39FF">
        <w:rPr>
          <w:rFonts w:cs="Arial"/>
          <w:lang w:val="fr-FR"/>
        </w:rPr>
        <w:t xml:space="preserve"> initialement</w:t>
      </w:r>
      <w:r w:rsidR="00C30279">
        <w:rPr>
          <w:rFonts w:cs="Arial"/>
          <w:lang w:val="fr-FR"/>
        </w:rPr>
        <w:t xml:space="preserve"> </w:t>
      </w:r>
      <w:r w:rsidR="006643CC">
        <w:rPr>
          <w:rFonts w:cs="Arial"/>
          <w:lang w:val="fr-FR"/>
        </w:rPr>
        <w:t>de +/- une année</w:t>
      </w:r>
      <w:r w:rsidR="0008335C">
        <w:rPr>
          <w:rFonts w:cs="Arial"/>
          <w:lang w:val="fr-FR"/>
        </w:rPr>
        <w:t xml:space="preserve"> : </w:t>
      </w:r>
      <w:r w:rsidR="00C85F79">
        <w:rPr>
          <w:rFonts w:cs="Arial"/>
          <w:lang w:val="fr-FR"/>
        </w:rPr>
        <w:t>l</w:t>
      </w:r>
      <w:r w:rsidR="006C75C6" w:rsidRPr="00E26F9B">
        <w:rPr>
          <w:rFonts w:cs="Arial"/>
          <w:lang w:val="fr-FR"/>
        </w:rPr>
        <w:t xml:space="preserve">’exercice 2021 </w:t>
      </w:r>
      <w:r w:rsidR="006C75C6" w:rsidRPr="00650D54">
        <w:rPr>
          <w:rFonts w:cs="Arial"/>
          <w:lang w:val="fr-FR"/>
        </w:rPr>
        <w:t>est</w:t>
      </w:r>
      <w:r w:rsidR="006C75C6" w:rsidRPr="00E26F9B">
        <w:rPr>
          <w:rFonts w:cs="Arial"/>
          <w:lang w:val="fr-FR"/>
        </w:rPr>
        <w:t xml:space="preserve"> </w:t>
      </w:r>
      <w:r w:rsidR="0008335C">
        <w:rPr>
          <w:rFonts w:cs="Arial"/>
          <w:lang w:val="fr-FR"/>
        </w:rPr>
        <w:t xml:space="preserve">donc </w:t>
      </w:r>
      <w:r w:rsidR="006C75C6" w:rsidRPr="00E26F9B">
        <w:rPr>
          <w:rFonts w:cs="Arial"/>
          <w:lang w:val="fr-FR"/>
        </w:rPr>
        <w:t xml:space="preserve">un exercice de transition car cumulant à la fois </w:t>
      </w:r>
      <w:r w:rsidR="00C95608">
        <w:rPr>
          <w:rFonts w:cs="Arial"/>
          <w:lang w:val="fr-FR"/>
        </w:rPr>
        <w:t>d</w:t>
      </w:r>
      <w:r w:rsidR="004A5A76">
        <w:rPr>
          <w:rFonts w:cs="Arial"/>
          <w:lang w:val="fr-FR"/>
        </w:rPr>
        <w:t>es charges</w:t>
      </w:r>
      <w:r w:rsidR="00AA38BA">
        <w:rPr>
          <w:rFonts w:cs="Arial"/>
          <w:lang w:val="fr-FR"/>
        </w:rPr>
        <w:t xml:space="preserve"> encore</w:t>
      </w:r>
      <w:r w:rsidR="004A5A76">
        <w:rPr>
          <w:rFonts w:cs="Arial"/>
          <w:lang w:val="fr-FR"/>
        </w:rPr>
        <w:t xml:space="preserve"> liées au </w:t>
      </w:r>
      <w:r w:rsidR="006C75C6" w:rsidRPr="00E26F9B">
        <w:rPr>
          <w:rFonts w:cs="Arial"/>
          <w:lang w:val="fr-FR"/>
        </w:rPr>
        <w:t>« projet</w:t>
      </w:r>
      <w:r w:rsidR="00FE2FA7">
        <w:rPr>
          <w:rFonts w:cs="Arial"/>
          <w:lang w:val="fr-FR"/>
        </w:rPr>
        <w:t> »</w:t>
      </w:r>
      <w:r w:rsidR="006C75C6" w:rsidRPr="00E26F9B">
        <w:rPr>
          <w:rFonts w:cs="Arial"/>
          <w:lang w:val="fr-FR"/>
        </w:rPr>
        <w:t xml:space="preserve"> </w:t>
      </w:r>
      <w:r w:rsidR="00AA38BA">
        <w:rPr>
          <w:rFonts w:cs="Arial"/>
          <w:lang w:val="fr-FR"/>
        </w:rPr>
        <w:t>de démarrage des ac</w:t>
      </w:r>
      <w:r w:rsidR="00A1773A">
        <w:rPr>
          <w:rFonts w:cs="Arial"/>
          <w:lang w:val="fr-FR"/>
        </w:rPr>
        <w:t xml:space="preserve">tivités bancaires </w:t>
      </w:r>
      <w:r w:rsidR="006C75C6" w:rsidRPr="00E26F9B">
        <w:rPr>
          <w:rFonts w:cs="Arial"/>
          <w:lang w:val="fr-FR"/>
        </w:rPr>
        <w:t>et</w:t>
      </w:r>
      <w:r w:rsidR="00FE2FA7">
        <w:rPr>
          <w:rFonts w:cs="Arial"/>
          <w:lang w:val="fr-FR"/>
        </w:rPr>
        <w:t> </w:t>
      </w:r>
      <w:r w:rsidR="00A1773A">
        <w:rPr>
          <w:rFonts w:cs="Arial"/>
          <w:lang w:val="fr-FR"/>
        </w:rPr>
        <w:t>celles</w:t>
      </w:r>
      <w:r w:rsidR="00BD251E">
        <w:rPr>
          <w:rFonts w:cs="Arial"/>
          <w:lang w:val="fr-FR"/>
        </w:rPr>
        <w:t xml:space="preserve"> générées par l’</w:t>
      </w:r>
      <w:r w:rsidR="006C75C6" w:rsidRPr="00E26F9B">
        <w:rPr>
          <w:rFonts w:cs="Arial"/>
          <w:lang w:val="fr-FR"/>
        </w:rPr>
        <w:t>activité bancaire</w:t>
      </w:r>
      <w:r w:rsidR="00BD251E">
        <w:rPr>
          <w:rFonts w:cs="Arial"/>
          <w:lang w:val="fr-FR"/>
        </w:rPr>
        <w:t xml:space="preserve"> débutante</w:t>
      </w:r>
      <w:r w:rsidR="00DB5EF3">
        <w:rPr>
          <w:rFonts w:cs="Arial"/>
          <w:lang w:val="fr-FR"/>
        </w:rPr>
        <w:t>.</w:t>
      </w:r>
    </w:p>
    <w:p w14:paraId="52FCD6EF" w14:textId="24A63DD5" w:rsidR="00D34033" w:rsidRDefault="003F37C8" w:rsidP="00896AF0">
      <w:pPr>
        <w:pStyle w:val="DefaultStyleSimont-Braun"/>
        <w:spacing w:after="120"/>
        <w:jc w:val="both"/>
        <w:rPr>
          <w:rFonts w:cs="Arial"/>
          <w:lang w:val="fr-FR"/>
        </w:rPr>
      </w:pPr>
      <w:r>
        <w:rPr>
          <w:rFonts w:cs="Arial"/>
          <w:lang w:val="fr-FR"/>
        </w:rPr>
        <w:t xml:space="preserve">Ceci se traduit par des charges </w:t>
      </w:r>
      <w:r w:rsidR="00A33C96">
        <w:rPr>
          <w:rFonts w:cs="Arial"/>
          <w:lang w:val="fr-FR"/>
        </w:rPr>
        <w:t xml:space="preserve">d’exploitation nettes </w:t>
      </w:r>
      <w:r w:rsidR="00E21A62">
        <w:rPr>
          <w:rFonts w:cs="Arial"/>
          <w:lang w:val="fr-FR"/>
        </w:rPr>
        <w:t xml:space="preserve">estimées pour 2021 supérieures à celles prévues dans le prospectus </w:t>
      </w:r>
      <w:r w:rsidR="00C30279">
        <w:rPr>
          <w:rFonts w:cs="Arial"/>
          <w:lang w:val="fr-FR"/>
        </w:rPr>
        <w:t>d</w:t>
      </w:r>
      <w:r w:rsidR="00ED3B7D">
        <w:rPr>
          <w:rFonts w:cs="Arial"/>
          <w:lang w:val="fr-FR"/>
        </w:rPr>
        <w:t>‘environ 2 millions</w:t>
      </w:r>
      <w:r w:rsidR="00C30279">
        <w:rPr>
          <w:rFonts w:cs="Arial"/>
          <w:lang w:val="fr-FR"/>
        </w:rPr>
        <w:t xml:space="preserve"> d’€</w:t>
      </w:r>
      <w:r w:rsidR="00ED3B7D">
        <w:rPr>
          <w:rFonts w:cs="Arial"/>
          <w:lang w:val="fr-FR"/>
        </w:rPr>
        <w:t xml:space="preserve">. </w:t>
      </w:r>
    </w:p>
    <w:p w14:paraId="48CE7F4B" w14:textId="77777777" w:rsidR="00475C6C" w:rsidRDefault="008425AB" w:rsidP="00896AF0">
      <w:pPr>
        <w:pStyle w:val="DefaultStyleSimont-Braun"/>
        <w:spacing w:after="120"/>
        <w:jc w:val="both"/>
        <w:rPr>
          <w:rFonts w:cs="Arial"/>
          <w:lang w:val="fr-FR"/>
        </w:rPr>
      </w:pPr>
      <w:r>
        <w:rPr>
          <w:rFonts w:cs="Arial"/>
          <w:lang w:val="fr-FR"/>
        </w:rPr>
        <w:t xml:space="preserve">Par ailleurs, la marge financière </w:t>
      </w:r>
      <w:r w:rsidR="00961060">
        <w:rPr>
          <w:rFonts w:cs="Arial"/>
          <w:lang w:val="fr-FR"/>
        </w:rPr>
        <w:t xml:space="preserve">estimée </w:t>
      </w:r>
      <w:r>
        <w:rPr>
          <w:rFonts w:cs="Arial"/>
          <w:lang w:val="fr-FR"/>
        </w:rPr>
        <w:t xml:space="preserve">a </w:t>
      </w:r>
      <w:r w:rsidR="00961060">
        <w:rPr>
          <w:rFonts w:cs="Arial"/>
          <w:lang w:val="fr-FR"/>
        </w:rPr>
        <w:t xml:space="preserve">été revue à la baisse de 1,4 Millions d’€, </w:t>
      </w:r>
      <w:r w:rsidR="002C5EE8">
        <w:rPr>
          <w:rFonts w:cs="Arial"/>
          <w:lang w:val="fr-FR"/>
        </w:rPr>
        <w:t xml:space="preserve">suite </w:t>
      </w:r>
      <w:r w:rsidR="00A621CB">
        <w:rPr>
          <w:rFonts w:cs="Arial"/>
          <w:lang w:val="fr-FR"/>
        </w:rPr>
        <w:t>au retard pris dans le démarrage des activités</w:t>
      </w:r>
      <w:r w:rsidR="00475C6C">
        <w:rPr>
          <w:rFonts w:cs="Arial"/>
          <w:lang w:val="fr-FR"/>
        </w:rPr>
        <w:t xml:space="preserve"> et</w:t>
      </w:r>
      <w:r w:rsidR="00316C17">
        <w:rPr>
          <w:rFonts w:cs="Arial"/>
          <w:lang w:val="fr-FR"/>
        </w:rPr>
        <w:t xml:space="preserve"> </w:t>
      </w:r>
      <w:r w:rsidR="00E23333">
        <w:rPr>
          <w:rFonts w:cs="Arial"/>
          <w:lang w:val="fr-FR"/>
        </w:rPr>
        <w:t>à la révision d</w:t>
      </w:r>
      <w:r w:rsidR="00316C17">
        <w:rPr>
          <w:rFonts w:cs="Arial"/>
          <w:lang w:val="fr-FR"/>
        </w:rPr>
        <w:t>e la marge d’intérêt pour tenir compte d</w:t>
      </w:r>
      <w:r w:rsidR="004D1E18">
        <w:rPr>
          <w:rFonts w:cs="Arial"/>
          <w:lang w:val="fr-FR"/>
        </w:rPr>
        <w:t>u niveau d</w:t>
      </w:r>
      <w:r w:rsidR="00316C17">
        <w:rPr>
          <w:rFonts w:cs="Arial"/>
          <w:lang w:val="fr-FR"/>
        </w:rPr>
        <w:t xml:space="preserve">es taux d’intérêts </w:t>
      </w:r>
      <w:r w:rsidR="004D1E18">
        <w:rPr>
          <w:rFonts w:cs="Arial"/>
          <w:lang w:val="fr-FR"/>
        </w:rPr>
        <w:t>actuels</w:t>
      </w:r>
      <w:r w:rsidR="005B1917">
        <w:rPr>
          <w:rFonts w:cs="Arial"/>
          <w:lang w:val="fr-FR"/>
        </w:rPr>
        <w:t xml:space="preserve">. </w:t>
      </w:r>
    </w:p>
    <w:p w14:paraId="34F62C60" w14:textId="77777777" w:rsidR="007D3E4D" w:rsidRPr="00650D54" w:rsidRDefault="00475C6C" w:rsidP="00896AF0">
      <w:pPr>
        <w:pStyle w:val="DefaultStyleSimont-Braun"/>
        <w:spacing w:after="120"/>
        <w:jc w:val="both"/>
        <w:rPr>
          <w:rFonts w:cs="Arial"/>
          <w:lang w:val="fr-FR"/>
        </w:rPr>
      </w:pPr>
      <w:r>
        <w:rPr>
          <w:rFonts w:cs="Arial"/>
          <w:lang w:val="fr-FR"/>
        </w:rPr>
        <w:t xml:space="preserve">Les revenus de commissions ont été quant à eux </w:t>
      </w:r>
      <w:r w:rsidR="00DE5DED">
        <w:rPr>
          <w:rFonts w:cs="Arial"/>
          <w:lang w:val="fr-FR"/>
        </w:rPr>
        <w:t>également revus à la baisse de 1.3 Millions d’€ principalement suite au retard pris dans la commercialisation des produits d’assurance.</w:t>
      </w:r>
      <w:r w:rsidR="005B1917">
        <w:rPr>
          <w:rFonts w:cs="Arial"/>
          <w:lang w:val="fr-FR"/>
        </w:rPr>
        <w:t xml:space="preserve"> </w:t>
      </w:r>
    </w:p>
    <w:p w14:paraId="63112754" w14:textId="0E9D7567" w:rsidR="00AA7D2F" w:rsidRDefault="00AA7D2F" w:rsidP="00CC4321">
      <w:pPr>
        <w:pStyle w:val="DefaultStyleSimont-Braun"/>
        <w:spacing w:after="120"/>
        <w:jc w:val="both"/>
        <w:rPr>
          <w:rFonts w:cs="Arial"/>
          <w:szCs w:val="20"/>
          <w:lang w:val="fr-FR"/>
        </w:rPr>
      </w:pPr>
      <w:r w:rsidRPr="00CC4321">
        <w:rPr>
          <w:lang w:val="fr-FR"/>
        </w:rPr>
        <w:t xml:space="preserve">Sur base </w:t>
      </w:r>
      <w:r w:rsidRPr="0040687C">
        <w:rPr>
          <w:rFonts w:cs="Arial"/>
          <w:szCs w:val="20"/>
          <w:lang w:val="fr-FR"/>
        </w:rPr>
        <w:t xml:space="preserve">de l'analyse qu'elle fait des informations disponibles à ce jour, </w:t>
      </w:r>
      <w:proofErr w:type="spellStart"/>
      <w:r w:rsidRPr="0040687C">
        <w:rPr>
          <w:rFonts w:cs="Arial"/>
          <w:szCs w:val="20"/>
          <w:lang w:val="fr-FR"/>
        </w:rPr>
        <w:t>NewB</w:t>
      </w:r>
      <w:proofErr w:type="spellEnd"/>
      <w:r w:rsidRPr="0040687C">
        <w:rPr>
          <w:rFonts w:cs="Arial"/>
          <w:szCs w:val="20"/>
          <w:lang w:val="fr-FR"/>
        </w:rPr>
        <w:t xml:space="preserve"> estime que la prochaine campagne de levée de fonds </w:t>
      </w:r>
      <w:r w:rsidR="00D407F0">
        <w:rPr>
          <w:rFonts w:cs="Arial"/>
          <w:szCs w:val="20"/>
          <w:lang w:val="fr-FR"/>
        </w:rPr>
        <w:t>devrait avoir lieu</w:t>
      </w:r>
      <w:r w:rsidRPr="0040687C">
        <w:rPr>
          <w:rFonts w:cs="Arial"/>
          <w:szCs w:val="20"/>
          <w:lang w:val="fr-FR"/>
        </w:rPr>
        <w:t xml:space="preserve"> fin 2022/début 2023. Entre-temps, le capital restera ouvert pour permettre d'accueillir de nouveaux coopérateurs et permettre aux coopérateurs actuels d'augmenter leur participation s'ils le souhaitent dans les limites de l’art. 7, § 1er, 2°, a), de la loi du 11 juillet 2018 relative aux offres au public d'instruments de placement et aux admissions d'instruments de placement à la </w:t>
      </w:r>
      <w:r w:rsidRPr="0040687C">
        <w:rPr>
          <w:rFonts w:cs="Arial"/>
          <w:szCs w:val="20"/>
          <w:lang w:val="fr-FR"/>
        </w:rPr>
        <w:lastRenderedPageBreak/>
        <w:t>négociation sur des marchés réglementés (</w:t>
      </w:r>
      <w:r w:rsidRPr="0040687C">
        <w:rPr>
          <w:lang w:val="fr-BE"/>
        </w:rPr>
        <w:t>5.000.000 € sur une période de douze mois à dater du 20 avril 2021, cf. Partie III, a) de la Note d’information)</w:t>
      </w:r>
      <w:r w:rsidRPr="0040687C">
        <w:rPr>
          <w:rFonts w:cs="Arial"/>
          <w:szCs w:val="20"/>
          <w:lang w:val="fr-FR"/>
        </w:rPr>
        <w:t>.</w:t>
      </w:r>
    </w:p>
    <w:p w14:paraId="241EB428" w14:textId="77777777" w:rsidR="006C75C6" w:rsidRPr="00650D54" w:rsidRDefault="006C75C6" w:rsidP="00E33D6A">
      <w:pPr>
        <w:pStyle w:val="DefaultStyleSimont-Braun"/>
        <w:jc w:val="both"/>
        <w:rPr>
          <w:rFonts w:cs="Arial"/>
          <w:lang w:val="fr-FR"/>
        </w:rPr>
      </w:pPr>
    </w:p>
    <w:p w14:paraId="48F238EC" w14:textId="77777777" w:rsidR="00E33D6A" w:rsidRPr="00650D54" w:rsidRDefault="00E33D6A" w:rsidP="001F1440">
      <w:pPr>
        <w:pStyle w:val="DefaultStyleSimont-Braun"/>
        <w:jc w:val="both"/>
        <w:rPr>
          <w:rFonts w:cs="Arial"/>
          <w:b/>
          <w:color w:val="000099"/>
          <w:lang w:val="fr-FR"/>
        </w:rPr>
      </w:pPr>
      <w:r w:rsidRPr="00650D54">
        <w:rPr>
          <w:rFonts w:cs="Arial"/>
          <w:b/>
          <w:color w:val="000099"/>
          <w:lang w:val="fr-FR"/>
        </w:rPr>
        <w:t>III. Adaptations de la Note d’information</w:t>
      </w:r>
    </w:p>
    <w:p w14:paraId="0F7EA023" w14:textId="77777777" w:rsidR="00E33D6A" w:rsidRPr="00650D54" w:rsidRDefault="00E33D6A" w:rsidP="001F1440">
      <w:pPr>
        <w:pStyle w:val="DefaultStyleSimont-Braun"/>
        <w:jc w:val="both"/>
        <w:rPr>
          <w:rFonts w:cs="Arial"/>
          <w:lang w:val="fr-FR"/>
        </w:rPr>
      </w:pPr>
    </w:p>
    <w:p w14:paraId="07D20F7F" w14:textId="6B2FE07F" w:rsidR="004D1BA6" w:rsidRPr="00CC4321" w:rsidRDefault="00E33D6A" w:rsidP="001F1440">
      <w:pPr>
        <w:pStyle w:val="DefaultStyleSimont-Braun"/>
        <w:jc w:val="both"/>
        <w:rPr>
          <w:b/>
          <w:lang w:val="fr-FR"/>
        </w:rPr>
      </w:pPr>
      <w:r w:rsidRPr="00CC4321">
        <w:rPr>
          <w:b/>
          <w:lang w:val="fr-FR"/>
        </w:rPr>
        <w:t>Le</w:t>
      </w:r>
      <w:r w:rsidR="004D1BA6" w:rsidRPr="00CC4321">
        <w:rPr>
          <w:b/>
          <w:lang w:val="fr-FR"/>
        </w:rPr>
        <w:t xml:space="preserve"> point A, 5 de la Partie II de la Note d’information est modifié comme suit</w:t>
      </w:r>
      <w:r w:rsidR="00CD3946" w:rsidRPr="00CC4321">
        <w:rPr>
          <w:b/>
          <w:lang w:val="fr-FR"/>
        </w:rPr>
        <w:t xml:space="preserve"> </w:t>
      </w:r>
      <w:r w:rsidR="004D1BA6" w:rsidRPr="00CD3946">
        <w:rPr>
          <w:rFonts w:cs="Arial"/>
          <w:b/>
          <w:bCs/>
          <w:lang w:val="fr-FR"/>
        </w:rPr>
        <w:t>:</w:t>
      </w:r>
      <w:r w:rsidR="004D1BA6" w:rsidRPr="00CC4321">
        <w:rPr>
          <w:b/>
          <w:lang w:val="fr-FR"/>
        </w:rPr>
        <w:t xml:space="preserve"> </w:t>
      </w:r>
    </w:p>
    <w:p w14:paraId="20A93821" w14:textId="77777777" w:rsidR="004D1BA6" w:rsidRPr="00650D54" w:rsidRDefault="004D1BA6" w:rsidP="001F1440">
      <w:pPr>
        <w:pStyle w:val="DefaultStyleSimont-Braun"/>
        <w:jc w:val="both"/>
        <w:rPr>
          <w:rFonts w:cs="Arial"/>
          <w:lang w:val="fr-FR"/>
        </w:rPr>
      </w:pPr>
    </w:p>
    <w:p w14:paraId="16DB1E49" w14:textId="77777777" w:rsidR="004D1BA6" w:rsidRPr="00650D54" w:rsidRDefault="004D1BA6" w:rsidP="00CC4321">
      <w:pPr>
        <w:pStyle w:val="DefaultStyleSimont-Braun"/>
        <w:spacing w:after="120"/>
        <w:ind w:left="720"/>
        <w:jc w:val="both"/>
        <w:rPr>
          <w:rFonts w:cs="Arial"/>
          <w:lang w:val="fr-FR"/>
        </w:rPr>
      </w:pPr>
      <w:r w:rsidRPr="00C85F79">
        <w:rPr>
          <w:rFonts w:cs="Arial"/>
          <w:lang w:val="fr-FR"/>
        </w:rPr>
        <w:t xml:space="preserve">Le Conseil d’administration de </w:t>
      </w:r>
      <w:proofErr w:type="spellStart"/>
      <w:r w:rsidRPr="00C85F79">
        <w:rPr>
          <w:rFonts w:cs="Arial"/>
          <w:lang w:val="fr-FR"/>
        </w:rPr>
        <w:t>NewB</w:t>
      </w:r>
      <w:proofErr w:type="spellEnd"/>
      <w:r w:rsidRPr="00C85F79">
        <w:rPr>
          <w:rFonts w:cs="Arial"/>
          <w:lang w:val="fr-FR"/>
        </w:rPr>
        <w:t xml:space="preserve"> est composé de </w:t>
      </w:r>
      <w:r w:rsidRPr="007D3E4D">
        <w:rPr>
          <w:rFonts w:cs="Arial"/>
          <w:lang w:val="fr-FR"/>
        </w:rPr>
        <w:t xml:space="preserve">12 </w:t>
      </w:r>
      <w:proofErr w:type="spellStart"/>
      <w:r w:rsidRPr="007D3E4D">
        <w:rPr>
          <w:rFonts w:cs="Arial"/>
          <w:lang w:val="fr-FR"/>
        </w:rPr>
        <w:t>administrateur·rice·s</w:t>
      </w:r>
      <w:proofErr w:type="spellEnd"/>
      <w:r w:rsidRPr="00C85F79">
        <w:rPr>
          <w:rFonts w:cs="Arial"/>
          <w:lang w:val="fr-FR"/>
        </w:rPr>
        <w:t xml:space="preserve"> : M. Bernard Bayot (Président), M. Thierry Smets (administrateur délégué), M. Tom Olinger, M. François Levie, M. Felipe Van Keirsbilck, M. André Janmart, Mme. Laurence May, Mme. Christel Droogmans, M. Koen De Vidts, Mme. Valerie Del Re, Mme. Anne Fily et M. Frans Vandekerckhove</w:t>
      </w:r>
      <w:r w:rsidRPr="00650D54">
        <w:rPr>
          <w:rFonts w:cs="Arial"/>
          <w:lang w:val="fr-FR"/>
        </w:rPr>
        <w:t xml:space="preserve">. Le conseil d’administration définit la stratégie générale de </w:t>
      </w:r>
      <w:proofErr w:type="spellStart"/>
      <w:r w:rsidRPr="00650D54">
        <w:rPr>
          <w:rFonts w:cs="Arial"/>
          <w:lang w:val="fr-FR"/>
        </w:rPr>
        <w:t>NewB</w:t>
      </w:r>
      <w:proofErr w:type="spellEnd"/>
      <w:r w:rsidRPr="00650D54">
        <w:rPr>
          <w:rFonts w:cs="Arial"/>
          <w:lang w:val="fr-FR"/>
        </w:rPr>
        <w:t xml:space="preserve">, la politique en matière des risques et exerce la surveillance des activités de </w:t>
      </w:r>
      <w:proofErr w:type="spellStart"/>
      <w:r w:rsidRPr="00650D54">
        <w:rPr>
          <w:rFonts w:cs="Arial"/>
          <w:lang w:val="fr-FR"/>
        </w:rPr>
        <w:t>NewB</w:t>
      </w:r>
      <w:proofErr w:type="spellEnd"/>
      <w:r w:rsidRPr="00650D54">
        <w:rPr>
          <w:rFonts w:cs="Arial"/>
          <w:lang w:val="fr-FR"/>
        </w:rPr>
        <w:t>.</w:t>
      </w:r>
    </w:p>
    <w:p w14:paraId="001F5FD1" w14:textId="505E3F34" w:rsidR="00662155" w:rsidRPr="002C7951" w:rsidRDefault="004D1BA6" w:rsidP="000800BB">
      <w:pPr>
        <w:pStyle w:val="DefaultStyleSimont-Braun"/>
        <w:ind w:left="720"/>
        <w:jc w:val="both"/>
        <w:rPr>
          <w:rFonts w:cs="Arial"/>
          <w:szCs w:val="20"/>
          <w:lang w:val="fr-BE"/>
        </w:rPr>
      </w:pPr>
      <w:r w:rsidRPr="00C57DC7">
        <w:rPr>
          <w:rFonts w:cs="Arial"/>
          <w:lang w:val="fr-BE"/>
        </w:rPr>
        <w:t>Le comité de direction, qui est chargé de la gestion opérationnelle, de la mise en œuvre du système de gestion des risques et de la mise en place d’une structure or</w:t>
      </w:r>
      <w:r w:rsidRPr="00D32C20">
        <w:rPr>
          <w:rFonts w:cs="Arial"/>
          <w:lang w:val="fr-BE"/>
        </w:rPr>
        <w:t xml:space="preserve">ganisationnelle et opérationnelle adéquate, dans les limites de la stratégie générale définie par le conseil d’administration, est </w:t>
      </w:r>
      <w:r w:rsidR="00CF7D04" w:rsidRPr="00C57DC7">
        <w:rPr>
          <w:rFonts w:cs="Arial"/>
          <w:lang w:val="fr-BE"/>
        </w:rPr>
        <w:t xml:space="preserve">actuellement </w:t>
      </w:r>
      <w:r w:rsidRPr="00CC4321">
        <w:rPr>
          <w:lang w:val="fr-FR"/>
        </w:rPr>
        <w:t>composé</w:t>
      </w:r>
      <w:r w:rsidRPr="00C57DC7">
        <w:rPr>
          <w:rFonts w:cs="Arial"/>
          <w:lang w:val="fr-BE"/>
        </w:rPr>
        <w:t xml:space="preserve"> de deux administrateurs exécutifs</w:t>
      </w:r>
      <w:r w:rsidR="00A505FC" w:rsidRPr="00C57DC7">
        <w:rPr>
          <w:rFonts w:cs="Arial"/>
          <w:lang w:val="fr-BE"/>
        </w:rPr>
        <w:t xml:space="preserve"> : M. Thierry Smets (CEO) et</w:t>
      </w:r>
      <w:r w:rsidRPr="00C57DC7">
        <w:rPr>
          <w:rFonts w:cs="Arial"/>
          <w:lang w:val="fr-BE"/>
        </w:rPr>
        <w:t xml:space="preserve"> </w:t>
      </w:r>
      <w:r w:rsidR="00392830" w:rsidRPr="00C57DC7">
        <w:rPr>
          <w:rFonts w:cs="Arial"/>
          <w:lang w:val="fr-BE"/>
        </w:rPr>
        <w:t>Mme Katrien Beuckelaers</w:t>
      </w:r>
      <w:r w:rsidR="00BB4DBB" w:rsidRPr="0040687C">
        <w:rPr>
          <w:rFonts w:cs="Arial"/>
          <w:lang w:val="fr-BE"/>
        </w:rPr>
        <w:t xml:space="preserve">, qui a été nommée, </w:t>
      </w:r>
      <w:r w:rsidR="00BB4DBB" w:rsidRPr="00C57DC7">
        <w:rPr>
          <w:rFonts w:cs="Arial"/>
          <w:lang w:val="fr-BE"/>
        </w:rPr>
        <w:t>sous réserve de l’accord de l’autorité de contrôle,</w:t>
      </w:r>
      <w:r w:rsidR="000800BB" w:rsidRPr="00F7375B">
        <w:rPr>
          <w:rFonts w:cs="Arial"/>
          <w:lang w:val="fr-BE"/>
        </w:rPr>
        <w:t xml:space="preserve"> </w:t>
      </w:r>
      <w:r w:rsidR="00392830" w:rsidRPr="00F7375B">
        <w:rPr>
          <w:rFonts w:cs="Arial"/>
          <w:lang w:val="fr-BE"/>
        </w:rPr>
        <w:t xml:space="preserve">comme administratrice et membre du comité de direction en charge du développement commercial de </w:t>
      </w:r>
      <w:proofErr w:type="spellStart"/>
      <w:r w:rsidR="00392830" w:rsidRPr="00F7375B">
        <w:rPr>
          <w:rFonts w:cs="Arial"/>
          <w:lang w:val="fr-BE"/>
        </w:rPr>
        <w:t>NewB</w:t>
      </w:r>
      <w:proofErr w:type="spellEnd"/>
      <w:r w:rsidR="00C57EFC" w:rsidRPr="0040687C">
        <w:rPr>
          <w:rFonts w:cs="Arial"/>
          <w:lang w:val="fr-BE"/>
        </w:rPr>
        <w:t xml:space="preserve"> (CCO).</w:t>
      </w:r>
      <w:r w:rsidR="002B6B7C" w:rsidRPr="0040687C">
        <w:rPr>
          <w:rFonts w:cs="Arial"/>
          <w:lang w:val="fr-BE"/>
        </w:rPr>
        <w:t xml:space="preserve">  </w:t>
      </w:r>
      <w:r w:rsidR="000800BB" w:rsidRPr="0040687C">
        <w:rPr>
          <w:rFonts w:cs="Arial"/>
          <w:lang w:val="fr-BE"/>
        </w:rPr>
        <w:t xml:space="preserve">Suite au départ </w:t>
      </w:r>
      <w:r w:rsidR="00C72B8E" w:rsidRPr="0040687C">
        <w:rPr>
          <w:rFonts w:cs="Arial"/>
          <w:lang w:val="fr-BE"/>
        </w:rPr>
        <w:t>du CFO/COO (</w:t>
      </w:r>
      <w:r w:rsidR="000800BB" w:rsidRPr="00C57DC7">
        <w:rPr>
          <w:rFonts w:cs="Arial"/>
          <w:lang w:val="fr-BE"/>
        </w:rPr>
        <w:t>Jean-Christophe Vanhuysse</w:t>
      </w:r>
      <w:r w:rsidR="00C72B8E" w:rsidRPr="00C57DC7">
        <w:rPr>
          <w:rFonts w:cs="Arial"/>
          <w:lang w:val="fr-BE"/>
        </w:rPr>
        <w:t>)</w:t>
      </w:r>
      <w:r w:rsidR="000800BB" w:rsidRPr="00F7375B">
        <w:rPr>
          <w:rFonts w:cs="Arial"/>
          <w:lang w:val="fr-BE"/>
        </w:rPr>
        <w:t>,</w:t>
      </w:r>
      <w:r w:rsidR="00376FCD" w:rsidRPr="00C57DC7">
        <w:rPr>
          <w:rFonts w:cs="Arial"/>
          <w:lang w:val="fr-BE"/>
        </w:rPr>
        <w:t xml:space="preserve"> </w:t>
      </w:r>
      <w:r w:rsidR="00220C40">
        <w:rPr>
          <w:rFonts w:cs="Arial"/>
          <w:lang w:val="fr-BE"/>
        </w:rPr>
        <w:t xml:space="preserve">le recrutement d’un nouveau CFO/COO est en cours, et, </w:t>
      </w:r>
      <w:r w:rsidR="000800BB" w:rsidRPr="00C57DC7">
        <w:rPr>
          <w:rFonts w:cs="Arial"/>
          <w:lang w:val="fr-BE"/>
        </w:rPr>
        <w:t xml:space="preserve">durant </w:t>
      </w:r>
      <w:r w:rsidR="00220C40">
        <w:rPr>
          <w:rFonts w:cs="Arial"/>
          <w:lang w:val="fr-BE"/>
        </w:rPr>
        <w:t>la</w:t>
      </w:r>
      <w:r w:rsidR="00220C40" w:rsidRPr="00C57DC7">
        <w:rPr>
          <w:rFonts w:cs="Arial"/>
          <w:lang w:val="fr-BE"/>
        </w:rPr>
        <w:t xml:space="preserve"> </w:t>
      </w:r>
      <w:r w:rsidR="000800BB" w:rsidRPr="00C57DC7">
        <w:rPr>
          <w:rFonts w:cs="Arial"/>
          <w:lang w:val="fr-BE"/>
        </w:rPr>
        <w:t xml:space="preserve">période transitoire </w:t>
      </w:r>
      <w:r w:rsidR="00BC1B85" w:rsidRPr="00C57DC7">
        <w:rPr>
          <w:rFonts w:cs="Arial"/>
          <w:lang w:val="fr-BE"/>
        </w:rPr>
        <w:t>cette</w:t>
      </w:r>
      <w:r w:rsidR="00C87335" w:rsidRPr="00C57DC7">
        <w:rPr>
          <w:rFonts w:cs="Arial"/>
          <w:lang w:val="fr-BE"/>
        </w:rPr>
        <w:t xml:space="preserve"> fonction </w:t>
      </w:r>
      <w:r w:rsidR="00220C40">
        <w:rPr>
          <w:rFonts w:cs="Arial"/>
          <w:lang w:val="fr-BE"/>
        </w:rPr>
        <w:t>est</w:t>
      </w:r>
      <w:r w:rsidR="00220C40" w:rsidRPr="008C5F95">
        <w:rPr>
          <w:rFonts w:cs="Arial"/>
          <w:lang w:val="fr-BE"/>
        </w:rPr>
        <w:t xml:space="preserve"> </w:t>
      </w:r>
      <w:r w:rsidR="002F1455" w:rsidRPr="008C5F95">
        <w:rPr>
          <w:rFonts w:cs="Arial"/>
          <w:lang w:val="fr-BE"/>
        </w:rPr>
        <w:t>assurée</w:t>
      </w:r>
      <w:r w:rsidR="00CD3946">
        <w:rPr>
          <w:rFonts w:cs="Arial"/>
          <w:lang w:val="fr-BE"/>
        </w:rPr>
        <w:t xml:space="preserve"> </w:t>
      </w:r>
      <w:r w:rsidR="002F1455" w:rsidRPr="008C5F95">
        <w:rPr>
          <w:rFonts w:cs="Arial"/>
          <w:lang w:val="fr-BE"/>
        </w:rPr>
        <w:t xml:space="preserve">par un </w:t>
      </w:r>
      <w:proofErr w:type="spellStart"/>
      <w:r w:rsidR="002F1455" w:rsidRPr="008C5F95">
        <w:rPr>
          <w:rFonts w:cs="Arial"/>
          <w:lang w:val="fr-BE"/>
        </w:rPr>
        <w:t>interim</w:t>
      </w:r>
      <w:proofErr w:type="spellEnd"/>
      <w:r w:rsidR="002F1455" w:rsidRPr="008C5F95">
        <w:rPr>
          <w:rFonts w:cs="Arial"/>
          <w:lang w:val="fr-BE"/>
        </w:rPr>
        <w:t xml:space="preserve"> manager </w:t>
      </w:r>
      <w:r w:rsidR="00C72B8E">
        <w:rPr>
          <w:rFonts w:cs="Arial"/>
          <w:lang w:val="fr-BE"/>
        </w:rPr>
        <w:t>(Nicolas Pavlovitch)</w:t>
      </w:r>
      <w:r w:rsidR="00B83869">
        <w:rPr>
          <w:rFonts w:cs="Arial"/>
          <w:lang w:val="fr-BE"/>
        </w:rPr>
        <w:t>, sous la responsabilité directe du CEO (Thierry Smets)</w:t>
      </w:r>
      <w:r w:rsidR="002F1455" w:rsidRPr="002C7951">
        <w:rPr>
          <w:rFonts w:cs="Arial"/>
          <w:szCs w:val="20"/>
          <w:lang w:val="fr-BE"/>
        </w:rPr>
        <w:t>.</w:t>
      </w:r>
      <w:r w:rsidR="00432A11" w:rsidRPr="002C7951">
        <w:rPr>
          <w:rFonts w:cs="Arial"/>
          <w:szCs w:val="20"/>
          <w:lang w:val="fr-BE"/>
        </w:rPr>
        <w:t xml:space="preserve"> </w:t>
      </w:r>
    </w:p>
    <w:p w14:paraId="4EAB7957" w14:textId="77777777" w:rsidR="00D72967" w:rsidRPr="00CC4321" w:rsidRDefault="000E0BEB" w:rsidP="00B31359">
      <w:pPr>
        <w:pStyle w:val="DefaultStyleSimont-Braun"/>
        <w:ind w:left="720"/>
        <w:jc w:val="both"/>
        <w:rPr>
          <w:lang w:val="fr-BE"/>
        </w:rPr>
      </w:pPr>
      <w:r w:rsidRPr="002C7951">
        <w:rPr>
          <w:rFonts w:cs="Arial"/>
          <w:szCs w:val="20"/>
          <w:lang w:val="fr-BE"/>
        </w:rPr>
        <w:t xml:space="preserve"> </w:t>
      </w:r>
      <w:r w:rsidR="006D5C6B" w:rsidRPr="002C7951">
        <w:rPr>
          <w:rFonts w:cs="Arial"/>
          <w:szCs w:val="20"/>
          <w:lang w:val="fr-BE"/>
        </w:rPr>
        <w:t xml:space="preserve"> </w:t>
      </w:r>
    </w:p>
    <w:p w14:paraId="235AE316" w14:textId="7BA112A8" w:rsidR="002F7F0A" w:rsidRPr="00896AF0" w:rsidRDefault="002F7F0A" w:rsidP="002F7F0A">
      <w:pPr>
        <w:pStyle w:val="DefaultStyleSimont-Braun"/>
        <w:jc w:val="both"/>
        <w:rPr>
          <w:b/>
          <w:lang w:val="fr-FR"/>
        </w:rPr>
      </w:pPr>
      <w:r w:rsidRPr="00896AF0">
        <w:rPr>
          <w:b/>
          <w:lang w:val="fr-BE"/>
        </w:rPr>
        <w:t xml:space="preserve">Le point A, 2), de la Partie I </w:t>
      </w:r>
      <w:r w:rsidR="00220C40">
        <w:rPr>
          <w:rFonts w:cs="Arial"/>
          <w:b/>
          <w:bCs/>
          <w:szCs w:val="20"/>
          <w:lang w:val="fr-FR"/>
        </w:rPr>
        <w:t>est remplacé</w:t>
      </w:r>
      <w:r w:rsidRPr="00896AF0">
        <w:rPr>
          <w:b/>
          <w:lang w:val="fr-FR"/>
        </w:rPr>
        <w:t xml:space="preserve"> comme suit :</w:t>
      </w:r>
    </w:p>
    <w:p w14:paraId="70C69B1B" w14:textId="77777777" w:rsidR="002F7F0A" w:rsidRPr="002C7951" w:rsidRDefault="002F7F0A" w:rsidP="00CC4321">
      <w:pPr>
        <w:pStyle w:val="DefaultStyleSimont-Braun"/>
        <w:jc w:val="both"/>
        <w:rPr>
          <w:rFonts w:cs="Arial"/>
          <w:szCs w:val="20"/>
          <w:lang w:val="fr-FR"/>
        </w:rPr>
      </w:pPr>
    </w:p>
    <w:p w14:paraId="47266DB4" w14:textId="2989BF13" w:rsidR="002F7F0A" w:rsidRDefault="00300647" w:rsidP="0074548F">
      <w:pPr>
        <w:pStyle w:val="DefaultStyleSimont-Braun"/>
        <w:spacing w:after="120"/>
        <w:ind w:left="720"/>
        <w:jc w:val="both"/>
        <w:rPr>
          <w:lang w:val="fr-BE"/>
        </w:rPr>
      </w:pPr>
      <w:r w:rsidRPr="00CC4321">
        <w:rPr>
          <w:lang w:val="fr-BE"/>
        </w:rPr>
        <w:t xml:space="preserve">La </w:t>
      </w:r>
      <w:r w:rsidRPr="00CD3946">
        <w:rPr>
          <w:rFonts w:cs="Arial"/>
          <w:lang w:val="fr-BE"/>
        </w:rPr>
        <w:t>valeur de remboursement des parts d’</w:t>
      </w:r>
      <w:proofErr w:type="spellStart"/>
      <w:r w:rsidRPr="00CD3946">
        <w:rPr>
          <w:rFonts w:cs="Arial"/>
          <w:lang w:val="fr-BE"/>
        </w:rPr>
        <w:t>un·e</w:t>
      </w:r>
      <w:proofErr w:type="spellEnd"/>
      <w:r w:rsidRPr="00CD3946">
        <w:rPr>
          <w:rFonts w:cs="Arial"/>
          <w:lang w:val="fr-BE"/>
        </w:rPr>
        <w:t xml:space="preserve"> </w:t>
      </w:r>
      <w:proofErr w:type="spellStart"/>
      <w:r w:rsidRPr="00CD3946">
        <w:rPr>
          <w:rFonts w:cs="Arial"/>
          <w:lang w:val="fr-BE"/>
        </w:rPr>
        <w:t>coopérateur·rice</w:t>
      </w:r>
      <w:proofErr w:type="spellEnd"/>
      <w:r w:rsidRPr="00CD3946">
        <w:rPr>
          <w:rFonts w:cs="Arial"/>
          <w:lang w:val="fr-BE"/>
        </w:rPr>
        <w:t xml:space="preserve"> démissionnaire ne peut dépasser la valeur nominale de celles-ci (pas de potentiel de plus-value sur les parts et risque de moins-</w:t>
      </w:r>
      <w:r w:rsidRPr="002C7951">
        <w:rPr>
          <w:rFonts w:cs="Arial"/>
          <w:lang w:val="fr-BE"/>
        </w:rPr>
        <w:t>value</w:t>
      </w:r>
      <w:r w:rsidRPr="00CD3946">
        <w:rPr>
          <w:rFonts w:cs="Arial"/>
          <w:lang w:val="fr-BE"/>
        </w:rPr>
        <w:t>). En outre, en raison des pertes comptables cumulées ramenant le montant des fonds propres sous la valeur des parts émises, le risque de moins-value se matérialise déjà compte tenu des pertes accumulées. Au 31/12/202</w:t>
      </w:r>
      <w:r w:rsidR="00F30393">
        <w:rPr>
          <w:rFonts w:cs="Arial"/>
          <w:lang w:val="fr-BE"/>
        </w:rPr>
        <w:t>0</w:t>
      </w:r>
      <w:r w:rsidRPr="00CD3946">
        <w:rPr>
          <w:rFonts w:cs="Arial"/>
          <w:lang w:val="fr-BE"/>
        </w:rPr>
        <w:t xml:space="preserve">, la valeur intrinsèque </w:t>
      </w:r>
      <w:r w:rsidR="009B5D39" w:rsidRPr="00CD3946">
        <w:rPr>
          <w:rFonts w:cs="Arial"/>
          <w:lang w:val="fr-BE"/>
        </w:rPr>
        <w:t xml:space="preserve">sur base des comptes annuels audités et approuvés </w:t>
      </w:r>
      <w:r w:rsidRPr="00CD3946">
        <w:rPr>
          <w:rFonts w:cs="Arial"/>
          <w:lang w:val="fr-BE"/>
        </w:rPr>
        <w:t xml:space="preserve">était </w:t>
      </w:r>
      <w:r w:rsidR="009502C8" w:rsidRPr="00CD3946">
        <w:rPr>
          <w:rFonts w:cs="Arial"/>
          <w:lang w:val="fr-BE"/>
        </w:rPr>
        <w:t xml:space="preserve">de </w:t>
      </w:r>
      <w:r w:rsidR="00F30393">
        <w:rPr>
          <w:rFonts w:cs="Arial"/>
          <w:lang w:val="fr-BE"/>
        </w:rPr>
        <w:t>12,67</w:t>
      </w:r>
      <w:r w:rsidR="009502C8" w:rsidRPr="00896AF0">
        <w:rPr>
          <w:lang w:val="fr-BE"/>
        </w:rPr>
        <w:t xml:space="preserve"> </w:t>
      </w:r>
      <w:r w:rsidR="009502C8" w:rsidRPr="00CD3946">
        <w:rPr>
          <w:rFonts w:cs="Arial"/>
          <w:lang w:val="fr-BE"/>
        </w:rPr>
        <w:t>€</w:t>
      </w:r>
      <w:r w:rsidRPr="00CD3946">
        <w:rPr>
          <w:rFonts w:cs="Arial"/>
          <w:lang w:val="fr-BE"/>
        </w:rPr>
        <w:t xml:space="preserve"> par part B et de </w:t>
      </w:r>
      <w:r w:rsidR="00F30393">
        <w:rPr>
          <w:rFonts w:cs="Arial"/>
          <w:lang w:val="fr-BE"/>
        </w:rPr>
        <w:t>1267,</w:t>
      </w:r>
      <w:r w:rsidR="00B17682">
        <w:rPr>
          <w:rFonts w:cs="Arial"/>
          <w:lang w:val="fr-BE"/>
        </w:rPr>
        <w:t>30</w:t>
      </w:r>
      <w:r w:rsidRPr="00896AF0">
        <w:rPr>
          <w:lang w:val="fr-BE"/>
        </w:rPr>
        <w:t xml:space="preserve"> </w:t>
      </w:r>
      <w:r w:rsidRPr="00CD3946">
        <w:rPr>
          <w:rFonts w:cs="Arial"/>
          <w:lang w:val="fr-BE"/>
        </w:rPr>
        <w:t xml:space="preserve">€ par part A. Il est par ailleurs à noter que le plan financier prévoit que </w:t>
      </w:r>
      <w:proofErr w:type="spellStart"/>
      <w:r w:rsidRPr="00CD3946">
        <w:rPr>
          <w:rFonts w:cs="Arial"/>
          <w:lang w:val="fr-BE"/>
        </w:rPr>
        <w:t>NewB</w:t>
      </w:r>
      <w:proofErr w:type="spellEnd"/>
      <w:r w:rsidRPr="00CD3946">
        <w:rPr>
          <w:rFonts w:cs="Arial"/>
          <w:lang w:val="fr-BE"/>
        </w:rPr>
        <w:t xml:space="preserve"> continuera à enregistrer des pertes au moins durant les </w:t>
      </w:r>
      <w:r w:rsidR="003A123D" w:rsidRPr="00CD3946">
        <w:rPr>
          <w:rFonts w:cs="Arial"/>
          <w:lang w:val="fr-BE"/>
        </w:rPr>
        <w:t>trois</w:t>
      </w:r>
      <w:r w:rsidRPr="00CD3946">
        <w:rPr>
          <w:rFonts w:cs="Arial"/>
          <w:lang w:val="fr-BE"/>
        </w:rPr>
        <w:t xml:space="preserve"> prochains exercices</w:t>
      </w:r>
      <w:r w:rsidR="00070F1B" w:rsidRPr="00CD3946">
        <w:rPr>
          <w:rFonts w:cs="Arial"/>
          <w:lang w:val="fr-BE"/>
        </w:rPr>
        <w:t xml:space="preserve"> (2022 – 2024)</w:t>
      </w:r>
      <w:r w:rsidRPr="00CD3946">
        <w:rPr>
          <w:rFonts w:cs="Arial"/>
          <w:lang w:val="fr-BE"/>
        </w:rPr>
        <w:t xml:space="preserve">. Les résultats et la solvabilité de </w:t>
      </w:r>
      <w:proofErr w:type="spellStart"/>
      <w:r w:rsidRPr="00CD3946">
        <w:rPr>
          <w:rFonts w:cs="Arial"/>
          <w:lang w:val="fr-BE"/>
        </w:rPr>
        <w:t>NewB</w:t>
      </w:r>
      <w:proofErr w:type="spellEnd"/>
      <w:r w:rsidRPr="00CD3946">
        <w:rPr>
          <w:rFonts w:cs="Arial"/>
          <w:lang w:val="fr-BE"/>
        </w:rPr>
        <w:t xml:space="preserve"> seront déterminants pour un remboursement éventuel des parts à la demande des </w:t>
      </w:r>
      <w:proofErr w:type="spellStart"/>
      <w:r w:rsidRPr="00CD3946">
        <w:rPr>
          <w:rFonts w:cs="Arial"/>
          <w:lang w:val="fr-BE"/>
        </w:rPr>
        <w:t>coopérateur·rice·s</w:t>
      </w:r>
      <w:proofErr w:type="spellEnd"/>
      <w:r w:rsidRPr="00CD3946">
        <w:rPr>
          <w:rFonts w:cs="Arial"/>
          <w:lang w:val="fr-BE"/>
        </w:rPr>
        <w:t>.</w:t>
      </w:r>
    </w:p>
    <w:p w14:paraId="284B5EF8" w14:textId="15D20DB0" w:rsidR="00CD3946" w:rsidRPr="00C30279" w:rsidRDefault="00CD3946" w:rsidP="00CD3946">
      <w:pPr>
        <w:pStyle w:val="DefaultStyleSimont-Braun"/>
        <w:jc w:val="both"/>
        <w:rPr>
          <w:rFonts w:cs="Arial"/>
          <w:b/>
          <w:bCs/>
          <w:szCs w:val="20"/>
          <w:lang w:val="fr-BE"/>
        </w:rPr>
      </w:pPr>
      <w:r w:rsidRPr="00C30279">
        <w:rPr>
          <w:rFonts w:cs="Arial"/>
          <w:b/>
          <w:bCs/>
          <w:szCs w:val="20"/>
          <w:lang w:val="fr-BE"/>
        </w:rPr>
        <w:t xml:space="preserve">Le point B,2) de la Partie I de la Note d’information est </w:t>
      </w:r>
      <w:r w:rsidR="00220C40">
        <w:rPr>
          <w:rFonts w:cs="Arial"/>
          <w:b/>
          <w:bCs/>
          <w:szCs w:val="20"/>
          <w:lang w:val="fr-BE"/>
        </w:rPr>
        <w:t>remplacé</w:t>
      </w:r>
      <w:r w:rsidR="00220C40" w:rsidRPr="00C30279">
        <w:rPr>
          <w:rFonts w:cs="Arial"/>
          <w:b/>
          <w:bCs/>
          <w:szCs w:val="20"/>
          <w:lang w:val="fr-BE"/>
        </w:rPr>
        <w:t xml:space="preserve"> </w:t>
      </w:r>
      <w:r w:rsidRPr="00C30279">
        <w:rPr>
          <w:rFonts w:cs="Arial"/>
          <w:b/>
          <w:bCs/>
          <w:szCs w:val="20"/>
          <w:lang w:val="fr-BE"/>
        </w:rPr>
        <w:t>comme suit</w:t>
      </w:r>
      <w:r w:rsidR="0071296F">
        <w:rPr>
          <w:rFonts w:cs="Arial"/>
          <w:b/>
          <w:bCs/>
          <w:szCs w:val="20"/>
          <w:lang w:val="fr-BE"/>
        </w:rPr>
        <w:t xml:space="preserve">, les deux premiers paragraphes restant inchangés par rapport à la Note </w:t>
      </w:r>
      <w:r w:rsidR="007225AA">
        <w:rPr>
          <w:rFonts w:cs="Arial"/>
          <w:b/>
          <w:bCs/>
          <w:szCs w:val="20"/>
          <w:lang w:val="fr-BE"/>
        </w:rPr>
        <w:t>d’information</w:t>
      </w:r>
      <w:r w:rsidRPr="00C30279">
        <w:rPr>
          <w:rFonts w:cs="Arial"/>
          <w:b/>
          <w:bCs/>
          <w:szCs w:val="20"/>
          <w:lang w:val="fr-BE"/>
        </w:rPr>
        <w:t xml:space="preserve"> :</w:t>
      </w:r>
    </w:p>
    <w:p w14:paraId="6E871BFE" w14:textId="77777777" w:rsidR="00CD3946" w:rsidRPr="00CD3946" w:rsidRDefault="00CD3946" w:rsidP="00CD3946">
      <w:pPr>
        <w:pStyle w:val="DefaultStyleSimont-Braun"/>
        <w:jc w:val="both"/>
        <w:rPr>
          <w:rFonts w:cs="Arial"/>
          <w:szCs w:val="20"/>
          <w:lang w:val="fr-BE"/>
        </w:rPr>
      </w:pPr>
    </w:p>
    <w:p w14:paraId="3D11FCDD" w14:textId="039886F1" w:rsidR="00CD3946" w:rsidRPr="00CD3946" w:rsidRDefault="00CD3946" w:rsidP="00345CA8">
      <w:pPr>
        <w:ind w:left="993" w:hanging="284"/>
        <w:jc w:val="both"/>
        <w:rPr>
          <w:rFonts w:ascii="Arial" w:hAnsi="Arial" w:cs="Arial"/>
          <w:sz w:val="20"/>
          <w:szCs w:val="20"/>
          <w:lang w:val="fr-BE"/>
        </w:rPr>
      </w:pPr>
      <w:r w:rsidRPr="00896AF0">
        <w:rPr>
          <w:rFonts w:ascii="Arial" w:hAnsi="Arial" w:cs="Arial"/>
          <w:sz w:val="20"/>
          <w:szCs w:val="20"/>
          <w:lang w:val="fr-BE"/>
        </w:rPr>
        <w:t xml:space="preserve">1. Le caractère de start-up des activités de </w:t>
      </w:r>
      <w:proofErr w:type="spellStart"/>
      <w:r w:rsidRPr="00896AF0">
        <w:rPr>
          <w:rFonts w:ascii="Arial" w:hAnsi="Arial" w:cs="Arial"/>
          <w:sz w:val="20"/>
          <w:szCs w:val="20"/>
          <w:lang w:val="fr-BE"/>
        </w:rPr>
        <w:t>NewB</w:t>
      </w:r>
      <w:proofErr w:type="spellEnd"/>
      <w:r w:rsidRPr="00896AF0">
        <w:rPr>
          <w:rFonts w:ascii="Arial" w:hAnsi="Arial" w:cs="Arial"/>
          <w:sz w:val="20"/>
          <w:szCs w:val="20"/>
          <w:lang w:val="fr-BE"/>
        </w:rPr>
        <w:t xml:space="preserve"> engendre des risques élevés quant à la viabilité du modèle d’entreprise et à la fiabilité du plan d’affaires </w:t>
      </w:r>
    </w:p>
    <w:p w14:paraId="761E7F8D" w14:textId="77777777" w:rsidR="00CD3946" w:rsidRPr="00382324" w:rsidRDefault="00CD3946" w:rsidP="00382324">
      <w:pPr>
        <w:ind w:left="720"/>
        <w:jc w:val="both"/>
        <w:rPr>
          <w:rFonts w:ascii="Arial" w:hAnsi="Arial" w:cs="Arial"/>
          <w:sz w:val="20"/>
          <w:szCs w:val="20"/>
          <w:lang w:val="fr-BE"/>
        </w:rPr>
      </w:pPr>
      <w:r w:rsidRPr="00382324">
        <w:rPr>
          <w:rFonts w:ascii="Arial" w:hAnsi="Arial" w:cs="Arial"/>
          <w:sz w:val="20"/>
          <w:szCs w:val="20"/>
          <w:lang w:val="fr-BE"/>
        </w:rPr>
        <w:t xml:space="preserve">Compte tenu de l’absence d’historique d’activités,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est, en tant que nouvelle banque, confrontée à des risques quant à la viabilité de son modèle d’entreprise et prévisibilité quant au </w:t>
      </w:r>
      <w:r w:rsidRPr="00382324">
        <w:rPr>
          <w:rFonts w:ascii="Arial" w:hAnsi="Arial" w:cs="Arial"/>
          <w:sz w:val="20"/>
          <w:szCs w:val="20"/>
          <w:lang w:val="fr-BE"/>
        </w:rPr>
        <w:lastRenderedPageBreak/>
        <w:t xml:space="preserve">développement et à la rentabilité de ses activités. Ces risques sont d’autant plus élevés que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présente un modèle d’entreprise particulier au sein du secteur bancaire. </w:t>
      </w:r>
    </w:p>
    <w:p w14:paraId="086EAEBF" w14:textId="77777777" w:rsidR="00CD3946" w:rsidRPr="00382324" w:rsidRDefault="00CD3946" w:rsidP="00382324">
      <w:pPr>
        <w:ind w:left="720"/>
        <w:jc w:val="both"/>
        <w:rPr>
          <w:rFonts w:ascii="Arial" w:hAnsi="Arial" w:cs="Arial"/>
          <w:sz w:val="20"/>
          <w:szCs w:val="20"/>
          <w:lang w:val="fr-BE"/>
        </w:rPr>
      </w:pPr>
      <w:r w:rsidRPr="00382324">
        <w:rPr>
          <w:rFonts w:ascii="Arial" w:hAnsi="Arial" w:cs="Arial"/>
          <w:sz w:val="20"/>
          <w:szCs w:val="20"/>
          <w:lang w:val="fr-BE"/>
        </w:rPr>
        <w:t xml:space="preserve">Un échec du développement commercial des activités de distribution d’assurance et/ou de fonds d’investissement peut résulter en un impact significativement négatif sur la rentabilité financière de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En outre,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court le risque de ne pas attirer assez de clients en dépôts et en crédits. Cela peut avoir pour conséquence de limiter les activités génératrices de marges d’intérêts et avoir pour impact une profitabilité ne permettant pas de couvrir les coûts de fonctionnement ou de reconstituer les fonds propres (qui déterminent la valeur intrinsèque des parts) utilisés durant la phase de préparation et la phase de mise en place de la banque.</w:t>
      </w:r>
    </w:p>
    <w:p w14:paraId="5152258A" w14:textId="2E250F1C" w:rsidR="00CD3946" w:rsidRPr="00CD3946" w:rsidRDefault="00CD3946" w:rsidP="00382324">
      <w:pPr>
        <w:ind w:left="720"/>
        <w:jc w:val="both"/>
        <w:rPr>
          <w:lang w:val="fr-BE"/>
        </w:rPr>
      </w:pPr>
      <w:r w:rsidRPr="00382324">
        <w:rPr>
          <w:rFonts w:ascii="Arial" w:hAnsi="Arial" w:cs="Arial"/>
          <w:sz w:val="20"/>
          <w:szCs w:val="20"/>
          <w:lang w:val="fr-BE"/>
        </w:rPr>
        <w:t xml:space="preserve">Le glissement, par rapport au plan d’affaire du prospectus, d’environ un an dans le démarrage des activités bancaires, a pour conséquence que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n’est pas encore en position de pouvoir démontrer la viabilité de son modèle économique. Dans le cadre de la prochaine levée de capital qui devrait, selon nos estimations à ce jour, se tenir fin 2022, début 2023 au plus tard, il sera vital pour </w:t>
      </w:r>
      <w:proofErr w:type="spellStart"/>
      <w:r w:rsidRPr="00382324">
        <w:rPr>
          <w:rFonts w:ascii="Arial" w:hAnsi="Arial" w:cs="Arial"/>
          <w:sz w:val="20"/>
          <w:szCs w:val="20"/>
          <w:lang w:val="fr-BE"/>
        </w:rPr>
        <w:t>NewB</w:t>
      </w:r>
      <w:proofErr w:type="spellEnd"/>
      <w:r w:rsidRPr="00382324">
        <w:rPr>
          <w:rFonts w:ascii="Arial" w:hAnsi="Arial" w:cs="Arial"/>
          <w:sz w:val="20"/>
          <w:szCs w:val="20"/>
          <w:lang w:val="fr-BE"/>
        </w:rPr>
        <w:t xml:space="preserve"> que les prochains mois puissent montrer un développement</w:t>
      </w:r>
      <w:r w:rsidR="00896AF0" w:rsidRPr="00382324">
        <w:rPr>
          <w:rFonts w:ascii="Arial" w:hAnsi="Arial" w:cs="Arial"/>
          <w:sz w:val="20"/>
          <w:szCs w:val="20"/>
          <w:lang w:val="fr-BE"/>
        </w:rPr>
        <w:t xml:space="preserve"> </w:t>
      </w:r>
      <w:r w:rsidR="003C4193" w:rsidRPr="00382324">
        <w:rPr>
          <w:rFonts w:ascii="Arial" w:hAnsi="Arial" w:cs="Arial"/>
          <w:sz w:val="20"/>
          <w:szCs w:val="20"/>
          <w:lang w:val="fr-BE"/>
        </w:rPr>
        <w:t xml:space="preserve">significatif </w:t>
      </w:r>
      <w:r w:rsidRPr="00382324">
        <w:rPr>
          <w:rFonts w:ascii="Arial" w:hAnsi="Arial" w:cs="Arial"/>
          <w:sz w:val="20"/>
          <w:szCs w:val="20"/>
          <w:lang w:val="fr-BE"/>
        </w:rPr>
        <w:t xml:space="preserve">de ses réalisations commerciales. </w:t>
      </w:r>
    </w:p>
    <w:p w14:paraId="5776FD51" w14:textId="45ED76A8" w:rsidR="00CD3946" w:rsidRPr="00CD3946" w:rsidRDefault="00CD3946" w:rsidP="00CD3946">
      <w:pPr>
        <w:pStyle w:val="DefaultStyleSimont-Braun"/>
        <w:jc w:val="both"/>
        <w:rPr>
          <w:rFonts w:cs="Arial"/>
          <w:b/>
          <w:bCs/>
          <w:szCs w:val="20"/>
          <w:lang w:val="fr-BE"/>
        </w:rPr>
      </w:pPr>
      <w:r w:rsidRPr="00CD3946">
        <w:rPr>
          <w:rFonts w:cs="Arial"/>
          <w:b/>
          <w:bCs/>
          <w:szCs w:val="20"/>
          <w:lang w:val="fr-BE"/>
        </w:rPr>
        <w:t>Le point B,1</w:t>
      </w:r>
      <w:r>
        <w:rPr>
          <w:rFonts w:cs="Arial"/>
          <w:b/>
          <w:bCs/>
          <w:szCs w:val="20"/>
          <w:lang w:val="fr-BE"/>
        </w:rPr>
        <w:t>,</w:t>
      </w:r>
      <w:r w:rsidRPr="00CD3946">
        <w:rPr>
          <w:rFonts w:cs="Arial"/>
          <w:b/>
          <w:bCs/>
          <w:szCs w:val="20"/>
          <w:lang w:val="fr-BE"/>
        </w:rPr>
        <w:t xml:space="preserve"> de la Partie II de la Note d’information est </w:t>
      </w:r>
      <w:r w:rsidR="008C66C5">
        <w:rPr>
          <w:rFonts w:cs="Arial"/>
          <w:b/>
          <w:bCs/>
          <w:szCs w:val="20"/>
          <w:lang w:val="fr-BE"/>
        </w:rPr>
        <w:t>remplacé</w:t>
      </w:r>
      <w:r w:rsidR="008C66C5" w:rsidRPr="00CD3946">
        <w:rPr>
          <w:rFonts w:cs="Arial"/>
          <w:b/>
          <w:bCs/>
          <w:szCs w:val="20"/>
          <w:lang w:val="fr-BE"/>
        </w:rPr>
        <w:t xml:space="preserve"> </w:t>
      </w:r>
      <w:r w:rsidRPr="00CD3946">
        <w:rPr>
          <w:rFonts w:cs="Arial"/>
          <w:b/>
          <w:bCs/>
          <w:szCs w:val="20"/>
          <w:lang w:val="fr-BE"/>
        </w:rPr>
        <w:t>comme suit :</w:t>
      </w:r>
    </w:p>
    <w:p w14:paraId="0AE0F2A2" w14:textId="77777777" w:rsidR="00CD3946" w:rsidRPr="00CD3946" w:rsidRDefault="00CD3946" w:rsidP="00CD3946">
      <w:pPr>
        <w:pStyle w:val="Heading3"/>
        <w:numPr>
          <w:ilvl w:val="0"/>
          <w:numId w:val="11"/>
        </w:numPr>
        <w:ind w:left="1701"/>
        <w:rPr>
          <w:rFonts w:ascii="Arial" w:hAnsi="Arial" w:cs="Arial"/>
          <w:color w:val="auto"/>
          <w:sz w:val="20"/>
          <w:szCs w:val="20"/>
        </w:rPr>
      </w:pPr>
      <w:r w:rsidRPr="00CD3946">
        <w:rPr>
          <w:rFonts w:ascii="Arial" w:hAnsi="Arial" w:cs="Arial"/>
          <w:color w:val="auto"/>
          <w:sz w:val="20"/>
          <w:szCs w:val="20"/>
        </w:rPr>
        <w:t>Situation comptable</w:t>
      </w:r>
    </w:p>
    <w:p w14:paraId="72C8DB09" w14:textId="3A60DAF2" w:rsidR="00CD3946" w:rsidRPr="00CD3946" w:rsidRDefault="00CD3946" w:rsidP="00345CA8">
      <w:pPr>
        <w:ind w:left="720"/>
        <w:jc w:val="both"/>
        <w:rPr>
          <w:rFonts w:ascii="Arial" w:hAnsi="Arial" w:cs="Arial"/>
          <w:sz w:val="20"/>
          <w:szCs w:val="20"/>
          <w:lang w:val="fr-BE"/>
        </w:rPr>
      </w:pPr>
      <w:proofErr w:type="spellStart"/>
      <w:r w:rsidRPr="00CD3946">
        <w:rPr>
          <w:rFonts w:ascii="Arial" w:hAnsi="Arial" w:cs="Arial"/>
          <w:sz w:val="20"/>
          <w:szCs w:val="20"/>
          <w:lang w:val="fr-BE"/>
        </w:rPr>
        <w:t>NewB</w:t>
      </w:r>
      <w:proofErr w:type="spellEnd"/>
      <w:r w:rsidRPr="00CD3946">
        <w:rPr>
          <w:rFonts w:ascii="Arial" w:hAnsi="Arial" w:cs="Arial"/>
          <w:sz w:val="20"/>
          <w:szCs w:val="20"/>
          <w:lang w:val="fr-BE"/>
        </w:rPr>
        <w:t xml:space="preserve"> a enregistré un résultat d’exploitation conforme aux prévisions pour les exercices 2018-2020. </w:t>
      </w:r>
    </w:p>
    <w:p w14:paraId="5AB28C89" w14:textId="77777777"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 xml:space="preserve">L’évolution des capitaux propres dans les tableaux ci-dessous montrent d’une part, l’évolution des apports (parts souscrites) des membres et d’autre part, l’incorporation des pertes reportées. À la fin de 2019, </w:t>
      </w:r>
      <w:proofErr w:type="spellStart"/>
      <w:r w:rsidRPr="00CD3946">
        <w:rPr>
          <w:rFonts w:ascii="Arial" w:hAnsi="Arial" w:cs="Arial"/>
          <w:sz w:val="20"/>
          <w:szCs w:val="20"/>
          <w:lang w:val="fr-BE"/>
        </w:rPr>
        <w:t>NewB</w:t>
      </w:r>
      <w:proofErr w:type="spellEnd"/>
      <w:r w:rsidRPr="00CD3946">
        <w:rPr>
          <w:rFonts w:ascii="Arial" w:hAnsi="Arial" w:cs="Arial"/>
          <w:sz w:val="20"/>
          <w:szCs w:val="20"/>
          <w:lang w:val="fr-BE"/>
        </w:rPr>
        <w:t xml:space="preserve"> a réalisé une augmentation de capital pour un montant total de 35 millions (cf. rubrique « autres dettes »). Ce montant a été remonté dans les capitaux propres (cf. « capital souscrit ») concomitamment à l’obtention de l’agrément en tant qu’établissement de crédit en janvier 2020. </w:t>
      </w:r>
    </w:p>
    <w:tbl>
      <w:tblPr>
        <w:tblW w:w="7840" w:type="dxa"/>
        <w:jc w:val="center"/>
        <w:tblLook w:val="04A0" w:firstRow="1" w:lastRow="0" w:firstColumn="1" w:lastColumn="0" w:noHBand="0" w:noVBand="1"/>
      </w:tblPr>
      <w:tblGrid>
        <w:gridCol w:w="3620"/>
        <w:gridCol w:w="1300"/>
        <w:gridCol w:w="1460"/>
        <w:gridCol w:w="1460"/>
      </w:tblGrid>
      <w:tr w:rsidR="00CD3946" w:rsidRPr="00CD3946" w14:paraId="161597A6" w14:textId="77777777" w:rsidTr="00C30279">
        <w:trPr>
          <w:trHeight w:val="288"/>
          <w:jc w:val="center"/>
        </w:trPr>
        <w:tc>
          <w:tcPr>
            <w:tcW w:w="3620" w:type="dxa"/>
            <w:tcBorders>
              <w:top w:val="single" w:sz="4" w:space="0" w:color="auto"/>
              <w:left w:val="single" w:sz="4" w:space="0" w:color="auto"/>
              <w:bottom w:val="single" w:sz="4" w:space="0" w:color="auto"/>
              <w:right w:val="nil"/>
            </w:tcBorders>
            <w:shd w:val="clear" w:color="auto" w:fill="auto"/>
            <w:noWrap/>
            <w:vAlign w:val="bottom"/>
            <w:hideMark/>
          </w:tcPr>
          <w:p w14:paraId="0EC637D8" w14:textId="77777777" w:rsidR="00CD3946" w:rsidRPr="00CD3946" w:rsidRDefault="00CD3946" w:rsidP="007C6BE1">
            <w:pPr>
              <w:spacing w:after="0"/>
              <w:rPr>
                <w:rFonts w:ascii="Arial" w:hAnsi="Arial" w:cs="Arial"/>
                <w:b/>
                <w:bCs/>
                <w:color w:val="000000"/>
                <w:sz w:val="20"/>
                <w:szCs w:val="20"/>
              </w:rPr>
            </w:pPr>
            <w:proofErr w:type="spellStart"/>
            <w:r w:rsidRPr="00CD3946">
              <w:rPr>
                <w:rFonts w:ascii="Arial" w:hAnsi="Arial" w:cs="Arial"/>
                <w:b/>
                <w:bCs/>
                <w:color w:val="000000"/>
                <w:sz w:val="20"/>
                <w:szCs w:val="20"/>
              </w:rPr>
              <w:t>Bilan</w:t>
            </w:r>
            <w:proofErr w:type="spellEnd"/>
            <w:r w:rsidRPr="00CD3946">
              <w:rPr>
                <w:rFonts w:ascii="Arial" w:hAnsi="Arial" w:cs="Arial"/>
                <w:b/>
                <w:bCs/>
                <w:color w:val="000000"/>
                <w:sz w:val="20"/>
                <w:szCs w:val="20"/>
              </w:rPr>
              <w:t xml:space="preserve"> après </w:t>
            </w:r>
            <w:proofErr w:type="spellStart"/>
            <w:r w:rsidRPr="00CD3946">
              <w:rPr>
                <w:rFonts w:ascii="Arial" w:hAnsi="Arial" w:cs="Arial"/>
                <w:b/>
                <w:bCs/>
                <w:color w:val="000000"/>
                <w:sz w:val="20"/>
                <w:szCs w:val="20"/>
              </w:rPr>
              <w:t>répartition</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9054D"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232D3EC7"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9CE3009"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2020</w:t>
            </w:r>
          </w:p>
        </w:tc>
      </w:tr>
      <w:tr w:rsidR="00CD3946" w:rsidRPr="00CD3946" w14:paraId="6719692F"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55676EA1" w14:textId="77777777" w:rsidR="00CD3946" w:rsidRPr="00CD3946" w:rsidRDefault="00CD3946" w:rsidP="007C6BE1">
            <w:pPr>
              <w:spacing w:after="0"/>
              <w:rPr>
                <w:rFonts w:ascii="Arial" w:hAnsi="Arial" w:cs="Arial"/>
                <w:b/>
                <w:bCs/>
                <w:color w:val="000000"/>
                <w:sz w:val="20"/>
                <w:szCs w:val="20"/>
              </w:rPr>
            </w:pPr>
            <w:r w:rsidRPr="00CD3946">
              <w:rPr>
                <w:rFonts w:ascii="Arial" w:hAnsi="Arial" w:cs="Arial"/>
                <w:b/>
                <w:bCs/>
                <w:color w:val="000000"/>
                <w:sz w:val="20"/>
                <w:szCs w:val="20"/>
              </w:rPr>
              <w:t>ACTIF</w:t>
            </w:r>
          </w:p>
        </w:tc>
        <w:tc>
          <w:tcPr>
            <w:tcW w:w="1300" w:type="dxa"/>
            <w:tcBorders>
              <w:top w:val="nil"/>
              <w:left w:val="single" w:sz="4" w:space="0" w:color="auto"/>
              <w:bottom w:val="nil"/>
              <w:right w:val="single" w:sz="4" w:space="0" w:color="auto"/>
            </w:tcBorders>
            <w:shd w:val="clear" w:color="auto" w:fill="auto"/>
            <w:noWrap/>
            <w:vAlign w:val="center"/>
            <w:hideMark/>
          </w:tcPr>
          <w:p w14:paraId="7C0C009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14:paraId="737F5C1F"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14:paraId="77FE052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r>
      <w:tr w:rsidR="00CD3946" w:rsidRPr="00CD3946" w14:paraId="2E654DAF"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54E5282F" w14:textId="77777777" w:rsidR="00CD3946" w:rsidRPr="00CD3946" w:rsidRDefault="00CD3946" w:rsidP="007C6BE1">
            <w:pPr>
              <w:spacing w:after="0"/>
              <w:rPr>
                <w:rFonts w:ascii="Arial" w:hAnsi="Arial" w:cs="Arial"/>
                <w:color w:val="000000"/>
                <w:sz w:val="20"/>
                <w:szCs w:val="20"/>
              </w:rPr>
            </w:pPr>
            <w:proofErr w:type="spellStart"/>
            <w:r w:rsidRPr="00CD3946">
              <w:rPr>
                <w:rFonts w:ascii="Arial" w:hAnsi="Arial" w:cs="Arial"/>
                <w:color w:val="000000"/>
                <w:sz w:val="20"/>
                <w:szCs w:val="20"/>
              </w:rPr>
              <w:t>Actifs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immobilisés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7643736E"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645.476</w:t>
            </w:r>
          </w:p>
        </w:tc>
        <w:tc>
          <w:tcPr>
            <w:tcW w:w="1460" w:type="dxa"/>
            <w:tcBorders>
              <w:top w:val="nil"/>
              <w:left w:val="nil"/>
              <w:bottom w:val="nil"/>
              <w:right w:val="single" w:sz="4" w:space="0" w:color="auto"/>
            </w:tcBorders>
            <w:shd w:val="clear" w:color="auto" w:fill="auto"/>
            <w:noWrap/>
            <w:vAlign w:val="center"/>
            <w:hideMark/>
          </w:tcPr>
          <w:p w14:paraId="14B0336E"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635.778</w:t>
            </w:r>
          </w:p>
        </w:tc>
        <w:tc>
          <w:tcPr>
            <w:tcW w:w="1460" w:type="dxa"/>
            <w:tcBorders>
              <w:top w:val="nil"/>
              <w:left w:val="nil"/>
              <w:bottom w:val="nil"/>
              <w:right w:val="single" w:sz="4" w:space="0" w:color="auto"/>
            </w:tcBorders>
            <w:shd w:val="clear" w:color="auto" w:fill="auto"/>
            <w:noWrap/>
            <w:vAlign w:val="center"/>
            <w:hideMark/>
          </w:tcPr>
          <w:p w14:paraId="46B1CF2A"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2.351.323</w:t>
            </w:r>
          </w:p>
        </w:tc>
      </w:tr>
      <w:tr w:rsidR="00CD3946" w:rsidRPr="00CD3946" w14:paraId="04E83FCF"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7F61FABA" w14:textId="77777777" w:rsidR="00CD3946" w:rsidRPr="00CD3946" w:rsidRDefault="00CD3946" w:rsidP="007C6BE1">
            <w:pPr>
              <w:spacing w:after="0"/>
              <w:ind w:firstLineChars="100" w:firstLine="200"/>
              <w:rPr>
                <w:rFonts w:ascii="Arial" w:hAnsi="Arial" w:cs="Arial"/>
                <w:color w:val="000000"/>
                <w:sz w:val="20"/>
                <w:szCs w:val="20"/>
              </w:rPr>
            </w:pPr>
            <w:r w:rsidRPr="00CD3946">
              <w:rPr>
                <w:rFonts w:ascii="Arial" w:hAnsi="Arial" w:cs="Arial"/>
                <w:color w:val="000000"/>
                <w:sz w:val="20"/>
                <w:szCs w:val="20"/>
              </w:rPr>
              <w:t xml:space="preserve">Frais </w:t>
            </w:r>
            <w:proofErr w:type="spellStart"/>
            <w:r w:rsidRPr="00CD3946">
              <w:rPr>
                <w:rFonts w:ascii="Arial" w:hAnsi="Arial" w:cs="Arial"/>
                <w:color w:val="000000"/>
                <w:sz w:val="20"/>
                <w:szCs w:val="20"/>
              </w:rPr>
              <w:t>d'établissement</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6CDCAEB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6926F00D"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15D419A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r>
      <w:tr w:rsidR="00CD3946" w:rsidRPr="00CD3946" w14:paraId="0CFEEE3E"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5CE4A783"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Immobilisations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incorporelles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4AFB3916"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634.007</w:t>
            </w:r>
          </w:p>
        </w:tc>
        <w:tc>
          <w:tcPr>
            <w:tcW w:w="1460" w:type="dxa"/>
            <w:tcBorders>
              <w:top w:val="nil"/>
              <w:left w:val="nil"/>
              <w:bottom w:val="nil"/>
              <w:right w:val="single" w:sz="4" w:space="0" w:color="auto"/>
            </w:tcBorders>
            <w:shd w:val="clear" w:color="auto" w:fill="auto"/>
            <w:noWrap/>
            <w:vAlign w:val="center"/>
            <w:hideMark/>
          </w:tcPr>
          <w:p w14:paraId="22C9DB6F"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630.764</w:t>
            </w:r>
          </w:p>
        </w:tc>
        <w:tc>
          <w:tcPr>
            <w:tcW w:w="1460" w:type="dxa"/>
            <w:tcBorders>
              <w:top w:val="nil"/>
              <w:left w:val="nil"/>
              <w:bottom w:val="nil"/>
              <w:right w:val="single" w:sz="4" w:space="0" w:color="auto"/>
            </w:tcBorders>
            <w:shd w:val="clear" w:color="auto" w:fill="auto"/>
            <w:noWrap/>
            <w:vAlign w:val="center"/>
            <w:hideMark/>
          </w:tcPr>
          <w:p w14:paraId="34F3EE0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2.284.035</w:t>
            </w:r>
          </w:p>
        </w:tc>
      </w:tr>
      <w:tr w:rsidR="00CD3946" w:rsidRPr="00CD3946" w14:paraId="5F044343"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2B066B62"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Immobilisation</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corporelles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3052648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11.470</w:t>
            </w:r>
          </w:p>
        </w:tc>
        <w:tc>
          <w:tcPr>
            <w:tcW w:w="1460" w:type="dxa"/>
            <w:tcBorders>
              <w:top w:val="nil"/>
              <w:left w:val="nil"/>
              <w:bottom w:val="nil"/>
              <w:right w:val="single" w:sz="4" w:space="0" w:color="auto"/>
            </w:tcBorders>
            <w:shd w:val="clear" w:color="auto" w:fill="auto"/>
            <w:noWrap/>
            <w:vAlign w:val="center"/>
            <w:hideMark/>
          </w:tcPr>
          <w:p w14:paraId="63E80F7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4.865</w:t>
            </w:r>
          </w:p>
        </w:tc>
        <w:tc>
          <w:tcPr>
            <w:tcW w:w="1460" w:type="dxa"/>
            <w:tcBorders>
              <w:top w:val="nil"/>
              <w:left w:val="nil"/>
              <w:bottom w:val="nil"/>
              <w:right w:val="single" w:sz="4" w:space="0" w:color="auto"/>
            </w:tcBorders>
            <w:shd w:val="clear" w:color="auto" w:fill="auto"/>
            <w:noWrap/>
            <w:vAlign w:val="center"/>
            <w:hideMark/>
          </w:tcPr>
          <w:p w14:paraId="58A57848"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67.137</w:t>
            </w:r>
          </w:p>
        </w:tc>
      </w:tr>
      <w:tr w:rsidR="00CD3946" w:rsidRPr="00CD3946" w14:paraId="65681E00"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41954AC4"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Immobilisations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financières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17620A7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27390340"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150</w:t>
            </w:r>
          </w:p>
        </w:tc>
        <w:tc>
          <w:tcPr>
            <w:tcW w:w="1460" w:type="dxa"/>
            <w:tcBorders>
              <w:top w:val="nil"/>
              <w:left w:val="nil"/>
              <w:bottom w:val="nil"/>
              <w:right w:val="single" w:sz="4" w:space="0" w:color="auto"/>
            </w:tcBorders>
            <w:shd w:val="clear" w:color="auto" w:fill="auto"/>
            <w:noWrap/>
            <w:vAlign w:val="center"/>
            <w:hideMark/>
          </w:tcPr>
          <w:p w14:paraId="513E7DA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150</w:t>
            </w:r>
          </w:p>
        </w:tc>
      </w:tr>
      <w:tr w:rsidR="00CD3946" w:rsidRPr="00CD3946" w14:paraId="1D2FAD06"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6653E321" w14:textId="77777777" w:rsidR="00CD3946" w:rsidRPr="00CD3946" w:rsidRDefault="00CD3946" w:rsidP="007C6BE1">
            <w:pPr>
              <w:spacing w:after="0"/>
              <w:rPr>
                <w:rFonts w:ascii="Arial" w:hAnsi="Arial" w:cs="Arial"/>
                <w:color w:val="000000"/>
                <w:sz w:val="20"/>
                <w:szCs w:val="20"/>
              </w:rPr>
            </w:pPr>
            <w:proofErr w:type="spellStart"/>
            <w:r w:rsidRPr="00CD3946">
              <w:rPr>
                <w:rFonts w:ascii="Arial" w:hAnsi="Arial" w:cs="Arial"/>
                <w:color w:val="000000"/>
                <w:sz w:val="20"/>
                <w:szCs w:val="20"/>
              </w:rPr>
              <w:t>Actis</w:t>
            </w:r>
            <w:proofErr w:type="spellEnd"/>
            <w:r w:rsidRPr="00CD3946">
              <w:rPr>
                <w:rFonts w:ascii="Arial" w:hAnsi="Arial" w:cs="Arial"/>
                <w:color w:val="000000"/>
                <w:sz w:val="20"/>
                <w:szCs w:val="20"/>
              </w:rPr>
              <w:t xml:space="preserve"> circulants</w:t>
            </w:r>
          </w:p>
        </w:tc>
        <w:tc>
          <w:tcPr>
            <w:tcW w:w="1300" w:type="dxa"/>
            <w:tcBorders>
              <w:top w:val="nil"/>
              <w:left w:val="single" w:sz="4" w:space="0" w:color="auto"/>
              <w:bottom w:val="nil"/>
              <w:right w:val="single" w:sz="4" w:space="0" w:color="auto"/>
            </w:tcBorders>
            <w:shd w:val="clear" w:color="auto" w:fill="auto"/>
            <w:noWrap/>
            <w:vAlign w:val="center"/>
            <w:hideMark/>
          </w:tcPr>
          <w:p w14:paraId="3B3D4FDE"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5.265.979</w:t>
            </w:r>
          </w:p>
        </w:tc>
        <w:tc>
          <w:tcPr>
            <w:tcW w:w="1460" w:type="dxa"/>
            <w:tcBorders>
              <w:top w:val="nil"/>
              <w:left w:val="nil"/>
              <w:bottom w:val="nil"/>
              <w:right w:val="single" w:sz="4" w:space="0" w:color="auto"/>
            </w:tcBorders>
            <w:shd w:val="clear" w:color="auto" w:fill="auto"/>
            <w:noWrap/>
            <w:vAlign w:val="center"/>
            <w:hideMark/>
          </w:tcPr>
          <w:p w14:paraId="3A2DBA2F"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36.672.699</w:t>
            </w:r>
          </w:p>
        </w:tc>
        <w:tc>
          <w:tcPr>
            <w:tcW w:w="1460" w:type="dxa"/>
            <w:tcBorders>
              <w:top w:val="nil"/>
              <w:left w:val="nil"/>
              <w:bottom w:val="nil"/>
              <w:right w:val="single" w:sz="4" w:space="0" w:color="auto"/>
            </w:tcBorders>
            <w:shd w:val="clear" w:color="auto" w:fill="auto"/>
            <w:noWrap/>
            <w:vAlign w:val="center"/>
            <w:hideMark/>
          </w:tcPr>
          <w:p w14:paraId="074C824E"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31.371.254</w:t>
            </w:r>
          </w:p>
        </w:tc>
      </w:tr>
      <w:tr w:rsidR="00CD3946" w:rsidRPr="00CD3946" w14:paraId="56CCDC93"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490D8BFB" w14:textId="77777777" w:rsidR="00CD3946" w:rsidRPr="00345CA8" w:rsidRDefault="00CD3946" w:rsidP="007C6BE1">
            <w:pPr>
              <w:spacing w:after="0"/>
              <w:ind w:firstLineChars="100" w:firstLine="200"/>
              <w:rPr>
                <w:rFonts w:ascii="Arial" w:hAnsi="Arial" w:cs="Arial"/>
                <w:color w:val="000000"/>
                <w:sz w:val="20"/>
                <w:szCs w:val="20"/>
                <w:lang w:val="fr-BE"/>
              </w:rPr>
            </w:pPr>
            <w:r w:rsidRPr="00345CA8">
              <w:rPr>
                <w:rFonts w:ascii="Arial" w:hAnsi="Arial" w:cs="Arial"/>
                <w:color w:val="000000"/>
                <w:sz w:val="20"/>
                <w:szCs w:val="20"/>
                <w:lang w:val="fr-BE"/>
              </w:rPr>
              <w:t>Créance à un an ou plus</w:t>
            </w:r>
          </w:p>
        </w:tc>
        <w:tc>
          <w:tcPr>
            <w:tcW w:w="1300" w:type="dxa"/>
            <w:tcBorders>
              <w:top w:val="nil"/>
              <w:left w:val="single" w:sz="4" w:space="0" w:color="auto"/>
              <w:bottom w:val="nil"/>
              <w:right w:val="single" w:sz="4" w:space="0" w:color="auto"/>
            </w:tcBorders>
            <w:shd w:val="clear" w:color="auto" w:fill="auto"/>
            <w:noWrap/>
            <w:vAlign w:val="center"/>
            <w:hideMark/>
          </w:tcPr>
          <w:p w14:paraId="27BFFCF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430.892</w:t>
            </w:r>
          </w:p>
        </w:tc>
        <w:tc>
          <w:tcPr>
            <w:tcW w:w="1460" w:type="dxa"/>
            <w:tcBorders>
              <w:top w:val="nil"/>
              <w:left w:val="nil"/>
              <w:bottom w:val="nil"/>
              <w:right w:val="single" w:sz="4" w:space="0" w:color="auto"/>
            </w:tcBorders>
            <w:shd w:val="clear" w:color="auto" w:fill="auto"/>
            <w:noWrap/>
            <w:vAlign w:val="center"/>
            <w:hideMark/>
          </w:tcPr>
          <w:p w14:paraId="0B5969D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232.186</w:t>
            </w:r>
          </w:p>
        </w:tc>
        <w:tc>
          <w:tcPr>
            <w:tcW w:w="1460" w:type="dxa"/>
            <w:tcBorders>
              <w:top w:val="nil"/>
              <w:left w:val="nil"/>
              <w:bottom w:val="nil"/>
              <w:right w:val="single" w:sz="4" w:space="0" w:color="auto"/>
            </w:tcBorders>
            <w:shd w:val="clear" w:color="auto" w:fill="auto"/>
            <w:noWrap/>
            <w:vAlign w:val="center"/>
            <w:hideMark/>
          </w:tcPr>
          <w:p w14:paraId="003D9D6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408.668</w:t>
            </w:r>
          </w:p>
        </w:tc>
      </w:tr>
      <w:tr w:rsidR="00CD3946" w:rsidRPr="00CD3946" w14:paraId="7A6B3053"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0C36D0EB"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Valeurs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disponibles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2DF97D3F"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4.793.627</w:t>
            </w:r>
          </w:p>
        </w:tc>
        <w:tc>
          <w:tcPr>
            <w:tcW w:w="1460" w:type="dxa"/>
            <w:tcBorders>
              <w:top w:val="nil"/>
              <w:left w:val="nil"/>
              <w:bottom w:val="nil"/>
              <w:right w:val="single" w:sz="4" w:space="0" w:color="auto"/>
            </w:tcBorders>
            <w:shd w:val="clear" w:color="auto" w:fill="auto"/>
            <w:noWrap/>
            <w:vAlign w:val="center"/>
            <w:hideMark/>
          </w:tcPr>
          <w:p w14:paraId="5746A45D"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36.424.030</w:t>
            </w:r>
          </w:p>
        </w:tc>
        <w:tc>
          <w:tcPr>
            <w:tcW w:w="1460" w:type="dxa"/>
            <w:tcBorders>
              <w:top w:val="nil"/>
              <w:left w:val="nil"/>
              <w:bottom w:val="nil"/>
              <w:right w:val="single" w:sz="4" w:space="0" w:color="auto"/>
            </w:tcBorders>
            <w:shd w:val="clear" w:color="auto" w:fill="auto"/>
            <w:noWrap/>
            <w:vAlign w:val="center"/>
            <w:hideMark/>
          </w:tcPr>
          <w:p w14:paraId="4C1C72C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30.693.697</w:t>
            </w:r>
          </w:p>
        </w:tc>
      </w:tr>
      <w:tr w:rsidR="00CD3946" w:rsidRPr="00CD3946" w14:paraId="513892AC" w14:textId="77777777" w:rsidTr="00C30279">
        <w:trPr>
          <w:trHeight w:val="288"/>
          <w:jc w:val="center"/>
        </w:trPr>
        <w:tc>
          <w:tcPr>
            <w:tcW w:w="3620" w:type="dxa"/>
            <w:tcBorders>
              <w:top w:val="nil"/>
              <w:left w:val="single" w:sz="4" w:space="0" w:color="auto"/>
              <w:bottom w:val="nil"/>
              <w:right w:val="nil"/>
            </w:tcBorders>
            <w:shd w:val="clear" w:color="auto" w:fill="auto"/>
            <w:noWrap/>
            <w:vAlign w:val="bottom"/>
            <w:hideMark/>
          </w:tcPr>
          <w:p w14:paraId="7D29D4AA"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Comptes</w:t>
            </w:r>
            <w:proofErr w:type="spellEnd"/>
            <w:r w:rsidRPr="00CD3946">
              <w:rPr>
                <w:rFonts w:ascii="Arial" w:hAnsi="Arial" w:cs="Arial"/>
                <w:color w:val="000000"/>
                <w:sz w:val="20"/>
                <w:szCs w:val="20"/>
              </w:rPr>
              <w:t xml:space="preserve"> de </w:t>
            </w:r>
            <w:proofErr w:type="spellStart"/>
            <w:r w:rsidRPr="00CD3946">
              <w:rPr>
                <w:rFonts w:ascii="Arial" w:hAnsi="Arial" w:cs="Arial"/>
                <w:color w:val="000000"/>
                <w:sz w:val="20"/>
                <w:szCs w:val="20"/>
              </w:rPr>
              <w:t>régularisation</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48D068F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41.460</w:t>
            </w:r>
          </w:p>
        </w:tc>
        <w:tc>
          <w:tcPr>
            <w:tcW w:w="1460" w:type="dxa"/>
            <w:tcBorders>
              <w:top w:val="nil"/>
              <w:left w:val="nil"/>
              <w:bottom w:val="nil"/>
              <w:right w:val="single" w:sz="4" w:space="0" w:color="auto"/>
            </w:tcBorders>
            <w:shd w:val="clear" w:color="auto" w:fill="auto"/>
            <w:noWrap/>
            <w:vAlign w:val="center"/>
            <w:hideMark/>
          </w:tcPr>
          <w:p w14:paraId="7E583C5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16.483</w:t>
            </w:r>
          </w:p>
        </w:tc>
        <w:tc>
          <w:tcPr>
            <w:tcW w:w="1460" w:type="dxa"/>
            <w:tcBorders>
              <w:top w:val="nil"/>
              <w:left w:val="nil"/>
              <w:bottom w:val="nil"/>
              <w:right w:val="single" w:sz="4" w:space="0" w:color="auto"/>
            </w:tcBorders>
            <w:shd w:val="clear" w:color="auto" w:fill="auto"/>
            <w:noWrap/>
            <w:vAlign w:val="center"/>
            <w:hideMark/>
          </w:tcPr>
          <w:p w14:paraId="1A0F1F8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268.889</w:t>
            </w:r>
          </w:p>
        </w:tc>
      </w:tr>
      <w:tr w:rsidR="00CD3946" w:rsidRPr="00CD3946" w14:paraId="71AADFC6" w14:textId="77777777" w:rsidTr="00C30279">
        <w:trPr>
          <w:trHeight w:val="288"/>
          <w:jc w:val="center"/>
        </w:trPr>
        <w:tc>
          <w:tcPr>
            <w:tcW w:w="3620" w:type="dxa"/>
            <w:tcBorders>
              <w:top w:val="single" w:sz="4" w:space="0" w:color="auto"/>
              <w:left w:val="single" w:sz="4" w:space="0" w:color="auto"/>
              <w:bottom w:val="single" w:sz="4" w:space="0" w:color="auto"/>
              <w:right w:val="nil"/>
            </w:tcBorders>
            <w:shd w:val="clear" w:color="auto" w:fill="auto"/>
            <w:noWrap/>
            <w:vAlign w:val="bottom"/>
            <w:hideMark/>
          </w:tcPr>
          <w:p w14:paraId="025F9F2A" w14:textId="77777777" w:rsidR="00CD3946" w:rsidRPr="00CD3946" w:rsidRDefault="00CD3946" w:rsidP="007C6BE1">
            <w:pPr>
              <w:spacing w:after="0"/>
              <w:rPr>
                <w:rFonts w:ascii="Arial" w:hAnsi="Arial" w:cs="Arial"/>
                <w:b/>
                <w:bCs/>
                <w:color w:val="000000"/>
                <w:sz w:val="20"/>
                <w:szCs w:val="20"/>
              </w:rPr>
            </w:pPr>
            <w:r w:rsidRPr="00CD3946">
              <w:rPr>
                <w:rFonts w:ascii="Arial" w:hAnsi="Arial" w:cs="Arial"/>
                <w:b/>
                <w:bCs/>
                <w:color w:val="000000"/>
                <w:sz w:val="20"/>
                <w:szCs w:val="20"/>
              </w:rPr>
              <w:t xml:space="preserve">Total de </w:t>
            </w:r>
            <w:proofErr w:type="spellStart"/>
            <w:r w:rsidRPr="00CD3946">
              <w:rPr>
                <w:rFonts w:ascii="Arial" w:hAnsi="Arial" w:cs="Arial"/>
                <w:b/>
                <w:bCs/>
                <w:color w:val="000000"/>
                <w:sz w:val="20"/>
                <w:szCs w:val="20"/>
              </w:rPr>
              <w:t>l'actif</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9B718"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5.911.455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7A1ED56"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37.308.478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A1AD002"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33.722.576</w:t>
            </w:r>
          </w:p>
        </w:tc>
      </w:tr>
    </w:tbl>
    <w:p w14:paraId="4357A34B" w14:textId="77777777" w:rsidR="00CD3946" w:rsidRPr="00CD3946" w:rsidRDefault="00CD3946" w:rsidP="00CD3946">
      <w:pPr>
        <w:ind w:left="1440"/>
        <w:rPr>
          <w:rFonts w:ascii="Arial" w:hAnsi="Arial" w:cs="Arial"/>
          <w:i/>
          <w:iCs/>
          <w:sz w:val="20"/>
          <w:szCs w:val="20"/>
        </w:rPr>
      </w:pPr>
    </w:p>
    <w:tbl>
      <w:tblPr>
        <w:tblW w:w="7840" w:type="dxa"/>
        <w:jc w:val="center"/>
        <w:tblLook w:val="04A0" w:firstRow="1" w:lastRow="0" w:firstColumn="1" w:lastColumn="0" w:noHBand="0" w:noVBand="1"/>
      </w:tblPr>
      <w:tblGrid>
        <w:gridCol w:w="3620"/>
        <w:gridCol w:w="1300"/>
        <w:gridCol w:w="1460"/>
        <w:gridCol w:w="1460"/>
      </w:tblGrid>
      <w:tr w:rsidR="00CD3946" w:rsidRPr="00CD3946" w14:paraId="1CC59BC9" w14:textId="77777777" w:rsidTr="007C6BE1">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05189" w14:textId="77777777" w:rsidR="00CD3946" w:rsidRPr="00CD3946" w:rsidRDefault="00CD3946" w:rsidP="007C6BE1">
            <w:pPr>
              <w:spacing w:after="0"/>
              <w:rPr>
                <w:rFonts w:ascii="Arial" w:hAnsi="Arial" w:cs="Arial"/>
                <w:b/>
                <w:bCs/>
                <w:color w:val="000000"/>
                <w:sz w:val="20"/>
                <w:szCs w:val="20"/>
              </w:rPr>
            </w:pPr>
            <w:proofErr w:type="spellStart"/>
            <w:r w:rsidRPr="00CD3946">
              <w:rPr>
                <w:rFonts w:ascii="Arial" w:hAnsi="Arial" w:cs="Arial"/>
                <w:b/>
                <w:bCs/>
                <w:color w:val="000000"/>
                <w:sz w:val="20"/>
                <w:szCs w:val="20"/>
              </w:rPr>
              <w:t>Bilan</w:t>
            </w:r>
            <w:proofErr w:type="spellEnd"/>
            <w:r w:rsidRPr="00CD3946">
              <w:rPr>
                <w:rFonts w:ascii="Arial" w:hAnsi="Arial" w:cs="Arial"/>
                <w:b/>
                <w:bCs/>
                <w:color w:val="000000"/>
                <w:sz w:val="20"/>
                <w:szCs w:val="20"/>
              </w:rPr>
              <w:t xml:space="preserve"> après </w:t>
            </w:r>
            <w:proofErr w:type="spellStart"/>
            <w:r w:rsidRPr="00CD3946">
              <w:rPr>
                <w:rFonts w:ascii="Arial" w:hAnsi="Arial" w:cs="Arial"/>
                <w:b/>
                <w:bCs/>
                <w:color w:val="000000"/>
                <w:sz w:val="20"/>
                <w:szCs w:val="20"/>
              </w:rPr>
              <w:t>répartition</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E4ADB7"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DE9211D"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3A85B5B"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2020</w:t>
            </w:r>
          </w:p>
        </w:tc>
      </w:tr>
      <w:tr w:rsidR="00CD3946" w:rsidRPr="00CD3946" w14:paraId="0AA2806B"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63F62CE2" w14:textId="77777777" w:rsidR="00CD3946" w:rsidRPr="00CD3946" w:rsidRDefault="00CD3946" w:rsidP="007C6BE1">
            <w:pPr>
              <w:spacing w:after="0"/>
              <w:rPr>
                <w:rFonts w:ascii="Arial" w:hAnsi="Arial" w:cs="Arial"/>
                <w:color w:val="000000"/>
                <w:sz w:val="20"/>
                <w:szCs w:val="20"/>
              </w:rPr>
            </w:pPr>
            <w:r w:rsidRPr="00CD3946">
              <w:rPr>
                <w:rFonts w:ascii="Arial" w:hAnsi="Arial" w:cs="Arial"/>
                <w:color w:val="000000"/>
                <w:sz w:val="20"/>
                <w:szCs w:val="20"/>
              </w:rPr>
              <w:t>PASSIF</w:t>
            </w:r>
          </w:p>
        </w:tc>
        <w:tc>
          <w:tcPr>
            <w:tcW w:w="1300" w:type="dxa"/>
            <w:tcBorders>
              <w:top w:val="nil"/>
              <w:left w:val="single" w:sz="4" w:space="0" w:color="auto"/>
              <w:bottom w:val="nil"/>
              <w:right w:val="single" w:sz="4" w:space="0" w:color="auto"/>
            </w:tcBorders>
            <w:shd w:val="clear" w:color="auto" w:fill="auto"/>
            <w:noWrap/>
            <w:vAlign w:val="center"/>
            <w:hideMark/>
          </w:tcPr>
          <w:p w14:paraId="7624C326"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14:paraId="7B5F7BF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c>
          <w:tcPr>
            <w:tcW w:w="1460" w:type="dxa"/>
            <w:tcBorders>
              <w:top w:val="nil"/>
              <w:left w:val="nil"/>
              <w:bottom w:val="nil"/>
              <w:right w:val="single" w:sz="4" w:space="0" w:color="auto"/>
            </w:tcBorders>
            <w:shd w:val="clear" w:color="auto" w:fill="auto"/>
            <w:noWrap/>
            <w:vAlign w:val="center"/>
            <w:hideMark/>
          </w:tcPr>
          <w:p w14:paraId="1923B9F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r>
      <w:tr w:rsidR="00CD3946" w:rsidRPr="00CD3946" w14:paraId="05E18304"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17253F1F" w14:textId="77777777" w:rsidR="00CD3946" w:rsidRPr="00CD3946" w:rsidRDefault="00CD3946" w:rsidP="007C6BE1">
            <w:pPr>
              <w:spacing w:after="0"/>
              <w:rPr>
                <w:rFonts w:ascii="Arial" w:hAnsi="Arial" w:cs="Arial"/>
                <w:color w:val="000000"/>
                <w:sz w:val="20"/>
                <w:szCs w:val="20"/>
              </w:rPr>
            </w:pPr>
            <w:proofErr w:type="spellStart"/>
            <w:r w:rsidRPr="00CD3946">
              <w:rPr>
                <w:rFonts w:ascii="Arial" w:hAnsi="Arial" w:cs="Arial"/>
                <w:color w:val="000000"/>
                <w:sz w:val="20"/>
                <w:szCs w:val="20"/>
              </w:rPr>
              <w:t>Capitaux</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propres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0AF34F39"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5.719.733</w:t>
            </w:r>
          </w:p>
        </w:tc>
        <w:tc>
          <w:tcPr>
            <w:tcW w:w="1460" w:type="dxa"/>
            <w:tcBorders>
              <w:top w:val="nil"/>
              <w:left w:val="nil"/>
              <w:bottom w:val="nil"/>
              <w:right w:val="single" w:sz="4" w:space="0" w:color="auto"/>
            </w:tcBorders>
            <w:shd w:val="clear" w:color="auto" w:fill="auto"/>
            <w:noWrap/>
            <w:vAlign w:val="center"/>
            <w:hideMark/>
          </w:tcPr>
          <w:p w14:paraId="3332F1B5"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1.736.625</w:t>
            </w:r>
          </w:p>
        </w:tc>
        <w:tc>
          <w:tcPr>
            <w:tcW w:w="1460" w:type="dxa"/>
            <w:tcBorders>
              <w:top w:val="nil"/>
              <w:left w:val="nil"/>
              <w:bottom w:val="nil"/>
              <w:right w:val="single" w:sz="4" w:space="0" w:color="auto"/>
            </w:tcBorders>
            <w:shd w:val="clear" w:color="auto" w:fill="auto"/>
            <w:noWrap/>
            <w:vAlign w:val="center"/>
            <w:hideMark/>
          </w:tcPr>
          <w:p w14:paraId="446F88D7"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31.847.034</w:t>
            </w:r>
          </w:p>
        </w:tc>
      </w:tr>
      <w:tr w:rsidR="00CD3946" w:rsidRPr="00CD3946" w14:paraId="717931B8"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376BDAF0" w14:textId="77777777" w:rsidR="00CD3946" w:rsidRPr="00CD3946" w:rsidRDefault="00CD3946" w:rsidP="007C6BE1">
            <w:pPr>
              <w:spacing w:after="0"/>
              <w:ind w:firstLineChars="100" w:firstLine="200"/>
              <w:rPr>
                <w:rFonts w:ascii="Arial" w:hAnsi="Arial" w:cs="Arial"/>
                <w:color w:val="000000"/>
                <w:sz w:val="20"/>
                <w:szCs w:val="20"/>
              </w:rPr>
            </w:pPr>
            <w:r w:rsidRPr="00CD3946">
              <w:rPr>
                <w:rFonts w:ascii="Arial" w:hAnsi="Arial" w:cs="Arial"/>
                <w:color w:val="000000"/>
                <w:sz w:val="20"/>
                <w:szCs w:val="20"/>
              </w:rPr>
              <w:lastRenderedPageBreak/>
              <w:t xml:space="preserve">Capital </w:t>
            </w:r>
            <w:proofErr w:type="spellStart"/>
            <w:r w:rsidRPr="00CD3946">
              <w:rPr>
                <w:rFonts w:ascii="Arial" w:hAnsi="Arial" w:cs="Arial"/>
                <w:color w:val="000000"/>
                <w:sz w:val="20"/>
                <w:szCs w:val="20"/>
              </w:rPr>
              <w:t>souscrit</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3FBB02A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15.283.520</w:t>
            </w:r>
          </w:p>
        </w:tc>
        <w:tc>
          <w:tcPr>
            <w:tcW w:w="1460" w:type="dxa"/>
            <w:tcBorders>
              <w:top w:val="nil"/>
              <w:left w:val="nil"/>
              <w:bottom w:val="nil"/>
              <w:right w:val="single" w:sz="4" w:space="0" w:color="auto"/>
            </w:tcBorders>
            <w:shd w:val="clear" w:color="auto" w:fill="auto"/>
            <w:noWrap/>
            <w:vAlign w:val="center"/>
            <w:hideMark/>
          </w:tcPr>
          <w:p w14:paraId="046195D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15.284.140</w:t>
            </w:r>
          </w:p>
        </w:tc>
        <w:tc>
          <w:tcPr>
            <w:tcW w:w="1460" w:type="dxa"/>
            <w:tcBorders>
              <w:top w:val="nil"/>
              <w:left w:val="nil"/>
              <w:bottom w:val="nil"/>
              <w:right w:val="single" w:sz="4" w:space="0" w:color="auto"/>
            </w:tcBorders>
            <w:shd w:val="clear" w:color="auto" w:fill="auto"/>
            <w:noWrap/>
            <w:vAlign w:val="center"/>
            <w:hideMark/>
          </w:tcPr>
          <w:p w14:paraId="2EBF06E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50.259.320</w:t>
            </w:r>
          </w:p>
        </w:tc>
      </w:tr>
      <w:tr w:rsidR="00CD3946" w:rsidRPr="00CD3946" w14:paraId="406CB73E"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51756391"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Bénéfice</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perte</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reporté</w:t>
            </w:r>
            <w:proofErr w:type="spellEnd"/>
            <w:r w:rsidRPr="00CD3946">
              <w:rPr>
                <w:rFonts w:ascii="Arial" w:hAnsi="Arial" w:cs="Arial"/>
                <w:color w:val="000000"/>
                <w:sz w:val="20"/>
                <w:szCs w:val="20"/>
              </w:rPr>
              <w:t>(e)</w:t>
            </w:r>
          </w:p>
        </w:tc>
        <w:tc>
          <w:tcPr>
            <w:tcW w:w="1300" w:type="dxa"/>
            <w:tcBorders>
              <w:top w:val="nil"/>
              <w:left w:val="single" w:sz="4" w:space="0" w:color="auto"/>
              <w:bottom w:val="nil"/>
              <w:right w:val="single" w:sz="4" w:space="0" w:color="auto"/>
            </w:tcBorders>
            <w:shd w:val="clear" w:color="auto" w:fill="auto"/>
            <w:noWrap/>
            <w:vAlign w:val="center"/>
            <w:hideMark/>
          </w:tcPr>
          <w:p w14:paraId="1F79981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-9.563.787</w:t>
            </w:r>
          </w:p>
        </w:tc>
        <w:tc>
          <w:tcPr>
            <w:tcW w:w="1460" w:type="dxa"/>
            <w:tcBorders>
              <w:top w:val="nil"/>
              <w:left w:val="nil"/>
              <w:bottom w:val="nil"/>
              <w:right w:val="single" w:sz="4" w:space="0" w:color="auto"/>
            </w:tcBorders>
            <w:shd w:val="clear" w:color="auto" w:fill="auto"/>
            <w:noWrap/>
            <w:vAlign w:val="center"/>
            <w:hideMark/>
          </w:tcPr>
          <w:p w14:paraId="16CD02E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-13.547.515</w:t>
            </w:r>
          </w:p>
        </w:tc>
        <w:tc>
          <w:tcPr>
            <w:tcW w:w="1460" w:type="dxa"/>
            <w:tcBorders>
              <w:top w:val="nil"/>
              <w:left w:val="nil"/>
              <w:bottom w:val="nil"/>
              <w:right w:val="single" w:sz="4" w:space="0" w:color="auto"/>
            </w:tcBorders>
            <w:shd w:val="clear" w:color="auto" w:fill="auto"/>
            <w:noWrap/>
            <w:vAlign w:val="center"/>
            <w:hideMark/>
          </w:tcPr>
          <w:p w14:paraId="51F5092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-18.412.286</w:t>
            </w:r>
          </w:p>
        </w:tc>
      </w:tr>
      <w:tr w:rsidR="00CD3946" w:rsidRPr="00CD3946" w14:paraId="410DB07A"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25BEA775"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Résultat</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provisoire</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reporte</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1E2AF67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713F021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193FD65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r>
      <w:tr w:rsidR="00CD3946" w:rsidRPr="00CD3946" w14:paraId="7F4AA06D"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453803FF" w14:textId="77777777" w:rsidR="00CD3946" w:rsidRPr="00CD3946" w:rsidRDefault="00CD3946" w:rsidP="007C6BE1">
            <w:pPr>
              <w:spacing w:after="0"/>
              <w:ind w:firstLineChars="100" w:firstLine="200"/>
              <w:rPr>
                <w:rFonts w:ascii="Arial" w:hAnsi="Arial" w:cs="Arial"/>
                <w:color w:val="000000"/>
                <w:sz w:val="20"/>
                <w:szCs w:val="20"/>
              </w:rPr>
            </w:pPr>
            <w:r w:rsidRPr="00CD3946">
              <w:rPr>
                <w:rFonts w:ascii="Arial" w:hAnsi="Arial" w:cs="Arial"/>
                <w:color w:val="000000"/>
                <w:sz w:val="20"/>
                <w:szCs w:val="20"/>
              </w:rPr>
              <w:t xml:space="preserve">Provisions et </w:t>
            </w:r>
            <w:proofErr w:type="spellStart"/>
            <w:r w:rsidRPr="00CD3946">
              <w:rPr>
                <w:rFonts w:ascii="Arial" w:hAnsi="Arial" w:cs="Arial"/>
                <w:color w:val="000000"/>
                <w:sz w:val="20"/>
                <w:szCs w:val="20"/>
              </w:rPr>
              <w:t>impôts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différés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10FE390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03DDE6B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noWrap/>
            <w:vAlign w:val="center"/>
            <w:hideMark/>
          </w:tcPr>
          <w:p w14:paraId="72E9681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r>
      <w:tr w:rsidR="00CD3946" w:rsidRPr="00CD3946" w14:paraId="5258FDD3"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6CF97BCB" w14:textId="77777777" w:rsidR="00CD3946" w:rsidRPr="00CD3946" w:rsidRDefault="00CD3946" w:rsidP="007C6BE1">
            <w:pPr>
              <w:spacing w:after="0"/>
              <w:rPr>
                <w:rFonts w:ascii="Arial" w:hAnsi="Arial" w:cs="Arial"/>
                <w:color w:val="000000"/>
                <w:sz w:val="20"/>
                <w:szCs w:val="20"/>
              </w:rPr>
            </w:pPr>
            <w:proofErr w:type="spellStart"/>
            <w:r w:rsidRPr="00CD3946">
              <w:rPr>
                <w:rFonts w:ascii="Arial" w:hAnsi="Arial" w:cs="Arial"/>
                <w:color w:val="000000"/>
                <w:sz w:val="20"/>
                <w:szCs w:val="20"/>
              </w:rPr>
              <w:t>Dettes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3A0F00E0"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191.722</w:t>
            </w:r>
          </w:p>
        </w:tc>
        <w:tc>
          <w:tcPr>
            <w:tcW w:w="1460" w:type="dxa"/>
            <w:tcBorders>
              <w:top w:val="nil"/>
              <w:left w:val="nil"/>
              <w:bottom w:val="nil"/>
              <w:right w:val="single" w:sz="4" w:space="0" w:color="auto"/>
            </w:tcBorders>
            <w:shd w:val="clear" w:color="auto" w:fill="auto"/>
            <w:noWrap/>
            <w:vAlign w:val="center"/>
            <w:hideMark/>
          </w:tcPr>
          <w:p w14:paraId="6CA15B07"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35.571.853</w:t>
            </w:r>
          </w:p>
        </w:tc>
        <w:tc>
          <w:tcPr>
            <w:tcW w:w="1460" w:type="dxa"/>
            <w:tcBorders>
              <w:top w:val="nil"/>
              <w:left w:val="nil"/>
              <w:bottom w:val="nil"/>
              <w:right w:val="single" w:sz="4" w:space="0" w:color="auto"/>
            </w:tcBorders>
            <w:shd w:val="clear" w:color="auto" w:fill="auto"/>
            <w:noWrap/>
            <w:vAlign w:val="center"/>
            <w:hideMark/>
          </w:tcPr>
          <w:p w14:paraId="052E0A97"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1.875.543</w:t>
            </w:r>
          </w:p>
        </w:tc>
      </w:tr>
      <w:tr w:rsidR="00CD3946" w:rsidRPr="00CD3946" w14:paraId="39569057"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3B0E5F9E"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Dettes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financières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317713AE"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0</w:t>
            </w:r>
          </w:p>
        </w:tc>
        <w:tc>
          <w:tcPr>
            <w:tcW w:w="1460" w:type="dxa"/>
            <w:tcBorders>
              <w:top w:val="nil"/>
              <w:left w:val="nil"/>
              <w:bottom w:val="nil"/>
              <w:right w:val="single" w:sz="4" w:space="0" w:color="auto"/>
            </w:tcBorders>
            <w:shd w:val="clear" w:color="auto" w:fill="auto"/>
            <w:noWrap/>
            <w:vAlign w:val="center"/>
            <w:hideMark/>
          </w:tcPr>
          <w:p w14:paraId="403AC78A"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0</w:t>
            </w:r>
          </w:p>
        </w:tc>
        <w:tc>
          <w:tcPr>
            <w:tcW w:w="1460" w:type="dxa"/>
            <w:tcBorders>
              <w:top w:val="nil"/>
              <w:left w:val="nil"/>
              <w:bottom w:val="nil"/>
              <w:right w:val="single" w:sz="4" w:space="0" w:color="auto"/>
            </w:tcBorders>
            <w:shd w:val="clear" w:color="auto" w:fill="auto"/>
            <w:noWrap/>
            <w:vAlign w:val="center"/>
            <w:hideMark/>
          </w:tcPr>
          <w:p w14:paraId="2A05BDF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636.972</w:t>
            </w:r>
          </w:p>
        </w:tc>
      </w:tr>
      <w:tr w:rsidR="00CD3946" w:rsidRPr="00CD3946" w14:paraId="6A79C750"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48EC35FE"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Dettes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commerciales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28E029B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69.229</w:t>
            </w:r>
          </w:p>
        </w:tc>
        <w:tc>
          <w:tcPr>
            <w:tcW w:w="1460" w:type="dxa"/>
            <w:tcBorders>
              <w:top w:val="nil"/>
              <w:left w:val="nil"/>
              <w:bottom w:val="nil"/>
              <w:right w:val="single" w:sz="4" w:space="0" w:color="auto"/>
            </w:tcBorders>
            <w:shd w:val="clear" w:color="auto" w:fill="auto"/>
            <w:noWrap/>
            <w:vAlign w:val="center"/>
            <w:hideMark/>
          </w:tcPr>
          <w:p w14:paraId="3AAC2BAA"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440.788</w:t>
            </w:r>
          </w:p>
        </w:tc>
        <w:tc>
          <w:tcPr>
            <w:tcW w:w="1460" w:type="dxa"/>
            <w:tcBorders>
              <w:top w:val="nil"/>
              <w:left w:val="nil"/>
              <w:bottom w:val="nil"/>
              <w:right w:val="single" w:sz="4" w:space="0" w:color="auto"/>
            </w:tcBorders>
            <w:shd w:val="clear" w:color="auto" w:fill="auto"/>
            <w:noWrap/>
            <w:vAlign w:val="center"/>
            <w:hideMark/>
          </w:tcPr>
          <w:p w14:paraId="7A13F3B8"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1.029.355</w:t>
            </w:r>
          </w:p>
        </w:tc>
      </w:tr>
      <w:tr w:rsidR="00CD3946" w:rsidRPr="00CD3946" w14:paraId="7F3722DF"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5CE03070" w14:textId="77777777" w:rsidR="00CD3946" w:rsidRPr="00345CA8" w:rsidRDefault="00CD3946" w:rsidP="007C6BE1">
            <w:pPr>
              <w:spacing w:after="0"/>
              <w:ind w:firstLineChars="100" w:firstLine="200"/>
              <w:rPr>
                <w:rFonts w:ascii="Arial" w:hAnsi="Arial" w:cs="Arial"/>
                <w:color w:val="000000"/>
                <w:sz w:val="20"/>
                <w:szCs w:val="20"/>
                <w:lang w:val="fr-BE"/>
              </w:rPr>
            </w:pPr>
            <w:r w:rsidRPr="00345CA8">
              <w:rPr>
                <w:rFonts w:ascii="Arial" w:hAnsi="Arial" w:cs="Arial"/>
                <w:color w:val="000000"/>
                <w:sz w:val="20"/>
                <w:szCs w:val="20"/>
                <w:lang w:val="fr-BE"/>
              </w:rPr>
              <w:t>Dettes fiscales, salariales et sociales</w:t>
            </w:r>
          </w:p>
        </w:tc>
        <w:tc>
          <w:tcPr>
            <w:tcW w:w="1300" w:type="dxa"/>
            <w:tcBorders>
              <w:top w:val="nil"/>
              <w:left w:val="single" w:sz="4" w:space="0" w:color="auto"/>
              <w:bottom w:val="nil"/>
              <w:right w:val="single" w:sz="4" w:space="0" w:color="auto"/>
            </w:tcBorders>
            <w:shd w:val="clear" w:color="auto" w:fill="auto"/>
            <w:noWrap/>
            <w:vAlign w:val="center"/>
            <w:hideMark/>
          </w:tcPr>
          <w:p w14:paraId="1FAF138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75.087</w:t>
            </w:r>
          </w:p>
        </w:tc>
        <w:tc>
          <w:tcPr>
            <w:tcW w:w="1460" w:type="dxa"/>
            <w:tcBorders>
              <w:top w:val="nil"/>
              <w:left w:val="nil"/>
              <w:bottom w:val="nil"/>
              <w:right w:val="single" w:sz="4" w:space="0" w:color="auto"/>
            </w:tcBorders>
            <w:shd w:val="clear" w:color="auto" w:fill="auto"/>
            <w:noWrap/>
            <w:vAlign w:val="center"/>
            <w:hideMark/>
          </w:tcPr>
          <w:p w14:paraId="1A8BF509"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90.635</w:t>
            </w:r>
          </w:p>
        </w:tc>
        <w:tc>
          <w:tcPr>
            <w:tcW w:w="1460" w:type="dxa"/>
            <w:tcBorders>
              <w:top w:val="nil"/>
              <w:left w:val="nil"/>
              <w:bottom w:val="nil"/>
              <w:right w:val="single" w:sz="4" w:space="0" w:color="auto"/>
            </w:tcBorders>
            <w:shd w:val="clear" w:color="auto" w:fill="auto"/>
            <w:noWrap/>
            <w:vAlign w:val="center"/>
            <w:hideMark/>
          </w:tcPr>
          <w:p w14:paraId="0644247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144.926</w:t>
            </w:r>
          </w:p>
        </w:tc>
      </w:tr>
      <w:tr w:rsidR="00CD3946" w:rsidRPr="00CD3946" w14:paraId="1B25CB10" w14:textId="77777777" w:rsidTr="007C6BE1">
        <w:trPr>
          <w:trHeight w:val="288"/>
          <w:jc w:val="center"/>
        </w:trPr>
        <w:tc>
          <w:tcPr>
            <w:tcW w:w="3620" w:type="dxa"/>
            <w:tcBorders>
              <w:top w:val="nil"/>
              <w:left w:val="single" w:sz="4" w:space="0" w:color="auto"/>
              <w:bottom w:val="nil"/>
              <w:right w:val="nil"/>
            </w:tcBorders>
            <w:shd w:val="clear" w:color="auto" w:fill="auto"/>
            <w:noWrap/>
            <w:vAlign w:val="bottom"/>
            <w:hideMark/>
          </w:tcPr>
          <w:p w14:paraId="0141AFB7"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Autres</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dettes</w:t>
            </w:r>
            <w:proofErr w:type="spellEnd"/>
          </w:p>
        </w:tc>
        <w:tc>
          <w:tcPr>
            <w:tcW w:w="1300" w:type="dxa"/>
            <w:tcBorders>
              <w:top w:val="nil"/>
              <w:left w:val="single" w:sz="4" w:space="0" w:color="auto"/>
              <w:bottom w:val="nil"/>
              <w:right w:val="single" w:sz="4" w:space="0" w:color="auto"/>
            </w:tcBorders>
            <w:shd w:val="clear" w:color="auto" w:fill="auto"/>
            <w:noWrap/>
            <w:vAlign w:val="center"/>
            <w:hideMark/>
          </w:tcPr>
          <w:p w14:paraId="4FFEA5C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15.091</w:t>
            </w:r>
          </w:p>
        </w:tc>
        <w:tc>
          <w:tcPr>
            <w:tcW w:w="1460" w:type="dxa"/>
            <w:tcBorders>
              <w:top w:val="nil"/>
              <w:left w:val="nil"/>
              <w:bottom w:val="nil"/>
              <w:right w:val="single" w:sz="4" w:space="0" w:color="auto"/>
            </w:tcBorders>
            <w:shd w:val="clear" w:color="auto" w:fill="auto"/>
            <w:noWrap/>
            <w:vAlign w:val="center"/>
            <w:hideMark/>
          </w:tcPr>
          <w:p w14:paraId="772A496F"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35.040.430</w:t>
            </w:r>
          </w:p>
        </w:tc>
        <w:tc>
          <w:tcPr>
            <w:tcW w:w="1460" w:type="dxa"/>
            <w:tcBorders>
              <w:top w:val="nil"/>
              <w:left w:val="nil"/>
              <w:bottom w:val="nil"/>
              <w:right w:val="single" w:sz="4" w:space="0" w:color="auto"/>
            </w:tcBorders>
            <w:shd w:val="clear" w:color="auto" w:fill="auto"/>
            <w:noWrap/>
            <w:vAlign w:val="center"/>
            <w:hideMark/>
          </w:tcPr>
          <w:p w14:paraId="2C502EF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41.970</w:t>
            </w:r>
          </w:p>
        </w:tc>
      </w:tr>
      <w:tr w:rsidR="00CD3946" w:rsidRPr="00CD3946" w14:paraId="66BA6988" w14:textId="77777777" w:rsidTr="007C6BE1">
        <w:trPr>
          <w:trHeight w:val="288"/>
          <w:jc w:val="center"/>
        </w:trPr>
        <w:tc>
          <w:tcPr>
            <w:tcW w:w="3620" w:type="dxa"/>
            <w:tcBorders>
              <w:top w:val="nil"/>
              <w:left w:val="single" w:sz="4" w:space="0" w:color="auto"/>
              <w:bottom w:val="single" w:sz="4" w:space="0" w:color="auto"/>
              <w:right w:val="nil"/>
            </w:tcBorders>
            <w:shd w:val="clear" w:color="auto" w:fill="auto"/>
            <w:noWrap/>
            <w:vAlign w:val="bottom"/>
            <w:hideMark/>
          </w:tcPr>
          <w:p w14:paraId="13EBF3CA" w14:textId="77777777" w:rsidR="00CD3946" w:rsidRPr="00CD3946" w:rsidRDefault="00CD3946" w:rsidP="007C6BE1">
            <w:pPr>
              <w:spacing w:after="0"/>
              <w:ind w:firstLineChars="100" w:firstLine="200"/>
              <w:rPr>
                <w:rFonts w:ascii="Arial" w:hAnsi="Arial" w:cs="Arial"/>
                <w:color w:val="000000"/>
                <w:sz w:val="20"/>
                <w:szCs w:val="20"/>
              </w:rPr>
            </w:pPr>
            <w:proofErr w:type="spellStart"/>
            <w:r w:rsidRPr="00CD3946">
              <w:rPr>
                <w:rFonts w:ascii="Arial" w:hAnsi="Arial" w:cs="Arial"/>
                <w:color w:val="000000"/>
                <w:sz w:val="20"/>
                <w:szCs w:val="20"/>
              </w:rPr>
              <w:t>Compte</w:t>
            </w:r>
            <w:proofErr w:type="spellEnd"/>
            <w:r w:rsidRPr="00CD3946">
              <w:rPr>
                <w:rFonts w:ascii="Arial" w:hAnsi="Arial" w:cs="Arial"/>
                <w:color w:val="000000"/>
                <w:sz w:val="20"/>
                <w:szCs w:val="20"/>
              </w:rPr>
              <w:t xml:space="preserve"> de </w:t>
            </w:r>
            <w:proofErr w:type="spellStart"/>
            <w:r w:rsidRPr="00CD3946">
              <w:rPr>
                <w:rFonts w:ascii="Arial" w:hAnsi="Arial" w:cs="Arial"/>
                <w:color w:val="000000"/>
                <w:sz w:val="20"/>
                <w:szCs w:val="20"/>
              </w:rPr>
              <w:t>régularisation</w:t>
            </w:r>
            <w:proofErr w:type="spellEnd"/>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DF4511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32.316</w:t>
            </w:r>
          </w:p>
        </w:tc>
        <w:tc>
          <w:tcPr>
            <w:tcW w:w="1460" w:type="dxa"/>
            <w:tcBorders>
              <w:top w:val="nil"/>
              <w:left w:val="nil"/>
              <w:bottom w:val="single" w:sz="4" w:space="0" w:color="auto"/>
              <w:right w:val="single" w:sz="4" w:space="0" w:color="auto"/>
            </w:tcBorders>
            <w:shd w:val="clear" w:color="auto" w:fill="auto"/>
            <w:noWrap/>
            <w:vAlign w:val="center"/>
            <w:hideMark/>
          </w:tcPr>
          <w:p w14:paraId="00D7CEDA"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single" w:sz="4" w:space="0" w:color="auto"/>
              <w:right w:val="single" w:sz="4" w:space="0" w:color="auto"/>
            </w:tcBorders>
            <w:shd w:val="clear" w:color="auto" w:fill="auto"/>
            <w:noWrap/>
            <w:vAlign w:val="center"/>
            <w:hideMark/>
          </w:tcPr>
          <w:p w14:paraId="72273F7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22.318</w:t>
            </w:r>
          </w:p>
        </w:tc>
      </w:tr>
      <w:tr w:rsidR="00CD3946" w:rsidRPr="00CD3946" w14:paraId="523C921C" w14:textId="77777777" w:rsidTr="007C6BE1">
        <w:trPr>
          <w:trHeight w:val="288"/>
          <w:jc w:val="center"/>
        </w:trPr>
        <w:tc>
          <w:tcPr>
            <w:tcW w:w="3620" w:type="dxa"/>
            <w:tcBorders>
              <w:top w:val="nil"/>
              <w:left w:val="single" w:sz="4" w:space="0" w:color="auto"/>
              <w:bottom w:val="single" w:sz="4" w:space="0" w:color="auto"/>
              <w:right w:val="nil"/>
            </w:tcBorders>
            <w:shd w:val="clear" w:color="auto" w:fill="auto"/>
            <w:noWrap/>
            <w:vAlign w:val="bottom"/>
            <w:hideMark/>
          </w:tcPr>
          <w:p w14:paraId="186F7FB8" w14:textId="77777777" w:rsidR="00CD3946" w:rsidRPr="00CD3946" w:rsidRDefault="00CD3946" w:rsidP="007C6BE1">
            <w:pPr>
              <w:spacing w:after="0"/>
              <w:rPr>
                <w:rFonts w:ascii="Arial" w:hAnsi="Arial" w:cs="Arial"/>
                <w:b/>
                <w:bCs/>
                <w:color w:val="000000"/>
                <w:sz w:val="20"/>
                <w:szCs w:val="20"/>
              </w:rPr>
            </w:pPr>
            <w:r w:rsidRPr="00CD3946">
              <w:rPr>
                <w:rFonts w:ascii="Arial" w:hAnsi="Arial" w:cs="Arial"/>
                <w:b/>
                <w:bCs/>
                <w:color w:val="000000"/>
                <w:sz w:val="20"/>
                <w:szCs w:val="20"/>
              </w:rPr>
              <w:t>TOTAL PASSIF</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8836C3F"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5.911.455</w:t>
            </w:r>
          </w:p>
        </w:tc>
        <w:tc>
          <w:tcPr>
            <w:tcW w:w="1460" w:type="dxa"/>
            <w:tcBorders>
              <w:top w:val="nil"/>
              <w:left w:val="nil"/>
              <w:bottom w:val="single" w:sz="4" w:space="0" w:color="auto"/>
              <w:right w:val="single" w:sz="4" w:space="0" w:color="auto"/>
            </w:tcBorders>
            <w:shd w:val="clear" w:color="auto" w:fill="auto"/>
            <w:noWrap/>
            <w:vAlign w:val="center"/>
            <w:hideMark/>
          </w:tcPr>
          <w:p w14:paraId="34DC5B6B"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37.308.478</w:t>
            </w:r>
          </w:p>
        </w:tc>
        <w:tc>
          <w:tcPr>
            <w:tcW w:w="1460" w:type="dxa"/>
            <w:tcBorders>
              <w:top w:val="nil"/>
              <w:left w:val="nil"/>
              <w:bottom w:val="single" w:sz="4" w:space="0" w:color="auto"/>
              <w:right w:val="single" w:sz="4" w:space="0" w:color="auto"/>
            </w:tcBorders>
            <w:shd w:val="clear" w:color="auto" w:fill="auto"/>
            <w:noWrap/>
            <w:vAlign w:val="center"/>
            <w:hideMark/>
          </w:tcPr>
          <w:p w14:paraId="04ABE9FF"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33.722.576</w:t>
            </w:r>
          </w:p>
        </w:tc>
      </w:tr>
    </w:tbl>
    <w:p w14:paraId="2FACDF45" w14:textId="77777777" w:rsidR="00CD3946" w:rsidRPr="00CD3946" w:rsidRDefault="00CD3946" w:rsidP="00CD3946">
      <w:pPr>
        <w:rPr>
          <w:rFonts w:ascii="Arial" w:hAnsi="Arial" w:cs="Arial"/>
          <w:i/>
          <w:iCs/>
          <w:sz w:val="20"/>
          <w:szCs w:val="20"/>
        </w:rPr>
      </w:pPr>
    </w:p>
    <w:tbl>
      <w:tblPr>
        <w:tblW w:w="7840" w:type="dxa"/>
        <w:jc w:val="center"/>
        <w:tblLook w:val="04A0" w:firstRow="1" w:lastRow="0" w:firstColumn="1" w:lastColumn="0" w:noHBand="0" w:noVBand="1"/>
      </w:tblPr>
      <w:tblGrid>
        <w:gridCol w:w="3620"/>
        <w:gridCol w:w="1300"/>
        <w:gridCol w:w="1460"/>
        <w:gridCol w:w="1460"/>
      </w:tblGrid>
      <w:tr w:rsidR="00CD3946" w:rsidRPr="00CD3946" w14:paraId="3DA5BA14" w14:textId="77777777" w:rsidTr="007C6BE1">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E375B" w14:textId="77777777" w:rsidR="00CD3946" w:rsidRPr="00CD3946" w:rsidRDefault="00CD3946" w:rsidP="007C6BE1">
            <w:pPr>
              <w:spacing w:after="0"/>
              <w:rPr>
                <w:rFonts w:ascii="Arial" w:hAnsi="Arial" w:cs="Arial"/>
                <w:b/>
                <w:bCs/>
                <w:color w:val="000000"/>
                <w:sz w:val="20"/>
                <w:szCs w:val="20"/>
              </w:rPr>
            </w:pPr>
            <w:r w:rsidRPr="00CD3946">
              <w:rPr>
                <w:rFonts w:ascii="Arial" w:hAnsi="Arial" w:cs="Arial"/>
                <w:b/>
                <w:bCs/>
                <w:color w:val="000000"/>
                <w:sz w:val="20"/>
                <w:szCs w:val="20"/>
              </w:rPr>
              <w:t xml:space="preserve">Affectations et </w:t>
            </w:r>
            <w:proofErr w:type="spellStart"/>
            <w:r w:rsidRPr="00CD3946">
              <w:rPr>
                <w:rFonts w:ascii="Arial" w:hAnsi="Arial" w:cs="Arial"/>
                <w:b/>
                <w:bCs/>
                <w:color w:val="000000"/>
                <w:sz w:val="20"/>
                <w:szCs w:val="20"/>
              </w:rPr>
              <w:t>prélèvements</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49E5701"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97C9D00"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C9FE876"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2020</w:t>
            </w:r>
          </w:p>
        </w:tc>
      </w:tr>
      <w:tr w:rsidR="00CD3946" w:rsidRPr="00CD3946" w14:paraId="1C862AD4"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bottom"/>
            <w:hideMark/>
          </w:tcPr>
          <w:p w14:paraId="19E0687C" w14:textId="77777777" w:rsidR="00CD3946" w:rsidRPr="00CD3946" w:rsidRDefault="00CD3946" w:rsidP="007C6BE1">
            <w:pPr>
              <w:spacing w:after="0"/>
              <w:rPr>
                <w:rFonts w:ascii="Arial" w:hAnsi="Arial" w:cs="Arial"/>
                <w:color w:val="000000"/>
                <w:sz w:val="20"/>
                <w:szCs w:val="20"/>
              </w:rPr>
            </w:pPr>
            <w:proofErr w:type="spellStart"/>
            <w:r w:rsidRPr="00CD3946">
              <w:rPr>
                <w:rFonts w:ascii="Arial" w:hAnsi="Arial" w:cs="Arial"/>
                <w:color w:val="000000"/>
                <w:sz w:val="20"/>
                <w:szCs w:val="20"/>
              </w:rPr>
              <w:t>Bénéfice</w:t>
            </w:r>
            <w:proofErr w:type="spellEnd"/>
            <w:r w:rsidRPr="00CD3946">
              <w:rPr>
                <w:rFonts w:ascii="Arial" w:hAnsi="Arial" w:cs="Arial"/>
                <w:color w:val="000000"/>
                <w:sz w:val="20"/>
                <w:szCs w:val="20"/>
              </w:rPr>
              <w:t xml:space="preserve"> (</w:t>
            </w:r>
            <w:proofErr w:type="spellStart"/>
            <w:r w:rsidRPr="00CD3946">
              <w:rPr>
                <w:rFonts w:ascii="Arial" w:hAnsi="Arial" w:cs="Arial"/>
                <w:color w:val="000000"/>
                <w:sz w:val="20"/>
                <w:szCs w:val="20"/>
              </w:rPr>
              <w:t>perte</w:t>
            </w:r>
            <w:proofErr w:type="spellEnd"/>
            <w:r w:rsidRPr="00CD3946">
              <w:rPr>
                <w:rFonts w:ascii="Arial" w:hAnsi="Arial" w:cs="Arial"/>
                <w:color w:val="000000"/>
                <w:sz w:val="20"/>
                <w:szCs w:val="20"/>
              </w:rPr>
              <w:t>) à affecter</w:t>
            </w:r>
          </w:p>
        </w:tc>
        <w:tc>
          <w:tcPr>
            <w:tcW w:w="1300" w:type="dxa"/>
            <w:tcBorders>
              <w:top w:val="nil"/>
              <w:left w:val="nil"/>
              <w:bottom w:val="nil"/>
              <w:right w:val="single" w:sz="4" w:space="0" w:color="auto"/>
            </w:tcBorders>
            <w:shd w:val="clear" w:color="auto" w:fill="auto"/>
            <w:noWrap/>
            <w:vAlign w:val="center"/>
            <w:hideMark/>
          </w:tcPr>
          <w:p w14:paraId="5115210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-9.571.745</w:t>
            </w:r>
          </w:p>
        </w:tc>
        <w:tc>
          <w:tcPr>
            <w:tcW w:w="1460" w:type="dxa"/>
            <w:tcBorders>
              <w:top w:val="nil"/>
              <w:left w:val="nil"/>
              <w:bottom w:val="nil"/>
              <w:right w:val="single" w:sz="4" w:space="0" w:color="auto"/>
            </w:tcBorders>
            <w:shd w:val="clear" w:color="auto" w:fill="auto"/>
            <w:noWrap/>
            <w:vAlign w:val="center"/>
            <w:hideMark/>
          </w:tcPr>
          <w:p w14:paraId="32A019E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-13.572.533</w:t>
            </w:r>
          </w:p>
        </w:tc>
        <w:tc>
          <w:tcPr>
            <w:tcW w:w="1460" w:type="dxa"/>
            <w:tcBorders>
              <w:top w:val="nil"/>
              <w:left w:val="nil"/>
              <w:bottom w:val="nil"/>
              <w:right w:val="single" w:sz="4" w:space="0" w:color="auto"/>
            </w:tcBorders>
            <w:shd w:val="clear" w:color="auto" w:fill="auto"/>
            <w:noWrap/>
            <w:vAlign w:val="center"/>
            <w:hideMark/>
          </w:tcPr>
          <w:p w14:paraId="430E7408"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-18.425.832</w:t>
            </w:r>
          </w:p>
        </w:tc>
      </w:tr>
      <w:tr w:rsidR="00CD3946" w:rsidRPr="00CD3946" w14:paraId="1AA6B439" w14:textId="77777777" w:rsidTr="007C6BE1">
        <w:trPr>
          <w:trHeight w:val="576"/>
          <w:jc w:val="center"/>
        </w:trPr>
        <w:tc>
          <w:tcPr>
            <w:tcW w:w="3620" w:type="dxa"/>
            <w:tcBorders>
              <w:top w:val="nil"/>
              <w:left w:val="single" w:sz="4" w:space="0" w:color="auto"/>
              <w:bottom w:val="nil"/>
              <w:right w:val="single" w:sz="4" w:space="0" w:color="auto"/>
            </w:tcBorders>
            <w:shd w:val="clear" w:color="auto" w:fill="auto"/>
            <w:vAlign w:val="bottom"/>
            <w:hideMark/>
          </w:tcPr>
          <w:p w14:paraId="6225CB46" w14:textId="77777777" w:rsidR="00CD3946" w:rsidRPr="00345CA8" w:rsidRDefault="00CD3946" w:rsidP="007C6BE1">
            <w:pPr>
              <w:spacing w:after="0"/>
              <w:ind w:firstLineChars="100" w:firstLine="200"/>
              <w:rPr>
                <w:rFonts w:ascii="Arial" w:hAnsi="Arial" w:cs="Arial"/>
                <w:color w:val="000000"/>
                <w:sz w:val="20"/>
                <w:szCs w:val="20"/>
                <w:lang w:val="fr-BE"/>
              </w:rPr>
            </w:pPr>
            <w:r w:rsidRPr="00345CA8">
              <w:rPr>
                <w:rFonts w:ascii="Arial" w:hAnsi="Arial" w:cs="Arial"/>
                <w:color w:val="000000"/>
                <w:sz w:val="20"/>
                <w:szCs w:val="20"/>
                <w:lang w:val="fr-BE"/>
              </w:rPr>
              <w:t>Bénéfice (perte) de l'exercice à affecter</w:t>
            </w:r>
          </w:p>
        </w:tc>
        <w:tc>
          <w:tcPr>
            <w:tcW w:w="1300" w:type="dxa"/>
            <w:tcBorders>
              <w:top w:val="nil"/>
              <w:left w:val="nil"/>
              <w:bottom w:val="nil"/>
              <w:right w:val="single" w:sz="4" w:space="0" w:color="auto"/>
            </w:tcBorders>
            <w:shd w:val="clear" w:color="auto" w:fill="auto"/>
            <w:noWrap/>
            <w:vAlign w:val="center"/>
            <w:hideMark/>
          </w:tcPr>
          <w:p w14:paraId="5EF4287A"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-2.398.009</w:t>
            </w:r>
          </w:p>
        </w:tc>
        <w:tc>
          <w:tcPr>
            <w:tcW w:w="1460" w:type="dxa"/>
            <w:tcBorders>
              <w:top w:val="nil"/>
              <w:left w:val="nil"/>
              <w:bottom w:val="nil"/>
              <w:right w:val="single" w:sz="4" w:space="0" w:color="auto"/>
            </w:tcBorders>
            <w:shd w:val="clear" w:color="auto" w:fill="auto"/>
            <w:noWrap/>
            <w:vAlign w:val="center"/>
            <w:hideMark/>
          </w:tcPr>
          <w:p w14:paraId="57C1A750"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-4.008.746</w:t>
            </w:r>
          </w:p>
        </w:tc>
        <w:tc>
          <w:tcPr>
            <w:tcW w:w="1460" w:type="dxa"/>
            <w:tcBorders>
              <w:top w:val="nil"/>
              <w:left w:val="nil"/>
              <w:bottom w:val="nil"/>
              <w:right w:val="single" w:sz="4" w:space="0" w:color="auto"/>
            </w:tcBorders>
            <w:shd w:val="clear" w:color="auto" w:fill="auto"/>
            <w:noWrap/>
            <w:vAlign w:val="center"/>
            <w:hideMark/>
          </w:tcPr>
          <w:p w14:paraId="3B3C7D7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-4.878.317</w:t>
            </w:r>
          </w:p>
        </w:tc>
      </w:tr>
      <w:tr w:rsidR="00CD3946" w:rsidRPr="00CD3946" w14:paraId="51821EB1" w14:textId="77777777" w:rsidTr="007C6BE1">
        <w:trPr>
          <w:trHeight w:val="576"/>
          <w:jc w:val="center"/>
        </w:trPr>
        <w:tc>
          <w:tcPr>
            <w:tcW w:w="3620" w:type="dxa"/>
            <w:tcBorders>
              <w:top w:val="nil"/>
              <w:left w:val="single" w:sz="4" w:space="0" w:color="auto"/>
              <w:bottom w:val="nil"/>
              <w:right w:val="single" w:sz="4" w:space="0" w:color="auto"/>
            </w:tcBorders>
            <w:shd w:val="clear" w:color="auto" w:fill="auto"/>
            <w:vAlign w:val="bottom"/>
            <w:hideMark/>
          </w:tcPr>
          <w:p w14:paraId="085CAEB3" w14:textId="77777777" w:rsidR="00CD3946" w:rsidRPr="00345CA8" w:rsidRDefault="00CD3946" w:rsidP="007C6BE1">
            <w:pPr>
              <w:spacing w:after="0"/>
              <w:ind w:firstLineChars="100" w:firstLine="200"/>
              <w:rPr>
                <w:rFonts w:ascii="Arial" w:hAnsi="Arial" w:cs="Arial"/>
                <w:color w:val="000000"/>
                <w:sz w:val="20"/>
                <w:szCs w:val="20"/>
                <w:lang w:val="fr-BE"/>
              </w:rPr>
            </w:pPr>
            <w:r w:rsidRPr="00345CA8">
              <w:rPr>
                <w:rFonts w:ascii="Arial" w:hAnsi="Arial" w:cs="Arial"/>
                <w:color w:val="000000"/>
                <w:sz w:val="20"/>
                <w:szCs w:val="20"/>
                <w:lang w:val="fr-BE"/>
              </w:rPr>
              <w:t>Bénéfice (perte) reportée de l'exercice précédent</w:t>
            </w:r>
          </w:p>
        </w:tc>
        <w:tc>
          <w:tcPr>
            <w:tcW w:w="1300" w:type="dxa"/>
            <w:tcBorders>
              <w:top w:val="nil"/>
              <w:left w:val="nil"/>
              <w:bottom w:val="nil"/>
              <w:right w:val="single" w:sz="4" w:space="0" w:color="auto"/>
            </w:tcBorders>
            <w:shd w:val="clear" w:color="auto" w:fill="auto"/>
            <w:noWrap/>
            <w:vAlign w:val="center"/>
            <w:hideMark/>
          </w:tcPr>
          <w:p w14:paraId="66A6C126"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-7.173.736</w:t>
            </w:r>
          </w:p>
        </w:tc>
        <w:tc>
          <w:tcPr>
            <w:tcW w:w="1460" w:type="dxa"/>
            <w:tcBorders>
              <w:top w:val="nil"/>
              <w:left w:val="nil"/>
              <w:bottom w:val="nil"/>
              <w:right w:val="single" w:sz="4" w:space="0" w:color="auto"/>
            </w:tcBorders>
            <w:shd w:val="clear" w:color="auto" w:fill="auto"/>
            <w:noWrap/>
            <w:vAlign w:val="center"/>
            <w:hideMark/>
          </w:tcPr>
          <w:p w14:paraId="264CAA85"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-9.563.787</w:t>
            </w:r>
          </w:p>
        </w:tc>
        <w:tc>
          <w:tcPr>
            <w:tcW w:w="1460" w:type="dxa"/>
            <w:tcBorders>
              <w:top w:val="nil"/>
              <w:left w:val="nil"/>
              <w:bottom w:val="nil"/>
              <w:right w:val="single" w:sz="4" w:space="0" w:color="auto"/>
            </w:tcBorders>
            <w:shd w:val="clear" w:color="auto" w:fill="auto"/>
            <w:noWrap/>
            <w:vAlign w:val="center"/>
            <w:hideMark/>
          </w:tcPr>
          <w:p w14:paraId="6636706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-13.547.515</w:t>
            </w:r>
          </w:p>
        </w:tc>
      </w:tr>
      <w:tr w:rsidR="00CD3946" w:rsidRPr="00CD3946" w14:paraId="3A4CD105"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bottom"/>
            <w:hideMark/>
          </w:tcPr>
          <w:p w14:paraId="07E043E5" w14:textId="77777777" w:rsidR="00CD3946" w:rsidRPr="00345CA8" w:rsidRDefault="00CD3946" w:rsidP="007C6BE1">
            <w:pPr>
              <w:spacing w:after="0"/>
              <w:rPr>
                <w:rFonts w:ascii="Arial" w:hAnsi="Arial" w:cs="Arial"/>
                <w:color w:val="000000"/>
                <w:sz w:val="20"/>
                <w:szCs w:val="20"/>
                <w:lang w:val="fr-BE"/>
              </w:rPr>
            </w:pPr>
            <w:r w:rsidRPr="00345CA8">
              <w:rPr>
                <w:rFonts w:ascii="Arial" w:hAnsi="Arial" w:cs="Arial"/>
                <w:color w:val="000000"/>
                <w:sz w:val="20"/>
                <w:szCs w:val="20"/>
                <w:lang w:val="fr-BE"/>
              </w:rPr>
              <w:t>Intervention d'associés dans la perte</w:t>
            </w:r>
          </w:p>
        </w:tc>
        <w:tc>
          <w:tcPr>
            <w:tcW w:w="1300" w:type="dxa"/>
            <w:tcBorders>
              <w:top w:val="nil"/>
              <w:left w:val="nil"/>
              <w:bottom w:val="nil"/>
              <w:right w:val="single" w:sz="4" w:space="0" w:color="auto"/>
            </w:tcBorders>
            <w:shd w:val="clear" w:color="auto" w:fill="auto"/>
            <w:noWrap/>
            <w:vAlign w:val="center"/>
            <w:hideMark/>
          </w:tcPr>
          <w:p w14:paraId="419968A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7.958</w:t>
            </w:r>
          </w:p>
        </w:tc>
        <w:tc>
          <w:tcPr>
            <w:tcW w:w="1460" w:type="dxa"/>
            <w:tcBorders>
              <w:top w:val="nil"/>
              <w:left w:val="nil"/>
              <w:bottom w:val="nil"/>
              <w:right w:val="single" w:sz="4" w:space="0" w:color="auto"/>
            </w:tcBorders>
            <w:shd w:val="clear" w:color="auto" w:fill="auto"/>
            <w:noWrap/>
            <w:vAlign w:val="center"/>
            <w:hideMark/>
          </w:tcPr>
          <w:p w14:paraId="354FCA6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25.019</w:t>
            </w:r>
          </w:p>
        </w:tc>
        <w:tc>
          <w:tcPr>
            <w:tcW w:w="1460" w:type="dxa"/>
            <w:tcBorders>
              <w:top w:val="nil"/>
              <w:left w:val="nil"/>
              <w:bottom w:val="nil"/>
              <w:right w:val="single" w:sz="4" w:space="0" w:color="auto"/>
            </w:tcBorders>
            <w:shd w:val="clear" w:color="auto" w:fill="auto"/>
            <w:noWrap/>
            <w:vAlign w:val="center"/>
            <w:hideMark/>
          </w:tcPr>
          <w:p w14:paraId="51155438"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13.546</w:t>
            </w:r>
          </w:p>
        </w:tc>
      </w:tr>
      <w:tr w:rsidR="00CD3946" w:rsidRPr="00CD3946" w14:paraId="1F0FFDFE" w14:textId="77777777" w:rsidTr="007C6BE1">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B7D24" w14:textId="77777777" w:rsidR="00CD3946" w:rsidRPr="00CD3946" w:rsidRDefault="00CD3946" w:rsidP="007C6BE1">
            <w:pPr>
              <w:spacing w:after="0"/>
              <w:rPr>
                <w:rFonts w:ascii="Arial" w:hAnsi="Arial" w:cs="Arial"/>
                <w:b/>
                <w:bCs/>
                <w:color w:val="000000"/>
                <w:sz w:val="20"/>
                <w:szCs w:val="20"/>
              </w:rPr>
            </w:pPr>
            <w:proofErr w:type="spellStart"/>
            <w:r w:rsidRPr="00CD3946">
              <w:rPr>
                <w:rFonts w:ascii="Arial" w:hAnsi="Arial" w:cs="Arial"/>
                <w:b/>
                <w:bCs/>
                <w:color w:val="000000"/>
                <w:sz w:val="20"/>
                <w:szCs w:val="20"/>
              </w:rPr>
              <w:t>Bénéfice</w:t>
            </w:r>
            <w:proofErr w:type="spellEnd"/>
            <w:r w:rsidRPr="00CD3946">
              <w:rPr>
                <w:rFonts w:ascii="Arial" w:hAnsi="Arial" w:cs="Arial"/>
                <w:b/>
                <w:bCs/>
                <w:color w:val="000000"/>
                <w:sz w:val="20"/>
                <w:szCs w:val="20"/>
              </w:rPr>
              <w:t xml:space="preserve"> (</w:t>
            </w:r>
            <w:proofErr w:type="spellStart"/>
            <w:r w:rsidRPr="00CD3946">
              <w:rPr>
                <w:rFonts w:ascii="Arial" w:hAnsi="Arial" w:cs="Arial"/>
                <w:b/>
                <w:bCs/>
                <w:color w:val="000000"/>
                <w:sz w:val="20"/>
                <w:szCs w:val="20"/>
              </w:rPr>
              <w:t>perte</w:t>
            </w:r>
            <w:proofErr w:type="spellEnd"/>
            <w:r w:rsidRPr="00CD3946">
              <w:rPr>
                <w:rFonts w:ascii="Arial" w:hAnsi="Arial" w:cs="Arial"/>
                <w:b/>
                <w:bCs/>
                <w:color w:val="000000"/>
                <w:sz w:val="20"/>
                <w:szCs w:val="20"/>
              </w:rPr>
              <w:t>) à reporter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DFC9D20"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-9.563.787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F24C6AB"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-13.547.515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00E65322"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-18.412.286</w:t>
            </w:r>
          </w:p>
        </w:tc>
      </w:tr>
    </w:tbl>
    <w:p w14:paraId="438FCD6B" w14:textId="77777777" w:rsidR="00CD3946" w:rsidRPr="00CD3946" w:rsidRDefault="00CD3946" w:rsidP="00CD3946">
      <w:pPr>
        <w:rPr>
          <w:rFonts w:ascii="Arial" w:hAnsi="Arial" w:cs="Arial"/>
          <w:sz w:val="20"/>
          <w:szCs w:val="20"/>
        </w:rPr>
      </w:pPr>
    </w:p>
    <w:p w14:paraId="7EC86689" w14:textId="1B64C27C"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 xml:space="preserve">Au 31 décembre 2020, les produits d’exploitations </w:t>
      </w:r>
      <w:r w:rsidR="008C66C5">
        <w:rPr>
          <w:rFonts w:ascii="Arial" w:hAnsi="Arial" w:cs="Arial"/>
          <w:sz w:val="20"/>
          <w:szCs w:val="20"/>
          <w:lang w:val="fr-BE"/>
        </w:rPr>
        <w:t>se montent</w:t>
      </w:r>
      <w:r w:rsidR="008C66C5" w:rsidRPr="00CD3946">
        <w:rPr>
          <w:rFonts w:ascii="Arial" w:hAnsi="Arial" w:cs="Arial"/>
          <w:sz w:val="20"/>
          <w:szCs w:val="20"/>
          <w:lang w:val="fr-BE"/>
        </w:rPr>
        <w:t xml:space="preserve"> </w:t>
      </w:r>
      <w:r w:rsidRPr="00CD3946">
        <w:rPr>
          <w:rFonts w:ascii="Arial" w:hAnsi="Arial" w:cs="Arial"/>
          <w:sz w:val="20"/>
          <w:szCs w:val="20"/>
          <w:lang w:val="fr-BE"/>
        </w:rPr>
        <w:t xml:space="preserve">à 152.000 € contre 97.000 € pour l’exercice 2019. L’amélioration des commissions perçues est liée au développement de l’activité assurance (automobile et habitation). Afin d’améliorer le volume de souscriptions de nouvelles polices d’assurance, </w:t>
      </w:r>
      <w:proofErr w:type="spellStart"/>
      <w:r w:rsidRPr="00CD3946">
        <w:rPr>
          <w:rFonts w:ascii="Arial" w:hAnsi="Arial" w:cs="Arial"/>
          <w:sz w:val="20"/>
          <w:szCs w:val="20"/>
          <w:lang w:val="fr-BE"/>
        </w:rPr>
        <w:t>NewB</w:t>
      </w:r>
      <w:proofErr w:type="spellEnd"/>
      <w:r w:rsidRPr="00CD3946">
        <w:rPr>
          <w:rFonts w:ascii="Arial" w:hAnsi="Arial" w:cs="Arial"/>
          <w:sz w:val="20"/>
          <w:szCs w:val="20"/>
          <w:lang w:val="fr-BE"/>
        </w:rPr>
        <w:t xml:space="preserve"> a conclu un partenariat avec </w:t>
      </w:r>
      <w:r w:rsidR="008C66C5">
        <w:rPr>
          <w:rFonts w:ascii="Arial" w:hAnsi="Arial" w:cs="Arial"/>
          <w:sz w:val="20"/>
          <w:szCs w:val="20"/>
          <w:lang w:val="fr-BE"/>
        </w:rPr>
        <w:t>Aedes</w:t>
      </w:r>
      <w:r w:rsidRPr="00CD3946">
        <w:rPr>
          <w:rFonts w:ascii="Arial" w:hAnsi="Arial" w:cs="Arial"/>
          <w:sz w:val="20"/>
          <w:szCs w:val="20"/>
          <w:lang w:val="fr-BE"/>
        </w:rPr>
        <w:t xml:space="preserve">. Aedes met à disposition de </w:t>
      </w:r>
      <w:proofErr w:type="spellStart"/>
      <w:r w:rsidRPr="00CD3946">
        <w:rPr>
          <w:rFonts w:ascii="Arial" w:hAnsi="Arial" w:cs="Arial"/>
          <w:sz w:val="20"/>
          <w:szCs w:val="20"/>
          <w:lang w:val="fr-BE"/>
        </w:rPr>
        <w:t>NewB</w:t>
      </w:r>
      <w:proofErr w:type="spellEnd"/>
      <w:r w:rsidRPr="00CD3946">
        <w:rPr>
          <w:rFonts w:ascii="Arial" w:hAnsi="Arial" w:cs="Arial"/>
          <w:sz w:val="20"/>
          <w:szCs w:val="20"/>
          <w:lang w:val="fr-BE"/>
        </w:rPr>
        <w:t xml:space="preserve"> une équipe commerciale en échange d’un partage 2/3 (</w:t>
      </w:r>
      <w:r w:rsidR="008C66C5">
        <w:rPr>
          <w:rFonts w:ascii="Arial" w:hAnsi="Arial" w:cs="Arial"/>
          <w:sz w:val="20"/>
          <w:szCs w:val="20"/>
          <w:lang w:val="fr-BE"/>
        </w:rPr>
        <w:t>Aedes</w:t>
      </w:r>
      <w:r w:rsidRPr="00CD3946">
        <w:rPr>
          <w:rFonts w:ascii="Arial" w:hAnsi="Arial" w:cs="Arial"/>
          <w:sz w:val="20"/>
          <w:szCs w:val="20"/>
          <w:lang w:val="fr-BE"/>
        </w:rPr>
        <w:t>) - 1/3 (</w:t>
      </w:r>
      <w:proofErr w:type="spellStart"/>
      <w:r w:rsidRPr="00CD3946">
        <w:rPr>
          <w:rFonts w:ascii="Arial" w:hAnsi="Arial" w:cs="Arial"/>
          <w:sz w:val="20"/>
          <w:szCs w:val="20"/>
          <w:lang w:val="fr-BE"/>
        </w:rPr>
        <w:t>NewB</w:t>
      </w:r>
      <w:proofErr w:type="spellEnd"/>
      <w:r w:rsidRPr="00CD3946">
        <w:rPr>
          <w:rFonts w:ascii="Arial" w:hAnsi="Arial" w:cs="Arial"/>
          <w:sz w:val="20"/>
          <w:szCs w:val="20"/>
          <w:lang w:val="fr-BE"/>
        </w:rPr>
        <w:t xml:space="preserve">) des commissions générées lors de la première année de la police. </w:t>
      </w:r>
    </w:p>
    <w:p w14:paraId="0661420B" w14:textId="77777777" w:rsidR="00CD3946" w:rsidRPr="00CD3946" w:rsidRDefault="00CD3946" w:rsidP="00CD3946">
      <w:pPr>
        <w:pStyle w:val="Heading4"/>
        <w:ind w:left="1560"/>
        <w:rPr>
          <w:rFonts w:ascii="Arial" w:hAnsi="Arial" w:cs="Arial"/>
          <w:sz w:val="20"/>
          <w:szCs w:val="20"/>
        </w:rPr>
      </w:pPr>
      <w:r w:rsidRPr="00CD3946">
        <w:rPr>
          <w:rFonts w:ascii="Arial" w:hAnsi="Arial" w:cs="Arial"/>
          <w:sz w:val="20"/>
          <w:szCs w:val="20"/>
        </w:rPr>
        <w:t xml:space="preserve">(I) Les services et biens divers </w:t>
      </w:r>
    </w:p>
    <w:p w14:paraId="1CB0D101" w14:textId="1A2F2A10" w:rsidR="00CD3946" w:rsidRPr="00CD3946" w:rsidRDefault="00CD3946" w:rsidP="00CD3946">
      <w:pPr>
        <w:ind w:left="720"/>
        <w:rPr>
          <w:rFonts w:ascii="Arial" w:hAnsi="Arial" w:cs="Arial"/>
          <w:sz w:val="20"/>
          <w:szCs w:val="20"/>
          <w:lang w:val="fr-BE"/>
        </w:rPr>
      </w:pPr>
      <w:r w:rsidRPr="00CD3946">
        <w:rPr>
          <w:rFonts w:ascii="Arial" w:hAnsi="Arial" w:cs="Arial"/>
          <w:sz w:val="20"/>
          <w:szCs w:val="20"/>
          <w:lang w:val="fr-BE"/>
        </w:rPr>
        <w:t>Les services et bien</w:t>
      </w:r>
      <w:r w:rsidR="008C66C5">
        <w:rPr>
          <w:rFonts w:ascii="Arial" w:hAnsi="Arial" w:cs="Arial"/>
          <w:sz w:val="20"/>
          <w:szCs w:val="20"/>
          <w:lang w:val="fr-BE"/>
        </w:rPr>
        <w:t>s</w:t>
      </w:r>
      <w:r w:rsidRPr="00CD3946">
        <w:rPr>
          <w:rFonts w:ascii="Arial" w:hAnsi="Arial" w:cs="Arial"/>
          <w:sz w:val="20"/>
          <w:szCs w:val="20"/>
          <w:lang w:val="fr-BE"/>
        </w:rPr>
        <w:t xml:space="preserve"> divers ont augmenté (+ 473.000€) en passant de de 2.589.000 € à 3.062.000 €.</w:t>
      </w:r>
    </w:p>
    <w:p w14:paraId="464EDCCB" w14:textId="77777777"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La décomposition est la suivante : Les honoraires comprenant notamment le management et les frais de consultance avec un total de 1.826.600 € (979.000 € en 2019). Les prestations informatiques pour un montant de 540.000 € (415.000 € en 2019). Les honoraires d’avocats avec 132.000 € (172.000 € en 2019). Les frais de communication et de marketing pour 47.000 € (570.000 € en 2019). Les jetons de présences avec 88.000 € (néant en 2019). La location des bureaux, avec l’adjonction d’une surface supplémentaire pour faire face à l’augmentation des effectifs et intervenants externes, pour un montant de 139.000 € (106.000 € 2019). Le solde de 290.000 € représente divers postes comptables tels que les assurances diverses, les frais de réunion, les frais de déplacement etc.</w:t>
      </w:r>
    </w:p>
    <w:p w14:paraId="5A7931E2" w14:textId="77777777" w:rsidR="00CD3946" w:rsidRPr="00CD3946" w:rsidRDefault="00CD3946" w:rsidP="00CD3946">
      <w:pPr>
        <w:pStyle w:val="Heading4"/>
        <w:ind w:left="1560"/>
        <w:rPr>
          <w:rFonts w:ascii="Arial" w:hAnsi="Arial" w:cs="Arial"/>
          <w:sz w:val="20"/>
          <w:szCs w:val="20"/>
        </w:rPr>
      </w:pPr>
      <w:r w:rsidRPr="00CD3946">
        <w:rPr>
          <w:rFonts w:ascii="Arial" w:hAnsi="Arial" w:cs="Arial"/>
          <w:sz w:val="20"/>
          <w:szCs w:val="20"/>
        </w:rPr>
        <w:lastRenderedPageBreak/>
        <w:t xml:space="preserve">(II) Les rémunérations </w:t>
      </w:r>
    </w:p>
    <w:p w14:paraId="767B98A5" w14:textId="68ADD570"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Les dépenses de personnel sont en augmentation de 357.000 €, 1.269.000 € en 2020 contre 912.000 € en 2019. Le nombre de collaborateurs et collaboratrices sous contrat à durée indéterminée est de 21 (dont 8 à temps partiel) au 31 décembre 2020 contre 12 (dont 1 à temps partiel) un an auparavant. Cette évolution fait suite à l’opérationnalisation des activités de la banque. En équivalent temps plein (contrat à durée indéterminée et déterminée cette fois) l’évolution est plus limitée en passant de 11.8 à 18.3.</w:t>
      </w:r>
    </w:p>
    <w:p w14:paraId="7E9BE135" w14:textId="77777777" w:rsidR="00CD3946" w:rsidRPr="00CD3946" w:rsidRDefault="00CD3946" w:rsidP="00CD3946">
      <w:pPr>
        <w:pStyle w:val="Heading4"/>
        <w:ind w:left="1560"/>
        <w:rPr>
          <w:rFonts w:ascii="Arial" w:hAnsi="Arial" w:cs="Arial"/>
          <w:sz w:val="20"/>
          <w:szCs w:val="20"/>
        </w:rPr>
      </w:pPr>
      <w:r w:rsidRPr="00CD3946">
        <w:rPr>
          <w:rFonts w:ascii="Arial" w:hAnsi="Arial" w:cs="Arial"/>
          <w:sz w:val="20"/>
          <w:szCs w:val="20"/>
        </w:rPr>
        <w:t>(III) Les amortissements sur immobilisations incorporelles et corporelles</w:t>
      </w:r>
    </w:p>
    <w:p w14:paraId="3D1BA46B" w14:textId="0385D76E"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 xml:space="preserve">Ils représentent 234.000 € en 2020 contre 319.000€ en 2019, une diminution de 85.000 €. La diminution est liée </w:t>
      </w:r>
      <w:r w:rsidR="00896AF0" w:rsidRPr="00CD3946">
        <w:rPr>
          <w:rFonts w:ascii="Arial" w:hAnsi="Arial" w:cs="Arial"/>
          <w:sz w:val="20"/>
          <w:szCs w:val="20"/>
          <w:lang w:val="fr-BE"/>
        </w:rPr>
        <w:t>aux nouvelles règles</w:t>
      </w:r>
      <w:r w:rsidRPr="00CD3946">
        <w:rPr>
          <w:rFonts w:ascii="Arial" w:hAnsi="Arial" w:cs="Arial"/>
          <w:sz w:val="20"/>
          <w:szCs w:val="20"/>
          <w:lang w:val="fr-BE"/>
        </w:rPr>
        <w:t xml:space="preserve"> d’évaluation et au fait qu’il y a un décalage dans la mise en production de certains modules informatiques.</w:t>
      </w:r>
    </w:p>
    <w:p w14:paraId="687F6194" w14:textId="77777777" w:rsidR="00CD3946" w:rsidRPr="00CD3946" w:rsidRDefault="00CD3946" w:rsidP="00CD3946">
      <w:pPr>
        <w:pStyle w:val="Heading4"/>
        <w:ind w:left="1560"/>
        <w:rPr>
          <w:rFonts w:ascii="Arial" w:hAnsi="Arial" w:cs="Arial"/>
          <w:sz w:val="20"/>
          <w:szCs w:val="20"/>
        </w:rPr>
      </w:pPr>
      <w:r w:rsidRPr="00CD3946">
        <w:rPr>
          <w:rFonts w:ascii="Arial" w:hAnsi="Arial" w:cs="Arial"/>
          <w:sz w:val="20"/>
          <w:szCs w:val="20"/>
        </w:rPr>
        <w:t xml:space="preserve">(IV) Les autres charges d’exploitation </w:t>
      </w:r>
    </w:p>
    <w:p w14:paraId="79CF5A41" w14:textId="1B76EF96" w:rsidR="00CD3946" w:rsidRPr="00CD3946" w:rsidRDefault="00CD3946" w:rsidP="00CD3946">
      <w:pPr>
        <w:ind w:left="720"/>
        <w:jc w:val="both"/>
        <w:rPr>
          <w:rFonts w:ascii="Arial" w:hAnsi="Arial" w:cs="Arial"/>
          <w:sz w:val="20"/>
          <w:szCs w:val="20"/>
          <w:lang w:val="fr-BE"/>
        </w:rPr>
      </w:pPr>
      <w:r w:rsidRPr="00CD3946">
        <w:rPr>
          <w:rFonts w:ascii="Arial" w:hAnsi="Arial" w:cs="Arial"/>
          <w:sz w:val="20"/>
          <w:szCs w:val="20"/>
          <w:lang w:val="fr-BE"/>
        </w:rPr>
        <w:t xml:space="preserve">Le montant de TVA non récupérable, pour un montant de 254.000 €, constitue l’essentiel de cette rubrique de 256.000 €. Le total de ce poste est de 33.000 € moins élevé qu’en 2019 corrélativement aux dépenses de fonctionnement et les nouvelles règles d’évaluation (activation de tva non récupérable dans l’investissement au bilan). </w:t>
      </w:r>
    </w:p>
    <w:p w14:paraId="2DBD1519" w14:textId="78962F46" w:rsidR="00CD3946" w:rsidRPr="00CD3946" w:rsidRDefault="00CD3946" w:rsidP="00382324">
      <w:pPr>
        <w:ind w:left="720"/>
        <w:jc w:val="both"/>
        <w:rPr>
          <w:rFonts w:ascii="Arial" w:hAnsi="Arial" w:cs="Arial"/>
          <w:sz w:val="20"/>
          <w:szCs w:val="20"/>
          <w:lang w:val="fr-BE"/>
        </w:rPr>
      </w:pPr>
      <w:r w:rsidRPr="00CD3946">
        <w:rPr>
          <w:rFonts w:ascii="Arial" w:hAnsi="Arial" w:cs="Arial"/>
          <w:sz w:val="20"/>
          <w:szCs w:val="20"/>
          <w:lang w:val="fr-BE"/>
        </w:rPr>
        <w:t xml:space="preserve">Le résultat de l’exercice 2019 est en perte à hauteur de 4.878.000 €, contre une perte de 4.009.000 € lors de l’exercice précédent. Cette évolution est le reflet d’une activité projet intense, avec la mise en œuvre des activités bancaires et de l’opération de capitalisation. </w:t>
      </w:r>
    </w:p>
    <w:tbl>
      <w:tblPr>
        <w:tblW w:w="7840" w:type="dxa"/>
        <w:jc w:val="center"/>
        <w:tblLook w:val="04A0" w:firstRow="1" w:lastRow="0" w:firstColumn="1" w:lastColumn="0" w:noHBand="0" w:noVBand="1"/>
      </w:tblPr>
      <w:tblGrid>
        <w:gridCol w:w="3620"/>
        <w:gridCol w:w="1300"/>
        <w:gridCol w:w="1460"/>
        <w:gridCol w:w="1460"/>
      </w:tblGrid>
      <w:tr w:rsidR="00CD3946" w:rsidRPr="00CD3946" w14:paraId="061EDDA3" w14:textId="77777777" w:rsidTr="007C6BE1">
        <w:trPr>
          <w:trHeight w:val="288"/>
          <w:jc w:val="center"/>
        </w:trPr>
        <w:tc>
          <w:tcPr>
            <w:tcW w:w="3620" w:type="dxa"/>
            <w:tcBorders>
              <w:top w:val="single" w:sz="4" w:space="0" w:color="auto"/>
              <w:left w:val="single" w:sz="4" w:space="0" w:color="auto"/>
              <w:bottom w:val="nil"/>
              <w:right w:val="single" w:sz="4" w:space="0" w:color="auto"/>
            </w:tcBorders>
            <w:shd w:val="clear" w:color="auto" w:fill="auto"/>
            <w:noWrap/>
            <w:vAlign w:val="bottom"/>
            <w:hideMark/>
          </w:tcPr>
          <w:p w14:paraId="49DF39C5" w14:textId="77777777" w:rsidR="00CD3946" w:rsidRPr="00345CA8" w:rsidRDefault="00CD3946" w:rsidP="007C6BE1">
            <w:pPr>
              <w:spacing w:after="0"/>
              <w:rPr>
                <w:rFonts w:ascii="Arial" w:hAnsi="Arial" w:cs="Arial"/>
                <w:b/>
                <w:bCs/>
                <w:color w:val="000000"/>
                <w:sz w:val="20"/>
                <w:szCs w:val="20"/>
                <w:lang w:val="fr-BE"/>
              </w:rPr>
            </w:pPr>
            <w:r w:rsidRPr="00345CA8">
              <w:rPr>
                <w:rFonts w:ascii="Arial" w:hAnsi="Arial" w:cs="Arial"/>
                <w:b/>
                <w:bCs/>
                <w:color w:val="000000"/>
                <w:sz w:val="20"/>
                <w:szCs w:val="20"/>
                <w:lang w:val="fr-BE"/>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B824AB"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A636F64"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2019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3B51CCD" w14:textId="77777777" w:rsidR="00CD3946" w:rsidRPr="00CD3946" w:rsidRDefault="00CD3946" w:rsidP="007C6BE1">
            <w:pPr>
              <w:spacing w:after="0"/>
              <w:jc w:val="center"/>
              <w:rPr>
                <w:rFonts w:ascii="Arial" w:hAnsi="Arial" w:cs="Arial"/>
                <w:b/>
                <w:bCs/>
                <w:color w:val="000000"/>
                <w:sz w:val="20"/>
                <w:szCs w:val="20"/>
              </w:rPr>
            </w:pPr>
            <w:r w:rsidRPr="00CD3946">
              <w:rPr>
                <w:rFonts w:ascii="Arial" w:hAnsi="Arial" w:cs="Arial"/>
                <w:b/>
                <w:bCs/>
                <w:color w:val="000000"/>
                <w:sz w:val="20"/>
                <w:szCs w:val="20"/>
              </w:rPr>
              <w:t>2020</w:t>
            </w:r>
          </w:p>
        </w:tc>
      </w:tr>
      <w:tr w:rsidR="00CD3946" w:rsidRPr="00CD3946" w14:paraId="0391DB34" w14:textId="77777777" w:rsidTr="007C6BE1">
        <w:trPr>
          <w:trHeight w:val="288"/>
          <w:jc w:val="center"/>
        </w:trPr>
        <w:tc>
          <w:tcPr>
            <w:tcW w:w="3620" w:type="dxa"/>
            <w:tcBorders>
              <w:top w:val="single" w:sz="4" w:space="0" w:color="auto"/>
              <w:left w:val="single" w:sz="4" w:space="0" w:color="auto"/>
              <w:bottom w:val="nil"/>
              <w:right w:val="single" w:sz="4" w:space="0" w:color="auto"/>
            </w:tcBorders>
            <w:shd w:val="clear" w:color="auto" w:fill="auto"/>
            <w:vAlign w:val="center"/>
            <w:hideMark/>
          </w:tcPr>
          <w:p w14:paraId="69295EC0" w14:textId="77777777" w:rsidR="00CD3946" w:rsidRPr="00CD3946" w:rsidRDefault="00CD3946" w:rsidP="007C6BE1">
            <w:pPr>
              <w:spacing w:after="0"/>
              <w:rPr>
                <w:rFonts w:ascii="Arial" w:hAnsi="Arial" w:cs="Arial"/>
                <w:b/>
                <w:bCs/>
                <w:color w:val="000000"/>
                <w:sz w:val="20"/>
                <w:szCs w:val="20"/>
              </w:rPr>
            </w:pPr>
            <w:proofErr w:type="spellStart"/>
            <w:r w:rsidRPr="00CD3946">
              <w:rPr>
                <w:rFonts w:ascii="Arial" w:hAnsi="Arial" w:cs="Arial"/>
                <w:b/>
                <w:bCs/>
                <w:color w:val="000000"/>
                <w:sz w:val="20"/>
                <w:szCs w:val="20"/>
              </w:rPr>
              <w:t>Produits</w:t>
            </w:r>
            <w:proofErr w:type="spellEnd"/>
            <w:r w:rsidRPr="00CD3946">
              <w:rPr>
                <w:rFonts w:ascii="Arial" w:hAnsi="Arial" w:cs="Arial"/>
                <w:b/>
                <w:bCs/>
                <w:color w:val="000000"/>
                <w:sz w:val="20"/>
                <w:szCs w:val="20"/>
              </w:rPr>
              <w:t xml:space="preserve"> </w:t>
            </w:r>
            <w:proofErr w:type="spellStart"/>
            <w:r w:rsidRPr="00CD3946">
              <w:rPr>
                <w:rFonts w:ascii="Arial" w:hAnsi="Arial" w:cs="Arial"/>
                <w:b/>
                <w:bCs/>
                <w:color w:val="000000"/>
                <w:sz w:val="20"/>
                <w:szCs w:val="20"/>
              </w:rPr>
              <w:t>d’exploitation</w:t>
            </w:r>
            <w:proofErr w:type="spellEnd"/>
          </w:p>
        </w:tc>
        <w:tc>
          <w:tcPr>
            <w:tcW w:w="1300" w:type="dxa"/>
            <w:tcBorders>
              <w:top w:val="nil"/>
              <w:left w:val="nil"/>
              <w:bottom w:val="nil"/>
              <w:right w:val="single" w:sz="4" w:space="0" w:color="auto"/>
            </w:tcBorders>
            <w:shd w:val="clear" w:color="auto" w:fill="auto"/>
            <w:vAlign w:val="center"/>
            <w:hideMark/>
          </w:tcPr>
          <w:p w14:paraId="7324CFDA"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80.557</w:t>
            </w:r>
          </w:p>
        </w:tc>
        <w:tc>
          <w:tcPr>
            <w:tcW w:w="1460" w:type="dxa"/>
            <w:tcBorders>
              <w:top w:val="nil"/>
              <w:left w:val="nil"/>
              <w:bottom w:val="nil"/>
              <w:right w:val="single" w:sz="4" w:space="0" w:color="auto"/>
            </w:tcBorders>
            <w:shd w:val="clear" w:color="auto" w:fill="auto"/>
            <w:vAlign w:val="center"/>
            <w:hideMark/>
          </w:tcPr>
          <w:p w14:paraId="6646D1CF"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97.229</w:t>
            </w:r>
          </w:p>
        </w:tc>
        <w:tc>
          <w:tcPr>
            <w:tcW w:w="1460" w:type="dxa"/>
            <w:tcBorders>
              <w:top w:val="nil"/>
              <w:left w:val="nil"/>
              <w:bottom w:val="nil"/>
              <w:right w:val="single" w:sz="4" w:space="0" w:color="auto"/>
            </w:tcBorders>
            <w:shd w:val="clear" w:color="auto" w:fill="auto"/>
            <w:vAlign w:val="center"/>
            <w:hideMark/>
          </w:tcPr>
          <w:p w14:paraId="45EBD68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152.235</w:t>
            </w:r>
          </w:p>
        </w:tc>
      </w:tr>
      <w:tr w:rsidR="00CD3946" w:rsidRPr="00CD3946" w14:paraId="5E2D2AD8"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0D930B6C"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xml:space="preserve">Services et </w:t>
            </w:r>
            <w:proofErr w:type="spellStart"/>
            <w:r w:rsidRPr="00CD3946">
              <w:rPr>
                <w:rFonts w:ascii="Arial" w:hAnsi="Arial" w:cs="Arial"/>
                <w:color w:val="000000"/>
                <w:sz w:val="20"/>
                <w:szCs w:val="20"/>
              </w:rPr>
              <w:t>biens</w:t>
            </w:r>
            <w:proofErr w:type="spellEnd"/>
            <w:r w:rsidRPr="00CD3946">
              <w:rPr>
                <w:rFonts w:ascii="Arial" w:hAnsi="Arial" w:cs="Arial"/>
                <w:color w:val="000000"/>
                <w:sz w:val="20"/>
                <w:szCs w:val="20"/>
              </w:rPr>
              <w:t xml:space="preserve"> divers</w:t>
            </w:r>
          </w:p>
        </w:tc>
        <w:tc>
          <w:tcPr>
            <w:tcW w:w="1300" w:type="dxa"/>
            <w:tcBorders>
              <w:top w:val="nil"/>
              <w:left w:val="nil"/>
              <w:bottom w:val="nil"/>
              <w:right w:val="single" w:sz="4" w:space="0" w:color="auto"/>
            </w:tcBorders>
            <w:shd w:val="clear" w:color="auto" w:fill="auto"/>
            <w:vAlign w:val="center"/>
            <w:hideMark/>
          </w:tcPr>
          <w:p w14:paraId="5D29E42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-1.402.688</w:t>
            </w:r>
          </w:p>
        </w:tc>
        <w:tc>
          <w:tcPr>
            <w:tcW w:w="1460" w:type="dxa"/>
            <w:tcBorders>
              <w:top w:val="nil"/>
              <w:left w:val="nil"/>
              <w:bottom w:val="nil"/>
              <w:right w:val="single" w:sz="4" w:space="0" w:color="auto"/>
            </w:tcBorders>
            <w:shd w:val="clear" w:color="auto" w:fill="auto"/>
            <w:vAlign w:val="center"/>
            <w:hideMark/>
          </w:tcPr>
          <w:p w14:paraId="2B23B086"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-2.588.985</w:t>
            </w:r>
          </w:p>
        </w:tc>
        <w:tc>
          <w:tcPr>
            <w:tcW w:w="1460" w:type="dxa"/>
            <w:tcBorders>
              <w:top w:val="nil"/>
              <w:left w:val="nil"/>
              <w:bottom w:val="nil"/>
              <w:right w:val="single" w:sz="4" w:space="0" w:color="auto"/>
            </w:tcBorders>
            <w:shd w:val="clear" w:color="auto" w:fill="auto"/>
            <w:vAlign w:val="center"/>
            <w:hideMark/>
          </w:tcPr>
          <w:p w14:paraId="1337C92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-3.062.014</w:t>
            </w:r>
          </w:p>
        </w:tc>
      </w:tr>
      <w:tr w:rsidR="00CD3946" w:rsidRPr="00CD3946" w14:paraId="0212E74B"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05D19177" w14:textId="77777777" w:rsidR="00CD3946" w:rsidRPr="00CD3946" w:rsidRDefault="00CD3946" w:rsidP="007C6BE1">
            <w:pPr>
              <w:spacing w:after="0"/>
              <w:jc w:val="right"/>
              <w:rPr>
                <w:rFonts w:ascii="Arial" w:hAnsi="Arial" w:cs="Arial"/>
                <w:color w:val="000000"/>
                <w:sz w:val="20"/>
                <w:szCs w:val="20"/>
              </w:rPr>
            </w:pPr>
            <w:proofErr w:type="spellStart"/>
            <w:r w:rsidRPr="00CD3946">
              <w:rPr>
                <w:rFonts w:ascii="Arial" w:hAnsi="Arial" w:cs="Arial"/>
                <w:color w:val="000000"/>
                <w:sz w:val="20"/>
                <w:szCs w:val="20"/>
              </w:rPr>
              <w:t>Rémunérations</w:t>
            </w:r>
            <w:proofErr w:type="spellEnd"/>
          </w:p>
        </w:tc>
        <w:tc>
          <w:tcPr>
            <w:tcW w:w="1300" w:type="dxa"/>
            <w:tcBorders>
              <w:top w:val="nil"/>
              <w:left w:val="nil"/>
              <w:bottom w:val="nil"/>
              <w:right w:val="single" w:sz="4" w:space="0" w:color="auto"/>
            </w:tcBorders>
            <w:shd w:val="clear" w:color="auto" w:fill="auto"/>
            <w:vAlign w:val="center"/>
            <w:hideMark/>
          </w:tcPr>
          <w:p w14:paraId="53C63269"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-643.163</w:t>
            </w:r>
          </w:p>
        </w:tc>
        <w:tc>
          <w:tcPr>
            <w:tcW w:w="1460" w:type="dxa"/>
            <w:tcBorders>
              <w:top w:val="nil"/>
              <w:left w:val="nil"/>
              <w:bottom w:val="nil"/>
              <w:right w:val="single" w:sz="4" w:space="0" w:color="auto"/>
            </w:tcBorders>
            <w:shd w:val="clear" w:color="auto" w:fill="auto"/>
            <w:vAlign w:val="center"/>
            <w:hideMark/>
          </w:tcPr>
          <w:p w14:paraId="7588B81D"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-912.057</w:t>
            </w:r>
          </w:p>
        </w:tc>
        <w:tc>
          <w:tcPr>
            <w:tcW w:w="1460" w:type="dxa"/>
            <w:tcBorders>
              <w:top w:val="nil"/>
              <w:left w:val="nil"/>
              <w:bottom w:val="nil"/>
              <w:right w:val="single" w:sz="4" w:space="0" w:color="auto"/>
            </w:tcBorders>
            <w:shd w:val="clear" w:color="auto" w:fill="auto"/>
            <w:vAlign w:val="center"/>
            <w:hideMark/>
          </w:tcPr>
          <w:p w14:paraId="190C25CD"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-1.269.034</w:t>
            </w:r>
          </w:p>
        </w:tc>
      </w:tr>
      <w:tr w:rsidR="00CD3946" w:rsidRPr="00CD3946" w14:paraId="48D2E35D"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2A3FD61B" w14:textId="77777777" w:rsidR="00CD3946" w:rsidRPr="00CD3946" w:rsidRDefault="00CD3946" w:rsidP="007C6BE1">
            <w:pPr>
              <w:spacing w:after="0"/>
              <w:jc w:val="right"/>
              <w:rPr>
                <w:rFonts w:ascii="Arial" w:hAnsi="Arial" w:cs="Arial"/>
                <w:color w:val="000000"/>
                <w:sz w:val="20"/>
                <w:szCs w:val="20"/>
              </w:rPr>
            </w:pPr>
            <w:proofErr w:type="spellStart"/>
            <w:r w:rsidRPr="00CD3946">
              <w:rPr>
                <w:rFonts w:ascii="Arial" w:hAnsi="Arial" w:cs="Arial"/>
                <w:color w:val="000000"/>
                <w:sz w:val="20"/>
                <w:szCs w:val="20"/>
              </w:rPr>
              <w:t>Amortissements</w:t>
            </w:r>
            <w:proofErr w:type="spellEnd"/>
          </w:p>
        </w:tc>
        <w:tc>
          <w:tcPr>
            <w:tcW w:w="1300" w:type="dxa"/>
            <w:tcBorders>
              <w:top w:val="nil"/>
              <w:left w:val="nil"/>
              <w:bottom w:val="nil"/>
              <w:right w:val="single" w:sz="4" w:space="0" w:color="auto"/>
            </w:tcBorders>
            <w:shd w:val="clear" w:color="auto" w:fill="auto"/>
            <w:vAlign w:val="center"/>
            <w:hideMark/>
          </w:tcPr>
          <w:p w14:paraId="6E05839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-263.567</w:t>
            </w:r>
          </w:p>
        </w:tc>
        <w:tc>
          <w:tcPr>
            <w:tcW w:w="1460" w:type="dxa"/>
            <w:tcBorders>
              <w:top w:val="nil"/>
              <w:left w:val="nil"/>
              <w:bottom w:val="nil"/>
              <w:right w:val="single" w:sz="4" w:space="0" w:color="auto"/>
            </w:tcBorders>
            <w:shd w:val="clear" w:color="auto" w:fill="auto"/>
            <w:vAlign w:val="center"/>
            <w:hideMark/>
          </w:tcPr>
          <w:p w14:paraId="6495B75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-318.886</w:t>
            </w:r>
          </w:p>
        </w:tc>
        <w:tc>
          <w:tcPr>
            <w:tcW w:w="1460" w:type="dxa"/>
            <w:tcBorders>
              <w:top w:val="nil"/>
              <w:left w:val="nil"/>
              <w:bottom w:val="nil"/>
              <w:right w:val="single" w:sz="4" w:space="0" w:color="auto"/>
            </w:tcBorders>
            <w:shd w:val="clear" w:color="auto" w:fill="auto"/>
            <w:vAlign w:val="center"/>
            <w:hideMark/>
          </w:tcPr>
          <w:p w14:paraId="5EA70760"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-233.736</w:t>
            </w:r>
          </w:p>
        </w:tc>
      </w:tr>
      <w:tr w:rsidR="00CD3946" w:rsidRPr="00CD3946" w14:paraId="23F1ADE7"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5D69396E" w14:textId="77777777" w:rsidR="00CD3946" w:rsidRPr="00CD3946" w:rsidRDefault="00CD3946" w:rsidP="007C6BE1">
            <w:pPr>
              <w:spacing w:after="0"/>
              <w:jc w:val="right"/>
              <w:rPr>
                <w:rFonts w:ascii="Arial" w:hAnsi="Arial" w:cs="Arial"/>
                <w:color w:val="000000"/>
                <w:sz w:val="20"/>
                <w:szCs w:val="20"/>
              </w:rPr>
            </w:pPr>
            <w:proofErr w:type="spellStart"/>
            <w:r w:rsidRPr="00CD3946">
              <w:rPr>
                <w:rFonts w:ascii="Arial" w:hAnsi="Arial" w:cs="Arial"/>
                <w:color w:val="000000"/>
                <w:sz w:val="20"/>
                <w:szCs w:val="20"/>
              </w:rPr>
              <w:t>Autres</w:t>
            </w:r>
            <w:proofErr w:type="spellEnd"/>
            <w:r w:rsidRPr="00CD3946">
              <w:rPr>
                <w:rFonts w:ascii="Arial" w:hAnsi="Arial" w:cs="Arial"/>
                <w:color w:val="000000"/>
                <w:sz w:val="20"/>
                <w:szCs w:val="20"/>
              </w:rPr>
              <w:t xml:space="preserve"> charges </w:t>
            </w:r>
            <w:proofErr w:type="spellStart"/>
            <w:r w:rsidRPr="00CD3946">
              <w:rPr>
                <w:rFonts w:ascii="Arial" w:hAnsi="Arial" w:cs="Arial"/>
                <w:color w:val="000000"/>
                <w:sz w:val="20"/>
                <w:szCs w:val="20"/>
              </w:rPr>
              <w:t>d’exploitation</w:t>
            </w:r>
            <w:proofErr w:type="spellEnd"/>
          </w:p>
        </w:tc>
        <w:tc>
          <w:tcPr>
            <w:tcW w:w="1300" w:type="dxa"/>
            <w:tcBorders>
              <w:top w:val="nil"/>
              <w:left w:val="nil"/>
              <w:bottom w:val="nil"/>
              <w:right w:val="single" w:sz="4" w:space="0" w:color="auto"/>
            </w:tcBorders>
            <w:shd w:val="clear" w:color="auto" w:fill="auto"/>
            <w:vAlign w:val="center"/>
            <w:hideMark/>
          </w:tcPr>
          <w:p w14:paraId="28CD183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-176.344</w:t>
            </w:r>
          </w:p>
        </w:tc>
        <w:tc>
          <w:tcPr>
            <w:tcW w:w="1460" w:type="dxa"/>
            <w:tcBorders>
              <w:top w:val="nil"/>
              <w:left w:val="nil"/>
              <w:bottom w:val="nil"/>
              <w:right w:val="single" w:sz="4" w:space="0" w:color="auto"/>
            </w:tcBorders>
            <w:shd w:val="clear" w:color="auto" w:fill="auto"/>
            <w:vAlign w:val="center"/>
            <w:hideMark/>
          </w:tcPr>
          <w:p w14:paraId="5F26B4F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-287.408</w:t>
            </w:r>
          </w:p>
        </w:tc>
        <w:tc>
          <w:tcPr>
            <w:tcW w:w="1460" w:type="dxa"/>
            <w:tcBorders>
              <w:top w:val="nil"/>
              <w:left w:val="nil"/>
              <w:bottom w:val="nil"/>
              <w:right w:val="single" w:sz="4" w:space="0" w:color="auto"/>
            </w:tcBorders>
            <w:shd w:val="clear" w:color="auto" w:fill="auto"/>
            <w:vAlign w:val="center"/>
            <w:hideMark/>
          </w:tcPr>
          <w:p w14:paraId="6AFA6B4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-255.549</w:t>
            </w:r>
          </w:p>
        </w:tc>
      </w:tr>
      <w:tr w:rsidR="00CD3946" w:rsidRPr="00CD3946" w14:paraId="3BF60C88"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09A93231"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Charges non-</w:t>
            </w:r>
            <w:proofErr w:type="spellStart"/>
            <w:r w:rsidRPr="00CD3946">
              <w:rPr>
                <w:rFonts w:ascii="Arial" w:hAnsi="Arial" w:cs="Arial"/>
                <w:color w:val="000000"/>
                <w:sz w:val="20"/>
                <w:szCs w:val="20"/>
              </w:rPr>
              <w:t>récurrent</w:t>
            </w:r>
            <w:proofErr w:type="spellEnd"/>
          </w:p>
        </w:tc>
        <w:tc>
          <w:tcPr>
            <w:tcW w:w="1300" w:type="dxa"/>
            <w:tcBorders>
              <w:top w:val="nil"/>
              <w:left w:val="nil"/>
              <w:bottom w:val="nil"/>
              <w:right w:val="single" w:sz="4" w:space="0" w:color="auto"/>
            </w:tcBorders>
            <w:shd w:val="clear" w:color="auto" w:fill="auto"/>
            <w:vAlign w:val="center"/>
            <w:hideMark/>
          </w:tcPr>
          <w:p w14:paraId="3AF728EA"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vAlign w:val="center"/>
            <w:hideMark/>
          </w:tcPr>
          <w:p w14:paraId="36E96BC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c>
          <w:tcPr>
            <w:tcW w:w="1460" w:type="dxa"/>
            <w:tcBorders>
              <w:top w:val="nil"/>
              <w:left w:val="nil"/>
              <w:bottom w:val="nil"/>
              <w:right w:val="single" w:sz="4" w:space="0" w:color="auto"/>
            </w:tcBorders>
            <w:shd w:val="clear" w:color="auto" w:fill="auto"/>
            <w:vAlign w:val="center"/>
            <w:hideMark/>
          </w:tcPr>
          <w:p w14:paraId="33D98CA9"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-126.519</w:t>
            </w:r>
          </w:p>
        </w:tc>
      </w:tr>
      <w:tr w:rsidR="00CD3946" w:rsidRPr="00CD3946" w14:paraId="03461170"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694B8EC7" w14:textId="77777777" w:rsidR="00CD3946" w:rsidRPr="00CD3946" w:rsidRDefault="00CD3946" w:rsidP="007C6BE1">
            <w:pPr>
              <w:spacing w:after="0"/>
              <w:rPr>
                <w:rFonts w:ascii="Arial" w:hAnsi="Arial" w:cs="Arial"/>
                <w:b/>
                <w:bCs/>
                <w:color w:val="000000"/>
                <w:sz w:val="20"/>
                <w:szCs w:val="20"/>
              </w:rPr>
            </w:pPr>
            <w:proofErr w:type="spellStart"/>
            <w:r w:rsidRPr="00CD3946">
              <w:rPr>
                <w:rFonts w:ascii="Arial" w:hAnsi="Arial" w:cs="Arial"/>
                <w:b/>
                <w:bCs/>
                <w:color w:val="000000"/>
                <w:sz w:val="20"/>
                <w:szCs w:val="20"/>
              </w:rPr>
              <w:t>Perte</w:t>
            </w:r>
            <w:proofErr w:type="spellEnd"/>
            <w:r w:rsidRPr="00CD3946">
              <w:rPr>
                <w:rFonts w:ascii="Arial" w:hAnsi="Arial" w:cs="Arial"/>
                <w:b/>
                <w:bCs/>
                <w:color w:val="000000"/>
                <w:sz w:val="20"/>
                <w:szCs w:val="20"/>
              </w:rPr>
              <w:t xml:space="preserve"> </w:t>
            </w:r>
            <w:proofErr w:type="spellStart"/>
            <w:r w:rsidRPr="00CD3946">
              <w:rPr>
                <w:rFonts w:ascii="Arial" w:hAnsi="Arial" w:cs="Arial"/>
                <w:b/>
                <w:bCs/>
                <w:color w:val="000000"/>
                <w:sz w:val="20"/>
                <w:szCs w:val="20"/>
              </w:rPr>
              <w:t>d’exploitation</w:t>
            </w:r>
            <w:proofErr w:type="spellEnd"/>
          </w:p>
        </w:tc>
        <w:tc>
          <w:tcPr>
            <w:tcW w:w="1300" w:type="dxa"/>
            <w:tcBorders>
              <w:top w:val="nil"/>
              <w:left w:val="nil"/>
              <w:bottom w:val="nil"/>
              <w:right w:val="single" w:sz="4" w:space="0" w:color="auto"/>
            </w:tcBorders>
            <w:shd w:val="clear" w:color="auto" w:fill="auto"/>
            <w:vAlign w:val="center"/>
            <w:hideMark/>
          </w:tcPr>
          <w:p w14:paraId="12B14C2D"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-2.405.205</w:t>
            </w:r>
          </w:p>
        </w:tc>
        <w:tc>
          <w:tcPr>
            <w:tcW w:w="1460" w:type="dxa"/>
            <w:tcBorders>
              <w:top w:val="nil"/>
              <w:left w:val="nil"/>
              <w:bottom w:val="nil"/>
              <w:right w:val="single" w:sz="4" w:space="0" w:color="auto"/>
            </w:tcBorders>
            <w:shd w:val="clear" w:color="auto" w:fill="auto"/>
            <w:vAlign w:val="center"/>
            <w:hideMark/>
          </w:tcPr>
          <w:p w14:paraId="36C412B2"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-4.010.107</w:t>
            </w:r>
          </w:p>
        </w:tc>
        <w:tc>
          <w:tcPr>
            <w:tcW w:w="1460" w:type="dxa"/>
            <w:tcBorders>
              <w:top w:val="nil"/>
              <w:left w:val="nil"/>
              <w:bottom w:val="nil"/>
              <w:right w:val="single" w:sz="4" w:space="0" w:color="auto"/>
            </w:tcBorders>
            <w:shd w:val="clear" w:color="auto" w:fill="auto"/>
            <w:vAlign w:val="center"/>
            <w:hideMark/>
          </w:tcPr>
          <w:p w14:paraId="1B0E00EC" w14:textId="77777777" w:rsidR="00CD3946" w:rsidRPr="00CD3946" w:rsidRDefault="00CD3946" w:rsidP="007C6BE1">
            <w:pPr>
              <w:spacing w:after="0"/>
              <w:jc w:val="right"/>
              <w:rPr>
                <w:rFonts w:ascii="Arial" w:hAnsi="Arial" w:cs="Arial"/>
                <w:color w:val="000000"/>
                <w:sz w:val="20"/>
                <w:szCs w:val="20"/>
                <w:u w:val="single"/>
              </w:rPr>
            </w:pPr>
            <w:r w:rsidRPr="00CD3946">
              <w:rPr>
                <w:rFonts w:ascii="Arial" w:hAnsi="Arial" w:cs="Arial"/>
                <w:color w:val="000000"/>
                <w:sz w:val="20"/>
                <w:szCs w:val="20"/>
                <w:u w:val="single"/>
              </w:rPr>
              <w:t>-4.794.617</w:t>
            </w:r>
          </w:p>
        </w:tc>
      </w:tr>
      <w:tr w:rsidR="00CD3946" w:rsidRPr="00CD3946" w14:paraId="5A355126"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3217B5E7" w14:textId="77777777" w:rsidR="00CD3946" w:rsidRPr="00CD3946" w:rsidRDefault="00CD3946" w:rsidP="007C6BE1">
            <w:pPr>
              <w:spacing w:after="0"/>
              <w:jc w:val="right"/>
              <w:rPr>
                <w:rFonts w:ascii="Arial" w:hAnsi="Arial" w:cs="Arial"/>
                <w:color w:val="000000"/>
                <w:sz w:val="20"/>
                <w:szCs w:val="20"/>
              </w:rPr>
            </w:pPr>
            <w:proofErr w:type="spellStart"/>
            <w:r w:rsidRPr="00CD3946">
              <w:rPr>
                <w:rFonts w:ascii="Arial" w:hAnsi="Arial" w:cs="Arial"/>
                <w:color w:val="000000"/>
                <w:sz w:val="20"/>
                <w:szCs w:val="20"/>
              </w:rPr>
              <w:t>Produits</w:t>
            </w:r>
            <w:proofErr w:type="spellEnd"/>
            <w:r w:rsidRPr="00CD3946">
              <w:rPr>
                <w:rFonts w:ascii="Arial" w:hAnsi="Arial" w:cs="Arial"/>
                <w:color w:val="000000"/>
                <w:sz w:val="20"/>
                <w:szCs w:val="20"/>
              </w:rPr>
              <w:t xml:space="preserve"> financiers</w:t>
            </w:r>
          </w:p>
        </w:tc>
        <w:tc>
          <w:tcPr>
            <w:tcW w:w="1300" w:type="dxa"/>
            <w:tcBorders>
              <w:top w:val="nil"/>
              <w:left w:val="nil"/>
              <w:bottom w:val="nil"/>
              <w:right w:val="single" w:sz="4" w:space="0" w:color="auto"/>
            </w:tcBorders>
            <w:shd w:val="clear" w:color="auto" w:fill="auto"/>
            <w:vAlign w:val="center"/>
            <w:hideMark/>
          </w:tcPr>
          <w:p w14:paraId="52AA2BF2"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8.574</w:t>
            </w:r>
          </w:p>
        </w:tc>
        <w:tc>
          <w:tcPr>
            <w:tcW w:w="1460" w:type="dxa"/>
            <w:tcBorders>
              <w:top w:val="nil"/>
              <w:left w:val="nil"/>
              <w:bottom w:val="nil"/>
              <w:right w:val="single" w:sz="4" w:space="0" w:color="auto"/>
            </w:tcBorders>
            <w:shd w:val="clear" w:color="auto" w:fill="auto"/>
            <w:vAlign w:val="center"/>
            <w:hideMark/>
          </w:tcPr>
          <w:p w14:paraId="6564C94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2.294</w:t>
            </w:r>
          </w:p>
        </w:tc>
        <w:tc>
          <w:tcPr>
            <w:tcW w:w="1460" w:type="dxa"/>
            <w:tcBorders>
              <w:top w:val="nil"/>
              <w:left w:val="nil"/>
              <w:bottom w:val="nil"/>
              <w:right w:val="single" w:sz="4" w:space="0" w:color="auto"/>
            </w:tcBorders>
            <w:shd w:val="clear" w:color="auto" w:fill="auto"/>
            <w:vAlign w:val="center"/>
            <w:hideMark/>
          </w:tcPr>
          <w:p w14:paraId="668A1430"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458</w:t>
            </w:r>
          </w:p>
        </w:tc>
      </w:tr>
      <w:tr w:rsidR="00CD3946" w:rsidRPr="00CD3946" w14:paraId="022D0666" w14:textId="77777777" w:rsidTr="007C6BE1">
        <w:trPr>
          <w:trHeight w:val="288"/>
          <w:jc w:val="center"/>
        </w:trPr>
        <w:tc>
          <w:tcPr>
            <w:tcW w:w="3620" w:type="dxa"/>
            <w:tcBorders>
              <w:top w:val="nil"/>
              <w:left w:val="single" w:sz="4" w:space="0" w:color="auto"/>
              <w:bottom w:val="nil"/>
              <w:right w:val="single" w:sz="4" w:space="0" w:color="auto"/>
            </w:tcBorders>
            <w:shd w:val="clear" w:color="auto" w:fill="auto"/>
            <w:vAlign w:val="center"/>
            <w:hideMark/>
          </w:tcPr>
          <w:p w14:paraId="4A77053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xml:space="preserve">Charges </w:t>
            </w:r>
            <w:proofErr w:type="spellStart"/>
            <w:r w:rsidRPr="00CD3946">
              <w:rPr>
                <w:rFonts w:ascii="Arial" w:hAnsi="Arial" w:cs="Arial"/>
                <w:color w:val="000000"/>
                <w:sz w:val="20"/>
                <w:szCs w:val="20"/>
              </w:rPr>
              <w:t>financières</w:t>
            </w:r>
            <w:proofErr w:type="spellEnd"/>
          </w:p>
        </w:tc>
        <w:tc>
          <w:tcPr>
            <w:tcW w:w="1300" w:type="dxa"/>
            <w:tcBorders>
              <w:top w:val="nil"/>
              <w:left w:val="nil"/>
              <w:bottom w:val="nil"/>
              <w:right w:val="single" w:sz="4" w:space="0" w:color="auto"/>
            </w:tcBorders>
            <w:shd w:val="clear" w:color="auto" w:fill="auto"/>
            <w:vAlign w:val="center"/>
            <w:hideMark/>
          </w:tcPr>
          <w:p w14:paraId="53108DE3"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-1.006</w:t>
            </w:r>
          </w:p>
        </w:tc>
        <w:tc>
          <w:tcPr>
            <w:tcW w:w="1460" w:type="dxa"/>
            <w:tcBorders>
              <w:top w:val="nil"/>
              <w:left w:val="nil"/>
              <w:bottom w:val="nil"/>
              <w:right w:val="single" w:sz="4" w:space="0" w:color="auto"/>
            </w:tcBorders>
            <w:shd w:val="clear" w:color="auto" w:fill="auto"/>
            <w:vAlign w:val="center"/>
            <w:hideMark/>
          </w:tcPr>
          <w:p w14:paraId="3D20150E"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-933</w:t>
            </w:r>
          </w:p>
        </w:tc>
        <w:tc>
          <w:tcPr>
            <w:tcW w:w="1460" w:type="dxa"/>
            <w:tcBorders>
              <w:top w:val="nil"/>
              <w:left w:val="nil"/>
              <w:bottom w:val="nil"/>
              <w:right w:val="single" w:sz="4" w:space="0" w:color="auto"/>
            </w:tcBorders>
            <w:shd w:val="clear" w:color="auto" w:fill="auto"/>
            <w:vAlign w:val="center"/>
            <w:hideMark/>
          </w:tcPr>
          <w:p w14:paraId="12D4A0E4"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-84.159</w:t>
            </w:r>
          </w:p>
        </w:tc>
      </w:tr>
      <w:tr w:rsidR="00CD3946" w:rsidRPr="00CD3946" w14:paraId="5C5DE18B" w14:textId="77777777" w:rsidTr="007C6BE1">
        <w:trPr>
          <w:trHeight w:val="288"/>
          <w:jc w:val="center"/>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45B3A0B"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xml:space="preserve">Charges </w:t>
            </w:r>
            <w:proofErr w:type="spellStart"/>
            <w:r w:rsidRPr="00CD3946">
              <w:rPr>
                <w:rFonts w:ascii="Arial" w:hAnsi="Arial" w:cs="Arial"/>
                <w:color w:val="000000"/>
                <w:sz w:val="20"/>
                <w:szCs w:val="20"/>
              </w:rPr>
              <w:t>exceptionnelles</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0ACE7A50"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-372</w:t>
            </w:r>
          </w:p>
        </w:tc>
        <w:tc>
          <w:tcPr>
            <w:tcW w:w="1460" w:type="dxa"/>
            <w:tcBorders>
              <w:top w:val="nil"/>
              <w:left w:val="nil"/>
              <w:bottom w:val="single" w:sz="4" w:space="0" w:color="auto"/>
              <w:right w:val="single" w:sz="4" w:space="0" w:color="auto"/>
            </w:tcBorders>
            <w:shd w:val="clear" w:color="auto" w:fill="auto"/>
            <w:vAlign w:val="center"/>
            <w:hideMark/>
          </w:tcPr>
          <w:p w14:paraId="2E37100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14:paraId="116EA287" w14:textId="77777777" w:rsidR="00CD3946" w:rsidRPr="00CD3946" w:rsidRDefault="00CD3946" w:rsidP="007C6BE1">
            <w:pPr>
              <w:spacing w:after="0"/>
              <w:jc w:val="right"/>
              <w:rPr>
                <w:rFonts w:ascii="Arial" w:hAnsi="Arial" w:cs="Arial"/>
                <w:color w:val="000000"/>
                <w:sz w:val="20"/>
                <w:szCs w:val="20"/>
              </w:rPr>
            </w:pPr>
            <w:r w:rsidRPr="00CD3946">
              <w:rPr>
                <w:rFonts w:ascii="Arial" w:hAnsi="Arial" w:cs="Arial"/>
                <w:color w:val="000000"/>
                <w:sz w:val="20"/>
                <w:szCs w:val="20"/>
              </w:rPr>
              <w:t>0</w:t>
            </w:r>
          </w:p>
        </w:tc>
      </w:tr>
      <w:tr w:rsidR="00CD3946" w:rsidRPr="00CD3946" w14:paraId="44418EE3" w14:textId="77777777" w:rsidTr="007C6BE1">
        <w:trPr>
          <w:trHeight w:val="288"/>
          <w:jc w:val="center"/>
        </w:trPr>
        <w:tc>
          <w:tcPr>
            <w:tcW w:w="3620" w:type="dxa"/>
            <w:tcBorders>
              <w:top w:val="nil"/>
              <w:left w:val="single" w:sz="4" w:space="0" w:color="auto"/>
              <w:bottom w:val="single" w:sz="4" w:space="0" w:color="auto"/>
              <w:right w:val="nil"/>
            </w:tcBorders>
            <w:shd w:val="clear" w:color="auto" w:fill="auto"/>
            <w:noWrap/>
            <w:vAlign w:val="bottom"/>
            <w:hideMark/>
          </w:tcPr>
          <w:p w14:paraId="18A27CCC" w14:textId="77777777" w:rsidR="00CD3946" w:rsidRPr="00345CA8" w:rsidRDefault="00CD3946" w:rsidP="007C6BE1">
            <w:pPr>
              <w:spacing w:after="0"/>
              <w:rPr>
                <w:rFonts w:ascii="Arial" w:hAnsi="Arial" w:cs="Arial"/>
                <w:b/>
                <w:bCs/>
                <w:color w:val="000000"/>
                <w:sz w:val="20"/>
                <w:szCs w:val="20"/>
                <w:lang w:val="fr-BE"/>
              </w:rPr>
            </w:pPr>
            <w:r w:rsidRPr="00345CA8">
              <w:rPr>
                <w:rFonts w:ascii="Arial" w:hAnsi="Arial" w:cs="Arial"/>
                <w:b/>
                <w:bCs/>
                <w:color w:val="000000"/>
                <w:sz w:val="20"/>
                <w:szCs w:val="20"/>
                <w:lang w:val="fr-BE"/>
              </w:rPr>
              <w:t>Perte de l’exercice à affecter</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9A55C8"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-2.398.009</w:t>
            </w:r>
          </w:p>
        </w:tc>
        <w:tc>
          <w:tcPr>
            <w:tcW w:w="1460" w:type="dxa"/>
            <w:tcBorders>
              <w:top w:val="nil"/>
              <w:left w:val="nil"/>
              <w:bottom w:val="single" w:sz="4" w:space="0" w:color="auto"/>
              <w:right w:val="single" w:sz="4" w:space="0" w:color="auto"/>
            </w:tcBorders>
            <w:shd w:val="clear" w:color="auto" w:fill="auto"/>
            <w:noWrap/>
            <w:vAlign w:val="center"/>
            <w:hideMark/>
          </w:tcPr>
          <w:p w14:paraId="37D9B1EC"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-4.008.746</w:t>
            </w:r>
          </w:p>
        </w:tc>
        <w:tc>
          <w:tcPr>
            <w:tcW w:w="1460" w:type="dxa"/>
            <w:tcBorders>
              <w:top w:val="nil"/>
              <w:left w:val="nil"/>
              <w:bottom w:val="single" w:sz="4" w:space="0" w:color="auto"/>
              <w:right w:val="single" w:sz="4" w:space="0" w:color="auto"/>
            </w:tcBorders>
            <w:shd w:val="clear" w:color="auto" w:fill="auto"/>
            <w:noWrap/>
            <w:vAlign w:val="center"/>
            <w:hideMark/>
          </w:tcPr>
          <w:p w14:paraId="358B8386" w14:textId="77777777" w:rsidR="00CD3946" w:rsidRPr="00CD3946" w:rsidRDefault="00CD3946" w:rsidP="007C6BE1">
            <w:pPr>
              <w:spacing w:after="0"/>
              <w:jc w:val="right"/>
              <w:rPr>
                <w:rFonts w:ascii="Arial" w:hAnsi="Arial" w:cs="Arial"/>
                <w:b/>
                <w:bCs/>
                <w:color w:val="000000"/>
                <w:sz w:val="20"/>
                <w:szCs w:val="20"/>
                <w:u w:val="single"/>
              </w:rPr>
            </w:pPr>
            <w:r w:rsidRPr="00CD3946">
              <w:rPr>
                <w:rFonts w:ascii="Arial" w:hAnsi="Arial" w:cs="Arial"/>
                <w:b/>
                <w:bCs/>
                <w:color w:val="000000"/>
                <w:sz w:val="20"/>
                <w:szCs w:val="20"/>
                <w:u w:val="single"/>
              </w:rPr>
              <w:t>-4.878.317</w:t>
            </w:r>
          </w:p>
        </w:tc>
      </w:tr>
    </w:tbl>
    <w:p w14:paraId="70FEA6EE" w14:textId="77777777" w:rsidR="0071375C" w:rsidRDefault="0071375C" w:rsidP="00345CA8">
      <w:pPr>
        <w:pStyle w:val="DefaultStyleSimont-Braun"/>
        <w:jc w:val="both"/>
        <w:rPr>
          <w:b/>
          <w:lang w:val="fr-FR"/>
        </w:rPr>
      </w:pPr>
    </w:p>
    <w:p w14:paraId="40A6E88B" w14:textId="7C1B331B" w:rsidR="00362593" w:rsidRPr="00650D54" w:rsidRDefault="000D472B" w:rsidP="00345CA8">
      <w:pPr>
        <w:pStyle w:val="DefaultStyleSimont-Braun"/>
        <w:jc w:val="both"/>
        <w:rPr>
          <w:rFonts w:cs="Arial"/>
          <w:lang w:val="fr-FR"/>
        </w:rPr>
      </w:pPr>
      <w:r w:rsidRPr="00CC4321">
        <w:rPr>
          <w:b/>
          <w:lang w:val="fr-FR"/>
        </w:rPr>
        <w:t xml:space="preserve">Le point </w:t>
      </w:r>
      <w:r w:rsidR="001D16C4" w:rsidRPr="00CC4321">
        <w:rPr>
          <w:b/>
          <w:lang w:val="fr-FR"/>
        </w:rPr>
        <w:t>B</w:t>
      </w:r>
      <w:r w:rsidR="00902CCE" w:rsidRPr="00CC4321">
        <w:rPr>
          <w:b/>
          <w:lang w:val="fr-FR"/>
        </w:rPr>
        <w:t>,</w:t>
      </w:r>
      <w:r w:rsidRPr="00CC4321">
        <w:rPr>
          <w:b/>
          <w:lang w:val="fr-FR"/>
        </w:rPr>
        <w:t>3 de la</w:t>
      </w:r>
      <w:r w:rsidR="00902CCE" w:rsidRPr="00CC4321">
        <w:rPr>
          <w:b/>
          <w:lang w:val="fr-FR"/>
        </w:rPr>
        <w:t xml:space="preserve"> Partie II de la</w:t>
      </w:r>
      <w:r w:rsidRPr="00CC4321">
        <w:rPr>
          <w:b/>
          <w:lang w:val="fr-FR"/>
        </w:rPr>
        <w:t xml:space="preserve"> Note d’information est modifié comme suit</w:t>
      </w:r>
      <w:r w:rsidRPr="00650D54">
        <w:rPr>
          <w:rFonts w:cs="Arial"/>
          <w:lang w:val="fr-FR"/>
        </w:rPr>
        <w:t xml:space="preserve"> :</w:t>
      </w:r>
    </w:p>
    <w:p w14:paraId="5E33FC67" w14:textId="77777777" w:rsidR="000D472B" w:rsidRPr="00650D54" w:rsidRDefault="000D472B" w:rsidP="00A505FC">
      <w:pPr>
        <w:pStyle w:val="DefaultStyleSimont-Braun"/>
        <w:jc w:val="both"/>
        <w:rPr>
          <w:rFonts w:cs="Arial"/>
          <w:lang w:val="fr-FR"/>
        </w:rPr>
      </w:pPr>
    </w:p>
    <w:p w14:paraId="7E54465B" w14:textId="77777777" w:rsidR="00504025" w:rsidRPr="00CC18F9" w:rsidRDefault="00504025" w:rsidP="00504025">
      <w:pPr>
        <w:pStyle w:val="DefaultStyleSimont-Braun"/>
        <w:spacing w:after="120"/>
        <w:jc w:val="both"/>
        <w:rPr>
          <w:b/>
          <w:lang w:val="fr-FR"/>
        </w:rPr>
      </w:pPr>
      <w:r w:rsidRPr="00650D54">
        <w:rPr>
          <w:rFonts w:cs="Arial"/>
          <w:lang w:val="fr-FR"/>
        </w:rPr>
        <w:t xml:space="preserve">Lors de la publication de son </w:t>
      </w:r>
      <w:r w:rsidRPr="00E26F9B">
        <w:rPr>
          <w:rFonts w:cs="Arial"/>
          <w:lang w:val="fr-FR"/>
        </w:rPr>
        <w:t xml:space="preserve">prospectus de croissance de l'Union relatif à </w:t>
      </w:r>
      <w:r w:rsidRPr="00650D54">
        <w:rPr>
          <w:rFonts w:cs="Arial"/>
          <w:lang w:val="fr-FR"/>
        </w:rPr>
        <w:t>l’offre</w:t>
      </w:r>
      <w:r w:rsidRPr="00E26F9B">
        <w:rPr>
          <w:rFonts w:cs="Arial"/>
          <w:lang w:val="fr-FR"/>
        </w:rPr>
        <w:t xml:space="preserve"> publique de Parts</w:t>
      </w:r>
      <w:r w:rsidRPr="00650D54">
        <w:rPr>
          <w:rFonts w:cs="Arial"/>
          <w:lang w:val="fr-FR"/>
        </w:rPr>
        <w:t xml:space="preserve"> du 25/10/2019, </w:t>
      </w:r>
      <w:proofErr w:type="spellStart"/>
      <w:r w:rsidRPr="00650D54">
        <w:rPr>
          <w:rFonts w:cs="Arial"/>
          <w:lang w:val="fr-FR"/>
        </w:rPr>
        <w:t>NewB</w:t>
      </w:r>
      <w:proofErr w:type="spellEnd"/>
      <w:r w:rsidRPr="00650D54">
        <w:rPr>
          <w:rFonts w:cs="Arial"/>
          <w:lang w:val="fr-FR"/>
        </w:rPr>
        <w:t xml:space="preserve"> avait estimé dans le compte</w:t>
      </w:r>
      <w:r w:rsidRPr="00E26F9B">
        <w:rPr>
          <w:rFonts w:cs="Arial"/>
          <w:lang w:val="fr-FR"/>
        </w:rPr>
        <w:t xml:space="preserve"> de résultat et prévisions de </w:t>
      </w:r>
      <w:r w:rsidRPr="00650D54">
        <w:rPr>
          <w:rFonts w:cs="Arial"/>
          <w:lang w:val="fr-FR"/>
        </w:rPr>
        <w:t xml:space="preserve">bénéfice une perte </w:t>
      </w:r>
      <w:r w:rsidRPr="00757A20">
        <w:rPr>
          <w:rFonts w:cs="Arial"/>
          <w:lang w:val="fr-FR"/>
        </w:rPr>
        <w:t xml:space="preserve">de </w:t>
      </w:r>
      <w:r w:rsidRPr="007D3E4D">
        <w:rPr>
          <w:rFonts w:cs="Arial"/>
          <w:lang w:val="fr-FR"/>
        </w:rPr>
        <w:t>4,2</w:t>
      </w:r>
      <w:r w:rsidRPr="00650D54">
        <w:rPr>
          <w:rFonts w:cs="Arial"/>
          <w:lang w:val="fr-FR"/>
        </w:rPr>
        <w:t xml:space="preserve"> millions</w:t>
      </w:r>
      <w:r>
        <w:rPr>
          <w:rFonts w:cs="Arial"/>
          <w:lang w:val="fr-FR"/>
        </w:rPr>
        <w:t xml:space="preserve"> €</w:t>
      </w:r>
      <w:r w:rsidRPr="00650D54">
        <w:rPr>
          <w:rFonts w:cs="Arial"/>
          <w:lang w:val="fr-FR"/>
        </w:rPr>
        <w:t xml:space="preserve"> pour l’exercice 2021. </w:t>
      </w:r>
    </w:p>
    <w:p w14:paraId="021C1370" w14:textId="40A65C45" w:rsidR="00504025" w:rsidRDefault="00896AF0" w:rsidP="00504025">
      <w:pPr>
        <w:pStyle w:val="DefaultStyleSimont-Braun"/>
        <w:spacing w:after="120"/>
        <w:jc w:val="both"/>
        <w:rPr>
          <w:rFonts w:cs="Arial"/>
          <w:lang w:val="fr-FR"/>
        </w:rPr>
      </w:pPr>
      <w:r>
        <w:rPr>
          <w:rFonts w:cs="Arial"/>
          <w:lang w:val="fr-FR"/>
        </w:rPr>
        <w:t>A</w:t>
      </w:r>
      <w:r w:rsidR="00504025" w:rsidRPr="00650D54">
        <w:rPr>
          <w:rFonts w:cs="Arial"/>
          <w:lang w:val="fr-FR"/>
        </w:rPr>
        <w:t xml:space="preserve"> ce </w:t>
      </w:r>
      <w:r w:rsidR="00504025" w:rsidRPr="00C30279">
        <w:rPr>
          <w:rFonts w:cs="Arial"/>
          <w:lang w:val="fr-FR"/>
        </w:rPr>
        <w:t xml:space="preserve">jour, la </w:t>
      </w:r>
      <w:r w:rsidR="00504025" w:rsidRPr="00CC18F9">
        <w:rPr>
          <w:lang w:val="fr-FR"/>
        </w:rPr>
        <w:t>perte estimée pour l’exercice 2021 s’élève à 9,1 millions</w:t>
      </w:r>
      <w:r w:rsidR="00504025">
        <w:rPr>
          <w:rFonts w:cs="Arial"/>
          <w:lang w:val="fr-FR"/>
        </w:rPr>
        <w:t xml:space="preserve"> €</w:t>
      </w:r>
      <w:r w:rsidR="00504025" w:rsidRPr="00C30279">
        <w:rPr>
          <w:rFonts w:cs="Arial"/>
          <w:lang w:val="fr-FR"/>
        </w:rPr>
        <w:t>.</w:t>
      </w:r>
      <w:r w:rsidR="00504025" w:rsidRPr="00CC18F9">
        <w:rPr>
          <w:lang w:val="fr-FR"/>
        </w:rPr>
        <w:t xml:space="preserve"> Cette différence s’explique d’une part par le fait que la crise sanitaire et le confinement complet, </w:t>
      </w:r>
      <w:r w:rsidR="00504025" w:rsidRPr="00CC18F9">
        <w:rPr>
          <w:lang w:val="fr-BE"/>
        </w:rPr>
        <w:t xml:space="preserve">décidé </w:t>
      </w:r>
      <w:r w:rsidR="00504025" w:rsidRPr="00CC18F9">
        <w:rPr>
          <w:lang w:val="fr-FR"/>
        </w:rPr>
        <w:t xml:space="preserve">au moment même où </w:t>
      </w:r>
      <w:proofErr w:type="spellStart"/>
      <w:r w:rsidR="00504025" w:rsidRPr="00CC18F9">
        <w:rPr>
          <w:lang w:val="fr-FR"/>
        </w:rPr>
        <w:t>NewB</w:t>
      </w:r>
      <w:proofErr w:type="spellEnd"/>
      <w:r w:rsidR="00504025" w:rsidRPr="00CC18F9">
        <w:rPr>
          <w:lang w:val="fr-FR"/>
        </w:rPr>
        <w:t xml:space="preserve"> commençait ses travaux de construction de la plateforme opérationnelle</w:t>
      </w:r>
      <w:r w:rsidR="00504025" w:rsidRPr="00C30279">
        <w:rPr>
          <w:rFonts w:cs="Arial"/>
          <w:lang w:val="fr-FR"/>
        </w:rPr>
        <w:t xml:space="preserve">, </w:t>
      </w:r>
      <w:r w:rsidR="00504025" w:rsidRPr="00C30279">
        <w:rPr>
          <w:rFonts w:cs="Arial"/>
          <w:lang w:val="fr-BE"/>
        </w:rPr>
        <w:t>ont</w:t>
      </w:r>
      <w:r w:rsidR="00504025" w:rsidRPr="009478CD">
        <w:rPr>
          <w:lang w:val="fr-BE"/>
        </w:rPr>
        <w:t xml:space="preserve"> </w:t>
      </w:r>
      <w:r w:rsidR="00504025">
        <w:rPr>
          <w:rFonts w:cs="Arial"/>
          <w:lang w:val="fr-FR"/>
        </w:rPr>
        <w:t xml:space="preserve">retardé le démarrage de </w:t>
      </w:r>
      <w:r w:rsidR="00504025">
        <w:rPr>
          <w:rFonts w:cs="Arial"/>
          <w:lang w:val="fr-FR"/>
        </w:rPr>
        <w:lastRenderedPageBreak/>
        <w:t>l’activité bancaire et d’autre part par le fait que le temps nécessaire à la mise au point de la solution bancaire (période de tests entre la livraison des programmes et le démarrage de l’activité) s’est avéré plus important que prévu dans le prospectus. Ceci entraîne un glissement dans le planning de déploiement des activités prévu initialement de +/- une année : l</w:t>
      </w:r>
      <w:r w:rsidR="00504025" w:rsidRPr="00E26F9B">
        <w:rPr>
          <w:rFonts w:cs="Arial"/>
          <w:lang w:val="fr-FR"/>
        </w:rPr>
        <w:t xml:space="preserve">’exercice 2021 </w:t>
      </w:r>
      <w:r w:rsidR="00504025" w:rsidRPr="00650D54">
        <w:rPr>
          <w:rFonts w:cs="Arial"/>
          <w:lang w:val="fr-FR"/>
        </w:rPr>
        <w:t>est</w:t>
      </w:r>
      <w:r w:rsidR="00504025" w:rsidRPr="00E26F9B">
        <w:rPr>
          <w:rFonts w:cs="Arial"/>
          <w:lang w:val="fr-FR"/>
        </w:rPr>
        <w:t xml:space="preserve"> </w:t>
      </w:r>
      <w:r w:rsidR="00504025">
        <w:rPr>
          <w:rFonts w:cs="Arial"/>
          <w:lang w:val="fr-FR"/>
        </w:rPr>
        <w:t xml:space="preserve">donc </w:t>
      </w:r>
      <w:r w:rsidR="00504025" w:rsidRPr="00E26F9B">
        <w:rPr>
          <w:rFonts w:cs="Arial"/>
          <w:lang w:val="fr-FR"/>
        </w:rPr>
        <w:t xml:space="preserve">un exercice de transition car cumulant à la fois </w:t>
      </w:r>
      <w:r w:rsidR="00504025">
        <w:rPr>
          <w:rFonts w:cs="Arial"/>
          <w:lang w:val="fr-FR"/>
        </w:rPr>
        <w:t xml:space="preserve">des charges encore liées au </w:t>
      </w:r>
      <w:r w:rsidR="00504025" w:rsidRPr="00E26F9B">
        <w:rPr>
          <w:rFonts w:cs="Arial"/>
          <w:lang w:val="fr-FR"/>
        </w:rPr>
        <w:t>« projet</w:t>
      </w:r>
      <w:r w:rsidR="00504025">
        <w:rPr>
          <w:rFonts w:cs="Arial"/>
          <w:lang w:val="fr-FR"/>
        </w:rPr>
        <w:t> »</w:t>
      </w:r>
      <w:r w:rsidR="00504025" w:rsidRPr="00E26F9B">
        <w:rPr>
          <w:rFonts w:cs="Arial"/>
          <w:lang w:val="fr-FR"/>
        </w:rPr>
        <w:t xml:space="preserve"> </w:t>
      </w:r>
      <w:r w:rsidR="00504025">
        <w:rPr>
          <w:rFonts w:cs="Arial"/>
          <w:lang w:val="fr-FR"/>
        </w:rPr>
        <w:t xml:space="preserve">de démarrage des activités bancaires </w:t>
      </w:r>
      <w:r w:rsidR="00504025" w:rsidRPr="00E26F9B">
        <w:rPr>
          <w:rFonts w:cs="Arial"/>
          <w:lang w:val="fr-FR"/>
        </w:rPr>
        <w:t>et</w:t>
      </w:r>
      <w:r w:rsidR="00504025">
        <w:rPr>
          <w:rFonts w:cs="Arial"/>
          <w:lang w:val="fr-FR"/>
        </w:rPr>
        <w:t> celles générées par l’</w:t>
      </w:r>
      <w:r w:rsidR="00504025" w:rsidRPr="00E26F9B">
        <w:rPr>
          <w:rFonts w:cs="Arial"/>
          <w:lang w:val="fr-FR"/>
        </w:rPr>
        <w:t>activité bancaire</w:t>
      </w:r>
      <w:r w:rsidR="00504025">
        <w:rPr>
          <w:rFonts w:cs="Arial"/>
          <w:lang w:val="fr-FR"/>
        </w:rPr>
        <w:t xml:space="preserve"> débutante.</w:t>
      </w:r>
    </w:p>
    <w:p w14:paraId="0A226544" w14:textId="77777777" w:rsidR="00504025" w:rsidRDefault="00504025" w:rsidP="00504025">
      <w:pPr>
        <w:pStyle w:val="DefaultStyleSimont-Braun"/>
        <w:spacing w:after="120"/>
        <w:jc w:val="both"/>
        <w:rPr>
          <w:rFonts w:cs="Arial"/>
          <w:lang w:val="fr-FR"/>
        </w:rPr>
      </w:pPr>
      <w:r>
        <w:rPr>
          <w:rFonts w:cs="Arial"/>
          <w:lang w:val="fr-FR"/>
        </w:rPr>
        <w:t xml:space="preserve">Ceci se traduit par des charges d’exploitation nettes estimées pour 2021 supérieures à celles prévues dans le prospectus d‘environ 2 millions d’€. </w:t>
      </w:r>
    </w:p>
    <w:p w14:paraId="6493904F" w14:textId="77777777" w:rsidR="00504025" w:rsidRDefault="00504025" w:rsidP="00504025">
      <w:pPr>
        <w:pStyle w:val="DefaultStyleSimont-Braun"/>
        <w:spacing w:after="120"/>
        <w:jc w:val="both"/>
        <w:rPr>
          <w:rFonts w:cs="Arial"/>
          <w:lang w:val="fr-FR"/>
        </w:rPr>
      </w:pPr>
      <w:r>
        <w:rPr>
          <w:rFonts w:cs="Arial"/>
          <w:lang w:val="fr-FR"/>
        </w:rPr>
        <w:t xml:space="preserve">Par ailleurs, la marge financière estimée a été revue à la baisse de 1,4 Millions d’€, suite au retard pris dans le démarrage des activités et à la révision de la marge d’intérêt pour tenir compte du niveau des taux d’intérêts actuels. </w:t>
      </w:r>
    </w:p>
    <w:p w14:paraId="0C1416C9" w14:textId="77777777" w:rsidR="00504025" w:rsidRPr="00650D54" w:rsidRDefault="00504025" w:rsidP="00504025">
      <w:pPr>
        <w:pStyle w:val="DefaultStyleSimont-Braun"/>
        <w:spacing w:after="120"/>
        <w:jc w:val="both"/>
        <w:rPr>
          <w:rFonts w:cs="Arial"/>
          <w:lang w:val="fr-FR"/>
        </w:rPr>
      </w:pPr>
      <w:r>
        <w:rPr>
          <w:rFonts w:cs="Arial"/>
          <w:lang w:val="fr-FR"/>
        </w:rPr>
        <w:t xml:space="preserve">Les revenus de commissions ont été quant à eux également revus à la baisse de 1.3 Millions d’€ principalement suite au retard pris dans la commercialisation des produits d’assurance. </w:t>
      </w:r>
    </w:p>
    <w:p w14:paraId="79BADD61" w14:textId="403198AE" w:rsidR="00504025" w:rsidRDefault="00504025" w:rsidP="00CC4321">
      <w:pPr>
        <w:pStyle w:val="DefaultStyleSimont-Braun"/>
        <w:spacing w:after="120"/>
        <w:jc w:val="both"/>
        <w:rPr>
          <w:rFonts w:cs="Arial"/>
          <w:szCs w:val="20"/>
          <w:lang w:val="fr-FR"/>
        </w:rPr>
      </w:pPr>
      <w:r w:rsidRPr="002C7951">
        <w:rPr>
          <w:lang w:val="fr-FR"/>
        </w:rPr>
        <w:t xml:space="preserve">Sur base </w:t>
      </w:r>
      <w:r w:rsidRPr="0040687C">
        <w:rPr>
          <w:rFonts w:cs="Arial"/>
          <w:szCs w:val="20"/>
          <w:lang w:val="fr-FR"/>
        </w:rPr>
        <w:t xml:space="preserve">de l'analyse qu'elle fait des informations disponibles à ce jour, </w:t>
      </w:r>
      <w:proofErr w:type="spellStart"/>
      <w:r w:rsidRPr="0040687C">
        <w:rPr>
          <w:rFonts w:cs="Arial"/>
          <w:szCs w:val="20"/>
          <w:lang w:val="fr-FR"/>
        </w:rPr>
        <w:t>NewB</w:t>
      </w:r>
      <w:proofErr w:type="spellEnd"/>
      <w:r w:rsidRPr="0040687C">
        <w:rPr>
          <w:rFonts w:cs="Arial"/>
          <w:szCs w:val="20"/>
          <w:lang w:val="fr-FR"/>
        </w:rPr>
        <w:t xml:space="preserve"> estime que la prochaine campagne de levée de fonds </w:t>
      </w:r>
      <w:r>
        <w:rPr>
          <w:rFonts w:cs="Arial"/>
          <w:szCs w:val="20"/>
          <w:lang w:val="fr-FR"/>
        </w:rPr>
        <w:t>devrait avoir lieu</w:t>
      </w:r>
      <w:r w:rsidRPr="0040687C">
        <w:rPr>
          <w:rFonts w:cs="Arial"/>
          <w:szCs w:val="20"/>
          <w:lang w:val="fr-FR"/>
        </w:rPr>
        <w:t xml:space="preserve"> fin 2022/début 2023. Entre-temps, le capital restera ouvert pour permettre d'accueillir de nouveaux coopérateurs et permettre aux coopérateurs actuels d'augmenter leur participation s'ils le souhaitent dans les limites de l’art. 7, § 1er, 2°, a), de la loi du 11 juillet 2018 relative aux offres au public d'instruments de placement et aux admissions d'instruments de placement à la négociation sur des marchés réglementés (</w:t>
      </w:r>
      <w:r w:rsidRPr="0040687C">
        <w:rPr>
          <w:lang w:val="fr-BE"/>
        </w:rPr>
        <w:t>5.000.000 € sur une période de douze mois à dater du 20 avril 2021, cf. Partie III, a) de la Note d’information)</w:t>
      </w:r>
      <w:r w:rsidRPr="0040687C">
        <w:rPr>
          <w:rFonts w:cs="Arial"/>
          <w:szCs w:val="20"/>
          <w:lang w:val="fr-FR"/>
        </w:rPr>
        <w:t>.</w:t>
      </w:r>
    </w:p>
    <w:p w14:paraId="5C7E5F2D" w14:textId="20ED1675" w:rsidR="000D472B" w:rsidRPr="00E41993" w:rsidRDefault="000D472B" w:rsidP="00CC4321">
      <w:pPr>
        <w:pStyle w:val="DefaultStyleSimont-Braun"/>
        <w:jc w:val="both"/>
        <w:rPr>
          <w:rFonts w:cs="Arial"/>
          <w:lang w:val="fr-FR"/>
        </w:rPr>
      </w:pPr>
      <w:r w:rsidRPr="00E41993">
        <w:rPr>
          <w:rFonts w:cs="Arial"/>
          <w:lang w:val="fr-FR"/>
        </w:rPr>
        <w:t>Il n'y a pas d'autres changements importants.</w:t>
      </w:r>
    </w:p>
    <w:p w14:paraId="77161F9B" w14:textId="77777777" w:rsidR="00902CCE" w:rsidRPr="00E26F9B" w:rsidRDefault="00902CCE" w:rsidP="000D472B">
      <w:pPr>
        <w:pStyle w:val="DefaultStyleSimont-Braun"/>
        <w:ind w:left="720"/>
        <w:jc w:val="both"/>
        <w:rPr>
          <w:rFonts w:cs="Arial"/>
          <w:lang w:val="fr-FR"/>
        </w:rPr>
      </w:pPr>
    </w:p>
    <w:p w14:paraId="26C76A7B" w14:textId="77777777" w:rsidR="00E91CF6" w:rsidRPr="00650D54" w:rsidRDefault="00E33D6A" w:rsidP="00E91CF6">
      <w:pPr>
        <w:pStyle w:val="DefaultStyleSimont-Braun"/>
        <w:jc w:val="both"/>
        <w:rPr>
          <w:rFonts w:cs="Arial"/>
          <w:b/>
          <w:color w:val="000099"/>
          <w:lang w:val="fr-FR"/>
        </w:rPr>
      </w:pPr>
      <w:r w:rsidRPr="00D6471E">
        <w:rPr>
          <w:rFonts w:cs="Arial"/>
          <w:b/>
          <w:color w:val="000099"/>
          <w:lang w:val="fr-BE"/>
        </w:rPr>
        <w:t>IV</w:t>
      </w:r>
      <w:r w:rsidR="00E91CF6" w:rsidRPr="00D6471E">
        <w:rPr>
          <w:rFonts w:cs="Arial"/>
          <w:b/>
          <w:color w:val="000099"/>
          <w:lang w:val="fr-BE"/>
        </w:rPr>
        <w:t xml:space="preserve">. Droit de </w:t>
      </w:r>
      <w:r w:rsidR="00650D54" w:rsidRPr="007D3E4D">
        <w:rPr>
          <w:rFonts w:cs="Arial"/>
          <w:b/>
          <w:color w:val="000099"/>
          <w:lang w:val="fr-BE"/>
        </w:rPr>
        <w:t>révocation</w:t>
      </w:r>
      <w:r w:rsidR="00E91CF6" w:rsidRPr="00D6471E">
        <w:rPr>
          <w:rFonts w:cs="Arial"/>
          <w:b/>
          <w:color w:val="000099"/>
          <w:lang w:val="fr-BE"/>
        </w:rPr>
        <w:t xml:space="preserve"> </w:t>
      </w:r>
    </w:p>
    <w:p w14:paraId="4B4CBD2F" w14:textId="77777777" w:rsidR="00E91CF6" w:rsidRPr="00650D54" w:rsidRDefault="00E91CF6" w:rsidP="00E91CF6">
      <w:pPr>
        <w:pStyle w:val="DefaultStyleSimont-Braun"/>
        <w:jc w:val="both"/>
        <w:rPr>
          <w:rFonts w:cs="Arial"/>
          <w:b/>
          <w:color w:val="000099"/>
          <w:lang w:val="fr-FR"/>
        </w:rPr>
      </w:pPr>
    </w:p>
    <w:p w14:paraId="5A029F5F" w14:textId="67BA4137" w:rsidR="00DF2BF1" w:rsidRPr="00CC4321" w:rsidRDefault="008C66C5" w:rsidP="00E91CF6">
      <w:pPr>
        <w:pStyle w:val="DefaultStyleSimont-Braun"/>
        <w:jc w:val="both"/>
        <w:rPr>
          <w:lang w:val="fr-BE"/>
        </w:rPr>
      </w:pPr>
      <w:r w:rsidRPr="00E26F9B">
        <w:rPr>
          <w:rFonts w:cs="Arial"/>
          <w:lang w:val="fr-FR"/>
        </w:rPr>
        <w:t>Conformément</w:t>
      </w:r>
      <w:r w:rsidR="00DF2BF1" w:rsidRPr="00E26F9B">
        <w:rPr>
          <w:rFonts w:cs="Arial"/>
          <w:lang w:val="fr-FR"/>
        </w:rPr>
        <w:t xml:space="preserve"> </w:t>
      </w:r>
      <w:proofErr w:type="spellStart"/>
      <w:r w:rsidR="00DF2BF1" w:rsidRPr="00E26F9B">
        <w:rPr>
          <w:rFonts w:cs="Arial"/>
          <w:lang w:val="fr-FR"/>
        </w:rPr>
        <w:t>a</w:t>
      </w:r>
      <w:proofErr w:type="spellEnd"/>
      <w:r w:rsidR="00DF2BF1" w:rsidRPr="00E26F9B">
        <w:rPr>
          <w:rFonts w:cs="Arial"/>
          <w:lang w:val="fr-FR"/>
        </w:rPr>
        <w:t xml:space="preserve">̀ l’article 15 de la loi du 11 juillet 2018 relative aux offres au public d'instruments de placement et aux admissions d'instruments de placement à la </w:t>
      </w:r>
      <w:proofErr w:type="spellStart"/>
      <w:r w:rsidR="00DF2BF1" w:rsidRPr="00E26F9B">
        <w:rPr>
          <w:rFonts w:cs="Arial"/>
          <w:lang w:val="fr-FR"/>
        </w:rPr>
        <w:t>négociation</w:t>
      </w:r>
      <w:proofErr w:type="spellEnd"/>
      <w:r w:rsidR="00DF2BF1" w:rsidRPr="00E26F9B">
        <w:rPr>
          <w:rFonts w:cs="Arial"/>
          <w:lang w:val="fr-FR"/>
        </w:rPr>
        <w:t xml:space="preserve"> sur des </w:t>
      </w:r>
      <w:proofErr w:type="spellStart"/>
      <w:r w:rsidR="00DF2BF1" w:rsidRPr="00E26F9B">
        <w:rPr>
          <w:rFonts w:cs="Arial"/>
          <w:lang w:val="fr-FR"/>
        </w:rPr>
        <w:t>marchés</w:t>
      </w:r>
      <w:proofErr w:type="spellEnd"/>
      <w:r w:rsidR="00DF2BF1" w:rsidRPr="00E26F9B">
        <w:rPr>
          <w:rFonts w:cs="Arial"/>
          <w:lang w:val="fr-FR"/>
        </w:rPr>
        <w:t xml:space="preserve"> </w:t>
      </w:r>
      <w:proofErr w:type="spellStart"/>
      <w:r w:rsidR="00DF2BF1" w:rsidRPr="00E26F9B">
        <w:rPr>
          <w:rFonts w:cs="Arial"/>
          <w:lang w:val="fr-FR"/>
        </w:rPr>
        <w:t>réglementés</w:t>
      </w:r>
      <w:proofErr w:type="spellEnd"/>
      <w:r w:rsidR="00DF2BF1" w:rsidRPr="00E26F9B">
        <w:rPr>
          <w:rFonts w:cs="Arial"/>
          <w:lang w:val="fr-FR"/>
        </w:rPr>
        <w:t xml:space="preserve">, les investisseurs qui ont investi </w:t>
      </w:r>
      <w:r w:rsidR="00DF78F2">
        <w:rPr>
          <w:rFonts w:cs="Arial"/>
          <w:lang w:val="fr-FR"/>
        </w:rPr>
        <w:t xml:space="preserve">dans le cadre de la Note d’information </w:t>
      </w:r>
      <w:r w:rsidR="00DF2BF1" w:rsidRPr="00E26F9B">
        <w:rPr>
          <w:rFonts w:cs="Arial"/>
          <w:lang w:val="fr-FR"/>
        </w:rPr>
        <w:t xml:space="preserve">avant la publication de ce </w:t>
      </w:r>
      <w:proofErr w:type="spellStart"/>
      <w:r w:rsidR="00DF2BF1" w:rsidRPr="00E26F9B">
        <w:rPr>
          <w:rFonts w:cs="Arial"/>
          <w:lang w:val="fr-FR"/>
        </w:rPr>
        <w:t>Supplément</w:t>
      </w:r>
      <w:proofErr w:type="spellEnd"/>
      <w:r w:rsidR="00DF2BF1" w:rsidRPr="00E26F9B">
        <w:rPr>
          <w:rFonts w:cs="Arial"/>
          <w:lang w:val="fr-FR"/>
        </w:rPr>
        <w:t xml:space="preserve"> ont le droit de </w:t>
      </w:r>
      <w:proofErr w:type="spellStart"/>
      <w:r w:rsidR="00DF2BF1" w:rsidRPr="00E26F9B">
        <w:rPr>
          <w:rFonts w:cs="Arial"/>
          <w:lang w:val="fr-FR"/>
        </w:rPr>
        <w:t>révoquer</w:t>
      </w:r>
      <w:proofErr w:type="spellEnd"/>
      <w:r w:rsidR="00DF2BF1" w:rsidRPr="00E26F9B">
        <w:rPr>
          <w:rFonts w:cs="Arial"/>
          <w:lang w:val="fr-FR"/>
        </w:rPr>
        <w:t xml:space="preserve"> leur acceptation pendant deux jours ouvrables </w:t>
      </w:r>
      <w:proofErr w:type="spellStart"/>
      <w:r w:rsidR="00DF2BF1" w:rsidRPr="00E26F9B">
        <w:rPr>
          <w:rFonts w:cs="Arial"/>
          <w:lang w:val="fr-FR"/>
        </w:rPr>
        <w:t>après</w:t>
      </w:r>
      <w:proofErr w:type="spellEnd"/>
      <w:r w:rsidR="00DF2BF1" w:rsidRPr="00E26F9B">
        <w:rPr>
          <w:rFonts w:cs="Arial"/>
          <w:lang w:val="fr-FR"/>
        </w:rPr>
        <w:t xml:space="preserve"> la publication de ce </w:t>
      </w:r>
      <w:proofErr w:type="spellStart"/>
      <w:r w:rsidR="00F82388">
        <w:rPr>
          <w:rFonts w:cs="Arial"/>
          <w:lang w:val="fr-FR"/>
        </w:rPr>
        <w:t>S</w:t>
      </w:r>
      <w:r w:rsidR="00DF2BF1" w:rsidRPr="00E26F9B">
        <w:rPr>
          <w:rFonts w:cs="Arial"/>
          <w:lang w:val="fr-FR"/>
        </w:rPr>
        <w:t>upplément</w:t>
      </w:r>
      <w:proofErr w:type="spellEnd"/>
      <w:r w:rsidR="00DF2BF1" w:rsidRPr="00E26F9B">
        <w:rPr>
          <w:rFonts w:cs="Arial"/>
          <w:lang w:val="fr-FR"/>
        </w:rPr>
        <w:t xml:space="preserve">, soit </w:t>
      </w:r>
      <w:r w:rsidR="00DF78F2">
        <w:rPr>
          <w:rFonts w:cs="Arial"/>
          <w:lang w:val="fr-FR"/>
        </w:rPr>
        <w:t>jusqu’au</w:t>
      </w:r>
      <w:r w:rsidR="00DF2BF1" w:rsidRPr="00E26F9B">
        <w:rPr>
          <w:rFonts w:cs="Arial"/>
          <w:lang w:val="fr-FR"/>
        </w:rPr>
        <w:t xml:space="preserve"> </w:t>
      </w:r>
      <w:r w:rsidR="00DF2BF1" w:rsidRPr="00650D54">
        <w:rPr>
          <w:rFonts w:cs="Arial"/>
          <w:lang w:val="fr-FR"/>
        </w:rPr>
        <w:t>[</w:t>
      </w:r>
      <w:r w:rsidR="00DF2BF1" w:rsidRPr="00650D54">
        <w:rPr>
          <w:rFonts w:cs="Arial"/>
          <w:highlight w:val="yellow"/>
          <w:lang w:val="fr-FR"/>
        </w:rPr>
        <w:t>•</w:t>
      </w:r>
      <w:r w:rsidR="00DF2BF1" w:rsidRPr="00650D54">
        <w:rPr>
          <w:rFonts w:cs="Arial"/>
          <w:lang w:val="fr-FR"/>
        </w:rPr>
        <w:t>]</w:t>
      </w:r>
      <w:r w:rsidR="00DF2BF1" w:rsidRPr="00E26F9B">
        <w:rPr>
          <w:rFonts w:cs="Arial"/>
          <w:lang w:val="fr-FR"/>
        </w:rPr>
        <w:t xml:space="preserve"> </w:t>
      </w:r>
      <w:r w:rsidR="00263FC9">
        <w:rPr>
          <w:rFonts w:cs="Arial"/>
          <w:lang w:val="fr-FR"/>
        </w:rPr>
        <w:t>août</w:t>
      </w:r>
      <w:r w:rsidR="00214418" w:rsidRPr="00214418">
        <w:rPr>
          <w:rFonts w:cs="Arial"/>
          <w:lang w:val="fr-FR"/>
        </w:rPr>
        <w:t xml:space="preserve"> </w:t>
      </w:r>
      <w:r w:rsidR="00DF2BF1" w:rsidRPr="00214418">
        <w:rPr>
          <w:rFonts w:cs="Arial"/>
          <w:lang w:val="fr-FR"/>
        </w:rPr>
        <w:t>2021</w:t>
      </w:r>
      <w:r w:rsidR="00DF78F2" w:rsidRPr="00214418">
        <w:rPr>
          <w:rFonts w:cs="Arial"/>
          <w:lang w:val="fr-FR"/>
        </w:rPr>
        <w:t xml:space="preserve"> à minuit</w:t>
      </w:r>
      <w:r w:rsidR="00722967" w:rsidRPr="00214418">
        <w:rPr>
          <w:rFonts w:cs="Arial"/>
          <w:lang w:val="fr-FR"/>
        </w:rPr>
        <w:t>,</w:t>
      </w:r>
      <w:r w:rsidR="00722967" w:rsidRPr="0040687C">
        <w:rPr>
          <w:rFonts w:cs="Arial"/>
          <w:lang w:val="fr-FR"/>
        </w:rPr>
        <w:t xml:space="preserve"> à condition que le fait nouveau, l'erreur ou l'inexactitude soit antérieur à la clôture définitive de l'offre </w:t>
      </w:r>
      <w:r w:rsidR="001A60FE" w:rsidRPr="00214418">
        <w:rPr>
          <w:rFonts w:cs="Arial"/>
          <w:lang w:val="fr-FR"/>
        </w:rPr>
        <w:t>publique</w:t>
      </w:r>
      <w:r w:rsidR="00DF2BF1" w:rsidRPr="00214418">
        <w:rPr>
          <w:rFonts w:cs="Arial"/>
          <w:lang w:val="fr-FR"/>
        </w:rPr>
        <w:t>.</w:t>
      </w:r>
    </w:p>
    <w:p w14:paraId="31A8DD8C" w14:textId="77777777" w:rsidR="00DF2BF1" w:rsidRPr="00650D54" w:rsidRDefault="00DF2BF1" w:rsidP="00E91CF6">
      <w:pPr>
        <w:pStyle w:val="DefaultStyleSimont-Braun"/>
        <w:jc w:val="both"/>
        <w:rPr>
          <w:rFonts w:cs="Arial"/>
          <w:lang w:val="fr-FR"/>
        </w:rPr>
      </w:pPr>
    </w:p>
    <w:p w14:paraId="4E2755B6" w14:textId="41FA08C4" w:rsidR="004064E3" w:rsidRPr="00E26F9B" w:rsidRDefault="008B66BC" w:rsidP="00896AF0">
      <w:pPr>
        <w:pStyle w:val="DefaultStyleSimont-Braun"/>
        <w:rPr>
          <w:rFonts w:cs="Arial"/>
          <w:lang w:val="fr-FR"/>
        </w:rPr>
      </w:pPr>
      <w:r w:rsidRPr="00D32C20">
        <w:rPr>
          <w:rFonts w:cs="Arial"/>
          <w:lang w:val="fr-FR"/>
        </w:rPr>
        <w:t xml:space="preserve">L’investisseur qui souhaite exercer son droit de révocation doit en informer </w:t>
      </w:r>
      <w:proofErr w:type="spellStart"/>
      <w:r w:rsidRPr="00D32C20">
        <w:rPr>
          <w:rFonts w:cs="Arial"/>
          <w:lang w:val="fr-FR"/>
        </w:rPr>
        <w:t>NewB</w:t>
      </w:r>
      <w:proofErr w:type="spellEnd"/>
      <w:r w:rsidRPr="00D32C20">
        <w:rPr>
          <w:rFonts w:cs="Arial"/>
          <w:lang w:val="fr-FR"/>
        </w:rPr>
        <w:t xml:space="preserve"> </w:t>
      </w:r>
      <w:r w:rsidRPr="0040687C">
        <w:rPr>
          <w:rFonts w:cs="Arial"/>
          <w:lang w:val="fr-FR"/>
        </w:rPr>
        <w:t xml:space="preserve">avant l’expiration du délai en remplissant le formulaire disponible </w:t>
      </w:r>
      <w:r w:rsidR="00AF226A" w:rsidRPr="0040687C">
        <w:rPr>
          <w:rFonts w:cs="Arial"/>
          <w:lang w:val="fr-FR"/>
        </w:rPr>
        <w:t>via le lien suivant :</w:t>
      </w:r>
      <w:r w:rsidR="00D32C20">
        <w:rPr>
          <w:rFonts w:cs="Arial"/>
          <w:lang w:val="fr-FR"/>
        </w:rPr>
        <w:t xml:space="preserve"> </w:t>
      </w:r>
      <w:hyperlink r:id="rId12" w:history="1">
        <w:r w:rsidR="00186D87" w:rsidRPr="00896AF0">
          <w:rPr>
            <w:lang w:val="fr-FR"/>
          </w:rPr>
          <w:t>https://fr.research.net/r/Retractation2021</w:t>
        </w:r>
      </w:hyperlink>
      <w:r w:rsidR="008C66C5">
        <w:rPr>
          <w:rFonts w:cs="Arial"/>
          <w:lang w:val="fr-FR"/>
        </w:rPr>
        <w:t xml:space="preserve">  </w:t>
      </w:r>
      <w:r w:rsidR="00D32C20">
        <w:rPr>
          <w:rFonts w:cs="Arial"/>
          <w:lang w:val="fr-FR"/>
        </w:rPr>
        <w:t xml:space="preserve"> </w:t>
      </w:r>
    </w:p>
    <w:sectPr w:rsidR="004064E3" w:rsidRPr="00E26F9B" w:rsidSect="00680738">
      <w:headerReference w:type="default" r:id="rId13"/>
      <w:footerReference w:type="default" r:id="rId14"/>
      <w:pgSz w:w="12240" w:h="15840"/>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C174" w14:textId="77777777" w:rsidR="00B47950" w:rsidRDefault="00B47950" w:rsidP="002946A5">
      <w:pPr>
        <w:spacing w:after="0" w:line="240" w:lineRule="auto"/>
      </w:pPr>
      <w:r>
        <w:separator/>
      </w:r>
    </w:p>
  </w:endnote>
  <w:endnote w:type="continuationSeparator" w:id="0">
    <w:p w14:paraId="7036EC6E" w14:textId="77777777" w:rsidR="00B47950" w:rsidRDefault="00B47950" w:rsidP="002946A5">
      <w:pPr>
        <w:spacing w:after="0" w:line="240" w:lineRule="auto"/>
      </w:pPr>
      <w:r>
        <w:continuationSeparator/>
      </w:r>
    </w:p>
  </w:endnote>
  <w:endnote w:type="continuationNotice" w:id="1">
    <w:p w14:paraId="0F4A837E" w14:textId="77777777" w:rsidR="00B47950" w:rsidRDefault="00B47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8934"/>
      <w:docPartObj>
        <w:docPartGallery w:val="Page Numbers (Bottom of Page)"/>
        <w:docPartUnique/>
      </w:docPartObj>
    </w:sdtPr>
    <w:sdtEndPr>
      <w:rPr>
        <w:noProof/>
      </w:rPr>
    </w:sdtEndPr>
    <w:sdtContent>
      <w:p w14:paraId="1839A4A7" w14:textId="03FA4D9D" w:rsidR="00316DB6" w:rsidRDefault="00316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C0432" w14:textId="77777777" w:rsidR="00316DB6" w:rsidRDefault="0031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6FA6" w14:textId="77777777" w:rsidR="00B47950" w:rsidRDefault="00B47950" w:rsidP="002946A5">
      <w:pPr>
        <w:spacing w:after="0" w:line="240" w:lineRule="auto"/>
      </w:pPr>
      <w:r>
        <w:separator/>
      </w:r>
    </w:p>
  </w:footnote>
  <w:footnote w:type="continuationSeparator" w:id="0">
    <w:p w14:paraId="28263E77" w14:textId="77777777" w:rsidR="00B47950" w:rsidRDefault="00B47950" w:rsidP="002946A5">
      <w:pPr>
        <w:spacing w:after="0" w:line="240" w:lineRule="auto"/>
      </w:pPr>
      <w:r>
        <w:continuationSeparator/>
      </w:r>
    </w:p>
  </w:footnote>
  <w:footnote w:type="continuationNotice" w:id="1">
    <w:p w14:paraId="0421A610" w14:textId="77777777" w:rsidR="00B47950" w:rsidRDefault="00B47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612D" w14:textId="159B868F" w:rsidR="002946A5" w:rsidRDefault="00B47950" w:rsidP="009478CD">
    <w:pPr>
      <w:pStyle w:val="Header"/>
      <w:tabs>
        <w:tab w:val="clear" w:pos="4513"/>
        <w:tab w:val="clear" w:pos="9026"/>
        <w:tab w:val="left" w:pos="7797"/>
      </w:tabs>
    </w:pPr>
    <w:sdt>
      <w:sdtPr>
        <w:id w:val="-805623726"/>
        <w:docPartObj>
          <w:docPartGallery w:val="Watermarks"/>
          <w:docPartUnique/>
        </w:docPartObj>
      </w:sdtPr>
      <w:sdtEndPr/>
      <w:sdtContent>
        <w:r>
          <w:rPr>
            <w:noProof/>
          </w:rPr>
          <w:pict w14:anchorId="6AD6A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46A5" w:rsidRPr="00CC4321">
      <w:rPr>
        <w:noProof/>
        <w:lang w:val="en-GB"/>
      </w:rPr>
      <w:drawing>
        <wp:inline distT="0" distB="0" distL="0" distR="0" wp14:anchorId="484C91D0" wp14:editId="3C82BB65">
          <wp:extent cx="1047750" cy="1047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9D535D">
      <w:t xml:space="preserve"> </w:t>
    </w:r>
    <w:r w:rsidR="009D535D">
      <w:tab/>
    </w:r>
    <w:proofErr w:type="spellStart"/>
    <w:r w:rsidR="009D535D" w:rsidRPr="00C03C18">
      <w:rPr>
        <w:i/>
        <w:iCs/>
        <w:sz w:val="20"/>
        <w:szCs w:val="20"/>
      </w:rPr>
      <w:t>Projet</w:t>
    </w:r>
    <w:proofErr w:type="spellEnd"/>
    <w:r w:rsidR="009D535D" w:rsidRPr="00C03C18">
      <w:rPr>
        <w:i/>
        <w:iCs/>
        <w:sz w:val="20"/>
        <w:szCs w:val="20"/>
      </w:rPr>
      <w:t xml:space="preserve"> </w:t>
    </w:r>
    <w:r w:rsidR="007D179E">
      <w:rPr>
        <w:i/>
        <w:iCs/>
        <w:sz w:val="20"/>
        <w:szCs w:val="20"/>
      </w:rPr>
      <w:t>30</w:t>
    </w:r>
    <w:r w:rsidR="00C8080D">
      <w:rPr>
        <w:i/>
        <w:iCs/>
        <w:sz w:val="20"/>
        <w:szCs w:val="20"/>
      </w:rPr>
      <w:t>.07</w:t>
    </w:r>
    <w:r w:rsidR="009D535D" w:rsidRPr="00C03C18">
      <w:rPr>
        <w:i/>
        <w:iCs/>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2D"/>
    <w:multiLevelType w:val="hybridMultilevel"/>
    <w:tmpl w:val="83A4A83A"/>
    <w:lvl w:ilvl="0" w:tplc="7286002A">
      <w:numFmt w:val="bullet"/>
      <w:lvlText w:val="-"/>
      <w:lvlJc w:val="left"/>
      <w:pPr>
        <w:ind w:left="1080" w:hanging="360"/>
      </w:pPr>
      <w:rPr>
        <w:rFonts w:ascii="Arial" w:eastAsiaTheme="minorHAnsi"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F8B6FF3"/>
    <w:multiLevelType w:val="hybridMultilevel"/>
    <w:tmpl w:val="F69C8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34B27"/>
    <w:multiLevelType w:val="hybridMultilevel"/>
    <w:tmpl w:val="3B26A1A8"/>
    <w:lvl w:ilvl="0" w:tplc="BC9AD21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3936813"/>
    <w:multiLevelType w:val="hybridMultilevel"/>
    <w:tmpl w:val="FE1E86A4"/>
    <w:lvl w:ilvl="0" w:tplc="A8847A6C">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53E3E3A"/>
    <w:multiLevelType w:val="multilevel"/>
    <w:tmpl w:val="0EBC8746"/>
    <w:lvl w:ilvl="0">
      <w:start w:val="1"/>
      <w:numFmt w:val="decimal"/>
      <w:pStyle w:val="Heading1"/>
      <w:lvlText w:val="%1."/>
      <w:lvlJc w:val="left"/>
      <w:pPr>
        <w:ind w:left="360" w:hanging="360"/>
      </w:pPr>
    </w:lvl>
    <w:lvl w:ilvl="1">
      <w:start w:val="1"/>
      <w:numFmt w:val="upperLetter"/>
      <w:pStyle w:val="Heading2"/>
      <w:lvlText w:val="%2."/>
      <w:lvlJc w:val="left"/>
      <w:pPr>
        <w:ind w:left="792" w:hanging="432"/>
      </w:pPr>
      <w:rPr>
        <w:rFonts w:asciiTheme="minorHAnsi" w:eastAsiaTheme="minorEastAsia" w:hAnsiTheme="minorHAnsi" w:cstheme="minorHAnsi"/>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0C189A"/>
    <w:multiLevelType w:val="hybridMultilevel"/>
    <w:tmpl w:val="F69C8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C53FF"/>
    <w:multiLevelType w:val="hybridMultilevel"/>
    <w:tmpl w:val="2B36088C"/>
    <w:lvl w:ilvl="0" w:tplc="080C0001">
      <w:start w:val="1"/>
      <w:numFmt w:val="bullet"/>
      <w:lvlText w:val=""/>
      <w:lvlJc w:val="left"/>
      <w:pPr>
        <w:ind w:left="866" w:hanging="360"/>
      </w:pPr>
      <w:rPr>
        <w:rFonts w:ascii="Symbol" w:hAnsi="Symbol" w:hint="default"/>
      </w:rPr>
    </w:lvl>
    <w:lvl w:ilvl="1" w:tplc="080C0003" w:tentative="1">
      <w:start w:val="1"/>
      <w:numFmt w:val="bullet"/>
      <w:lvlText w:val="o"/>
      <w:lvlJc w:val="left"/>
      <w:pPr>
        <w:ind w:left="1586" w:hanging="360"/>
      </w:pPr>
      <w:rPr>
        <w:rFonts w:ascii="Courier New" w:hAnsi="Courier New" w:cs="Courier New" w:hint="default"/>
      </w:rPr>
    </w:lvl>
    <w:lvl w:ilvl="2" w:tplc="080C0005" w:tentative="1">
      <w:start w:val="1"/>
      <w:numFmt w:val="bullet"/>
      <w:lvlText w:val=""/>
      <w:lvlJc w:val="left"/>
      <w:pPr>
        <w:ind w:left="2306" w:hanging="360"/>
      </w:pPr>
      <w:rPr>
        <w:rFonts w:ascii="Wingdings" w:hAnsi="Wingdings" w:hint="default"/>
      </w:rPr>
    </w:lvl>
    <w:lvl w:ilvl="3" w:tplc="080C0001" w:tentative="1">
      <w:start w:val="1"/>
      <w:numFmt w:val="bullet"/>
      <w:lvlText w:val=""/>
      <w:lvlJc w:val="left"/>
      <w:pPr>
        <w:ind w:left="3026" w:hanging="360"/>
      </w:pPr>
      <w:rPr>
        <w:rFonts w:ascii="Symbol" w:hAnsi="Symbol" w:hint="default"/>
      </w:rPr>
    </w:lvl>
    <w:lvl w:ilvl="4" w:tplc="080C0003" w:tentative="1">
      <w:start w:val="1"/>
      <w:numFmt w:val="bullet"/>
      <w:lvlText w:val="o"/>
      <w:lvlJc w:val="left"/>
      <w:pPr>
        <w:ind w:left="3746" w:hanging="360"/>
      </w:pPr>
      <w:rPr>
        <w:rFonts w:ascii="Courier New" w:hAnsi="Courier New" w:cs="Courier New" w:hint="default"/>
      </w:rPr>
    </w:lvl>
    <w:lvl w:ilvl="5" w:tplc="080C0005" w:tentative="1">
      <w:start w:val="1"/>
      <w:numFmt w:val="bullet"/>
      <w:lvlText w:val=""/>
      <w:lvlJc w:val="left"/>
      <w:pPr>
        <w:ind w:left="4466" w:hanging="360"/>
      </w:pPr>
      <w:rPr>
        <w:rFonts w:ascii="Wingdings" w:hAnsi="Wingdings" w:hint="default"/>
      </w:rPr>
    </w:lvl>
    <w:lvl w:ilvl="6" w:tplc="080C0001" w:tentative="1">
      <w:start w:val="1"/>
      <w:numFmt w:val="bullet"/>
      <w:lvlText w:val=""/>
      <w:lvlJc w:val="left"/>
      <w:pPr>
        <w:ind w:left="5186" w:hanging="360"/>
      </w:pPr>
      <w:rPr>
        <w:rFonts w:ascii="Symbol" w:hAnsi="Symbol" w:hint="default"/>
      </w:rPr>
    </w:lvl>
    <w:lvl w:ilvl="7" w:tplc="080C0003" w:tentative="1">
      <w:start w:val="1"/>
      <w:numFmt w:val="bullet"/>
      <w:lvlText w:val="o"/>
      <w:lvlJc w:val="left"/>
      <w:pPr>
        <w:ind w:left="5906" w:hanging="360"/>
      </w:pPr>
      <w:rPr>
        <w:rFonts w:ascii="Courier New" w:hAnsi="Courier New" w:cs="Courier New" w:hint="default"/>
      </w:rPr>
    </w:lvl>
    <w:lvl w:ilvl="8" w:tplc="080C0005" w:tentative="1">
      <w:start w:val="1"/>
      <w:numFmt w:val="bullet"/>
      <w:lvlText w:val=""/>
      <w:lvlJc w:val="left"/>
      <w:pPr>
        <w:ind w:left="6626" w:hanging="360"/>
      </w:pPr>
      <w:rPr>
        <w:rFonts w:ascii="Wingdings" w:hAnsi="Wingdings" w:hint="default"/>
      </w:rPr>
    </w:lvl>
  </w:abstractNum>
  <w:abstractNum w:abstractNumId="7" w15:restartNumberingAfterBreak="0">
    <w:nsid w:val="66EE7CEA"/>
    <w:multiLevelType w:val="hybridMultilevel"/>
    <w:tmpl w:val="C0A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7096"/>
    <w:multiLevelType w:val="hybridMultilevel"/>
    <w:tmpl w:val="AC886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540BE"/>
    <w:multiLevelType w:val="hybridMultilevel"/>
    <w:tmpl w:val="54EA2F72"/>
    <w:lvl w:ilvl="0" w:tplc="7820C1C0">
      <w:numFmt w:val="bullet"/>
      <w:lvlText w:val="-"/>
      <w:lvlJc w:val="left"/>
      <w:pPr>
        <w:ind w:left="1080" w:hanging="360"/>
      </w:pPr>
      <w:rPr>
        <w:rFonts w:ascii="Arial" w:eastAsiaTheme="minorHAnsi"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0" w15:restartNumberingAfterBreak="0">
    <w:nsid w:val="76DF25F7"/>
    <w:multiLevelType w:val="hybridMultilevel"/>
    <w:tmpl w:val="3C9806F4"/>
    <w:lvl w:ilvl="0" w:tplc="21F623FE">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6"/>
  </w:num>
  <w:num w:numId="6">
    <w:abstractNumId w:val="9"/>
  </w:num>
  <w:num w:numId="7">
    <w:abstractNumId w:val="3"/>
  </w:num>
  <w:num w:numId="8">
    <w:abstractNumId w:val="0"/>
  </w:num>
  <w:num w:numId="9">
    <w:abstractNumId w:val="4"/>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EC"/>
    <w:rsid w:val="000073FE"/>
    <w:rsid w:val="00007704"/>
    <w:rsid w:val="000116D7"/>
    <w:rsid w:val="0001318A"/>
    <w:rsid w:val="00015EDC"/>
    <w:rsid w:val="00017C57"/>
    <w:rsid w:val="00026565"/>
    <w:rsid w:val="00026BA0"/>
    <w:rsid w:val="00040FCA"/>
    <w:rsid w:val="000410B8"/>
    <w:rsid w:val="000429CE"/>
    <w:rsid w:val="000440B5"/>
    <w:rsid w:val="0006053E"/>
    <w:rsid w:val="00070F1B"/>
    <w:rsid w:val="0007173A"/>
    <w:rsid w:val="00073926"/>
    <w:rsid w:val="0007631B"/>
    <w:rsid w:val="0007678E"/>
    <w:rsid w:val="000800BB"/>
    <w:rsid w:val="000827EE"/>
    <w:rsid w:val="0008335C"/>
    <w:rsid w:val="0009228B"/>
    <w:rsid w:val="00094177"/>
    <w:rsid w:val="000B057E"/>
    <w:rsid w:val="000C2357"/>
    <w:rsid w:val="000D32F5"/>
    <w:rsid w:val="000D3E68"/>
    <w:rsid w:val="000D472B"/>
    <w:rsid w:val="000D495B"/>
    <w:rsid w:val="000D6244"/>
    <w:rsid w:val="000E0BEB"/>
    <w:rsid w:val="000E176B"/>
    <w:rsid w:val="000E3B17"/>
    <w:rsid w:val="000F18EE"/>
    <w:rsid w:val="000F4E96"/>
    <w:rsid w:val="00111FEA"/>
    <w:rsid w:val="001369C9"/>
    <w:rsid w:val="0014452B"/>
    <w:rsid w:val="0015372D"/>
    <w:rsid w:val="00165ACA"/>
    <w:rsid w:val="0018492C"/>
    <w:rsid w:val="001853AA"/>
    <w:rsid w:val="00186D87"/>
    <w:rsid w:val="0018701F"/>
    <w:rsid w:val="001932D4"/>
    <w:rsid w:val="00193B49"/>
    <w:rsid w:val="001941C9"/>
    <w:rsid w:val="001942E9"/>
    <w:rsid w:val="001978E2"/>
    <w:rsid w:val="001A3137"/>
    <w:rsid w:val="001A5337"/>
    <w:rsid w:val="001A5B18"/>
    <w:rsid w:val="001A60FE"/>
    <w:rsid w:val="001A78A8"/>
    <w:rsid w:val="001B532B"/>
    <w:rsid w:val="001C091C"/>
    <w:rsid w:val="001C2CB5"/>
    <w:rsid w:val="001C3A0B"/>
    <w:rsid w:val="001C4D82"/>
    <w:rsid w:val="001C56A0"/>
    <w:rsid w:val="001D0990"/>
    <w:rsid w:val="001D16C4"/>
    <w:rsid w:val="001D319E"/>
    <w:rsid w:val="001D71F9"/>
    <w:rsid w:val="001E0153"/>
    <w:rsid w:val="001F0F01"/>
    <w:rsid w:val="001F1440"/>
    <w:rsid w:val="001F3E1A"/>
    <w:rsid w:val="001F5D60"/>
    <w:rsid w:val="00202BE8"/>
    <w:rsid w:val="002032C5"/>
    <w:rsid w:val="00204456"/>
    <w:rsid w:val="00214418"/>
    <w:rsid w:val="00220C40"/>
    <w:rsid w:val="002216B4"/>
    <w:rsid w:val="00222100"/>
    <w:rsid w:val="0022524D"/>
    <w:rsid w:val="00230113"/>
    <w:rsid w:val="0023190A"/>
    <w:rsid w:val="00233FD7"/>
    <w:rsid w:val="0023722D"/>
    <w:rsid w:val="00241D6E"/>
    <w:rsid w:val="0024704E"/>
    <w:rsid w:val="00251894"/>
    <w:rsid w:val="0025778E"/>
    <w:rsid w:val="00263FC9"/>
    <w:rsid w:val="00270F00"/>
    <w:rsid w:val="00290106"/>
    <w:rsid w:val="002946A5"/>
    <w:rsid w:val="002A0A52"/>
    <w:rsid w:val="002B4727"/>
    <w:rsid w:val="002B54C3"/>
    <w:rsid w:val="002B6645"/>
    <w:rsid w:val="002B6B7C"/>
    <w:rsid w:val="002C5EE8"/>
    <w:rsid w:val="002C7951"/>
    <w:rsid w:val="002D0DA1"/>
    <w:rsid w:val="002D529B"/>
    <w:rsid w:val="002E1978"/>
    <w:rsid w:val="002F1455"/>
    <w:rsid w:val="002F53CE"/>
    <w:rsid w:val="002F7B40"/>
    <w:rsid w:val="002F7F0A"/>
    <w:rsid w:val="00300647"/>
    <w:rsid w:val="00301F58"/>
    <w:rsid w:val="00303FBB"/>
    <w:rsid w:val="00305BFE"/>
    <w:rsid w:val="00306AA3"/>
    <w:rsid w:val="00312646"/>
    <w:rsid w:val="00315F76"/>
    <w:rsid w:val="00316C17"/>
    <w:rsid w:val="00316DB6"/>
    <w:rsid w:val="00321FA8"/>
    <w:rsid w:val="00323E45"/>
    <w:rsid w:val="003269E4"/>
    <w:rsid w:val="0033047E"/>
    <w:rsid w:val="00331243"/>
    <w:rsid w:val="00331332"/>
    <w:rsid w:val="00345CA8"/>
    <w:rsid w:val="00351E29"/>
    <w:rsid w:val="00357EAB"/>
    <w:rsid w:val="003604E0"/>
    <w:rsid w:val="00362593"/>
    <w:rsid w:val="00376FCD"/>
    <w:rsid w:val="00382324"/>
    <w:rsid w:val="00382A10"/>
    <w:rsid w:val="003835C4"/>
    <w:rsid w:val="003851F1"/>
    <w:rsid w:val="0038795F"/>
    <w:rsid w:val="00392830"/>
    <w:rsid w:val="003A123D"/>
    <w:rsid w:val="003A6046"/>
    <w:rsid w:val="003B0E8E"/>
    <w:rsid w:val="003B0F2A"/>
    <w:rsid w:val="003B375B"/>
    <w:rsid w:val="003B3CF0"/>
    <w:rsid w:val="003C016A"/>
    <w:rsid w:val="003C1043"/>
    <w:rsid w:val="003C295E"/>
    <w:rsid w:val="003C29D1"/>
    <w:rsid w:val="003C4193"/>
    <w:rsid w:val="003C5B33"/>
    <w:rsid w:val="003E0B52"/>
    <w:rsid w:val="003E6E05"/>
    <w:rsid w:val="003F2D5C"/>
    <w:rsid w:val="003F37C8"/>
    <w:rsid w:val="003F6C69"/>
    <w:rsid w:val="003F6CDF"/>
    <w:rsid w:val="00401031"/>
    <w:rsid w:val="00404E4B"/>
    <w:rsid w:val="004064E3"/>
    <w:rsid w:val="0040687C"/>
    <w:rsid w:val="00410BE5"/>
    <w:rsid w:val="00412525"/>
    <w:rsid w:val="00417E30"/>
    <w:rsid w:val="004225DD"/>
    <w:rsid w:val="00425271"/>
    <w:rsid w:val="00427CCB"/>
    <w:rsid w:val="00432935"/>
    <w:rsid w:val="00432A11"/>
    <w:rsid w:val="0043523A"/>
    <w:rsid w:val="0044496F"/>
    <w:rsid w:val="00455E1F"/>
    <w:rsid w:val="00456E91"/>
    <w:rsid w:val="004572DE"/>
    <w:rsid w:val="00457327"/>
    <w:rsid w:val="0046716B"/>
    <w:rsid w:val="00471201"/>
    <w:rsid w:val="004714BC"/>
    <w:rsid w:val="00474A2C"/>
    <w:rsid w:val="00475C6C"/>
    <w:rsid w:val="00477CF0"/>
    <w:rsid w:val="00477F91"/>
    <w:rsid w:val="00482033"/>
    <w:rsid w:val="0048424A"/>
    <w:rsid w:val="004913E5"/>
    <w:rsid w:val="00491A0F"/>
    <w:rsid w:val="004A03B8"/>
    <w:rsid w:val="004A5A76"/>
    <w:rsid w:val="004B1595"/>
    <w:rsid w:val="004B33E6"/>
    <w:rsid w:val="004B38B6"/>
    <w:rsid w:val="004B7254"/>
    <w:rsid w:val="004C0364"/>
    <w:rsid w:val="004C31F5"/>
    <w:rsid w:val="004D0058"/>
    <w:rsid w:val="004D01FD"/>
    <w:rsid w:val="004D1BA6"/>
    <w:rsid w:val="004D1E18"/>
    <w:rsid w:val="004E132F"/>
    <w:rsid w:val="004E1362"/>
    <w:rsid w:val="004E2289"/>
    <w:rsid w:val="004E37EF"/>
    <w:rsid w:val="004E5EB0"/>
    <w:rsid w:val="00503A70"/>
    <w:rsid w:val="00504025"/>
    <w:rsid w:val="0050432D"/>
    <w:rsid w:val="00506AC4"/>
    <w:rsid w:val="00514EC2"/>
    <w:rsid w:val="0052004A"/>
    <w:rsid w:val="0052127B"/>
    <w:rsid w:val="005221E2"/>
    <w:rsid w:val="005235A0"/>
    <w:rsid w:val="00523970"/>
    <w:rsid w:val="0052598C"/>
    <w:rsid w:val="00534B8C"/>
    <w:rsid w:val="0054037D"/>
    <w:rsid w:val="00544E88"/>
    <w:rsid w:val="00560DE9"/>
    <w:rsid w:val="00566FFA"/>
    <w:rsid w:val="0057138A"/>
    <w:rsid w:val="005832CE"/>
    <w:rsid w:val="00583C88"/>
    <w:rsid w:val="0058719C"/>
    <w:rsid w:val="00591697"/>
    <w:rsid w:val="00594174"/>
    <w:rsid w:val="005941E8"/>
    <w:rsid w:val="005A39FF"/>
    <w:rsid w:val="005B1917"/>
    <w:rsid w:val="005B698A"/>
    <w:rsid w:val="005C038E"/>
    <w:rsid w:val="005C12AA"/>
    <w:rsid w:val="005C14A9"/>
    <w:rsid w:val="005C5E26"/>
    <w:rsid w:val="005D20A2"/>
    <w:rsid w:val="005D2DC6"/>
    <w:rsid w:val="005D3548"/>
    <w:rsid w:val="005D39E3"/>
    <w:rsid w:val="005F0A66"/>
    <w:rsid w:val="005F6422"/>
    <w:rsid w:val="00606C2B"/>
    <w:rsid w:val="00611774"/>
    <w:rsid w:val="00615471"/>
    <w:rsid w:val="0061559C"/>
    <w:rsid w:val="00617FB5"/>
    <w:rsid w:val="00620523"/>
    <w:rsid w:val="006307EA"/>
    <w:rsid w:val="00634EF1"/>
    <w:rsid w:val="00642424"/>
    <w:rsid w:val="00643CA1"/>
    <w:rsid w:val="00645441"/>
    <w:rsid w:val="00650D54"/>
    <w:rsid w:val="00650F77"/>
    <w:rsid w:val="00654DFA"/>
    <w:rsid w:val="00662155"/>
    <w:rsid w:val="0066342F"/>
    <w:rsid w:val="006643CC"/>
    <w:rsid w:val="00674835"/>
    <w:rsid w:val="00675ADE"/>
    <w:rsid w:val="00676FE6"/>
    <w:rsid w:val="006775E8"/>
    <w:rsid w:val="00680738"/>
    <w:rsid w:val="00680D81"/>
    <w:rsid w:val="006828A2"/>
    <w:rsid w:val="00683E54"/>
    <w:rsid w:val="00690EB9"/>
    <w:rsid w:val="0069325C"/>
    <w:rsid w:val="006A20AE"/>
    <w:rsid w:val="006A6FD0"/>
    <w:rsid w:val="006B5AFE"/>
    <w:rsid w:val="006B6155"/>
    <w:rsid w:val="006C30E8"/>
    <w:rsid w:val="006C68D0"/>
    <w:rsid w:val="006C75C6"/>
    <w:rsid w:val="006C76AB"/>
    <w:rsid w:val="006D4393"/>
    <w:rsid w:val="006D4C92"/>
    <w:rsid w:val="006D542F"/>
    <w:rsid w:val="006D5C6B"/>
    <w:rsid w:val="006D6F00"/>
    <w:rsid w:val="006E219B"/>
    <w:rsid w:val="006E3F98"/>
    <w:rsid w:val="006E4F6A"/>
    <w:rsid w:val="006F0AF0"/>
    <w:rsid w:val="006F4FF0"/>
    <w:rsid w:val="006F589A"/>
    <w:rsid w:val="00706F90"/>
    <w:rsid w:val="0071296F"/>
    <w:rsid w:val="0071375C"/>
    <w:rsid w:val="0071719F"/>
    <w:rsid w:val="007225AA"/>
    <w:rsid w:val="00722967"/>
    <w:rsid w:val="00724ADE"/>
    <w:rsid w:val="00727CEC"/>
    <w:rsid w:val="007321AE"/>
    <w:rsid w:val="007365CD"/>
    <w:rsid w:val="00736E43"/>
    <w:rsid w:val="007408CD"/>
    <w:rsid w:val="0074548F"/>
    <w:rsid w:val="007454EB"/>
    <w:rsid w:val="00750EF7"/>
    <w:rsid w:val="00753024"/>
    <w:rsid w:val="007531A2"/>
    <w:rsid w:val="0075521C"/>
    <w:rsid w:val="00757A20"/>
    <w:rsid w:val="0076526B"/>
    <w:rsid w:val="00767789"/>
    <w:rsid w:val="0077118E"/>
    <w:rsid w:val="00790B20"/>
    <w:rsid w:val="00795576"/>
    <w:rsid w:val="00797688"/>
    <w:rsid w:val="007B470C"/>
    <w:rsid w:val="007B6B67"/>
    <w:rsid w:val="007C38DC"/>
    <w:rsid w:val="007C3A0A"/>
    <w:rsid w:val="007D179E"/>
    <w:rsid w:val="007D3E4D"/>
    <w:rsid w:val="007E71BD"/>
    <w:rsid w:val="007F2284"/>
    <w:rsid w:val="007F37F5"/>
    <w:rsid w:val="007F62C6"/>
    <w:rsid w:val="008063A3"/>
    <w:rsid w:val="0080666A"/>
    <w:rsid w:val="00813A19"/>
    <w:rsid w:val="008155F5"/>
    <w:rsid w:val="0082197C"/>
    <w:rsid w:val="00823076"/>
    <w:rsid w:val="00826A18"/>
    <w:rsid w:val="008320F2"/>
    <w:rsid w:val="008425AB"/>
    <w:rsid w:val="0084585B"/>
    <w:rsid w:val="00860649"/>
    <w:rsid w:val="008614E9"/>
    <w:rsid w:val="008638D1"/>
    <w:rsid w:val="008640B7"/>
    <w:rsid w:val="00871755"/>
    <w:rsid w:val="00884962"/>
    <w:rsid w:val="00884E0C"/>
    <w:rsid w:val="00887A0F"/>
    <w:rsid w:val="00893203"/>
    <w:rsid w:val="00896AF0"/>
    <w:rsid w:val="008B09D3"/>
    <w:rsid w:val="008B6385"/>
    <w:rsid w:val="008B66BC"/>
    <w:rsid w:val="008C2159"/>
    <w:rsid w:val="008C2F1C"/>
    <w:rsid w:val="008C66C5"/>
    <w:rsid w:val="008D02FF"/>
    <w:rsid w:val="008E13C0"/>
    <w:rsid w:val="008E6D1C"/>
    <w:rsid w:val="008F5B4E"/>
    <w:rsid w:val="008F72DC"/>
    <w:rsid w:val="00900EF3"/>
    <w:rsid w:val="00901136"/>
    <w:rsid w:val="00902CCE"/>
    <w:rsid w:val="00903CC2"/>
    <w:rsid w:val="0090506A"/>
    <w:rsid w:val="00905AF5"/>
    <w:rsid w:val="00912B05"/>
    <w:rsid w:val="0091357E"/>
    <w:rsid w:val="0092394A"/>
    <w:rsid w:val="0093433E"/>
    <w:rsid w:val="00934A5D"/>
    <w:rsid w:val="009478CD"/>
    <w:rsid w:val="009502C8"/>
    <w:rsid w:val="009511F9"/>
    <w:rsid w:val="00952002"/>
    <w:rsid w:val="00952B54"/>
    <w:rsid w:val="00954616"/>
    <w:rsid w:val="00955217"/>
    <w:rsid w:val="009557BA"/>
    <w:rsid w:val="009579B7"/>
    <w:rsid w:val="00960355"/>
    <w:rsid w:val="00961060"/>
    <w:rsid w:val="009613DE"/>
    <w:rsid w:val="00965B78"/>
    <w:rsid w:val="0098473D"/>
    <w:rsid w:val="00995F83"/>
    <w:rsid w:val="00997E8A"/>
    <w:rsid w:val="009A06AB"/>
    <w:rsid w:val="009A10D8"/>
    <w:rsid w:val="009B0A72"/>
    <w:rsid w:val="009B5D39"/>
    <w:rsid w:val="009B7B35"/>
    <w:rsid w:val="009C09C1"/>
    <w:rsid w:val="009C0FFD"/>
    <w:rsid w:val="009D535D"/>
    <w:rsid w:val="009D7293"/>
    <w:rsid w:val="009E069E"/>
    <w:rsid w:val="009E4569"/>
    <w:rsid w:val="009E70A2"/>
    <w:rsid w:val="009E7ABD"/>
    <w:rsid w:val="009F0A8C"/>
    <w:rsid w:val="009F2066"/>
    <w:rsid w:val="009F4E50"/>
    <w:rsid w:val="009F6495"/>
    <w:rsid w:val="00A06359"/>
    <w:rsid w:val="00A1773A"/>
    <w:rsid w:val="00A178EC"/>
    <w:rsid w:val="00A17A6B"/>
    <w:rsid w:val="00A21B9A"/>
    <w:rsid w:val="00A2277F"/>
    <w:rsid w:val="00A2447A"/>
    <w:rsid w:val="00A251BC"/>
    <w:rsid w:val="00A26154"/>
    <w:rsid w:val="00A33C96"/>
    <w:rsid w:val="00A36610"/>
    <w:rsid w:val="00A37B8F"/>
    <w:rsid w:val="00A42621"/>
    <w:rsid w:val="00A42FFC"/>
    <w:rsid w:val="00A505FC"/>
    <w:rsid w:val="00A529C6"/>
    <w:rsid w:val="00A535E0"/>
    <w:rsid w:val="00A6142E"/>
    <w:rsid w:val="00A621CB"/>
    <w:rsid w:val="00A74B80"/>
    <w:rsid w:val="00A81F6D"/>
    <w:rsid w:val="00A824AE"/>
    <w:rsid w:val="00A838E2"/>
    <w:rsid w:val="00A8425D"/>
    <w:rsid w:val="00A86BE8"/>
    <w:rsid w:val="00A875C4"/>
    <w:rsid w:val="00A90F9B"/>
    <w:rsid w:val="00A968CE"/>
    <w:rsid w:val="00A96C2D"/>
    <w:rsid w:val="00AA35F1"/>
    <w:rsid w:val="00AA38BA"/>
    <w:rsid w:val="00AA3E3C"/>
    <w:rsid w:val="00AA5033"/>
    <w:rsid w:val="00AA7D2F"/>
    <w:rsid w:val="00AB41FD"/>
    <w:rsid w:val="00AD5C48"/>
    <w:rsid w:val="00AE3B0D"/>
    <w:rsid w:val="00AE6035"/>
    <w:rsid w:val="00AF0271"/>
    <w:rsid w:val="00AF226A"/>
    <w:rsid w:val="00AF596C"/>
    <w:rsid w:val="00B010CB"/>
    <w:rsid w:val="00B06396"/>
    <w:rsid w:val="00B10C07"/>
    <w:rsid w:val="00B10C8A"/>
    <w:rsid w:val="00B156B8"/>
    <w:rsid w:val="00B1602A"/>
    <w:rsid w:val="00B165FB"/>
    <w:rsid w:val="00B17682"/>
    <w:rsid w:val="00B17E47"/>
    <w:rsid w:val="00B26331"/>
    <w:rsid w:val="00B31359"/>
    <w:rsid w:val="00B32ADC"/>
    <w:rsid w:val="00B36C65"/>
    <w:rsid w:val="00B37422"/>
    <w:rsid w:val="00B40A5C"/>
    <w:rsid w:val="00B43255"/>
    <w:rsid w:val="00B43ACD"/>
    <w:rsid w:val="00B44B4A"/>
    <w:rsid w:val="00B4763D"/>
    <w:rsid w:val="00B47950"/>
    <w:rsid w:val="00B51F60"/>
    <w:rsid w:val="00B53BCE"/>
    <w:rsid w:val="00B55B7E"/>
    <w:rsid w:val="00B6071B"/>
    <w:rsid w:val="00B667A8"/>
    <w:rsid w:val="00B762D1"/>
    <w:rsid w:val="00B81C35"/>
    <w:rsid w:val="00B83869"/>
    <w:rsid w:val="00B866A1"/>
    <w:rsid w:val="00B877BB"/>
    <w:rsid w:val="00B928FC"/>
    <w:rsid w:val="00BA10B0"/>
    <w:rsid w:val="00BA2835"/>
    <w:rsid w:val="00BA45B0"/>
    <w:rsid w:val="00BB0E97"/>
    <w:rsid w:val="00BB4DBB"/>
    <w:rsid w:val="00BC10FE"/>
    <w:rsid w:val="00BC13A9"/>
    <w:rsid w:val="00BC1B85"/>
    <w:rsid w:val="00BD1A45"/>
    <w:rsid w:val="00BD251E"/>
    <w:rsid w:val="00BE6EC3"/>
    <w:rsid w:val="00C01CC2"/>
    <w:rsid w:val="00C03C18"/>
    <w:rsid w:val="00C04E31"/>
    <w:rsid w:val="00C10E51"/>
    <w:rsid w:val="00C113F6"/>
    <w:rsid w:val="00C224D9"/>
    <w:rsid w:val="00C257EE"/>
    <w:rsid w:val="00C30279"/>
    <w:rsid w:val="00C31F4F"/>
    <w:rsid w:val="00C3420A"/>
    <w:rsid w:val="00C368E5"/>
    <w:rsid w:val="00C4217C"/>
    <w:rsid w:val="00C44D90"/>
    <w:rsid w:val="00C50A7B"/>
    <w:rsid w:val="00C51DE6"/>
    <w:rsid w:val="00C54F53"/>
    <w:rsid w:val="00C55195"/>
    <w:rsid w:val="00C55F45"/>
    <w:rsid w:val="00C57DC7"/>
    <w:rsid w:val="00C57EFC"/>
    <w:rsid w:val="00C632C9"/>
    <w:rsid w:val="00C63458"/>
    <w:rsid w:val="00C63DC6"/>
    <w:rsid w:val="00C66864"/>
    <w:rsid w:val="00C72B8E"/>
    <w:rsid w:val="00C8080D"/>
    <w:rsid w:val="00C83936"/>
    <w:rsid w:val="00C85F79"/>
    <w:rsid w:val="00C87335"/>
    <w:rsid w:val="00C87A93"/>
    <w:rsid w:val="00C902B2"/>
    <w:rsid w:val="00C93509"/>
    <w:rsid w:val="00C95608"/>
    <w:rsid w:val="00C97B47"/>
    <w:rsid w:val="00CA11AF"/>
    <w:rsid w:val="00CA3B8F"/>
    <w:rsid w:val="00CB14FA"/>
    <w:rsid w:val="00CB7481"/>
    <w:rsid w:val="00CB7A0E"/>
    <w:rsid w:val="00CC1FC5"/>
    <w:rsid w:val="00CC4321"/>
    <w:rsid w:val="00CD3946"/>
    <w:rsid w:val="00CD5F46"/>
    <w:rsid w:val="00CE4077"/>
    <w:rsid w:val="00CE7D1D"/>
    <w:rsid w:val="00CF7D04"/>
    <w:rsid w:val="00D02DBF"/>
    <w:rsid w:val="00D2299F"/>
    <w:rsid w:val="00D25086"/>
    <w:rsid w:val="00D25E3A"/>
    <w:rsid w:val="00D260C8"/>
    <w:rsid w:val="00D32401"/>
    <w:rsid w:val="00D32C20"/>
    <w:rsid w:val="00D34033"/>
    <w:rsid w:val="00D407F0"/>
    <w:rsid w:val="00D43513"/>
    <w:rsid w:val="00D53C22"/>
    <w:rsid w:val="00D57099"/>
    <w:rsid w:val="00D60083"/>
    <w:rsid w:val="00D60732"/>
    <w:rsid w:val="00D6471E"/>
    <w:rsid w:val="00D66152"/>
    <w:rsid w:val="00D720DA"/>
    <w:rsid w:val="00D72967"/>
    <w:rsid w:val="00D90F16"/>
    <w:rsid w:val="00DA2A6E"/>
    <w:rsid w:val="00DB078F"/>
    <w:rsid w:val="00DB2703"/>
    <w:rsid w:val="00DB32EB"/>
    <w:rsid w:val="00DB5EF3"/>
    <w:rsid w:val="00DC5115"/>
    <w:rsid w:val="00DD1F75"/>
    <w:rsid w:val="00DE5BD5"/>
    <w:rsid w:val="00DE5DED"/>
    <w:rsid w:val="00DE751C"/>
    <w:rsid w:val="00DF2949"/>
    <w:rsid w:val="00DF2BF1"/>
    <w:rsid w:val="00DF78F2"/>
    <w:rsid w:val="00E02A91"/>
    <w:rsid w:val="00E1512B"/>
    <w:rsid w:val="00E158AA"/>
    <w:rsid w:val="00E21A62"/>
    <w:rsid w:val="00E23333"/>
    <w:rsid w:val="00E2412C"/>
    <w:rsid w:val="00E2664F"/>
    <w:rsid w:val="00E26F9B"/>
    <w:rsid w:val="00E271CF"/>
    <w:rsid w:val="00E2737D"/>
    <w:rsid w:val="00E27C8B"/>
    <w:rsid w:val="00E305DB"/>
    <w:rsid w:val="00E30836"/>
    <w:rsid w:val="00E33D6A"/>
    <w:rsid w:val="00E343FC"/>
    <w:rsid w:val="00E403EC"/>
    <w:rsid w:val="00E41993"/>
    <w:rsid w:val="00E434B3"/>
    <w:rsid w:val="00E475EF"/>
    <w:rsid w:val="00E5183B"/>
    <w:rsid w:val="00E554ED"/>
    <w:rsid w:val="00E57571"/>
    <w:rsid w:val="00E57F0B"/>
    <w:rsid w:val="00E709EE"/>
    <w:rsid w:val="00E742D9"/>
    <w:rsid w:val="00E74D4D"/>
    <w:rsid w:val="00E76131"/>
    <w:rsid w:val="00E83D1D"/>
    <w:rsid w:val="00E86D49"/>
    <w:rsid w:val="00E87A5F"/>
    <w:rsid w:val="00E903ED"/>
    <w:rsid w:val="00E91CF6"/>
    <w:rsid w:val="00E95B22"/>
    <w:rsid w:val="00EA4903"/>
    <w:rsid w:val="00EB540E"/>
    <w:rsid w:val="00EC7CCF"/>
    <w:rsid w:val="00ED17CA"/>
    <w:rsid w:val="00ED3B7D"/>
    <w:rsid w:val="00ED6ED8"/>
    <w:rsid w:val="00EE046F"/>
    <w:rsid w:val="00EE3D39"/>
    <w:rsid w:val="00EE4197"/>
    <w:rsid w:val="00F057CC"/>
    <w:rsid w:val="00F07928"/>
    <w:rsid w:val="00F17572"/>
    <w:rsid w:val="00F207A8"/>
    <w:rsid w:val="00F2548A"/>
    <w:rsid w:val="00F27C6F"/>
    <w:rsid w:val="00F30393"/>
    <w:rsid w:val="00F37E1C"/>
    <w:rsid w:val="00F448E0"/>
    <w:rsid w:val="00F46EF0"/>
    <w:rsid w:val="00F52918"/>
    <w:rsid w:val="00F52D07"/>
    <w:rsid w:val="00F53502"/>
    <w:rsid w:val="00F56DA0"/>
    <w:rsid w:val="00F60651"/>
    <w:rsid w:val="00F62CC3"/>
    <w:rsid w:val="00F640C4"/>
    <w:rsid w:val="00F7375B"/>
    <w:rsid w:val="00F82388"/>
    <w:rsid w:val="00F83783"/>
    <w:rsid w:val="00F86FF1"/>
    <w:rsid w:val="00F94502"/>
    <w:rsid w:val="00FA188B"/>
    <w:rsid w:val="00FA23EA"/>
    <w:rsid w:val="00FC1FF3"/>
    <w:rsid w:val="00FC2D95"/>
    <w:rsid w:val="00FC5F88"/>
    <w:rsid w:val="00FE0075"/>
    <w:rsid w:val="00FE2FA7"/>
    <w:rsid w:val="00FE47BA"/>
    <w:rsid w:val="00FF2CF5"/>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34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362593"/>
    <w:pPr>
      <w:keepNext/>
      <w:widowControl w:val="0"/>
      <w:numPr>
        <w:numId w:val="9"/>
      </w:numPr>
      <w:spacing w:before="360" w:after="120" w:line="240" w:lineRule="auto"/>
      <w:ind w:left="357" w:hanging="357"/>
      <w:jc w:val="center"/>
      <w:outlineLvl w:val="0"/>
    </w:pPr>
    <w:rPr>
      <w:rFonts w:eastAsiaTheme="minorEastAsia" w:cstheme="minorHAnsi"/>
      <w:b/>
      <w:snapToGrid w:val="0"/>
      <w:color w:val="004A98"/>
      <w:sz w:val="28"/>
      <w:szCs w:val="24"/>
      <w:lang w:val="fr-BE"/>
    </w:rPr>
  </w:style>
  <w:style w:type="paragraph" w:styleId="Heading2">
    <w:name w:val="heading 2"/>
    <w:basedOn w:val="Heading1"/>
    <w:link w:val="Heading2Char"/>
    <w:qFormat/>
    <w:rsid w:val="00362593"/>
    <w:pPr>
      <w:numPr>
        <w:ilvl w:val="1"/>
      </w:numPr>
      <w:jc w:val="left"/>
      <w:outlineLvl w:val="1"/>
    </w:pPr>
    <w:rPr>
      <w:b w:val="0"/>
      <w:sz w:val="26"/>
    </w:rPr>
  </w:style>
  <w:style w:type="paragraph" w:styleId="Heading3">
    <w:name w:val="heading 3"/>
    <w:basedOn w:val="Heading2"/>
    <w:link w:val="Heading3Char"/>
    <w:qFormat/>
    <w:rsid w:val="00362593"/>
    <w:pPr>
      <w:numPr>
        <w:ilvl w:val="2"/>
      </w:numPr>
      <w:spacing w:before="240"/>
      <w:outlineLvl w:val="2"/>
    </w:pPr>
    <w:rPr>
      <w:b/>
      <w:sz w:val="24"/>
    </w:rPr>
  </w:style>
  <w:style w:type="paragraph" w:styleId="Heading4">
    <w:name w:val="heading 4"/>
    <w:basedOn w:val="Heading3"/>
    <w:next w:val="Normal"/>
    <w:link w:val="Heading4Char"/>
    <w:qFormat/>
    <w:rsid w:val="00362593"/>
    <w:pPr>
      <w:numPr>
        <w:ilvl w:val="0"/>
        <w:numId w:val="0"/>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5BFE"/>
    <w:pPr>
      <w:spacing w:after="0" w:line="240" w:lineRule="auto"/>
    </w:pPr>
  </w:style>
  <w:style w:type="paragraph" w:customStyle="1" w:styleId="DefaultStyleSimont-Braun">
    <w:name w:val="Default Style Simont-Braun"/>
    <w:basedOn w:val="Normal"/>
    <w:link w:val="DefaultStyleSimont-BraunChar"/>
    <w:qFormat/>
    <w:rsid w:val="003C29D1"/>
    <w:pPr>
      <w:spacing w:after="0" w:line="280" w:lineRule="exact"/>
    </w:pPr>
    <w:rPr>
      <w:rFonts w:ascii="Arial" w:hAnsi="Arial"/>
      <w:sz w:val="20"/>
    </w:rPr>
  </w:style>
  <w:style w:type="character" w:customStyle="1" w:styleId="NoSpacingChar">
    <w:name w:val="No Spacing Char"/>
    <w:basedOn w:val="DefaultParagraphFont"/>
    <w:link w:val="NoSpacing"/>
    <w:uiPriority w:val="1"/>
    <w:rsid w:val="00305BFE"/>
  </w:style>
  <w:style w:type="character" w:customStyle="1" w:styleId="DefaultStyleSimont-BraunChar">
    <w:name w:val="Default Style Simont-Braun Char"/>
    <w:basedOn w:val="NoSpacingChar"/>
    <w:link w:val="DefaultStyleSimont-Braun"/>
    <w:rsid w:val="003C29D1"/>
    <w:rPr>
      <w:rFonts w:ascii="Arial" w:hAnsi="Arial"/>
      <w:sz w:val="20"/>
    </w:rPr>
  </w:style>
  <w:style w:type="paragraph" w:customStyle="1" w:styleId="western">
    <w:name w:val="western"/>
    <w:basedOn w:val="Normal"/>
    <w:rsid w:val="002E1978"/>
    <w:pPr>
      <w:spacing w:before="100" w:beforeAutospacing="1" w:after="100" w:afterAutospacing="1" w:line="288" w:lineRule="auto"/>
      <w:jc w:val="both"/>
    </w:pPr>
    <w:rPr>
      <w:rFonts w:ascii="Times New Roman" w:eastAsia="Times New Roman" w:hAnsi="Times New Roman" w:cs="Times New Roman"/>
      <w:color w:val="00000A"/>
      <w:lang w:val="fr-BE" w:eastAsia="fr-BE"/>
    </w:rPr>
  </w:style>
  <w:style w:type="character" w:styleId="Hyperlink">
    <w:name w:val="Hyperlink"/>
    <w:basedOn w:val="DefaultParagraphFont"/>
    <w:uiPriority w:val="99"/>
    <w:unhideWhenUsed/>
    <w:rsid w:val="00E33D6A"/>
    <w:rPr>
      <w:color w:val="0563C1" w:themeColor="hyperlink"/>
      <w:u w:val="single"/>
    </w:rPr>
  </w:style>
  <w:style w:type="paragraph" w:styleId="ListParagraph">
    <w:name w:val="List Paragraph"/>
    <w:basedOn w:val="Normal"/>
    <w:uiPriority w:val="34"/>
    <w:qFormat/>
    <w:rsid w:val="0074548F"/>
    <w:pPr>
      <w:overflowPunct w:val="0"/>
      <w:autoSpaceDE w:val="0"/>
      <w:autoSpaceDN w:val="0"/>
      <w:adjustRightInd w:val="0"/>
      <w:spacing w:after="0" w:line="240" w:lineRule="auto"/>
      <w:ind w:left="720"/>
      <w:contextualSpacing/>
      <w:jc w:val="both"/>
      <w:textAlignment w:val="baseline"/>
    </w:pPr>
    <w:rPr>
      <w:rFonts w:eastAsia="Times New Roman" w:cs="Mangal"/>
      <w:szCs w:val="20"/>
      <w:lang w:val="fr-BE" w:bidi="ne-IN"/>
    </w:rPr>
  </w:style>
  <w:style w:type="character" w:styleId="CommentReference">
    <w:name w:val="annotation reference"/>
    <w:basedOn w:val="DefaultParagraphFont"/>
    <w:uiPriority w:val="99"/>
    <w:semiHidden/>
    <w:unhideWhenUsed/>
    <w:rsid w:val="00D6471E"/>
    <w:rPr>
      <w:sz w:val="16"/>
      <w:szCs w:val="16"/>
    </w:rPr>
  </w:style>
  <w:style w:type="paragraph" w:styleId="CommentText">
    <w:name w:val="annotation text"/>
    <w:basedOn w:val="Normal"/>
    <w:link w:val="CommentTextChar"/>
    <w:uiPriority w:val="99"/>
    <w:unhideWhenUsed/>
    <w:rsid w:val="00D6471E"/>
    <w:pPr>
      <w:spacing w:line="240" w:lineRule="auto"/>
    </w:pPr>
    <w:rPr>
      <w:sz w:val="20"/>
      <w:szCs w:val="20"/>
    </w:rPr>
  </w:style>
  <w:style w:type="character" w:customStyle="1" w:styleId="CommentTextChar">
    <w:name w:val="Comment Text Char"/>
    <w:basedOn w:val="DefaultParagraphFont"/>
    <w:link w:val="CommentText"/>
    <w:uiPriority w:val="99"/>
    <w:rsid w:val="00D6471E"/>
    <w:rPr>
      <w:sz w:val="20"/>
      <w:szCs w:val="20"/>
    </w:rPr>
  </w:style>
  <w:style w:type="paragraph" w:styleId="CommentSubject">
    <w:name w:val="annotation subject"/>
    <w:basedOn w:val="CommentText"/>
    <w:next w:val="CommentText"/>
    <w:link w:val="CommentSubjectChar"/>
    <w:uiPriority w:val="99"/>
    <w:semiHidden/>
    <w:unhideWhenUsed/>
    <w:rsid w:val="00D6471E"/>
    <w:rPr>
      <w:b/>
      <w:bCs/>
    </w:rPr>
  </w:style>
  <w:style w:type="character" w:customStyle="1" w:styleId="CommentSubjectChar">
    <w:name w:val="Comment Subject Char"/>
    <w:basedOn w:val="CommentTextChar"/>
    <w:link w:val="CommentSubject"/>
    <w:uiPriority w:val="99"/>
    <w:semiHidden/>
    <w:rsid w:val="00D6471E"/>
    <w:rPr>
      <w:b/>
      <w:bCs/>
      <w:sz w:val="20"/>
      <w:szCs w:val="20"/>
    </w:rPr>
  </w:style>
  <w:style w:type="character" w:customStyle="1" w:styleId="tojvnm2t">
    <w:name w:val="tojvnm2t"/>
    <w:basedOn w:val="DefaultParagraphFont"/>
    <w:rsid w:val="00757A20"/>
  </w:style>
  <w:style w:type="paragraph" w:styleId="Header">
    <w:name w:val="header"/>
    <w:basedOn w:val="Normal"/>
    <w:link w:val="HeaderChar"/>
    <w:uiPriority w:val="99"/>
    <w:unhideWhenUsed/>
    <w:rsid w:val="0029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6A5"/>
  </w:style>
  <w:style w:type="paragraph" w:styleId="Footer">
    <w:name w:val="footer"/>
    <w:basedOn w:val="Normal"/>
    <w:link w:val="FooterChar"/>
    <w:uiPriority w:val="99"/>
    <w:unhideWhenUsed/>
    <w:rsid w:val="00294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A5"/>
  </w:style>
  <w:style w:type="paragraph" w:styleId="NormalWeb">
    <w:name w:val="Normal (Web)"/>
    <w:basedOn w:val="Normal"/>
    <w:uiPriority w:val="99"/>
    <w:semiHidden/>
    <w:unhideWhenUsed/>
    <w:rsid w:val="009478CD"/>
    <w:pPr>
      <w:spacing w:before="100" w:beforeAutospacing="1" w:after="100" w:afterAutospacing="1" w:line="240" w:lineRule="auto"/>
    </w:pPr>
    <w:rPr>
      <w:rFonts w:ascii="Calibri" w:hAnsi="Calibri" w:cs="Calibri"/>
      <w:lang w:val="fr-BE" w:eastAsia="fr-BE"/>
    </w:rPr>
  </w:style>
  <w:style w:type="paragraph" w:styleId="BalloonText">
    <w:name w:val="Balloon Text"/>
    <w:basedOn w:val="Normal"/>
    <w:link w:val="BalloonTextChar"/>
    <w:uiPriority w:val="99"/>
    <w:semiHidden/>
    <w:unhideWhenUsed/>
    <w:rsid w:val="0094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D"/>
    <w:rPr>
      <w:rFonts w:ascii="Segoe UI" w:hAnsi="Segoe UI" w:cs="Segoe UI"/>
      <w:sz w:val="18"/>
      <w:szCs w:val="18"/>
    </w:rPr>
  </w:style>
  <w:style w:type="character" w:customStyle="1" w:styleId="Heading1Char">
    <w:name w:val="Heading 1 Char"/>
    <w:basedOn w:val="DefaultParagraphFont"/>
    <w:link w:val="Heading1"/>
    <w:rsid w:val="00362593"/>
    <w:rPr>
      <w:rFonts w:eastAsiaTheme="minorEastAsia" w:cstheme="minorHAnsi"/>
      <w:b/>
      <w:snapToGrid w:val="0"/>
      <w:color w:val="004A98"/>
      <w:sz w:val="28"/>
      <w:szCs w:val="24"/>
      <w:lang w:val="fr-BE"/>
    </w:rPr>
  </w:style>
  <w:style w:type="character" w:customStyle="1" w:styleId="Heading2Char">
    <w:name w:val="Heading 2 Char"/>
    <w:basedOn w:val="DefaultParagraphFont"/>
    <w:link w:val="Heading2"/>
    <w:rsid w:val="00362593"/>
    <w:rPr>
      <w:rFonts w:eastAsiaTheme="minorEastAsia" w:cstheme="minorHAnsi"/>
      <w:snapToGrid w:val="0"/>
      <w:color w:val="004A98"/>
      <w:sz w:val="26"/>
      <w:szCs w:val="24"/>
      <w:lang w:val="fr-BE"/>
    </w:rPr>
  </w:style>
  <w:style w:type="character" w:customStyle="1" w:styleId="Heading3Char">
    <w:name w:val="Heading 3 Char"/>
    <w:basedOn w:val="DefaultParagraphFont"/>
    <w:link w:val="Heading3"/>
    <w:rsid w:val="00362593"/>
    <w:rPr>
      <w:rFonts w:eastAsiaTheme="minorEastAsia" w:cstheme="minorHAnsi"/>
      <w:b/>
      <w:snapToGrid w:val="0"/>
      <w:color w:val="004A98"/>
      <w:sz w:val="24"/>
      <w:szCs w:val="24"/>
      <w:lang w:val="fr-BE"/>
    </w:rPr>
  </w:style>
  <w:style w:type="character" w:customStyle="1" w:styleId="Heading4Char">
    <w:name w:val="Heading 4 Char"/>
    <w:basedOn w:val="DefaultParagraphFont"/>
    <w:link w:val="Heading4"/>
    <w:rsid w:val="00362593"/>
    <w:rPr>
      <w:rFonts w:eastAsiaTheme="minorEastAsia" w:cstheme="minorHAnsi"/>
      <w:snapToGrid w:val="0"/>
      <w:color w:val="004A98"/>
      <w:sz w:val="24"/>
      <w:szCs w:val="24"/>
      <w:lang w:val="fr-BE"/>
    </w:rPr>
  </w:style>
  <w:style w:type="character" w:customStyle="1" w:styleId="UnresolvedMention1">
    <w:name w:val="Unresolved Mention1"/>
    <w:basedOn w:val="DefaultParagraphFont"/>
    <w:uiPriority w:val="99"/>
    <w:semiHidden/>
    <w:unhideWhenUsed/>
    <w:rsid w:val="00D32C20"/>
    <w:rPr>
      <w:color w:val="605E5C"/>
      <w:shd w:val="clear" w:color="auto" w:fill="E1DFDD"/>
    </w:rPr>
  </w:style>
  <w:style w:type="paragraph" w:styleId="Revision">
    <w:name w:val="Revision"/>
    <w:hidden/>
    <w:uiPriority w:val="99"/>
    <w:semiHidden/>
    <w:rsid w:val="00331243"/>
    <w:pPr>
      <w:spacing w:after="0" w:line="240" w:lineRule="auto"/>
    </w:pPr>
  </w:style>
  <w:style w:type="character" w:styleId="UnresolvedMention">
    <w:name w:val="Unresolved Mention"/>
    <w:basedOn w:val="DefaultParagraphFont"/>
    <w:uiPriority w:val="99"/>
    <w:semiHidden/>
    <w:unhideWhenUsed/>
    <w:rsid w:val="003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9825">
      <w:bodyDiv w:val="1"/>
      <w:marLeft w:val="0"/>
      <w:marRight w:val="0"/>
      <w:marTop w:val="0"/>
      <w:marBottom w:val="0"/>
      <w:divBdr>
        <w:top w:val="none" w:sz="0" w:space="0" w:color="auto"/>
        <w:left w:val="none" w:sz="0" w:space="0" w:color="auto"/>
        <w:bottom w:val="none" w:sz="0" w:space="0" w:color="auto"/>
        <w:right w:val="none" w:sz="0" w:space="0" w:color="auto"/>
      </w:divBdr>
      <w:divsChild>
        <w:div w:id="497616703">
          <w:marLeft w:val="0"/>
          <w:marRight w:val="0"/>
          <w:marTop w:val="0"/>
          <w:marBottom w:val="0"/>
          <w:divBdr>
            <w:top w:val="none" w:sz="0" w:space="0" w:color="auto"/>
            <w:left w:val="none" w:sz="0" w:space="0" w:color="auto"/>
            <w:bottom w:val="none" w:sz="0" w:space="0" w:color="auto"/>
            <w:right w:val="none" w:sz="0" w:space="0" w:color="auto"/>
          </w:divBdr>
        </w:div>
      </w:divsChild>
    </w:div>
    <w:div w:id="931625052">
      <w:bodyDiv w:val="1"/>
      <w:marLeft w:val="0"/>
      <w:marRight w:val="0"/>
      <w:marTop w:val="0"/>
      <w:marBottom w:val="0"/>
      <w:divBdr>
        <w:top w:val="none" w:sz="0" w:space="0" w:color="auto"/>
        <w:left w:val="none" w:sz="0" w:space="0" w:color="auto"/>
        <w:bottom w:val="none" w:sz="0" w:space="0" w:color="auto"/>
        <w:right w:val="none" w:sz="0" w:space="0" w:color="auto"/>
      </w:divBdr>
      <w:divsChild>
        <w:div w:id="554851196">
          <w:marLeft w:val="0"/>
          <w:marRight w:val="0"/>
          <w:marTop w:val="0"/>
          <w:marBottom w:val="0"/>
          <w:divBdr>
            <w:top w:val="none" w:sz="0" w:space="0" w:color="auto"/>
            <w:left w:val="none" w:sz="0" w:space="0" w:color="auto"/>
            <w:bottom w:val="none" w:sz="0" w:space="0" w:color="auto"/>
            <w:right w:val="none" w:sz="0" w:space="0" w:color="auto"/>
          </w:divBdr>
        </w:div>
      </w:divsChild>
    </w:div>
    <w:div w:id="1078597093">
      <w:bodyDiv w:val="1"/>
      <w:marLeft w:val="0"/>
      <w:marRight w:val="0"/>
      <w:marTop w:val="0"/>
      <w:marBottom w:val="0"/>
      <w:divBdr>
        <w:top w:val="none" w:sz="0" w:space="0" w:color="auto"/>
        <w:left w:val="none" w:sz="0" w:space="0" w:color="auto"/>
        <w:bottom w:val="none" w:sz="0" w:space="0" w:color="auto"/>
        <w:right w:val="none" w:sz="0" w:space="0" w:color="auto"/>
      </w:divBdr>
      <w:divsChild>
        <w:div w:id="2113501774">
          <w:marLeft w:val="0"/>
          <w:marRight w:val="0"/>
          <w:marTop w:val="0"/>
          <w:marBottom w:val="0"/>
          <w:divBdr>
            <w:top w:val="none" w:sz="0" w:space="0" w:color="auto"/>
            <w:left w:val="none" w:sz="0" w:space="0" w:color="auto"/>
            <w:bottom w:val="none" w:sz="0" w:space="0" w:color="auto"/>
            <w:right w:val="none" w:sz="0" w:space="0" w:color="auto"/>
          </w:divBdr>
        </w:div>
      </w:divsChild>
    </w:div>
    <w:div w:id="1117673134">
      <w:bodyDiv w:val="1"/>
      <w:marLeft w:val="0"/>
      <w:marRight w:val="0"/>
      <w:marTop w:val="0"/>
      <w:marBottom w:val="0"/>
      <w:divBdr>
        <w:top w:val="none" w:sz="0" w:space="0" w:color="auto"/>
        <w:left w:val="none" w:sz="0" w:space="0" w:color="auto"/>
        <w:bottom w:val="none" w:sz="0" w:space="0" w:color="auto"/>
        <w:right w:val="none" w:sz="0" w:space="0" w:color="auto"/>
      </w:divBdr>
      <w:divsChild>
        <w:div w:id="138158244">
          <w:marLeft w:val="0"/>
          <w:marRight w:val="0"/>
          <w:marTop w:val="0"/>
          <w:marBottom w:val="0"/>
          <w:divBdr>
            <w:top w:val="none" w:sz="0" w:space="0" w:color="auto"/>
            <w:left w:val="none" w:sz="0" w:space="0" w:color="auto"/>
            <w:bottom w:val="none" w:sz="0" w:space="0" w:color="auto"/>
            <w:right w:val="none" w:sz="0" w:space="0" w:color="auto"/>
          </w:divBdr>
        </w:div>
      </w:divsChild>
    </w:div>
    <w:div w:id="1137070217">
      <w:bodyDiv w:val="1"/>
      <w:marLeft w:val="0"/>
      <w:marRight w:val="0"/>
      <w:marTop w:val="0"/>
      <w:marBottom w:val="0"/>
      <w:divBdr>
        <w:top w:val="none" w:sz="0" w:space="0" w:color="auto"/>
        <w:left w:val="none" w:sz="0" w:space="0" w:color="auto"/>
        <w:bottom w:val="none" w:sz="0" w:space="0" w:color="auto"/>
        <w:right w:val="none" w:sz="0" w:space="0" w:color="auto"/>
      </w:divBdr>
      <w:divsChild>
        <w:div w:id="1882786742">
          <w:marLeft w:val="0"/>
          <w:marRight w:val="0"/>
          <w:marTop w:val="0"/>
          <w:marBottom w:val="0"/>
          <w:divBdr>
            <w:top w:val="none" w:sz="0" w:space="0" w:color="auto"/>
            <w:left w:val="none" w:sz="0" w:space="0" w:color="auto"/>
            <w:bottom w:val="none" w:sz="0" w:space="0" w:color="auto"/>
            <w:right w:val="none" w:sz="0" w:space="0" w:color="auto"/>
          </w:divBdr>
        </w:div>
      </w:divsChild>
    </w:div>
    <w:div w:id="1444576504">
      <w:bodyDiv w:val="1"/>
      <w:marLeft w:val="0"/>
      <w:marRight w:val="0"/>
      <w:marTop w:val="0"/>
      <w:marBottom w:val="0"/>
      <w:divBdr>
        <w:top w:val="none" w:sz="0" w:space="0" w:color="auto"/>
        <w:left w:val="none" w:sz="0" w:space="0" w:color="auto"/>
        <w:bottom w:val="none" w:sz="0" w:space="0" w:color="auto"/>
        <w:right w:val="none" w:sz="0" w:space="0" w:color="auto"/>
      </w:divBdr>
      <w:divsChild>
        <w:div w:id="877938755">
          <w:marLeft w:val="0"/>
          <w:marRight w:val="0"/>
          <w:marTop w:val="0"/>
          <w:marBottom w:val="0"/>
          <w:divBdr>
            <w:top w:val="none" w:sz="0" w:space="0" w:color="auto"/>
            <w:left w:val="none" w:sz="0" w:space="0" w:color="auto"/>
            <w:bottom w:val="none" w:sz="0" w:space="0" w:color="auto"/>
            <w:right w:val="none" w:sz="0" w:space="0" w:color="auto"/>
          </w:divBdr>
        </w:div>
      </w:divsChild>
    </w:div>
    <w:div w:id="1516068835">
      <w:bodyDiv w:val="1"/>
      <w:marLeft w:val="0"/>
      <w:marRight w:val="0"/>
      <w:marTop w:val="0"/>
      <w:marBottom w:val="0"/>
      <w:divBdr>
        <w:top w:val="none" w:sz="0" w:space="0" w:color="auto"/>
        <w:left w:val="none" w:sz="0" w:space="0" w:color="auto"/>
        <w:bottom w:val="none" w:sz="0" w:space="0" w:color="auto"/>
        <w:right w:val="none" w:sz="0" w:space="0" w:color="auto"/>
      </w:divBdr>
    </w:div>
    <w:div w:id="1613171894">
      <w:bodyDiv w:val="1"/>
      <w:marLeft w:val="0"/>
      <w:marRight w:val="0"/>
      <w:marTop w:val="0"/>
      <w:marBottom w:val="0"/>
      <w:divBdr>
        <w:top w:val="none" w:sz="0" w:space="0" w:color="auto"/>
        <w:left w:val="none" w:sz="0" w:space="0" w:color="auto"/>
        <w:bottom w:val="none" w:sz="0" w:space="0" w:color="auto"/>
        <w:right w:val="none" w:sz="0" w:space="0" w:color="auto"/>
      </w:divBdr>
    </w:div>
    <w:div w:id="1668285857">
      <w:bodyDiv w:val="1"/>
      <w:marLeft w:val="0"/>
      <w:marRight w:val="0"/>
      <w:marTop w:val="0"/>
      <w:marBottom w:val="0"/>
      <w:divBdr>
        <w:top w:val="none" w:sz="0" w:space="0" w:color="auto"/>
        <w:left w:val="none" w:sz="0" w:space="0" w:color="auto"/>
        <w:bottom w:val="none" w:sz="0" w:space="0" w:color="auto"/>
        <w:right w:val="none" w:sz="0" w:space="0" w:color="auto"/>
      </w:divBdr>
    </w:div>
    <w:div w:id="1727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r.research.net/r/Retractation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5ecde5a-fd0e-445a-ad63-5d040cefeb82">Please, insert description</Description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E9FA1553F1E740A66CDEF11CB92C53" ma:contentTypeVersion="14" ma:contentTypeDescription="Create a new document." ma:contentTypeScope="" ma:versionID="605e8ac4c82f0f980d070758e19cf173">
  <xsd:schema xmlns:xsd="http://www.w3.org/2001/XMLSchema" xmlns:xs="http://www.w3.org/2001/XMLSchema" xmlns:p="http://schemas.microsoft.com/office/2006/metadata/properties" xmlns:ns2="08700b33-7977-4476-a97d-44b4e93cae4a" xmlns:ns3="75ecde5a-fd0e-445a-ad63-5d040cefeb82" targetNamespace="http://schemas.microsoft.com/office/2006/metadata/properties" ma:root="true" ma:fieldsID="aeecfa8314817ab9b5c2618152997299" ns2:_="" ns3:_="">
    <xsd:import namespace="08700b33-7977-4476-a97d-44b4e93cae4a"/>
    <xsd:import namespace="75ecde5a-fd0e-445a-ad63-5d040cefeb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Description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00b33-7977-4476-a97d-44b4e93cae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cde5a-fd0e-445a-ad63-5d040cefeb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fault="Please, insert description"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75ecde5a-fd0e-445a-ad63-5d040cefeb82">Please, insert description</Description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E9FA1553F1E740A66CDEF11CB92C53" ma:contentTypeVersion="14" ma:contentTypeDescription="Create a new document." ma:contentTypeScope="" ma:versionID="605e8ac4c82f0f980d070758e19cf173">
  <xsd:schema xmlns:xsd="http://www.w3.org/2001/XMLSchema" xmlns:xs="http://www.w3.org/2001/XMLSchema" xmlns:p="http://schemas.microsoft.com/office/2006/metadata/properties" xmlns:ns2="08700b33-7977-4476-a97d-44b4e93cae4a" xmlns:ns3="75ecde5a-fd0e-445a-ad63-5d040cefeb82" targetNamespace="http://schemas.microsoft.com/office/2006/metadata/properties" ma:root="true" ma:fieldsID="aeecfa8314817ab9b5c2618152997299" ns2:_="" ns3:_="">
    <xsd:import namespace="08700b33-7977-4476-a97d-44b4e93cae4a"/>
    <xsd:import namespace="75ecde5a-fd0e-445a-ad63-5d040cefeb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Description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00b33-7977-4476-a97d-44b4e93cae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cde5a-fd0e-445a-ad63-5d040cefeb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fault="Please, insert description"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70E00-5D81-4835-AA61-C863333FE1A9}">
  <ds:schemaRefs>
    <ds:schemaRef ds:uri="http://schemas.microsoft.com/office/2006/metadata/properties"/>
    <ds:schemaRef ds:uri="http://schemas.microsoft.com/office/infopath/2007/PartnerControls"/>
    <ds:schemaRef ds:uri="75ecde5a-fd0e-445a-ad63-5d040cefeb82"/>
  </ds:schemaRefs>
</ds:datastoreItem>
</file>

<file path=customXml/itemProps2.xml><?xml version="1.0" encoding="utf-8"?>
<ds:datastoreItem xmlns:ds="http://schemas.openxmlformats.org/officeDocument/2006/customXml" ds:itemID="{3E803BFA-DF78-4769-9063-48234E7A1F03}">
  <ds:schemaRefs>
    <ds:schemaRef ds:uri="http://schemas.openxmlformats.org/officeDocument/2006/bibliography"/>
  </ds:schemaRefs>
</ds:datastoreItem>
</file>

<file path=customXml/itemProps3.xml><?xml version="1.0" encoding="utf-8"?>
<ds:datastoreItem xmlns:ds="http://schemas.openxmlformats.org/officeDocument/2006/customXml" ds:itemID="{02BD9657-8A09-4369-BDBD-01E1BBAC6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00b33-7977-4476-a97d-44b4e93cae4a"/>
    <ds:schemaRef ds:uri="75ecde5a-fd0e-445a-ad63-5d040cefe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CC078-D1E1-48AB-8BB6-79349C137F04}">
  <ds:schemaRefs>
    <ds:schemaRef ds:uri="http://schemas.microsoft.com/office/2006/metadata/properties"/>
    <ds:schemaRef ds:uri="http://schemas.microsoft.com/office/infopath/2007/PartnerControls"/>
    <ds:schemaRef ds:uri="75ecde5a-fd0e-445a-ad63-5d040cefeb82"/>
  </ds:schemaRefs>
</ds:datastoreItem>
</file>

<file path=customXml/itemProps5.xml><?xml version="1.0" encoding="utf-8"?>
<ds:datastoreItem xmlns:ds="http://schemas.openxmlformats.org/officeDocument/2006/customXml" ds:itemID="{EF050DFE-C6A1-469A-BE5F-420E40E4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00b33-7977-4476-a97d-44b4e93cae4a"/>
    <ds:schemaRef ds:uri="75ecde5a-fd0e-445a-ad63-5d040cefe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2021-08-01T15:04:00Z</dcterms:created>
  <dcterms:modified xsi:type="dcterms:W3CDTF">2021-08-01T15:28:00Z</dcterms:modified>
</cp:coreProperties>
</file>