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F0EE9" w14:textId="773AB14F" w:rsidR="002546D5" w:rsidRPr="001D7EA8" w:rsidRDefault="00437CA8" w:rsidP="002546D5">
      <w:pPr>
        <w:rPr>
          <w:rFonts w:asciiTheme="majorHAnsi" w:hAnsiTheme="majorHAnsi"/>
          <w:b/>
          <w:sz w:val="40"/>
          <w:szCs w:val="40"/>
          <w:lang w:val="fr-FR"/>
        </w:rPr>
      </w:pPr>
      <w:bookmarkStart w:id="0" w:name="_GoBack"/>
      <w:bookmarkEnd w:id="0"/>
      <w:r w:rsidRPr="001D7EA8">
        <w:rPr>
          <w:rFonts w:asciiTheme="majorHAnsi" w:hAnsiTheme="majorHAnsi"/>
          <w:b/>
          <w:sz w:val="40"/>
          <w:szCs w:val="40"/>
          <w:lang w:val="fr-BE"/>
        </w:rPr>
        <w:t>P</w:t>
      </w:r>
      <w:r w:rsidR="00397AF0" w:rsidRPr="001D7EA8">
        <w:rPr>
          <w:rFonts w:asciiTheme="majorHAnsi" w:eastAsiaTheme="majorEastAsia" w:hAnsiTheme="majorHAnsi" w:cstheme="majorBidi"/>
          <w:b/>
          <w:spacing w:val="-10"/>
          <w:kern w:val="28"/>
          <w:sz w:val="40"/>
          <w:szCs w:val="40"/>
          <w:lang w:val="fr-BE"/>
        </w:rPr>
        <w:t xml:space="preserve">révention du blanchiment de capitaux et du </w:t>
      </w:r>
      <w:r w:rsidR="00750F42">
        <w:rPr>
          <w:rFonts w:asciiTheme="majorHAnsi" w:eastAsiaTheme="majorEastAsia" w:hAnsiTheme="majorHAnsi" w:cstheme="majorBidi"/>
          <w:b/>
          <w:spacing w:val="-10"/>
          <w:kern w:val="28"/>
          <w:sz w:val="40"/>
          <w:szCs w:val="40"/>
          <w:lang w:val="fr-BE"/>
        </w:rPr>
        <w:t xml:space="preserve">financement du terrorisme et </w:t>
      </w:r>
      <w:r w:rsidR="00397AF0" w:rsidRPr="001D7EA8">
        <w:rPr>
          <w:rFonts w:asciiTheme="majorHAnsi" w:eastAsiaTheme="majorEastAsia" w:hAnsiTheme="majorHAnsi" w:cstheme="majorBidi"/>
          <w:b/>
          <w:spacing w:val="-10"/>
          <w:kern w:val="28"/>
          <w:sz w:val="40"/>
          <w:szCs w:val="40"/>
          <w:lang w:val="fr-BE"/>
        </w:rPr>
        <w:t>limitation de l’utilisation des espèces</w:t>
      </w:r>
      <w:r w:rsidR="00397AF0" w:rsidRPr="001D7EA8" w:rsidDel="00397AF0">
        <w:rPr>
          <w:rFonts w:asciiTheme="majorHAnsi" w:hAnsiTheme="majorHAnsi"/>
          <w:b/>
          <w:sz w:val="40"/>
          <w:szCs w:val="40"/>
          <w:lang w:val="fr-FR"/>
        </w:rPr>
        <w:t xml:space="preserve"> </w:t>
      </w:r>
    </w:p>
    <w:p w14:paraId="70E0EDE5" w14:textId="5BC5F3D8" w:rsidR="001E4E7F" w:rsidRDefault="001E4E7F" w:rsidP="001E4E7F">
      <w:pPr>
        <w:jc w:val="both"/>
        <w:rPr>
          <w:lang w:val="fr-FR"/>
        </w:rPr>
      </w:pPr>
      <w:r w:rsidRPr="001E4E7F">
        <w:rPr>
          <w:lang w:val="fr-FR"/>
        </w:rPr>
        <w:t>Les prêteurs de droit belge sont assujettis à la loi du 18 septembre 2017 relative à la prévention du blanchiment de capitaux et du financement du terrorisme et à la limitation de l’utilisation des espèces</w:t>
      </w:r>
      <w:r w:rsidR="00750F42">
        <w:rPr>
          <w:lang w:val="fr-FR"/>
        </w:rPr>
        <w:t xml:space="preserve"> (</w:t>
      </w:r>
      <w:r w:rsidR="00B0725B">
        <w:rPr>
          <w:lang w:val="fr-FR"/>
        </w:rPr>
        <w:t>« </w:t>
      </w:r>
      <w:r w:rsidR="00750F42">
        <w:rPr>
          <w:lang w:val="fr-FR"/>
        </w:rPr>
        <w:t>loi AML</w:t>
      </w:r>
      <w:r w:rsidR="00B0725B">
        <w:rPr>
          <w:lang w:val="fr-FR"/>
        </w:rPr>
        <w:t> »</w:t>
      </w:r>
      <w:r w:rsidR="00750F42">
        <w:rPr>
          <w:lang w:val="fr-FR"/>
        </w:rPr>
        <w:t>)</w:t>
      </w:r>
      <w:r w:rsidRPr="001E4E7F">
        <w:rPr>
          <w:lang w:val="fr-FR"/>
        </w:rPr>
        <w:t xml:space="preserve">. </w:t>
      </w:r>
      <w:r w:rsidR="00C73D5D">
        <w:rPr>
          <w:lang w:val="fr-FR"/>
        </w:rPr>
        <w:t>L</w:t>
      </w:r>
      <w:r w:rsidRPr="001E4E7F">
        <w:rPr>
          <w:lang w:val="fr-FR"/>
        </w:rPr>
        <w:t>es succursales belges de prêteurs établis dans d’autres Etats membres d</w:t>
      </w:r>
      <w:r>
        <w:rPr>
          <w:lang w:val="fr-FR"/>
        </w:rPr>
        <w:t>e l’Espace économique européen</w:t>
      </w:r>
      <w:r w:rsidR="00C73D5D" w:rsidRPr="00C73D5D">
        <w:rPr>
          <w:lang w:val="fr-BE"/>
        </w:rPr>
        <w:t xml:space="preserve"> </w:t>
      </w:r>
      <w:r w:rsidR="00C73D5D">
        <w:rPr>
          <w:lang w:val="fr-BE"/>
        </w:rPr>
        <w:t>s</w:t>
      </w:r>
      <w:r w:rsidR="00C73D5D" w:rsidRPr="00C73D5D">
        <w:rPr>
          <w:lang w:val="fr-FR"/>
        </w:rPr>
        <w:t>ont également assujetties</w:t>
      </w:r>
      <w:r w:rsidR="00C73D5D">
        <w:rPr>
          <w:lang w:val="fr-FR"/>
        </w:rPr>
        <w:t xml:space="preserve">. </w:t>
      </w:r>
      <w:r w:rsidRPr="001E4E7F">
        <w:rPr>
          <w:lang w:val="fr-FR"/>
        </w:rPr>
        <w:t>La FSMA est chargée</w:t>
      </w:r>
      <w:r w:rsidR="00C73D5D">
        <w:rPr>
          <w:lang w:val="fr-FR"/>
        </w:rPr>
        <w:t xml:space="preserve"> </w:t>
      </w:r>
      <w:r w:rsidRPr="001E4E7F">
        <w:rPr>
          <w:lang w:val="fr-FR"/>
        </w:rPr>
        <w:t xml:space="preserve">du contrôle des obligations AML </w:t>
      </w:r>
      <w:r w:rsidR="001414EB">
        <w:rPr>
          <w:lang w:val="fr-FR"/>
        </w:rPr>
        <w:t>notamment</w:t>
      </w:r>
      <w:r w:rsidR="001414EB" w:rsidRPr="001E4E7F">
        <w:rPr>
          <w:lang w:val="fr-FR"/>
        </w:rPr>
        <w:t xml:space="preserve"> </w:t>
      </w:r>
      <w:r w:rsidRPr="001E4E7F">
        <w:rPr>
          <w:lang w:val="fr-FR"/>
        </w:rPr>
        <w:t>pour les prêteurs soci</w:t>
      </w:r>
      <w:r>
        <w:rPr>
          <w:lang w:val="fr-FR"/>
        </w:rPr>
        <w:t>aux et les « autres prêteurs »</w:t>
      </w:r>
      <w:r>
        <w:rPr>
          <w:rStyle w:val="FootnoteReference"/>
          <w:lang w:val="fr-FR"/>
        </w:rPr>
        <w:footnoteReference w:id="1"/>
      </w:r>
      <w:r>
        <w:rPr>
          <w:lang w:val="fr-FR"/>
        </w:rPr>
        <w:t xml:space="preserve">. </w:t>
      </w:r>
    </w:p>
    <w:p w14:paraId="0F43F266" w14:textId="558D459B" w:rsidR="00750F42" w:rsidRDefault="001414EB" w:rsidP="008A215F">
      <w:pPr>
        <w:jc w:val="both"/>
        <w:rPr>
          <w:lang w:val="fr-FR"/>
        </w:rPr>
      </w:pPr>
      <w:r>
        <w:rPr>
          <w:lang w:val="fr-FR"/>
        </w:rPr>
        <w:t>C</w:t>
      </w:r>
      <w:r w:rsidR="001E4E7F">
        <w:rPr>
          <w:lang w:val="fr-FR"/>
        </w:rPr>
        <w:t xml:space="preserve">es prêteurs </w:t>
      </w:r>
      <w:r w:rsidR="00750F42">
        <w:rPr>
          <w:lang w:val="fr-FR"/>
        </w:rPr>
        <w:t xml:space="preserve">doivent satisfaire au </w:t>
      </w:r>
      <w:r w:rsidR="00754C73" w:rsidRPr="0033377A">
        <w:rPr>
          <w:lang w:val="fr-FR"/>
        </w:rPr>
        <w:t>règlement</w:t>
      </w:r>
      <w:r w:rsidR="0033377A">
        <w:rPr>
          <w:lang w:val="fr-FR"/>
        </w:rPr>
        <w:t xml:space="preserve"> de la</w:t>
      </w:r>
      <w:r w:rsidR="0035789B">
        <w:rPr>
          <w:lang w:val="fr-FR"/>
        </w:rPr>
        <w:t xml:space="preserve"> FSMA </w:t>
      </w:r>
      <w:r w:rsidR="00754C73" w:rsidRPr="0033377A">
        <w:rPr>
          <w:lang w:val="fr-FR"/>
        </w:rPr>
        <w:t>du</w:t>
      </w:r>
      <w:r w:rsidR="002546D5" w:rsidRPr="0033377A">
        <w:rPr>
          <w:lang w:val="fr-FR"/>
        </w:rPr>
        <w:t xml:space="preserve"> </w:t>
      </w:r>
      <w:r w:rsidR="0035789B">
        <w:rPr>
          <w:lang w:val="fr-FR"/>
        </w:rPr>
        <w:t>3 juillet 2018</w:t>
      </w:r>
      <w:r w:rsidR="002546D5" w:rsidRPr="0033377A">
        <w:rPr>
          <w:lang w:val="fr-FR"/>
        </w:rPr>
        <w:t xml:space="preserve"> </w:t>
      </w:r>
      <w:r w:rsidR="00754C73" w:rsidRPr="0033377A">
        <w:rPr>
          <w:lang w:val="fr-FR"/>
        </w:rPr>
        <w:t xml:space="preserve">relatif à la prévention du blanchiment de capitaux et </w:t>
      </w:r>
      <w:r w:rsidR="0033377A">
        <w:rPr>
          <w:lang w:val="fr-FR"/>
        </w:rPr>
        <w:t>d</w:t>
      </w:r>
      <w:r w:rsidR="00754C73" w:rsidRPr="0033377A">
        <w:rPr>
          <w:lang w:val="fr-FR"/>
        </w:rPr>
        <w:t xml:space="preserve">u financement du </w:t>
      </w:r>
      <w:r w:rsidR="002546D5" w:rsidRPr="0033377A">
        <w:rPr>
          <w:lang w:val="fr-FR"/>
        </w:rPr>
        <w:t>terrorisme</w:t>
      </w:r>
      <w:r w:rsidR="0035789B">
        <w:rPr>
          <w:lang w:val="fr-FR"/>
        </w:rPr>
        <w:t>, approuvé par l’arrêté royal du 30 juillet 2018</w:t>
      </w:r>
      <w:r w:rsidR="002546D5" w:rsidRPr="0033377A">
        <w:rPr>
          <w:lang w:val="fr-FR"/>
        </w:rPr>
        <w:t xml:space="preserve">. </w:t>
      </w:r>
    </w:p>
    <w:p w14:paraId="4FEF0EEA" w14:textId="17756F85" w:rsidR="002546D5" w:rsidRPr="0033377A" w:rsidRDefault="00754C73" w:rsidP="008A215F">
      <w:pPr>
        <w:jc w:val="both"/>
        <w:rPr>
          <w:lang w:val="fr-FR"/>
        </w:rPr>
      </w:pPr>
      <w:r w:rsidRPr="0033377A">
        <w:rPr>
          <w:lang w:val="fr-FR"/>
        </w:rPr>
        <w:t>Ces textes sont commentés dans l</w:t>
      </w:r>
      <w:r w:rsidR="00DA42EF">
        <w:rPr>
          <w:lang w:val="fr-FR"/>
        </w:rPr>
        <w:t>es</w:t>
      </w:r>
      <w:r w:rsidRPr="0033377A">
        <w:rPr>
          <w:lang w:val="fr-FR"/>
        </w:rPr>
        <w:t xml:space="preserve"> </w:t>
      </w:r>
      <w:r w:rsidR="002546D5" w:rsidRPr="0033377A">
        <w:rPr>
          <w:lang w:val="fr-FR"/>
        </w:rPr>
        <w:t>circulaire</w:t>
      </w:r>
      <w:r w:rsidR="00DA42EF">
        <w:rPr>
          <w:lang w:val="fr-FR"/>
        </w:rPr>
        <w:t>s</w:t>
      </w:r>
      <w:r w:rsidR="002546D5" w:rsidRPr="0033377A">
        <w:rPr>
          <w:lang w:val="fr-FR"/>
        </w:rPr>
        <w:t xml:space="preserve"> </w:t>
      </w:r>
      <w:r w:rsidR="00DA42EF">
        <w:rPr>
          <w:lang w:val="fr-FR"/>
        </w:rPr>
        <w:t>FSMA_2018_12 du 7 août 2018</w:t>
      </w:r>
      <w:r w:rsidR="002546D5" w:rsidRPr="0033377A">
        <w:rPr>
          <w:lang w:val="fr-FR"/>
        </w:rPr>
        <w:t xml:space="preserve"> </w:t>
      </w:r>
      <w:r w:rsidR="00DA42EF">
        <w:rPr>
          <w:lang w:val="fr-FR"/>
        </w:rPr>
        <w:t>et FSMA_2019_12 du 27 juin 2019.</w:t>
      </w:r>
    </w:p>
    <w:p w14:paraId="76108B6E" w14:textId="7FBD61CB" w:rsidR="00DA42EF" w:rsidRDefault="0033377A" w:rsidP="008A215F">
      <w:pPr>
        <w:jc w:val="both"/>
        <w:rPr>
          <w:lang w:val="fr-FR"/>
        </w:rPr>
      </w:pPr>
      <w:r>
        <w:rPr>
          <w:lang w:val="fr-FR"/>
        </w:rPr>
        <w:t>Veuillez dé</w:t>
      </w:r>
      <w:r w:rsidR="00754C73" w:rsidRPr="0033377A">
        <w:rPr>
          <w:lang w:val="fr-FR"/>
        </w:rPr>
        <w:t>cri</w:t>
      </w:r>
      <w:r>
        <w:rPr>
          <w:lang w:val="fr-FR"/>
        </w:rPr>
        <w:t>re</w:t>
      </w:r>
      <w:r w:rsidR="00754C73" w:rsidRPr="0033377A">
        <w:rPr>
          <w:lang w:val="fr-FR"/>
        </w:rPr>
        <w:t xml:space="preserve"> la manière dont </w:t>
      </w:r>
      <w:r w:rsidR="00C73D5D">
        <w:rPr>
          <w:lang w:val="fr-FR"/>
        </w:rPr>
        <w:t>le prêteur</w:t>
      </w:r>
      <w:r w:rsidR="00754C73" w:rsidRPr="0033377A">
        <w:rPr>
          <w:lang w:val="fr-FR"/>
        </w:rPr>
        <w:t xml:space="preserve"> se conformera aux dispositions précitées</w:t>
      </w:r>
      <w:r w:rsidR="001B020E" w:rsidRPr="0033377A">
        <w:rPr>
          <w:lang w:val="fr-FR"/>
        </w:rPr>
        <w:t>.</w:t>
      </w:r>
    </w:p>
    <w:p w14:paraId="3A829F31" w14:textId="55C9E8ED" w:rsidR="00DA42EF" w:rsidRDefault="00E97A3F" w:rsidP="008A215F">
      <w:pPr>
        <w:jc w:val="both"/>
        <w:rPr>
          <w:lang w:val="fr-FR"/>
        </w:rPr>
      </w:pPr>
      <w:r>
        <w:rPr>
          <w:lang w:val="fr-FR"/>
        </w:rPr>
        <w:t>Veuillez expliquer</w:t>
      </w:r>
      <w:r w:rsidR="00754C73" w:rsidRPr="0033377A">
        <w:rPr>
          <w:lang w:val="fr-FR"/>
        </w:rPr>
        <w:t xml:space="preserve"> </w:t>
      </w:r>
      <w:r w:rsidR="00DA42EF" w:rsidRPr="0084259C">
        <w:rPr>
          <w:u w:val="single"/>
          <w:lang w:val="fr-FR"/>
        </w:rPr>
        <w:t>au minimum</w:t>
      </w:r>
      <w:r w:rsidR="00DA42EF">
        <w:rPr>
          <w:lang w:val="fr-FR"/>
        </w:rPr>
        <w:t xml:space="preserve"> les points suivants:</w:t>
      </w:r>
    </w:p>
    <w:p w14:paraId="6D792079" w14:textId="28A7FBDA" w:rsidR="00155942" w:rsidRDefault="00155942" w:rsidP="0084259C">
      <w:pPr>
        <w:ind w:left="720"/>
        <w:jc w:val="both"/>
        <w:rPr>
          <w:lang w:val="fr-FR"/>
        </w:rPr>
      </w:pPr>
      <w:r>
        <w:rPr>
          <w:lang w:val="fr-FR"/>
        </w:rPr>
        <w:t xml:space="preserve">- </w:t>
      </w:r>
      <w:r w:rsidR="00285CBF">
        <w:rPr>
          <w:lang w:val="fr-FR"/>
        </w:rPr>
        <w:t>la réalisation de l’</w:t>
      </w:r>
      <w:r w:rsidR="00CD02A7">
        <w:rPr>
          <w:lang w:val="fr-FR"/>
        </w:rPr>
        <w:t>évaluation globale des risques</w:t>
      </w:r>
      <w:r w:rsidR="00050CAE">
        <w:rPr>
          <w:lang w:val="fr-FR"/>
        </w:rPr>
        <w:t xml:space="preserve"> et sa mise à jour</w:t>
      </w:r>
      <w:r>
        <w:rPr>
          <w:lang w:val="fr-FR"/>
        </w:rPr>
        <w:t> ;</w:t>
      </w:r>
    </w:p>
    <w:p w14:paraId="2A0E09C4" w14:textId="483E3EDF" w:rsidR="00E97A3F" w:rsidRDefault="00E97A3F" w:rsidP="0084259C">
      <w:pPr>
        <w:ind w:left="720"/>
        <w:jc w:val="both"/>
        <w:rPr>
          <w:lang w:val="fr-FR"/>
        </w:rPr>
      </w:pPr>
      <w:r>
        <w:rPr>
          <w:lang w:val="fr-FR"/>
        </w:rPr>
        <w:t xml:space="preserve">- </w:t>
      </w:r>
      <w:r w:rsidR="00CD02A7">
        <w:rPr>
          <w:lang w:val="fr-FR"/>
        </w:rPr>
        <w:t>la définition et la mise en œuvre du cadre organisationnel</w:t>
      </w:r>
      <w:r>
        <w:rPr>
          <w:lang w:val="fr-FR"/>
        </w:rPr>
        <w:t> </w:t>
      </w:r>
      <w:r w:rsidR="00DB77A2">
        <w:rPr>
          <w:lang w:val="fr-FR"/>
        </w:rPr>
        <w:t>c’</w:t>
      </w:r>
      <w:r w:rsidR="003D7C71">
        <w:rPr>
          <w:lang w:val="fr-FR"/>
        </w:rPr>
        <w:t>est-à-d</w:t>
      </w:r>
      <w:r w:rsidR="00DB77A2">
        <w:rPr>
          <w:lang w:val="fr-FR"/>
        </w:rPr>
        <w:t xml:space="preserve">ire </w:t>
      </w:r>
      <w:r w:rsidR="00DB77A2" w:rsidRPr="0084259C">
        <w:rPr>
          <w:lang w:val="fr-BE"/>
        </w:rPr>
        <w:t xml:space="preserve">des politiques, procédures et mesures de contrôle interne efficaces et proportionnées à </w:t>
      </w:r>
      <w:r w:rsidR="00DB77A2">
        <w:rPr>
          <w:lang w:val="fr-BE"/>
        </w:rPr>
        <w:t>la</w:t>
      </w:r>
      <w:r w:rsidR="00DB77A2" w:rsidRPr="0084259C">
        <w:rPr>
          <w:lang w:val="fr-BE"/>
        </w:rPr>
        <w:t xml:space="preserve"> nature et </w:t>
      </w:r>
      <w:r w:rsidR="001414EB">
        <w:rPr>
          <w:lang w:val="fr-BE"/>
        </w:rPr>
        <w:t xml:space="preserve">à </w:t>
      </w:r>
      <w:r w:rsidR="00DB77A2">
        <w:rPr>
          <w:lang w:val="fr-BE"/>
        </w:rPr>
        <w:t>la</w:t>
      </w:r>
      <w:r w:rsidR="00DB77A2" w:rsidRPr="0084259C">
        <w:rPr>
          <w:lang w:val="fr-BE"/>
        </w:rPr>
        <w:t xml:space="preserve"> taille </w:t>
      </w:r>
      <w:r w:rsidR="00DB77A2">
        <w:rPr>
          <w:lang w:val="fr-BE"/>
        </w:rPr>
        <w:t xml:space="preserve">de vos activités </w:t>
      </w:r>
      <w:r w:rsidR="00DB77A2" w:rsidRPr="0084259C">
        <w:rPr>
          <w:lang w:val="fr-BE"/>
        </w:rPr>
        <w:t xml:space="preserve">afin de </w:t>
      </w:r>
      <w:r w:rsidR="00DB77A2">
        <w:rPr>
          <w:lang w:val="fr-BE"/>
        </w:rPr>
        <w:t>vous</w:t>
      </w:r>
      <w:r w:rsidR="00DB77A2" w:rsidRPr="0084259C">
        <w:rPr>
          <w:lang w:val="fr-BE"/>
        </w:rPr>
        <w:t xml:space="preserve"> permettre de respecter </w:t>
      </w:r>
      <w:r w:rsidR="00DB77A2">
        <w:rPr>
          <w:lang w:val="fr-BE"/>
        </w:rPr>
        <w:t>vo</w:t>
      </w:r>
      <w:r w:rsidR="00DB77A2" w:rsidRPr="0084259C">
        <w:rPr>
          <w:lang w:val="fr-BE"/>
        </w:rPr>
        <w:t>s obligations légales</w:t>
      </w:r>
      <w:r w:rsidR="00DB77A2">
        <w:rPr>
          <w:lang w:val="fr-BE"/>
        </w:rPr>
        <w:t> ;</w:t>
      </w:r>
    </w:p>
    <w:p w14:paraId="36125D37" w14:textId="1D5C3DC7" w:rsidR="00CD02A7" w:rsidRDefault="00E97A3F" w:rsidP="008A215F">
      <w:pPr>
        <w:jc w:val="both"/>
        <w:rPr>
          <w:lang w:val="fr-FR"/>
        </w:rPr>
      </w:pPr>
      <w:r>
        <w:rPr>
          <w:lang w:val="fr-FR"/>
        </w:rPr>
        <w:tab/>
        <w:t xml:space="preserve">- </w:t>
      </w:r>
      <w:r w:rsidR="00CD02A7">
        <w:rPr>
          <w:lang w:val="fr-FR"/>
        </w:rPr>
        <w:t>l’évaluation individuelle des risques de</w:t>
      </w:r>
      <w:r w:rsidR="0084259C" w:rsidRPr="0084259C">
        <w:rPr>
          <w:lang w:val="fr-BE"/>
        </w:rPr>
        <w:t xml:space="preserve"> </w:t>
      </w:r>
      <w:r w:rsidR="0084259C" w:rsidRPr="0084259C">
        <w:rPr>
          <w:lang w:val="fr-FR"/>
        </w:rPr>
        <w:t>blanchiment de capitaux et de financement du terrorisme</w:t>
      </w:r>
      <w:r w:rsidR="00CD02A7">
        <w:rPr>
          <w:lang w:val="fr-FR"/>
        </w:rPr>
        <w:t xml:space="preserve"> </w:t>
      </w:r>
      <w:r w:rsidR="0084259C">
        <w:rPr>
          <w:lang w:val="fr-FR"/>
        </w:rPr>
        <w:tab/>
        <w:t>(« </w:t>
      </w:r>
      <w:r w:rsidR="00CD02A7">
        <w:rPr>
          <w:lang w:val="fr-FR"/>
        </w:rPr>
        <w:t>BC/FT</w:t>
      </w:r>
      <w:r w:rsidR="0084259C">
        <w:rPr>
          <w:lang w:val="fr-FR"/>
        </w:rPr>
        <w:t> »)</w:t>
      </w:r>
      <w:r w:rsidR="00CD02A7">
        <w:rPr>
          <w:lang w:val="fr-FR"/>
        </w:rPr>
        <w:t xml:space="preserve"> pour chaque client ;</w:t>
      </w:r>
    </w:p>
    <w:p w14:paraId="76BAC385" w14:textId="3B1A7918" w:rsidR="00285CBF" w:rsidRDefault="00285CBF" w:rsidP="008A215F">
      <w:pPr>
        <w:jc w:val="both"/>
        <w:rPr>
          <w:lang w:val="fr-FR"/>
        </w:rPr>
      </w:pPr>
      <w:r>
        <w:rPr>
          <w:lang w:val="fr-FR"/>
        </w:rPr>
        <w:tab/>
        <w:t>- la procédure d’acceptation</w:t>
      </w:r>
      <w:r w:rsidR="005248C4">
        <w:rPr>
          <w:lang w:val="fr-FR"/>
        </w:rPr>
        <w:t xml:space="preserve"> du client, de son identification et </w:t>
      </w:r>
      <w:r w:rsidR="002D3E3B">
        <w:rPr>
          <w:lang w:val="fr-FR"/>
        </w:rPr>
        <w:t>de</w:t>
      </w:r>
      <w:r w:rsidR="005248C4">
        <w:rPr>
          <w:lang w:val="fr-FR"/>
        </w:rPr>
        <w:t xml:space="preserve"> vérification de son identité ;</w:t>
      </w:r>
    </w:p>
    <w:p w14:paraId="1ADB44E6" w14:textId="519647DF" w:rsidR="00CD02A7" w:rsidRDefault="00CD02A7" w:rsidP="0084259C">
      <w:pPr>
        <w:ind w:left="720"/>
        <w:jc w:val="both"/>
        <w:rPr>
          <w:lang w:val="fr-FR"/>
        </w:rPr>
      </w:pPr>
      <w:r>
        <w:rPr>
          <w:lang w:val="fr-FR"/>
        </w:rPr>
        <w:t>- l’application de mesures de vigilance appropriées </w:t>
      </w:r>
      <w:r w:rsidR="003D7C71">
        <w:rPr>
          <w:lang w:val="fr-FR"/>
        </w:rPr>
        <w:t>pour chaque client en fonction de sa catégorie de risque</w:t>
      </w:r>
      <w:r w:rsidR="00C73D5D">
        <w:rPr>
          <w:lang w:val="fr-FR"/>
        </w:rPr>
        <w:t xml:space="preserve"> </w:t>
      </w:r>
      <w:r>
        <w:rPr>
          <w:lang w:val="fr-FR"/>
        </w:rPr>
        <w:t>;</w:t>
      </w:r>
    </w:p>
    <w:p w14:paraId="70839203" w14:textId="77777777" w:rsidR="00285CBF" w:rsidRDefault="00CD02A7" w:rsidP="0084259C">
      <w:pPr>
        <w:ind w:left="720"/>
        <w:jc w:val="both"/>
        <w:rPr>
          <w:lang w:val="fr-BE"/>
        </w:rPr>
      </w:pPr>
      <w:r>
        <w:rPr>
          <w:lang w:val="fr-FR"/>
        </w:rPr>
        <w:t>- les mesures prises</w:t>
      </w:r>
      <w:r w:rsidR="00285CBF">
        <w:rPr>
          <w:lang w:val="fr-FR"/>
        </w:rPr>
        <w:t> </w:t>
      </w:r>
      <w:r w:rsidR="00285CBF">
        <w:rPr>
          <w:lang w:val="fr-BE"/>
        </w:rPr>
        <w:t>:</w:t>
      </w:r>
    </w:p>
    <w:p w14:paraId="28B83720" w14:textId="6B94CEEC" w:rsidR="00285CBF" w:rsidRDefault="00285CBF" w:rsidP="0084259C">
      <w:pPr>
        <w:ind w:left="720"/>
        <w:jc w:val="both"/>
        <w:rPr>
          <w:lang w:val="fr-FR"/>
        </w:rPr>
      </w:pPr>
      <w:r>
        <w:rPr>
          <w:lang w:val="fr-BE"/>
        </w:rPr>
        <w:tab/>
        <w:t xml:space="preserve">- </w:t>
      </w:r>
      <w:r w:rsidR="00CD02A7">
        <w:rPr>
          <w:lang w:val="fr-BE"/>
        </w:rPr>
        <w:t xml:space="preserve">afin </w:t>
      </w:r>
      <w:r w:rsidR="00CD02A7" w:rsidRPr="00CD02A7">
        <w:rPr>
          <w:lang w:val="fr-FR"/>
        </w:rPr>
        <w:t xml:space="preserve">de sensibiliser </w:t>
      </w:r>
      <w:r w:rsidR="00CD02A7">
        <w:rPr>
          <w:lang w:val="fr-FR"/>
        </w:rPr>
        <w:t>les personnes dont la fonction le requiert et</w:t>
      </w:r>
      <w:r w:rsidR="0084259C">
        <w:rPr>
          <w:lang w:val="fr-FR"/>
        </w:rPr>
        <w:t>, le cas échéant,</w:t>
      </w:r>
      <w:r w:rsidR="00CD02A7">
        <w:rPr>
          <w:lang w:val="fr-FR"/>
        </w:rPr>
        <w:t xml:space="preserve"> les agents</w:t>
      </w:r>
      <w:r w:rsidR="00677951">
        <w:rPr>
          <w:lang w:val="fr-FR"/>
        </w:rPr>
        <w:t xml:space="preserve"> </w:t>
      </w:r>
      <w:r>
        <w:rPr>
          <w:lang w:val="fr-FR"/>
        </w:rPr>
        <w:tab/>
      </w:r>
      <w:r w:rsidR="00677951">
        <w:rPr>
          <w:lang w:val="fr-FR"/>
        </w:rPr>
        <w:t>et distributeurs</w:t>
      </w:r>
      <w:r w:rsidR="00CD02A7">
        <w:rPr>
          <w:lang w:val="fr-FR"/>
        </w:rPr>
        <w:t xml:space="preserve"> aux </w:t>
      </w:r>
      <w:r w:rsidR="00CD02A7" w:rsidRPr="00CD02A7">
        <w:rPr>
          <w:lang w:val="fr-FR"/>
        </w:rPr>
        <w:t xml:space="preserve">risques de </w:t>
      </w:r>
      <w:r w:rsidR="0084259C">
        <w:rPr>
          <w:lang w:val="fr-FR"/>
        </w:rPr>
        <w:t>BC/FT</w:t>
      </w:r>
      <w:r w:rsidR="00CD02A7" w:rsidRPr="00CD02A7">
        <w:rPr>
          <w:lang w:val="fr-FR"/>
        </w:rPr>
        <w:t xml:space="preserve"> au</w:t>
      </w:r>
      <w:r w:rsidR="00CD02A7">
        <w:rPr>
          <w:lang w:val="fr-FR"/>
        </w:rPr>
        <w:t>x</w:t>
      </w:r>
      <w:r w:rsidR="00CD02A7" w:rsidRPr="00CD02A7">
        <w:rPr>
          <w:lang w:val="fr-FR"/>
        </w:rPr>
        <w:t>quel</w:t>
      </w:r>
      <w:r w:rsidR="00CD02A7">
        <w:rPr>
          <w:lang w:val="fr-FR"/>
        </w:rPr>
        <w:t>s</w:t>
      </w:r>
      <w:r w:rsidR="00CD02A7" w:rsidRPr="00CD02A7">
        <w:rPr>
          <w:lang w:val="fr-FR"/>
        </w:rPr>
        <w:t xml:space="preserve"> l</w:t>
      </w:r>
      <w:r w:rsidR="00CD02A7">
        <w:rPr>
          <w:lang w:val="fr-FR"/>
        </w:rPr>
        <w:t>e prêteur</w:t>
      </w:r>
      <w:r w:rsidR="00CD02A7" w:rsidRPr="00CD02A7">
        <w:rPr>
          <w:lang w:val="fr-FR"/>
        </w:rPr>
        <w:t xml:space="preserve"> est exposé</w:t>
      </w:r>
      <w:r>
        <w:rPr>
          <w:lang w:val="fr-FR"/>
        </w:rPr>
        <w:t> ;</w:t>
      </w:r>
      <w:r w:rsidR="00CD02A7" w:rsidRPr="00CD02A7">
        <w:rPr>
          <w:lang w:val="fr-FR"/>
        </w:rPr>
        <w:t xml:space="preserve"> </w:t>
      </w:r>
    </w:p>
    <w:p w14:paraId="26FC1C8B" w14:textId="2E5D93D1" w:rsidR="00CD02A7" w:rsidRDefault="00285CBF" w:rsidP="00285CBF">
      <w:pPr>
        <w:ind w:left="1440"/>
        <w:jc w:val="both"/>
        <w:rPr>
          <w:lang w:val="fr-FR"/>
        </w:rPr>
      </w:pPr>
      <w:r>
        <w:rPr>
          <w:lang w:val="fr-FR"/>
        </w:rPr>
        <w:t xml:space="preserve">- de </w:t>
      </w:r>
      <w:r w:rsidR="00CD02A7" w:rsidRPr="00CD02A7">
        <w:rPr>
          <w:lang w:val="fr-FR"/>
        </w:rPr>
        <w:t>former</w:t>
      </w:r>
      <w:r w:rsidR="001414EB">
        <w:rPr>
          <w:lang w:val="fr-FR"/>
        </w:rPr>
        <w:t xml:space="preserve"> ces personnes, et le cas échéant les agents et distributeurs,</w:t>
      </w:r>
      <w:r>
        <w:rPr>
          <w:lang w:val="fr-FR"/>
        </w:rPr>
        <w:t xml:space="preserve"> </w:t>
      </w:r>
      <w:r w:rsidR="00CD02A7" w:rsidRPr="00CD02A7">
        <w:rPr>
          <w:lang w:val="fr-FR"/>
        </w:rPr>
        <w:t xml:space="preserve">sur le cadre juridique général applicable en matière de LBC/FT et sur les politiques, procédures et mesures de contrôle interne mises en œuvre </w:t>
      </w:r>
      <w:r w:rsidR="00CD02A7">
        <w:rPr>
          <w:lang w:val="fr-FR"/>
        </w:rPr>
        <w:t>par le prêteur</w:t>
      </w:r>
      <w:r w:rsidR="00CD02A7" w:rsidRPr="00CD02A7">
        <w:rPr>
          <w:lang w:val="fr-FR"/>
        </w:rPr>
        <w:t xml:space="preserve"> afin de réduire ces ri</w:t>
      </w:r>
      <w:r w:rsidR="00CD02A7">
        <w:rPr>
          <w:lang w:val="fr-FR"/>
        </w:rPr>
        <w:t>sques</w:t>
      </w:r>
      <w:r w:rsidR="001414EB">
        <w:rPr>
          <w:lang w:val="fr-FR"/>
        </w:rPr>
        <w:t>, en ce compris pour ce qui concerne, le cas échéant, les agents et distributeurs</w:t>
      </w:r>
      <w:r w:rsidR="005866D2">
        <w:rPr>
          <w:lang w:val="fr-FR"/>
        </w:rPr>
        <w:t>;</w:t>
      </w:r>
    </w:p>
    <w:p w14:paraId="32921CD5" w14:textId="2A858FB0" w:rsidR="00CD02A7" w:rsidRDefault="00CD02A7" w:rsidP="0084259C">
      <w:pPr>
        <w:ind w:left="720"/>
        <w:jc w:val="both"/>
        <w:rPr>
          <w:lang w:val="fr-FR"/>
        </w:rPr>
      </w:pPr>
      <w:r>
        <w:rPr>
          <w:lang w:val="fr-FR"/>
        </w:rPr>
        <w:lastRenderedPageBreak/>
        <w:t xml:space="preserve">- </w:t>
      </w:r>
      <w:r w:rsidR="002D2322">
        <w:rPr>
          <w:lang w:val="fr-FR"/>
        </w:rPr>
        <w:t>si</w:t>
      </w:r>
      <w:r>
        <w:rPr>
          <w:lang w:val="fr-FR"/>
        </w:rPr>
        <w:t xml:space="preserve"> le prêteur sous-traite des tâches afférentes aux obligations de la loi AML en recourant à des mandataires ou </w:t>
      </w:r>
      <w:r w:rsidR="00285CBF">
        <w:rPr>
          <w:lang w:val="fr-FR"/>
        </w:rPr>
        <w:t xml:space="preserve">des </w:t>
      </w:r>
      <w:r>
        <w:rPr>
          <w:lang w:val="fr-FR"/>
        </w:rPr>
        <w:t xml:space="preserve">sous-traitants, les mesures qui sont prises par le prêteur </w:t>
      </w:r>
      <w:r w:rsidR="00D5497B">
        <w:rPr>
          <w:lang w:val="fr-FR"/>
        </w:rPr>
        <w:t xml:space="preserve">pour assurer </w:t>
      </w:r>
      <w:r>
        <w:rPr>
          <w:lang w:val="fr-FR"/>
        </w:rPr>
        <w:t>la continuité des tâches sous-traitées et le contrôle du mandataire sous-traitant ;</w:t>
      </w:r>
    </w:p>
    <w:p w14:paraId="6859688C" w14:textId="280C95C2" w:rsidR="002F66E1" w:rsidRDefault="00CD02A7" w:rsidP="0084259C">
      <w:pPr>
        <w:ind w:left="720"/>
        <w:jc w:val="both"/>
        <w:rPr>
          <w:lang w:val="fr-FR"/>
        </w:rPr>
      </w:pPr>
      <w:r>
        <w:rPr>
          <w:lang w:val="fr-FR"/>
        </w:rPr>
        <w:t xml:space="preserve">- si le prêteur </w:t>
      </w:r>
      <w:r w:rsidR="00050CAE">
        <w:rPr>
          <w:lang w:val="fr-FR"/>
        </w:rPr>
        <w:t>fait</w:t>
      </w:r>
      <w:r>
        <w:rPr>
          <w:lang w:val="fr-FR"/>
        </w:rPr>
        <w:t xml:space="preserve"> appel à des tiers introducteurs</w:t>
      </w:r>
      <w:r w:rsidRPr="0084259C">
        <w:rPr>
          <w:lang w:val="fr-BE"/>
        </w:rPr>
        <w:t xml:space="preserve"> </w:t>
      </w:r>
      <w:r>
        <w:rPr>
          <w:lang w:val="fr-FR"/>
        </w:rPr>
        <w:t>a</w:t>
      </w:r>
      <w:r w:rsidRPr="00CD02A7">
        <w:rPr>
          <w:lang w:val="fr-FR"/>
        </w:rPr>
        <w:t>u sens de l’article 43, §1</w:t>
      </w:r>
      <w:r w:rsidRPr="0084259C">
        <w:rPr>
          <w:vertAlign w:val="superscript"/>
          <w:lang w:val="fr-FR"/>
        </w:rPr>
        <w:t>er</w:t>
      </w:r>
      <w:r>
        <w:rPr>
          <w:lang w:val="fr-FR"/>
        </w:rPr>
        <w:t xml:space="preserve"> </w:t>
      </w:r>
      <w:r w:rsidRPr="00CD02A7">
        <w:rPr>
          <w:lang w:val="fr-FR"/>
        </w:rPr>
        <w:t>de la loi AML</w:t>
      </w:r>
      <w:r w:rsidR="00D5497B">
        <w:rPr>
          <w:lang w:val="fr-FR"/>
        </w:rPr>
        <w:t xml:space="preserve"> et les mesures prises pour </w:t>
      </w:r>
      <w:r w:rsidR="00285CBF">
        <w:rPr>
          <w:lang w:val="fr-FR"/>
        </w:rPr>
        <w:t xml:space="preserve">se conformer aux exigences de </w:t>
      </w:r>
      <w:r w:rsidR="00D5497B" w:rsidRPr="00750F42">
        <w:rPr>
          <w:lang w:val="fr-FR"/>
        </w:rPr>
        <w:t>l’articl</w:t>
      </w:r>
      <w:r w:rsidR="001E4E7F" w:rsidRPr="00750F42">
        <w:rPr>
          <w:lang w:val="fr-FR"/>
        </w:rPr>
        <w:t>e 44</w:t>
      </w:r>
      <w:r w:rsidR="00C73D5D">
        <w:rPr>
          <w:lang w:val="fr-FR"/>
        </w:rPr>
        <w:t xml:space="preserve"> de la même loi</w:t>
      </w:r>
      <w:r w:rsidRPr="00750F42">
        <w:rPr>
          <w:lang w:val="fr-FR"/>
        </w:rPr>
        <w:t>.</w:t>
      </w:r>
    </w:p>
    <w:p w14:paraId="5105B88D" w14:textId="79682D49" w:rsidR="002F66E1" w:rsidRPr="00750F42" w:rsidRDefault="002F66E1" w:rsidP="002F66E1">
      <w:pPr>
        <w:pStyle w:val="Default"/>
        <w:jc w:val="both"/>
        <w:rPr>
          <w:rFonts w:asciiTheme="minorHAnsi" w:hAnsiTheme="minorHAnsi" w:cstheme="minorHAnsi"/>
          <w:sz w:val="22"/>
          <w:szCs w:val="22"/>
        </w:rPr>
      </w:pPr>
      <w:r w:rsidRPr="000017A3">
        <w:rPr>
          <w:rFonts w:asciiTheme="minorHAnsi" w:hAnsiTheme="minorHAnsi" w:cstheme="minorHAnsi"/>
          <w:sz w:val="22"/>
          <w:szCs w:val="22"/>
        </w:rPr>
        <w:t xml:space="preserve">Les prêteurs qui font partie d’un groupe sont tenus de mettre en </w:t>
      </w:r>
      <w:r w:rsidR="0069571A" w:rsidRPr="000017A3">
        <w:rPr>
          <w:rFonts w:asciiTheme="minorHAnsi" w:hAnsiTheme="minorHAnsi" w:cstheme="minorHAnsi"/>
          <w:sz w:val="22"/>
          <w:szCs w:val="22"/>
        </w:rPr>
        <w:t>œuvre</w:t>
      </w:r>
      <w:r w:rsidRPr="000017A3">
        <w:rPr>
          <w:rFonts w:asciiTheme="minorHAnsi" w:hAnsiTheme="minorHAnsi" w:cstheme="minorHAnsi"/>
          <w:sz w:val="22"/>
          <w:szCs w:val="22"/>
        </w:rPr>
        <w:t xml:space="preserve"> des politiques et des procédures de prévention du BC/FT à l’échelle du groupe, qui incluent, notamment, des politiques de protection des données ainsi que des politiques et des procédures relatives au partage des informations au sein du groupe aux fins de la lutte contre le BC/FT. Ces prêteurs doivent donc tenir compte de cette spécificité dans les </w:t>
      </w:r>
      <w:r w:rsidR="00C73D5D" w:rsidRPr="000017A3">
        <w:rPr>
          <w:rFonts w:asciiTheme="minorHAnsi" w:hAnsiTheme="minorHAnsi" w:cstheme="minorHAnsi"/>
          <w:sz w:val="22"/>
          <w:szCs w:val="22"/>
        </w:rPr>
        <w:t>explications</w:t>
      </w:r>
      <w:r w:rsidRPr="000017A3">
        <w:rPr>
          <w:rFonts w:asciiTheme="minorHAnsi" w:hAnsiTheme="minorHAnsi" w:cstheme="minorHAnsi"/>
          <w:sz w:val="22"/>
          <w:szCs w:val="22"/>
        </w:rPr>
        <w:t xml:space="preserve"> données quant aux éléments mentionnés ci-dessus.</w:t>
      </w:r>
      <w:r w:rsidRPr="00750F42">
        <w:rPr>
          <w:rFonts w:asciiTheme="minorHAnsi" w:hAnsiTheme="minorHAnsi" w:cstheme="minorHAnsi"/>
          <w:sz w:val="22"/>
          <w:szCs w:val="22"/>
        </w:rPr>
        <w:t xml:space="preserve"> </w:t>
      </w:r>
    </w:p>
    <w:p w14:paraId="4FEF0EEB" w14:textId="6F28AA4C" w:rsidR="002546D5" w:rsidRPr="0033377A" w:rsidRDefault="002546D5" w:rsidP="0084259C">
      <w:pPr>
        <w:ind w:left="720"/>
        <w:jc w:val="both"/>
        <w:rPr>
          <w:lang w:val="fr-FR"/>
        </w:rPr>
      </w:pPr>
    </w:p>
    <w:p w14:paraId="4FEF0EEC" w14:textId="77777777" w:rsidR="002546D5" w:rsidRPr="0033377A" w:rsidRDefault="002546D5" w:rsidP="002546D5">
      <w:pPr>
        <w:pBdr>
          <w:top w:val="single" w:sz="4" w:space="1" w:color="auto"/>
          <w:left w:val="single" w:sz="4" w:space="4" w:color="auto"/>
          <w:bottom w:val="single" w:sz="4" w:space="1" w:color="auto"/>
          <w:right w:val="single" w:sz="4" w:space="4" w:color="auto"/>
        </w:pBdr>
        <w:rPr>
          <w:lang w:val="fr-FR"/>
        </w:rPr>
      </w:pPr>
    </w:p>
    <w:p w14:paraId="6FAFFE61" w14:textId="77777777" w:rsidR="00CD02A7" w:rsidRPr="0033377A" w:rsidRDefault="00CD02A7" w:rsidP="002546D5">
      <w:pPr>
        <w:pBdr>
          <w:top w:val="single" w:sz="4" w:space="1" w:color="auto"/>
          <w:left w:val="single" w:sz="4" w:space="4" w:color="auto"/>
          <w:bottom w:val="single" w:sz="4" w:space="1" w:color="auto"/>
          <w:right w:val="single" w:sz="4" w:space="4" w:color="auto"/>
        </w:pBdr>
        <w:rPr>
          <w:lang w:val="fr-FR"/>
        </w:rPr>
      </w:pPr>
    </w:p>
    <w:p w14:paraId="46DAB7DA" w14:textId="77777777" w:rsidR="001B020E" w:rsidRPr="0033377A" w:rsidRDefault="001B020E" w:rsidP="002546D5">
      <w:pPr>
        <w:pBdr>
          <w:top w:val="single" w:sz="4" w:space="1" w:color="auto"/>
          <w:left w:val="single" w:sz="4" w:space="4" w:color="auto"/>
          <w:bottom w:val="single" w:sz="4" w:space="1" w:color="auto"/>
          <w:right w:val="single" w:sz="4" w:space="4" w:color="auto"/>
        </w:pBdr>
        <w:rPr>
          <w:lang w:val="fr-FR"/>
        </w:rPr>
      </w:pPr>
    </w:p>
    <w:p w14:paraId="25649C9F" w14:textId="77777777" w:rsidR="001B020E" w:rsidRPr="0033377A" w:rsidRDefault="001B020E" w:rsidP="002546D5">
      <w:pPr>
        <w:pBdr>
          <w:top w:val="single" w:sz="4" w:space="1" w:color="auto"/>
          <w:left w:val="single" w:sz="4" w:space="4" w:color="auto"/>
          <w:bottom w:val="single" w:sz="4" w:space="1" w:color="auto"/>
          <w:right w:val="single" w:sz="4" w:space="4" w:color="auto"/>
        </w:pBdr>
        <w:rPr>
          <w:lang w:val="fr-FR"/>
        </w:rPr>
      </w:pPr>
    </w:p>
    <w:p w14:paraId="28EC9CAA" w14:textId="77777777" w:rsidR="001B020E" w:rsidRPr="0033377A" w:rsidRDefault="001B020E" w:rsidP="002546D5">
      <w:pPr>
        <w:pBdr>
          <w:top w:val="single" w:sz="4" w:space="1" w:color="auto"/>
          <w:left w:val="single" w:sz="4" w:space="4" w:color="auto"/>
          <w:bottom w:val="single" w:sz="4" w:space="1" w:color="auto"/>
          <w:right w:val="single" w:sz="4" w:space="4" w:color="auto"/>
        </w:pBdr>
        <w:rPr>
          <w:lang w:val="fr-FR"/>
        </w:rPr>
      </w:pPr>
    </w:p>
    <w:p w14:paraId="1EFE98D4" w14:textId="77777777" w:rsidR="001B020E" w:rsidRPr="0033377A" w:rsidRDefault="001B020E" w:rsidP="002546D5">
      <w:pPr>
        <w:pBdr>
          <w:top w:val="single" w:sz="4" w:space="1" w:color="auto"/>
          <w:left w:val="single" w:sz="4" w:space="4" w:color="auto"/>
          <w:bottom w:val="single" w:sz="4" w:space="1" w:color="auto"/>
          <w:right w:val="single" w:sz="4" w:space="4" w:color="auto"/>
        </w:pBdr>
        <w:rPr>
          <w:lang w:val="fr-FR"/>
        </w:rPr>
      </w:pPr>
    </w:p>
    <w:p w14:paraId="6F645066" w14:textId="2B86C775" w:rsidR="001B020E" w:rsidRDefault="001B020E" w:rsidP="002546D5">
      <w:pPr>
        <w:pBdr>
          <w:top w:val="single" w:sz="4" w:space="1" w:color="auto"/>
          <w:left w:val="single" w:sz="4" w:space="4" w:color="auto"/>
          <w:bottom w:val="single" w:sz="4" w:space="1" w:color="auto"/>
          <w:right w:val="single" w:sz="4" w:space="4" w:color="auto"/>
        </w:pBdr>
        <w:rPr>
          <w:lang w:val="fr-FR"/>
        </w:rPr>
      </w:pPr>
    </w:p>
    <w:p w14:paraId="6C9EAC71" w14:textId="65C268AF" w:rsidR="00750F42" w:rsidRDefault="00750F42" w:rsidP="002546D5">
      <w:pPr>
        <w:pBdr>
          <w:top w:val="single" w:sz="4" w:space="1" w:color="auto"/>
          <w:left w:val="single" w:sz="4" w:space="4" w:color="auto"/>
          <w:bottom w:val="single" w:sz="4" w:space="1" w:color="auto"/>
          <w:right w:val="single" w:sz="4" w:space="4" w:color="auto"/>
        </w:pBdr>
        <w:rPr>
          <w:lang w:val="fr-FR"/>
        </w:rPr>
      </w:pPr>
    </w:p>
    <w:p w14:paraId="6E36F0FD" w14:textId="34F6D399" w:rsidR="00750F42" w:rsidRDefault="00750F42" w:rsidP="002546D5">
      <w:pPr>
        <w:pBdr>
          <w:top w:val="single" w:sz="4" w:space="1" w:color="auto"/>
          <w:left w:val="single" w:sz="4" w:space="4" w:color="auto"/>
          <w:bottom w:val="single" w:sz="4" w:space="1" w:color="auto"/>
          <w:right w:val="single" w:sz="4" w:space="4" w:color="auto"/>
        </w:pBdr>
        <w:rPr>
          <w:lang w:val="fr-FR"/>
        </w:rPr>
      </w:pPr>
    </w:p>
    <w:p w14:paraId="7C2070D1" w14:textId="25427C67" w:rsidR="00750F42" w:rsidRDefault="00750F42" w:rsidP="002546D5">
      <w:pPr>
        <w:pBdr>
          <w:top w:val="single" w:sz="4" w:space="1" w:color="auto"/>
          <w:left w:val="single" w:sz="4" w:space="4" w:color="auto"/>
          <w:bottom w:val="single" w:sz="4" w:space="1" w:color="auto"/>
          <w:right w:val="single" w:sz="4" w:space="4" w:color="auto"/>
        </w:pBdr>
        <w:rPr>
          <w:lang w:val="fr-FR"/>
        </w:rPr>
      </w:pPr>
    </w:p>
    <w:p w14:paraId="02AB447A" w14:textId="4268CC7F" w:rsidR="00750F42" w:rsidRDefault="00750F42" w:rsidP="002546D5">
      <w:pPr>
        <w:pBdr>
          <w:top w:val="single" w:sz="4" w:space="1" w:color="auto"/>
          <w:left w:val="single" w:sz="4" w:space="4" w:color="auto"/>
          <w:bottom w:val="single" w:sz="4" w:space="1" w:color="auto"/>
          <w:right w:val="single" w:sz="4" w:space="4" w:color="auto"/>
        </w:pBdr>
        <w:rPr>
          <w:lang w:val="fr-FR"/>
        </w:rPr>
      </w:pPr>
    </w:p>
    <w:p w14:paraId="497A076B" w14:textId="36109BAA" w:rsidR="00750F42" w:rsidRDefault="00750F42" w:rsidP="002546D5">
      <w:pPr>
        <w:pBdr>
          <w:top w:val="single" w:sz="4" w:space="1" w:color="auto"/>
          <w:left w:val="single" w:sz="4" w:space="4" w:color="auto"/>
          <w:bottom w:val="single" w:sz="4" w:space="1" w:color="auto"/>
          <w:right w:val="single" w:sz="4" w:space="4" w:color="auto"/>
        </w:pBdr>
        <w:rPr>
          <w:lang w:val="fr-FR"/>
        </w:rPr>
      </w:pPr>
    </w:p>
    <w:p w14:paraId="3630891F" w14:textId="633E6659" w:rsidR="00750F42" w:rsidRDefault="00750F42" w:rsidP="002546D5">
      <w:pPr>
        <w:pBdr>
          <w:top w:val="single" w:sz="4" w:space="1" w:color="auto"/>
          <w:left w:val="single" w:sz="4" w:space="4" w:color="auto"/>
          <w:bottom w:val="single" w:sz="4" w:space="1" w:color="auto"/>
          <w:right w:val="single" w:sz="4" w:space="4" w:color="auto"/>
        </w:pBdr>
        <w:rPr>
          <w:lang w:val="fr-FR"/>
        </w:rPr>
      </w:pPr>
    </w:p>
    <w:p w14:paraId="6BE954DF" w14:textId="1E76BE7D" w:rsidR="00750F42" w:rsidRDefault="00750F42" w:rsidP="002546D5">
      <w:pPr>
        <w:pBdr>
          <w:top w:val="single" w:sz="4" w:space="1" w:color="auto"/>
          <w:left w:val="single" w:sz="4" w:space="4" w:color="auto"/>
          <w:bottom w:val="single" w:sz="4" w:space="1" w:color="auto"/>
          <w:right w:val="single" w:sz="4" w:space="4" w:color="auto"/>
        </w:pBdr>
        <w:rPr>
          <w:lang w:val="fr-FR"/>
        </w:rPr>
      </w:pPr>
    </w:p>
    <w:p w14:paraId="4C7670EA" w14:textId="3CFB051E" w:rsidR="00750F42" w:rsidRDefault="00750F42" w:rsidP="002546D5">
      <w:pPr>
        <w:pBdr>
          <w:top w:val="single" w:sz="4" w:space="1" w:color="auto"/>
          <w:left w:val="single" w:sz="4" w:space="4" w:color="auto"/>
          <w:bottom w:val="single" w:sz="4" w:space="1" w:color="auto"/>
          <w:right w:val="single" w:sz="4" w:space="4" w:color="auto"/>
        </w:pBdr>
        <w:rPr>
          <w:lang w:val="fr-FR"/>
        </w:rPr>
      </w:pPr>
    </w:p>
    <w:p w14:paraId="05001A3B" w14:textId="4A7C1F20" w:rsidR="00750F42" w:rsidRDefault="00750F42" w:rsidP="002546D5">
      <w:pPr>
        <w:pBdr>
          <w:top w:val="single" w:sz="4" w:space="1" w:color="auto"/>
          <w:left w:val="single" w:sz="4" w:space="4" w:color="auto"/>
          <w:bottom w:val="single" w:sz="4" w:space="1" w:color="auto"/>
          <w:right w:val="single" w:sz="4" w:space="4" w:color="auto"/>
        </w:pBdr>
        <w:rPr>
          <w:lang w:val="fr-FR"/>
        </w:rPr>
      </w:pPr>
    </w:p>
    <w:p w14:paraId="16C2EC23" w14:textId="25FC3D76" w:rsidR="00750F42" w:rsidRDefault="00750F42" w:rsidP="002546D5">
      <w:pPr>
        <w:pBdr>
          <w:top w:val="single" w:sz="4" w:space="1" w:color="auto"/>
          <w:left w:val="single" w:sz="4" w:space="4" w:color="auto"/>
          <w:bottom w:val="single" w:sz="4" w:space="1" w:color="auto"/>
          <w:right w:val="single" w:sz="4" w:space="4" w:color="auto"/>
        </w:pBdr>
        <w:rPr>
          <w:lang w:val="fr-FR"/>
        </w:rPr>
      </w:pPr>
    </w:p>
    <w:p w14:paraId="58CE9D53" w14:textId="30964F06" w:rsidR="00750F42" w:rsidRDefault="00750F42" w:rsidP="002546D5">
      <w:pPr>
        <w:pBdr>
          <w:top w:val="single" w:sz="4" w:space="1" w:color="auto"/>
          <w:left w:val="single" w:sz="4" w:space="4" w:color="auto"/>
          <w:bottom w:val="single" w:sz="4" w:space="1" w:color="auto"/>
          <w:right w:val="single" w:sz="4" w:space="4" w:color="auto"/>
        </w:pBdr>
        <w:rPr>
          <w:lang w:val="fr-FR"/>
        </w:rPr>
      </w:pPr>
    </w:p>
    <w:p w14:paraId="1162574C" w14:textId="10916941" w:rsidR="00750F42" w:rsidRDefault="00750F42" w:rsidP="002546D5">
      <w:pPr>
        <w:pBdr>
          <w:top w:val="single" w:sz="4" w:space="1" w:color="auto"/>
          <w:left w:val="single" w:sz="4" w:space="4" w:color="auto"/>
          <w:bottom w:val="single" w:sz="4" w:space="1" w:color="auto"/>
          <w:right w:val="single" w:sz="4" w:space="4" w:color="auto"/>
        </w:pBdr>
        <w:rPr>
          <w:lang w:val="fr-FR"/>
        </w:rPr>
      </w:pPr>
    </w:p>
    <w:p w14:paraId="641C9410" w14:textId="285AF056" w:rsidR="0072108A" w:rsidRDefault="0072108A" w:rsidP="002546D5">
      <w:pPr>
        <w:pBdr>
          <w:top w:val="single" w:sz="4" w:space="1" w:color="auto"/>
          <w:left w:val="single" w:sz="4" w:space="4" w:color="auto"/>
          <w:bottom w:val="single" w:sz="4" w:space="1" w:color="auto"/>
          <w:right w:val="single" w:sz="4" w:space="4" w:color="auto"/>
        </w:pBdr>
        <w:rPr>
          <w:lang w:val="fr-FR"/>
        </w:rPr>
      </w:pPr>
    </w:p>
    <w:p w14:paraId="58A77DCD" w14:textId="01083EB6" w:rsidR="00750F42" w:rsidRPr="0033377A" w:rsidRDefault="00750F42" w:rsidP="002546D5">
      <w:pPr>
        <w:pBdr>
          <w:top w:val="single" w:sz="4" w:space="1" w:color="auto"/>
          <w:left w:val="single" w:sz="4" w:space="4" w:color="auto"/>
          <w:bottom w:val="single" w:sz="4" w:space="1" w:color="auto"/>
          <w:right w:val="single" w:sz="4" w:space="4" w:color="auto"/>
        </w:pBdr>
        <w:rPr>
          <w:lang w:val="fr-FR"/>
        </w:rPr>
      </w:pPr>
    </w:p>
    <w:p w14:paraId="3CBE4117" w14:textId="456C8CA1" w:rsidR="00750F42" w:rsidRDefault="00750F42">
      <w:pPr>
        <w:rPr>
          <w:lang w:val="fr-BE"/>
        </w:rPr>
      </w:pPr>
    </w:p>
    <w:p w14:paraId="3D51CCE5" w14:textId="5A0995A2" w:rsidR="001E4E7F" w:rsidRPr="001E4E7F" w:rsidRDefault="001E4E7F" w:rsidP="001E4E7F">
      <w:pPr>
        <w:jc w:val="both"/>
        <w:rPr>
          <w:lang w:val="fr-BE"/>
        </w:rPr>
      </w:pPr>
      <w:r>
        <w:rPr>
          <w:lang w:val="fr-BE"/>
        </w:rPr>
        <w:t>L</w:t>
      </w:r>
      <w:r w:rsidRPr="001E4E7F">
        <w:rPr>
          <w:lang w:val="fr-BE"/>
        </w:rPr>
        <w:t>e haut dirigeant responsable et l’AMLCO</w:t>
      </w:r>
      <w:r>
        <w:rPr>
          <w:lang w:val="fr-BE"/>
        </w:rPr>
        <w:t xml:space="preserve"> confirment que les informations communiquées sont sincères et véritables</w:t>
      </w:r>
      <w:r w:rsidRPr="001E4E7F">
        <w:rPr>
          <w:position w:val="6"/>
          <w:sz w:val="16"/>
          <w:lang w:val="fr-BE"/>
        </w:rPr>
        <w:footnoteReference w:id="2"/>
      </w:r>
      <w:r w:rsidRPr="001E4E7F">
        <w:rPr>
          <w:lang w:val="fr-BE"/>
        </w:rPr>
        <w:t xml:space="preserve">. </w:t>
      </w:r>
    </w:p>
    <w:p w14:paraId="062E5053" w14:textId="77777777" w:rsidR="001E4E7F" w:rsidRPr="001E4E7F" w:rsidRDefault="001E4E7F" w:rsidP="001E4E7F">
      <w:pPr>
        <w:tabs>
          <w:tab w:val="left" w:leader="dot" w:pos="8505"/>
        </w:tabs>
        <w:spacing w:after="120"/>
        <w:jc w:val="both"/>
        <w:rPr>
          <w:b/>
          <w:i/>
          <w:u w:val="single"/>
          <w:lang w:val="fr-BE"/>
        </w:rPr>
      </w:pPr>
      <w:r w:rsidRPr="001E4E7F">
        <w:rPr>
          <w:b/>
          <w:i/>
          <w:u w:val="single"/>
          <w:lang w:val="fr-BE"/>
        </w:rPr>
        <w:t>Le haut dirigeant responsable :</w:t>
      </w:r>
    </w:p>
    <w:p w14:paraId="39CC3F8B" w14:textId="77777777" w:rsidR="001E4E7F" w:rsidRPr="001E4E7F" w:rsidRDefault="001E4E7F" w:rsidP="001E4E7F">
      <w:pPr>
        <w:jc w:val="both"/>
        <w:rPr>
          <w:lang w:val="fr-BE"/>
        </w:rPr>
      </w:pPr>
      <w:r w:rsidRPr="001E4E7F">
        <w:rPr>
          <w:lang w:val="fr-BE"/>
        </w:rPr>
        <w:t>Date et signature</w:t>
      </w:r>
    </w:p>
    <w:p w14:paraId="6BAE8498" w14:textId="77777777" w:rsidR="001E4E7F" w:rsidRPr="001E4E7F" w:rsidRDefault="001E4E7F" w:rsidP="001E4E7F">
      <w:pPr>
        <w:jc w:val="both"/>
        <w:rPr>
          <w:lang w:val="fr-BE"/>
        </w:rPr>
      </w:pPr>
    </w:p>
    <w:p w14:paraId="2121B7E7" w14:textId="77777777" w:rsidR="001E4E7F" w:rsidRPr="001E4E7F" w:rsidRDefault="001E4E7F" w:rsidP="001E4E7F">
      <w:pPr>
        <w:tabs>
          <w:tab w:val="left" w:leader="dot" w:pos="8505"/>
        </w:tabs>
        <w:jc w:val="both"/>
        <w:rPr>
          <w:lang w:val="fr-BE"/>
        </w:rPr>
      </w:pPr>
      <w:r w:rsidRPr="001E4E7F">
        <w:rPr>
          <w:lang w:val="fr-BE"/>
        </w:rPr>
        <w:tab/>
      </w:r>
    </w:p>
    <w:p w14:paraId="2598D5FD" w14:textId="77777777" w:rsidR="001E4E7F" w:rsidRPr="001E4E7F" w:rsidRDefault="001E4E7F" w:rsidP="001E4E7F">
      <w:pPr>
        <w:tabs>
          <w:tab w:val="left" w:leader="dot" w:pos="8505"/>
        </w:tabs>
        <w:spacing w:after="120"/>
        <w:jc w:val="both"/>
        <w:rPr>
          <w:b/>
          <w:i/>
          <w:u w:val="single"/>
          <w:lang w:val="fr-BE"/>
        </w:rPr>
      </w:pPr>
      <w:r w:rsidRPr="001E4E7F">
        <w:rPr>
          <w:b/>
          <w:i/>
          <w:u w:val="single"/>
          <w:lang w:val="fr-BE"/>
        </w:rPr>
        <w:t>L’AMLCO :</w:t>
      </w:r>
    </w:p>
    <w:p w14:paraId="7355FFCF" w14:textId="77777777" w:rsidR="001E4E7F" w:rsidRPr="001E4E7F" w:rsidRDefault="001E4E7F" w:rsidP="001E4E7F">
      <w:pPr>
        <w:jc w:val="both"/>
        <w:rPr>
          <w:lang w:val="fr-BE"/>
        </w:rPr>
      </w:pPr>
    </w:p>
    <w:p w14:paraId="45438B2E" w14:textId="77777777" w:rsidR="001E4E7F" w:rsidRPr="001E4E7F" w:rsidRDefault="001E4E7F" w:rsidP="001E4E7F">
      <w:pPr>
        <w:jc w:val="both"/>
        <w:rPr>
          <w:lang w:val="fr-BE"/>
        </w:rPr>
      </w:pPr>
      <w:r w:rsidRPr="001E4E7F">
        <w:rPr>
          <w:lang w:val="fr-BE"/>
        </w:rPr>
        <w:t>Date et signature</w:t>
      </w:r>
    </w:p>
    <w:p w14:paraId="4B3F3B9A" w14:textId="77777777" w:rsidR="001E4E7F" w:rsidRPr="001E4E7F" w:rsidRDefault="001E4E7F" w:rsidP="001E4E7F">
      <w:pPr>
        <w:jc w:val="both"/>
        <w:rPr>
          <w:lang w:val="fr-BE"/>
        </w:rPr>
      </w:pPr>
    </w:p>
    <w:p w14:paraId="53DE5F42" w14:textId="77777777" w:rsidR="001E4E7F" w:rsidRPr="001E4E7F" w:rsidRDefault="001E4E7F" w:rsidP="001E4E7F">
      <w:pPr>
        <w:tabs>
          <w:tab w:val="left" w:leader="dot" w:pos="8505"/>
        </w:tabs>
        <w:jc w:val="both"/>
        <w:rPr>
          <w:lang w:val="fr-BE"/>
        </w:rPr>
      </w:pPr>
      <w:r w:rsidRPr="001E4E7F">
        <w:rPr>
          <w:lang w:val="fr-BE"/>
        </w:rPr>
        <w:t>...</w:t>
      </w:r>
      <w:r w:rsidRPr="001E4E7F">
        <w:rPr>
          <w:lang w:val="fr-BE"/>
        </w:rPr>
        <w:tab/>
      </w:r>
    </w:p>
    <w:p w14:paraId="4FEF0EEF" w14:textId="77777777" w:rsidR="00F82C33" w:rsidRPr="0033377A" w:rsidRDefault="00F82C33">
      <w:pPr>
        <w:rPr>
          <w:lang w:val="fr-FR"/>
        </w:rPr>
      </w:pPr>
    </w:p>
    <w:sectPr w:rsidR="00F82C33" w:rsidRPr="0033377A" w:rsidSect="0084259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C536E" w14:textId="77777777" w:rsidR="0084259C" w:rsidRDefault="0084259C" w:rsidP="00382AE9">
      <w:pPr>
        <w:spacing w:after="0" w:line="240" w:lineRule="auto"/>
      </w:pPr>
      <w:r>
        <w:separator/>
      </w:r>
    </w:p>
  </w:endnote>
  <w:endnote w:type="continuationSeparator" w:id="0">
    <w:p w14:paraId="0E6EF45B" w14:textId="77777777" w:rsidR="0084259C" w:rsidRDefault="0084259C" w:rsidP="0038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AB403" w14:textId="09546880" w:rsidR="00750F42" w:rsidRDefault="00750F42">
    <w:pPr>
      <w:pStyle w:val="Footer"/>
      <w:jc w:val="right"/>
    </w:pPr>
  </w:p>
  <w:p w14:paraId="6C052E47" w14:textId="77777777" w:rsidR="00750F42" w:rsidRDefault="00750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327DB" w14:textId="77777777" w:rsidR="0084259C" w:rsidRDefault="0084259C" w:rsidP="00382AE9">
      <w:pPr>
        <w:spacing w:after="0" w:line="240" w:lineRule="auto"/>
      </w:pPr>
      <w:r>
        <w:separator/>
      </w:r>
    </w:p>
  </w:footnote>
  <w:footnote w:type="continuationSeparator" w:id="0">
    <w:p w14:paraId="567D9C8C" w14:textId="77777777" w:rsidR="0084259C" w:rsidRDefault="0084259C" w:rsidP="00382AE9">
      <w:pPr>
        <w:spacing w:after="0" w:line="240" w:lineRule="auto"/>
      </w:pPr>
      <w:r>
        <w:continuationSeparator/>
      </w:r>
    </w:p>
  </w:footnote>
  <w:footnote w:id="1">
    <w:p w14:paraId="0855E48E" w14:textId="75EF4B18" w:rsidR="0084259C" w:rsidRPr="0084259C" w:rsidRDefault="0084259C">
      <w:pPr>
        <w:pStyle w:val="FootnoteText"/>
        <w:rPr>
          <w:lang w:val="fr-BE"/>
        </w:rPr>
      </w:pPr>
      <w:r>
        <w:rPr>
          <w:rStyle w:val="FootnoteReference"/>
        </w:rPr>
        <w:footnoteRef/>
      </w:r>
      <w:r w:rsidRPr="0084259C">
        <w:rPr>
          <w:lang w:val="fr-BE"/>
        </w:rPr>
        <w:t xml:space="preserve"> Les prêteurs qui sont, dans le cadre d’un autre statut, soumis au contrôle prudentiel de la </w:t>
      </w:r>
      <w:r>
        <w:rPr>
          <w:lang w:val="fr-BE"/>
        </w:rPr>
        <w:t>Banque nationale de Belgique</w:t>
      </w:r>
      <w:r w:rsidRPr="0084259C">
        <w:rPr>
          <w:lang w:val="fr-BE"/>
        </w:rPr>
        <w:t xml:space="preserve"> (par exemple : </w:t>
      </w:r>
      <w:r w:rsidR="005866D2">
        <w:rPr>
          <w:lang w:val="fr-BE"/>
        </w:rPr>
        <w:t>établissements de crédit</w:t>
      </w:r>
      <w:r w:rsidRPr="0084259C">
        <w:rPr>
          <w:lang w:val="fr-BE"/>
        </w:rPr>
        <w:t>), sont soumis au contrôle de cette autorité pour les obligations AML.</w:t>
      </w:r>
    </w:p>
  </w:footnote>
  <w:footnote w:id="2">
    <w:p w14:paraId="14F9386D" w14:textId="77777777" w:rsidR="0084259C" w:rsidRPr="009D2F7C" w:rsidRDefault="0084259C" w:rsidP="001E4E7F">
      <w:pPr>
        <w:pStyle w:val="FootnoteText"/>
        <w:jc w:val="both"/>
        <w:rPr>
          <w:sz w:val="18"/>
          <w:szCs w:val="18"/>
          <w:lang w:val="fr-BE"/>
        </w:rPr>
      </w:pPr>
      <w:r w:rsidRPr="009D2F7C">
        <w:rPr>
          <w:rStyle w:val="FootnoteReference"/>
          <w:sz w:val="18"/>
          <w:szCs w:val="18"/>
        </w:rPr>
        <w:footnoteRef/>
      </w:r>
      <w:r w:rsidRPr="0084259C">
        <w:rPr>
          <w:sz w:val="18"/>
          <w:szCs w:val="18"/>
          <w:lang w:val="fr-BE"/>
        </w:rPr>
        <w:t xml:space="preserve"> </w:t>
      </w:r>
      <w:r w:rsidRPr="009D2F7C">
        <w:rPr>
          <w:sz w:val="18"/>
          <w:szCs w:val="18"/>
          <w:lang w:val="fr-BE"/>
        </w:rPr>
        <w:t>S’il s’agit de la même personne, veuillez procéder à une double signature.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658251"/>
      <w:docPartObj>
        <w:docPartGallery w:val="Page Numbers (Top of Page)"/>
        <w:docPartUnique/>
      </w:docPartObj>
    </w:sdtPr>
    <w:sdtEndPr>
      <w:rPr>
        <w:noProof/>
      </w:rPr>
    </w:sdtEndPr>
    <w:sdtContent>
      <w:p w14:paraId="66BDDA51" w14:textId="3112063B" w:rsidR="0084259C" w:rsidRDefault="0084259C">
        <w:pPr>
          <w:pStyle w:val="Header"/>
          <w:jc w:val="right"/>
        </w:pPr>
        <w:r>
          <w:fldChar w:fldCharType="begin"/>
        </w:r>
        <w:r>
          <w:instrText xml:space="preserve"> PAGE   \* MERGEFORMAT </w:instrText>
        </w:r>
        <w:r>
          <w:fldChar w:fldCharType="separate"/>
        </w:r>
        <w:r w:rsidR="0058209B">
          <w:rPr>
            <w:noProof/>
          </w:rPr>
          <w:t>1</w:t>
        </w:r>
        <w:r>
          <w:rPr>
            <w:noProof/>
          </w:rPr>
          <w:fldChar w:fldCharType="end"/>
        </w:r>
      </w:p>
    </w:sdtContent>
  </w:sdt>
  <w:p w14:paraId="18B8E5A0" w14:textId="77777777" w:rsidR="0084259C" w:rsidRDefault="008425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6D5"/>
    <w:rsid w:val="000017A3"/>
    <w:rsid w:val="000021CA"/>
    <w:rsid w:val="00013134"/>
    <w:rsid w:val="000279CF"/>
    <w:rsid w:val="00040CBD"/>
    <w:rsid w:val="00050CAE"/>
    <w:rsid w:val="00064588"/>
    <w:rsid w:val="00067DB5"/>
    <w:rsid w:val="000814E7"/>
    <w:rsid w:val="0008296E"/>
    <w:rsid w:val="0008464F"/>
    <w:rsid w:val="00085F48"/>
    <w:rsid w:val="000862ED"/>
    <w:rsid w:val="000A596D"/>
    <w:rsid w:val="000A6967"/>
    <w:rsid w:val="000B3B6B"/>
    <w:rsid w:val="000D61A4"/>
    <w:rsid w:val="000E2CDB"/>
    <w:rsid w:val="000E7FED"/>
    <w:rsid w:val="00105A41"/>
    <w:rsid w:val="001119B2"/>
    <w:rsid w:val="001414EB"/>
    <w:rsid w:val="00152879"/>
    <w:rsid w:val="00154649"/>
    <w:rsid w:val="00155942"/>
    <w:rsid w:val="00163CD7"/>
    <w:rsid w:val="00174CC4"/>
    <w:rsid w:val="00175E17"/>
    <w:rsid w:val="001A1548"/>
    <w:rsid w:val="001B020E"/>
    <w:rsid w:val="001B10CA"/>
    <w:rsid w:val="001D75E6"/>
    <w:rsid w:val="001D7EA8"/>
    <w:rsid w:val="001E1A0F"/>
    <w:rsid w:val="001E4E7F"/>
    <w:rsid w:val="001F5EDF"/>
    <w:rsid w:val="001F702C"/>
    <w:rsid w:val="00205645"/>
    <w:rsid w:val="00207187"/>
    <w:rsid w:val="002155CD"/>
    <w:rsid w:val="00215DA8"/>
    <w:rsid w:val="00217E5D"/>
    <w:rsid w:val="0022289C"/>
    <w:rsid w:val="00223296"/>
    <w:rsid w:val="00230C47"/>
    <w:rsid w:val="00233404"/>
    <w:rsid w:val="00236968"/>
    <w:rsid w:val="002546D5"/>
    <w:rsid w:val="00256BC4"/>
    <w:rsid w:val="00257DC0"/>
    <w:rsid w:val="0026072E"/>
    <w:rsid w:val="00274967"/>
    <w:rsid w:val="0028447B"/>
    <w:rsid w:val="00285CBF"/>
    <w:rsid w:val="00286C4D"/>
    <w:rsid w:val="0029497C"/>
    <w:rsid w:val="002A08C4"/>
    <w:rsid w:val="002A3936"/>
    <w:rsid w:val="002A5C65"/>
    <w:rsid w:val="002A5F0E"/>
    <w:rsid w:val="002B231C"/>
    <w:rsid w:val="002D2322"/>
    <w:rsid w:val="002D3E3B"/>
    <w:rsid w:val="002F66E1"/>
    <w:rsid w:val="002F795F"/>
    <w:rsid w:val="00303E20"/>
    <w:rsid w:val="00314EE5"/>
    <w:rsid w:val="003228CE"/>
    <w:rsid w:val="00323105"/>
    <w:rsid w:val="00323571"/>
    <w:rsid w:val="003305FC"/>
    <w:rsid w:val="00332E85"/>
    <w:rsid w:val="0033377A"/>
    <w:rsid w:val="0035789B"/>
    <w:rsid w:val="003640A5"/>
    <w:rsid w:val="00382AE9"/>
    <w:rsid w:val="00393025"/>
    <w:rsid w:val="00397AF0"/>
    <w:rsid w:val="003A2A8B"/>
    <w:rsid w:val="003A4707"/>
    <w:rsid w:val="003A51C2"/>
    <w:rsid w:val="003A6DD0"/>
    <w:rsid w:val="003C6558"/>
    <w:rsid w:val="003D7C71"/>
    <w:rsid w:val="003E4D20"/>
    <w:rsid w:val="004216F6"/>
    <w:rsid w:val="004315CA"/>
    <w:rsid w:val="0043227B"/>
    <w:rsid w:val="00437CA8"/>
    <w:rsid w:val="00445062"/>
    <w:rsid w:val="004551CD"/>
    <w:rsid w:val="00461388"/>
    <w:rsid w:val="004679BD"/>
    <w:rsid w:val="00474C7E"/>
    <w:rsid w:val="00495B34"/>
    <w:rsid w:val="004A7537"/>
    <w:rsid w:val="004B14BD"/>
    <w:rsid w:val="004D3494"/>
    <w:rsid w:val="004F20CB"/>
    <w:rsid w:val="00502619"/>
    <w:rsid w:val="00506BEE"/>
    <w:rsid w:val="00514AC9"/>
    <w:rsid w:val="005248C4"/>
    <w:rsid w:val="00533561"/>
    <w:rsid w:val="0054120D"/>
    <w:rsid w:val="005438A3"/>
    <w:rsid w:val="00552E3B"/>
    <w:rsid w:val="005731C9"/>
    <w:rsid w:val="005751DE"/>
    <w:rsid w:val="0058209B"/>
    <w:rsid w:val="00583D16"/>
    <w:rsid w:val="005866D2"/>
    <w:rsid w:val="005B078E"/>
    <w:rsid w:val="005B7C05"/>
    <w:rsid w:val="005C529E"/>
    <w:rsid w:val="00633466"/>
    <w:rsid w:val="00644B53"/>
    <w:rsid w:val="00653608"/>
    <w:rsid w:val="00660C96"/>
    <w:rsid w:val="00663966"/>
    <w:rsid w:val="006775D7"/>
    <w:rsid w:val="00677951"/>
    <w:rsid w:val="0068649F"/>
    <w:rsid w:val="0069014F"/>
    <w:rsid w:val="0069571A"/>
    <w:rsid w:val="00697591"/>
    <w:rsid w:val="006A65A1"/>
    <w:rsid w:val="006D0D06"/>
    <w:rsid w:val="006D2B64"/>
    <w:rsid w:val="006D4211"/>
    <w:rsid w:val="006E17BE"/>
    <w:rsid w:val="0070317C"/>
    <w:rsid w:val="007141AA"/>
    <w:rsid w:val="0072108A"/>
    <w:rsid w:val="007322A1"/>
    <w:rsid w:val="00742FF9"/>
    <w:rsid w:val="00746E69"/>
    <w:rsid w:val="007474D4"/>
    <w:rsid w:val="00750F42"/>
    <w:rsid w:val="00754C73"/>
    <w:rsid w:val="00764677"/>
    <w:rsid w:val="007746A8"/>
    <w:rsid w:val="00791396"/>
    <w:rsid w:val="007A123F"/>
    <w:rsid w:val="007B5035"/>
    <w:rsid w:val="007D1BE9"/>
    <w:rsid w:val="007E6F5A"/>
    <w:rsid w:val="0080382D"/>
    <w:rsid w:val="0080538C"/>
    <w:rsid w:val="0083283B"/>
    <w:rsid w:val="00834838"/>
    <w:rsid w:val="008357FF"/>
    <w:rsid w:val="00841518"/>
    <w:rsid w:val="0084259C"/>
    <w:rsid w:val="00844DA9"/>
    <w:rsid w:val="0085170C"/>
    <w:rsid w:val="0085738E"/>
    <w:rsid w:val="00865543"/>
    <w:rsid w:val="00880F3F"/>
    <w:rsid w:val="008822B9"/>
    <w:rsid w:val="00887B9F"/>
    <w:rsid w:val="008A215F"/>
    <w:rsid w:val="008B6D74"/>
    <w:rsid w:val="008C7964"/>
    <w:rsid w:val="008D7FAD"/>
    <w:rsid w:val="008F0C6A"/>
    <w:rsid w:val="008F4FC4"/>
    <w:rsid w:val="00913247"/>
    <w:rsid w:val="00924B17"/>
    <w:rsid w:val="009449EF"/>
    <w:rsid w:val="00953888"/>
    <w:rsid w:val="00972427"/>
    <w:rsid w:val="009767D7"/>
    <w:rsid w:val="00983EF0"/>
    <w:rsid w:val="00984A86"/>
    <w:rsid w:val="00987DDE"/>
    <w:rsid w:val="00990E1A"/>
    <w:rsid w:val="00991EC7"/>
    <w:rsid w:val="009A4007"/>
    <w:rsid w:val="009A5FBC"/>
    <w:rsid w:val="009B6A1F"/>
    <w:rsid w:val="009B6F2E"/>
    <w:rsid w:val="009C729E"/>
    <w:rsid w:val="009F5E1B"/>
    <w:rsid w:val="00A117FE"/>
    <w:rsid w:val="00A241E3"/>
    <w:rsid w:val="00A24F8C"/>
    <w:rsid w:val="00A603B8"/>
    <w:rsid w:val="00A76C87"/>
    <w:rsid w:val="00A80547"/>
    <w:rsid w:val="00A84E19"/>
    <w:rsid w:val="00A94621"/>
    <w:rsid w:val="00A953D0"/>
    <w:rsid w:val="00AA0D32"/>
    <w:rsid w:val="00AA143F"/>
    <w:rsid w:val="00AB038F"/>
    <w:rsid w:val="00AD40C7"/>
    <w:rsid w:val="00AD717C"/>
    <w:rsid w:val="00AE5D67"/>
    <w:rsid w:val="00AF226B"/>
    <w:rsid w:val="00AF3216"/>
    <w:rsid w:val="00AF44F3"/>
    <w:rsid w:val="00B0725B"/>
    <w:rsid w:val="00B10FF5"/>
    <w:rsid w:val="00B22C78"/>
    <w:rsid w:val="00B27ADB"/>
    <w:rsid w:val="00B4790C"/>
    <w:rsid w:val="00B61B4B"/>
    <w:rsid w:val="00B62F38"/>
    <w:rsid w:val="00B70FBC"/>
    <w:rsid w:val="00B817C9"/>
    <w:rsid w:val="00B85330"/>
    <w:rsid w:val="00B87139"/>
    <w:rsid w:val="00B9022A"/>
    <w:rsid w:val="00BA5A18"/>
    <w:rsid w:val="00BC2DFA"/>
    <w:rsid w:val="00BC339E"/>
    <w:rsid w:val="00BC6003"/>
    <w:rsid w:val="00BD36DC"/>
    <w:rsid w:val="00BD65BD"/>
    <w:rsid w:val="00BE26CF"/>
    <w:rsid w:val="00BF3953"/>
    <w:rsid w:val="00C00156"/>
    <w:rsid w:val="00C04087"/>
    <w:rsid w:val="00C20985"/>
    <w:rsid w:val="00C23010"/>
    <w:rsid w:val="00C25AE9"/>
    <w:rsid w:val="00C37F7F"/>
    <w:rsid w:val="00C40203"/>
    <w:rsid w:val="00C404C5"/>
    <w:rsid w:val="00C543F6"/>
    <w:rsid w:val="00C67E7A"/>
    <w:rsid w:val="00C72E06"/>
    <w:rsid w:val="00C73D5D"/>
    <w:rsid w:val="00C759FA"/>
    <w:rsid w:val="00C763D6"/>
    <w:rsid w:val="00C8099B"/>
    <w:rsid w:val="00C8324C"/>
    <w:rsid w:val="00C87CCE"/>
    <w:rsid w:val="00C9193A"/>
    <w:rsid w:val="00CA1E2C"/>
    <w:rsid w:val="00CB1D5F"/>
    <w:rsid w:val="00CB4EA2"/>
    <w:rsid w:val="00CC33CA"/>
    <w:rsid w:val="00CC5D5A"/>
    <w:rsid w:val="00CC7951"/>
    <w:rsid w:val="00CD02A7"/>
    <w:rsid w:val="00CF0CB7"/>
    <w:rsid w:val="00D00FE7"/>
    <w:rsid w:val="00D02F1E"/>
    <w:rsid w:val="00D134A1"/>
    <w:rsid w:val="00D52687"/>
    <w:rsid w:val="00D5497B"/>
    <w:rsid w:val="00D5648E"/>
    <w:rsid w:val="00D567BB"/>
    <w:rsid w:val="00D74976"/>
    <w:rsid w:val="00D76E47"/>
    <w:rsid w:val="00D8002F"/>
    <w:rsid w:val="00D93919"/>
    <w:rsid w:val="00D943D0"/>
    <w:rsid w:val="00DA2E07"/>
    <w:rsid w:val="00DA42EF"/>
    <w:rsid w:val="00DA45FA"/>
    <w:rsid w:val="00DA6371"/>
    <w:rsid w:val="00DB77A2"/>
    <w:rsid w:val="00DE22AD"/>
    <w:rsid w:val="00DF52B2"/>
    <w:rsid w:val="00E029CB"/>
    <w:rsid w:val="00E136B5"/>
    <w:rsid w:val="00E473DF"/>
    <w:rsid w:val="00E527DF"/>
    <w:rsid w:val="00E631E5"/>
    <w:rsid w:val="00E63A35"/>
    <w:rsid w:val="00E65738"/>
    <w:rsid w:val="00E673C5"/>
    <w:rsid w:val="00E97A3F"/>
    <w:rsid w:val="00EC7EB6"/>
    <w:rsid w:val="00EC7F72"/>
    <w:rsid w:val="00ED2033"/>
    <w:rsid w:val="00ED3D8E"/>
    <w:rsid w:val="00ED5666"/>
    <w:rsid w:val="00EE2931"/>
    <w:rsid w:val="00EF6793"/>
    <w:rsid w:val="00F00F5A"/>
    <w:rsid w:val="00F04BF1"/>
    <w:rsid w:val="00F11C98"/>
    <w:rsid w:val="00F2159E"/>
    <w:rsid w:val="00F223F2"/>
    <w:rsid w:val="00F3292E"/>
    <w:rsid w:val="00F33786"/>
    <w:rsid w:val="00F34868"/>
    <w:rsid w:val="00F43B7B"/>
    <w:rsid w:val="00F44FFB"/>
    <w:rsid w:val="00F458B0"/>
    <w:rsid w:val="00F473F8"/>
    <w:rsid w:val="00F65461"/>
    <w:rsid w:val="00F82C33"/>
    <w:rsid w:val="00F82DB5"/>
    <w:rsid w:val="00FD4917"/>
    <w:rsid w:val="00FE2BB7"/>
    <w:rsid w:val="00FF4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F0EE8"/>
  <w15:chartTrackingRefBased/>
  <w15:docId w15:val="{65F4277E-15AF-4926-8E0C-016D8289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6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546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6D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82AE9"/>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2AE9"/>
  </w:style>
  <w:style w:type="paragraph" w:styleId="Footer">
    <w:name w:val="footer"/>
    <w:basedOn w:val="Normal"/>
    <w:link w:val="FooterChar"/>
    <w:uiPriority w:val="99"/>
    <w:unhideWhenUsed/>
    <w:rsid w:val="00382A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2AE9"/>
  </w:style>
  <w:style w:type="paragraph" w:styleId="BalloonText">
    <w:name w:val="Balloon Text"/>
    <w:basedOn w:val="Normal"/>
    <w:link w:val="BalloonTextChar"/>
    <w:uiPriority w:val="99"/>
    <w:semiHidden/>
    <w:unhideWhenUsed/>
    <w:rsid w:val="00397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AF0"/>
    <w:rPr>
      <w:rFonts w:ascii="Segoe UI" w:hAnsi="Segoe UI" w:cs="Segoe UI"/>
      <w:sz w:val="18"/>
      <w:szCs w:val="18"/>
    </w:rPr>
  </w:style>
  <w:style w:type="character" w:styleId="CommentReference">
    <w:name w:val="annotation reference"/>
    <w:basedOn w:val="DefaultParagraphFont"/>
    <w:uiPriority w:val="99"/>
    <w:semiHidden/>
    <w:unhideWhenUsed/>
    <w:rsid w:val="003D7C71"/>
    <w:rPr>
      <w:sz w:val="16"/>
      <w:szCs w:val="16"/>
    </w:rPr>
  </w:style>
  <w:style w:type="paragraph" w:styleId="CommentText">
    <w:name w:val="annotation text"/>
    <w:basedOn w:val="Normal"/>
    <w:link w:val="CommentTextChar"/>
    <w:uiPriority w:val="99"/>
    <w:semiHidden/>
    <w:unhideWhenUsed/>
    <w:rsid w:val="003D7C71"/>
    <w:pPr>
      <w:spacing w:line="240" w:lineRule="auto"/>
    </w:pPr>
    <w:rPr>
      <w:sz w:val="20"/>
      <w:szCs w:val="20"/>
    </w:rPr>
  </w:style>
  <w:style w:type="character" w:customStyle="1" w:styleId="CommentTextChar">
    <w:name w:val="Comment Text Char"/>
    <w:basedOn w:val="DefaultParagraphFont"/>
    <w:link w:val="CommentText"/>
    <w:uiPriority w:val="99"/>
    <w:semiHidden/>
    <w:rsid w:val="003D7C71"/>
    <w:rPr>
      <w:sz w:val="20"/>
      <w:szCs w:val="20"/>
    </w:rPr>
  </w:style>
  <w:style w:type="paragraph" w:styleId="CommentSubject">
    <w:name w:val="annotation subject"/>
    <w:basedOn w:val="CommentText"/>
    <w:next w:val="CommentText"/>
    <w:link w:val="CommentSubjectChar"/>
    <w:uiPriority w:val="99"/>
    <w:semiHidden/>
    <w:unhideWhenUsed/>
    <w:rsid w:val="003D7C71"/>
    <w:rPr>
      <w:b/>
      <w:bCs/>
    </w:rPr>
  </w:style>
  <w:style w:type="character" w:customStyle="1" w:styleId="CommentSubjectChar">
    <w:name w:val="Comment Subject Char"/>
    <w:basedOn w:val="CommentTextChar"/>
    <w:link w:val="CommentSubject"/>
    <w:uiPriority w:val="99"/>
    <w:semiHidden/>
    <w:rsid w:val="003D7C71"/>
    <w:rPr>
      <w:b/>
      <w:bCs/>
      <w:sz w:val="20"/>
      <w:szCs w:val="20"/>
    </w:rPr>
  </w:style>
  <w:style w:type="paragraph" w:styleId="Revision">
    <w:name w:val="Revision"/>
    <w:hidden/>
    <w:uiPriority w:val="99"/>
    <w:semiHidden/>
    <w:rsid w:val="003D7C71"/>
    <w:pPr>
      <w:spacing w:after="0" w:line="240" w:lineRule="auto"/>
    </w:pPr>
  </w:style>
  <w:style w:type="paragraph" w:customStyle="1" w:styleId="Default">
    <w:name w:val="Default"/>
    <w:rsid w:val="002F66E1"/>
    <w:pPr>
      <w:autoSpaceDE w:val="0"/>
      <w:autoSpaceDN w:val="0"/>
      <w:adjustRightInd w:val="0"/>
      <w:spacing w:after="0" w:line="240" w:lineRule="auto"/>
    </w:pPr>
    <w:rPr>
      <w:rFonts w:ascii="Calibri" w:hAnsi="Calibri" w:cs="Calibri"/>
      <w:color w:val="000000"/>
      <w:sz w:val="24"/>
      <w:szCs w:val="24"/>
      <w:lang w:val="fr-BE"/>
    </w:rPr>
  </w:style>
  <w:style w:type="paragraph" w:styleId="FootnoteText">
    <w:name w:val="footnote text"/>
    <w:basedOn w:val="Normal"/>
    <w:link w:val="FootnoteTextChar"/>
    <w:uiPriority w:val="99"/>
    <w:semiHidden/>
    <w:unhideWhenUsed/>
    <w:rsid w:val="001E4E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4E7F"/>
    <w:rPr>
      <w:sz w:val="20"/>
      <w:szCs w:val="20"/>
    </w:rPr>
  </w:style>
  <w:style w:type="character" w:styleId="FootnoteReference">
    <w:name w:val="footnote reference"/>
    <w:basedOn w:val="DefaultParagraphFont"/>
    <w:uiPriority w:val="99"/>
    <w:semiHidden/>
    <w:unhideWhenUsed/>
    <w:rsid w:val="001E4E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11c17fca-a23a-4398-add8-c29df0da4a2e">
      <Terms xmlns="http://schemas.microsoft.com/office/infopath/2007/PartnerControls"/>
    </TaxKeywordTaxHTField>
    <TaxCatchAll xmlns="11c17fca-a23a-4398-add8-c29df0da4a2e"/>
    <Statuut xmlns="50a7af36-47f6-4c90-b0b5-5469747b7d92">
      <Value>LE</Value>
    </Statuut>
    <Initialen_x0020_FSMA xmlns="50a7af36-47f6-4c90-b0b5-5469747b7d92" xsi:nil="true"/>
    <IN_x0020_OUT xmlns="50a7af36-47f6-4c90-b0b5-5469747b7d92">N/A</IN_x0020_OUT>
    <Volgnr_x0020_IN xmlns="50a7af36-47f6-4c90-b0b5-5469747b7d92" xsi:nil="true"/>
    <ContentType0 xmlns="50a7af36-47f6-4c90-b0b5-5469747b7d92">Template</ContentType0>
    <Volgnr_x0020_OUT xmlns="50a7af36-47f6-4c90-b0b5-5469747b7d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F8A8FE98DBEE40A4A499FF2F19C2DB" ma:contentTypeVersion="13" ma:contentTypeDescription="Create a new document." ma:contentTypeScope="" ma:versionID="902afb2ceb495b38aef0b4db4d947d40">
  <xsd:schema xmlns:xsd="http://www.w3.org/2001/XMLSchema" xmlns:xs="http://www.w3.org/2001/XMLSchema" xmlns:p="http://schemas.microsoft.com/office/2006/metadata/properties" xmlns:ns2="11c17fca-a23a-4398-add8-c29df0da4a2e" xmlns:ns3="50a7af36-47f6-4c90-b0b5-5469747b7d92" targetNamespace="http://schemas.microsoft.com/office/2006/metadata/properties" ma:root="true" ma:fieldsID="5be57bd0d6d009ed42b1e777c68e646d" ns2:_="" ns3:_="">
    <xsd:import namespace="11c17fca-a23a-4398-add8-c29df0da4a2e"/>
    <xsd:import namespace="50a7af36-47f6-4c90-b0b5-5469747b7d92"/>
    <xsd:element name="properties">
      <xsd:complexType>
        <xsd:sequence>
          <xsd:element name="documentManagement">
            <xsd:complexType>
              <xsd:all>
                <xsd:element ref="ns2:TaxKeywordTaxHTField" minOccurs="0"/>
                <xsd:element ref="ns2:TaxCatchAll" minOccurs="0"/>
                <xsd:element ref="ns3:Statuut" minOccurs="0"/>
                <xsd:element ref="ns3:Volgnr_x0020_IN" minOccurs="0"/>
                <xsd:element ref="ns3:Volgnr_x0020_OUT" minOccurs="0"/>
                <xsd:element ref="ns3:IN_x0020_OUT"/>
                <xsd:element ref="ns3:Initialen_x0020_FSMA" minOccurs="0"/>
                <xsd:element ref="ns3:ContentType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17fca-a23a-4398-add8-c29df0da4a2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733e9705-8999-4689-82cc-e4b589d7ceac"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e1a0e75-34da-4b6c-b000-2c01a89e23f0}" ma:internalName="TaxCatchAll" ma:showField="CatchAllData" ma:web="11c17fca-a23a-4398-add8-c29df0da4a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a7af36-47f6-4c90-b0b5-5469747b7d92" elementFormDefault="qualified">
    <xsd:import namespace="http://schemas.microsoft.com/office/2006/documentManagement/types"/>
    <xsd:import namespace="http://schemas.microsoft.com/office/infopath/2007/PartnerControls"/>
    <xsd:element name="Statuut" ma:index="11" nillable="true" ma:displayName="Statuut" ma:default="Alle" ma:internalName="Statuut">
      <xsd:complexType>
        <xsd:complexContent>
          <xsd:extension base="dms:MultiChoice">
            <xsd:sequence>
              <xsd:element name="Value" maxOccurs="unbounded" minOccurs="0" nillable="true">
                <xsd:simpleType>
                  <xsd:restriction base="dms:Choice">
                    <xsd:enumeration value="Alle"/>
                    <xsd:enumeration value="LE"/>
                    <xsd:enumeration value="IN"/>
                    <xsd:enumeration value="LEMO"/>
                    <xsd:enumeration value="INMO"/>
                    <xsd:enumeration value="LECO"/>
                    <xsd:enumeration value="INCO"/>
                    <xsd:enumeration value="INMOBR"/>
                    <xsd:enumeration value="INMOTA"/>
                    <xsd:enumeration value="INMOSA"/>
                    <xsd:enumeration value="INCOBR"/>
                    <xsd:enumeration value="INCOTA"/>
                    <xsd:enumeration value="INCOAA"/>
                  </xsd:restriction>
                </xsd:simpleType>
              </xsd:element>
            </xsd:sequence>
          </xsd:extension>
        </xsd:complexContent>
      </xsd:complexType>
    </xsd:element>
    <xsd:element name="Volgnr_x0020_IN" ma:index="12" nillable="true" ma:displayName="Volgnr IN" ma:internalName="Volgnr_x0020_IN">
      <xsd:simpleType>
        <xsd:restriction base="dms:Number"/>
      </xsd:simpleType>
    </xsd:element>
    <xsd:element name="Volgnr_x0020_OUT" ma:index="13" nillable="true" ma:displayName="Volgnr OUT" ma:internalName="Volgnr_x0020_OUT">
      <xsd:simpleType>
        <xsd:restriction base="dms:Number"/>
      </xsd:simpleType>
    </xsd:element>
    <xsd:element name="IN_x0020_OUT" ma:index="14" ma:displayName="IN OUT" ma:default="N/A" ma:format="Dropdown" ma:internalName="IN_x0020_OUT">
      <xsd:simpleType>
        <xsd:union memberTypes="dms:Text">
          <xsd:simpleType>
            <xsd:restriction base="dms:Choice">
              <xsd:enumeration value="N/A"/>
              <xsd:enumeration value="DRAFT"/>
              <xsd:enumeration value="FINAL IN"/>
              <xsd:enumeration value="FINAL OUT"/>
              <xsd:enumeration value="MINUTES"/>
            </xsd:restriction>
          </xsd:simpleType>
        </xsd:union>
      </xsd:simpleType>
    </xsd:element>
    <xsd:element name="Initialen_x0020_FSMA" ma:index="15" nillable="true" ma:displayName="Initialen FSMA" ma:internalName="Initialen_x0020_FSMA">
      <xsd:simpleType>
        <xsd:restriction base="dms:Text">
          <xsd:maxLength value="10"/>
        </xsd:restriction>
      </xsd:simpleType>
    </xsd:element>
    <xsd:element name="ContentType0" ma:index="16" ma:displayName="ContentType" ma:default="General" ma:format="Dropdown" ma:internalName="ContentType0">
      <xsd:simpleType>
        <xsd:restriction base="dms:Choice">
          <xsd:enumeration value="General"/>
          <xsd:enumeration value="CDC Note"/>
          <xsd:enumeration value="FSMA Note"/>
          <xsd:enumeration value="Letter"/>
          <xsd:enumeration value="Legislation"/>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A259E-FC5A-48DF-AD62-7CEA09B471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0a7af36-47f6-4c90-b0b5-5469747b7d92"/>
    <ds:schemaRef ds:uri="http://purl.org/dc/elements/1.1/"/>
    <ds:schemaRef ds:uri="http://schemas.microsoft.com/office/2006/metadata/properties"/>
    <ds:schemaRef ds:uri="11c17fca-a23a-4398-add8-c29df0da4a2e"/>
    <ds:schemaRef ds:uri="http://www.w3.org/XML/1998/namespace"/>
    <ds:schemaRef ds:uri="http://purl.org/dc/dcmitype/"/>
  </ds:schemaRefs>
</ds:datastoreItem>
</file>

<file path=customXml/itemProps2.xml><?xml version="1.0" encoding="utf-8"?>
<ds:datastoreItem xmlns:ds="http://schemas.openxmlformats.org/officeDocument/2006/customXml" ds:itemID="{FA4116B6-AFB9-4D7A-9247-58F0DEF5D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17fca-a23a-4398-add8-c29df0da4a2e"/>
    <ds:schemaRef ds:uri="50a7af36-47f6-4c90-b0b5-5469747b7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0B724D-9998-4060-AA93-27C62850E963}">
  <ds:schemaRefs>
    <ds:schemaRef ds:uri="http://schemas.microsoft.com/sharepoint/v3/contenttype/forms"/>
  </ds:schemaRefs>
</ds:datastoreItem>
</file>

<file path=customXml/itemProps4.xml><?xml version="1.0" encoding="utf-8"?>
<ds:datastoreItem xmlns:ds="http://schemas.openxmlformats.org/officeDocument/2006/customXml" ds:itemID="{CDD59960-E3FB-49BE-B22D-DCE4EF01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2900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FSMA</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Noten, Glenn</dc:creator>
  <cp:keywords/>
  <dc:description/>
  <cp:lastModifiedBy>Bindels, Arnaud</cp:lastModifiedBy>
  <cp:revision>2</cp:revision>
  <cp:lastPrinted>2015-09-02T17:14:00Z</cp:lastPrinted>
  <dcterms:created xsi:type="dcterms:W3CDTF">2021-01-22T12:53:00Z</dcterms:created>
  <dcterms:modified xsi:type="dcterms:W3CDTF">2021-01-22T12:53:00Z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0x0101005EF8A8FE98DBEE40A4A499FF2F19C2DB</vt:lpwstr>
  </property>
  <property fmtid="{D5CDD505-2E9C-101B-9397-08002B2CF9AE}" pid="3" name="TaxKeyword">
    <vt:lpwstr/>
  </property>
  <property fmtid="{D5CDD505-2E9C-101B-9397-08002B2CF9AE}" pid="4" name="_AdHocReviewCycleID">
    <vt:i4>1075274889</vt:i4>
  </property>
  <property fmtid="{D5CDD505-2E9C-101B-9397-08002B2CF9AE}" pid="5" name="_NewReviewCycle">
    <vt:lpwstr/>
  </property>
  <property fmtid="{D5CDD505-2E9C-101B-9397-08002B2CF9AE}" pid="6" name="_EmailSubject">
    <vt:lpwstr>Docs</vt:lpwstr>
  </property>
  <property fmtid="{D5CDD505-2E9C-101B-9397-08002B2CF9AE}" pid="7" name="_AuthorEmail">
    <vt:lpwstr>Arnaud.Bindels@fsma.be</vt:lpwstr>
  </property>
  <property fmtid="{D5CDD505-2E9C-101B-9397-08002B2CF9AE}" pid="8" name="_AuthorEmailDisplayName">
    <vt:lpwstr>Bindels, Arnaud</vt:lpwstr>
  </property>
  <property fmtid="{D5CDD505-2E9C-101B-9397-08002B2CF9AE}" pid="9" name="_PreviousAdHocReviewCycleID">
    <vt:i4>-1287985892</vt:i4>
  </property>
</Properties>
</file>