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1B65" w14:textId="77777777" w:rsidR="00AD0CA0" w:rsidRPr="00D746CC" w:rsidRDefault="00AD0CA0" w:rsidP="00AD0CA0">
      <w:pPr>
        <w:jc w:val="both"/>
        <w:rPr>
          <w:rFonts w:asciiTheme="majorHAnsi" w:hAnsiTheme="majorHAnsi" w:cstheme="majorHAnsi"/>
          <w:b/>
          <w:sz w:val="40"/>
          <w:szCs w:val="40"/>
          <w:lang w:val="nl-BE"/>
        </w:rPr>
      </w:pPr>
      <w:r w:rsidRP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Voorkoming </w:t>
      </w:r>
      <w:r w:rsid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van het </w:t>
      </w:r>
      <w:r w:rsidRP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witwassen van </w:t>
      </w:r>
      <w:r w:rsidR="00D746CC">
        <w:rPr>
          <w:rFonts w:asciiTheme="majorHAnsi" w:hAnsiTheme="majorHAnsi" w:cstheme="majorHAnsi"/>
          <w:b/>
          <w:sz w:val="40"/>
          <w:szCs w:val="40"/>
          <w:lang w:val="nl-BE"/>
        </w:rPr>
        <w:t>kapitaal</w:t>
      </w:r>
      <w:r w:rsidRP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 en financiering van terrorisme</w:t>
      </w:r>
      <w:r w:rsid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 en beperking van het gebruik van contant</w:t>
      </w:r>
      <w:r w:rsidR="00FD05FA">
        <w:rPr>
          <w:rFonts w:asciiTheme="majorHAnsi" w:hAnsiTheme="majorHAnsi" w:cstheme="majorHAnsi"/>
          <w:b/>
          <w:sz w:val="40"/>
          <w:szCs w:val="40"/>
          <w:lang w:val="nl-BE"/>
        </w:rPr>
        <w:t>en</w:t>
      </w:r>
      <w:r w:rsidR="00D746CC">
        <w:rPr>
          <w:rFonts w:asciiTheme="majorHAnsi" w:hAnsiTheme="majorHAnsi" w:cstheme="majorHAnsi"/>
          <w:b/>
          <w:sz w:val="40"/>
          <w:szCs w:val="40"/>
          <w:lang w:val="nl-BE"/>
        </w:rPr>
        <w:t xml:space="preserve"> </w:t>
      </w:r>
    </w:p>
    <w:p w14:paraId="3FC29249" w14:textId="77777777" w:rsidR="00D746CC" w:rsidRPr="00D746CC" w:rsidRDefault="00D746CC" w:rsidP="00D746CC">
      <w:pPr>
        <w:jc w:val="both"/>
        <w:rPr>
          <w:lang w:val="nl-BE"/>
        </w:rPr>
      </w:pPr>
      <w:r w:rsidRPr="00D746CC">
        <w:rPr>
          <w:lang w:val="nl-BE"/>
        </w:rPr>
        <w:t xml:space="preserve">De </w:t>
      </w:r>
      <w:r>
        <w:rPr>
          <w:lang w:val="nl-BE"/>
        </w:rPr>
        <w:t>kredietgevers</w:t>
      </w:r>
      <w:r w:rsidRPr="00D746CC">
        <w:rPr>
          <w:lang w:val="nl-BE"/>
        </w:rPr>
        <w:t xml:space="preserve"> naar Belgisch recht zijn onderworpen aan de wet van 18 september 2017 tot voorkoming van het witwassen van kapitaal en de financiering van terrorisme en beperking van het gebruik van </w:t>
      </w:r>
      <w:r>
        <w:rPr>
          <w:lang w:val="nl-BE"/>
        </w:rPr>
        <w:t>contant</w:t>
      </w:r>
      <w:r w:rsidR="009D6371">
        <w:rPr>
          <w:lang w:val="nl-BE"/>
        </w:rPr>
        <w:t xml:space="preserve">en </w:t>
      </w:r>
      <w:r w:rsidRPr="00D746CC">
        <w:rPr>
          <w:lang w:val="nl-BE"/>
        </w:rPr>
        <w:t xml:space="preserve">("AML-wet"). Belgische </w:t>
      </w:r>
      <w:r w:rsidR="009D6371">
        <w:rPr>
          <w:lang w:val="nl-BE"/>
        </w:rPr>
        <w:t>bijkantoren</w:t>
      </w:r>
      <w:r w:rsidRPr="00D746CC">
        <w:rPr>
          <w:lang w:val="nl-BE"/>
        </w:rPr>
        <w:t xml:space="preserve"> van </w:t>
      </w:r>
      <w:r>
        <w:rPr>
          <w:lang w:val="nl-BE"/>
        </w:rPr>
        <w:t>kredietgevers</w:t>
      </w:r>
      <w:r w:rsidRPr="00D746CC">
        <w:rPr>
          <w:lang w:val="nl-BE"/>
        </w:rPr>
        <w:t xml:space="preserve"> die in andere lidstaten van de Europese Economische Ruimte gevestigd zijn, </w:t>
      </w:r>
      <w:r w:rsidR="009D6371">
        <w:rPr>
          <w:lang w:val="nl-BE"/>
        </w:rPr>
        <w:t>zijn ook onderworpen aan</w:t>
      </w:r>
      <w:r w:rsidRPr="00D746CC">
        <w:rPr>
          <w:lang w:val="nl-BE"/>
        </w:rPr>
        <w:t xml:space="preserve"> de AML-wet. De FSMA is verantwoordelijk voor het toezicht op de AML-verplichtingen, in het bijzonder voor de sociale </w:t>
      </w:r>
      <w:r>
        <w:rPr>
          <w:lang w:val="nl-BE"/>
        </w:rPr>
        <w:t>kredietgevers</w:t>
      </w:r>
      <w:r w:rsidRPr="00D746CC">
        <w:rPr>
          <w:lang w:val="nl-BE"/>
        </w:rPr>
        <w:t xml:space="preserve"> en de "andere </w:t>
      </w:r>
      <w:r>
        <w:rPr>
          <w:lang w:val="nl-BE"/>
        </w:rPr>
        <w:t>kredietgevers</w:t>
      </w:r>
      <w:r w:rsidRPr="00D746CC">
        <w:rPr>
          <w:lang w:val="nl-BE"/>
        </w:rPr>
        <w:t>"</w:t>
      </w:r>
      <w:r w:rsidR="00946D1C">
        <w:rPr>
          <w:rStyle w:val="FootnoteReference"/>
          <w:lang w:val="nl-BE"/>
        </w:rPr>
        <w:footnoteReference w:id="1"/>
      </w:r>
      <w:r w:rsidRPr="00D746CC">
        <w:rPr>
          <w:lang w:val="nl-BE"/>
        </w:rPr>
        <w:t xml:space="preserve">. </w:t>
      </w:r>
    </w:p>
    <w:p w14:paraId="2672D4E3" w14:textId="77777777" w:rsidR="00D746CC" w:rsidRPr="00D746CC" w:rsidRDefault="00D746CC" w:rsidP="00D746CC">
      <w:pPr>
        <w:jc w:val="both"/>
        <w:rPr>
          <w:lang w:val="nl-BE"/>
        </w:rPr>
      </w:pPr>
      <w:r w:rsidRPr="00D746CC">
        <w:rPr>
          <w:lang w:val="nl-BE"/>
        </w:rPr>
        <w:t xml:space="preserve">Deze </w:t>
      </w:r>
      <w:r>
        <w:rPr>
          <w:lang w:val="nl-BE"/>
        </w:rPr>
        <w:t>kredietgevers</w:t>
      </w:r>
      <w:r w:rsidRPr="00D746CC">
        <w:rPr>
          <w:lang w:val="nl-BE"/>
        </w:rPr>
        <w:t xml:space="preserve"> moeten zich houden aan het reglement van de FSMA van 3 juli 2018 betreffende de voorkoming van het witwassen van geld en de financiering van terrorisme, goedgekeurd </w:t>
      </w:r>
      <w:r w:rsidR="009D6371">
        <w:rPr>
          <w:lang w:val="nl-BE"/>
        </w:rPr>
        <w:t>bij</w:t>
      </w:r>
      <w:r w:rsidRPr="00D746CC">
        <w:rPr>
          <w:lang w:val="nl-BE"/>
        </w:rPr>
        <w:t xml:space="preserve"> </w:t>
      </w:r>
      <w:r w:rsidR="00985946">
        <w:rPr>
          <w:lang w:val="nl-BE"/>
        </w:rPr>
        <w:t>k</w:t>
      </w:r>
      <w:r w:rsidRPr="00D746CC">
        <w:rPr>
          <w:lang w:val="nl-BE"/>
        </w:rPr>
        <w:t xml:space="preserve">oninklijk besluit van 30 juli 2018. </w:t>
      </w:r>
    </w:p>
    <w:p w14:paraId="1E5DBE31" w14:textId="77777777" w:rsidR="00D746CC" w:rsidRPr="00D746CC" w:rsidRDefault="00D746CC" w:rsidP="00D746CC">
      <w:pPr>
        <w:jc w:val="both"/>
        <w:rPr>
          <w:lang w:val="nl-BE"/>
        </w:rPr>
      </w:pPr>
      <w:r w:rsidRPr="00D746CC">
        <w:rPr>
          <w:lang w:val="nl-BE"/>
        </w:rPr>
        <w:t xml:space="preserve">Deze teksten worden </w:t>
      </w:r>
      <w:r w:rsidR="00985946">
        <w:rPr>
          <w:lang w:val="nl-BE"/>
        </w:rPr>
        <w:t>toegelicht</w:t>
      </w:r>
      <w:r w:rsidRPr="00D746CC">
        <w:rPr>
          <w:lang w:val="nl-BE"/>
        </w:rPr>
        <w:t xml:space="preserve"> in de circulaires FSMA_2018_12 van 7 augustus 2018 en FSMA_2019_12 van 27 juni 2019.</w:t>
      </w:r>
    </w:p>
    <w:p w14:paraId="0D561A59" w14:textId="77777777" w:rsidR="00D746CC" w:rsidRPr="00D746CC" w:rsidRDefault="00D746CC" w:rsidP="00D746CC">
      <w:pPr>
        <w:jc w:val="both"/>
        <w:rPr>
          <w:lang w:val="nl-BE"/>
        </w:rPr>
      </w:pPr>
      <w:r w:rsidRPr="00D746CC">
        <w:rPr>
          <w:lang w:val="nl-BE"/>
        </w:rPr>
        <w:t xml:space="preserve">Gelieve te beschrijven hoe de </w:t>
      </w:r>
      <w:r>
        <w:rPr>
          <w:lang w:val="nl-BE"/>
        </w:rPr>
        <w:t>kredietgeve</w:t>
      </w:r>
      <w:r w:rsidRPr="00D746CC">
        <w:rPr>
          <w:lang w:val="nl-BE"/>
        </w:rPr>
        <w:t>r zich aan bovenstaande bepalingen zal houden.</w:t>
      </w:r>
    </w:p>
    <w:p w14:paraId="3B3D72D1" w14:textId="77777777" w:rsidR="00B510EC" w:rsidRPr="00B510EC" w:rsidRDefault="00B510EC" w:rsidP="00B510EC">
      <w:pPr>
        <w:jc w:val="both"/>
        <w:rPr>
          <w:rFonts w:cstheme="minorHAnsi"/>
          <w:szCs w:val="24"/>
          <w:lang w:val="nl-BE"/>
        </w:rPr>
      </w:pPr>
      <w:r w:rsidRPr="00B510EC">
        <w:rPr>
          <w:rFonts w:cstheme="minorHAnsi"/>
          <w:szCs w:val="24"/>
          <w:lang w:val="nl-BE"/>
        </w:rPr>
        <w:t>Gelieve ten minste de volgende punten uit te leggen:</w:t>
      </w:r>
    </w:p>
    <w:p w14:paraId="3F6A9564" w14:textId="34D7AC74" w:rsidR="00B510EC" w:rsidRPr="00A170C5" w:rsidRDefault="00DB09AD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>
        <w:rPr>
          <w:rFonts w:cstheme="minorHAnsi"/>
          <w:szCs w:val="24"/>
          <w:lang w:val="nl-BE"/>
        </w:rPr>
        <w:t>de uitvoering</w:t>
      </w:r>
      <w:r w:rsidR="00B510EC" w:rsidRPr="00A170C5">
        <w:rPr>
          <w:rFonts w:cstheme="minorHAnsi"/>
          <w:szCs w:val="24"/>
          <w:lang w:val="nl-BE"/>
        </w:rPr>
        <w:t xml:space="preserve"> van de algemene risicobeoordeling en de </w:t>
      </w:r>
      <w:r>
        <w:rPr>
          <w:rFonts w:cstheme="minorHAnsi"/>
          <w:szCs w:val="24"/>
          <w:lang w:val="nl-BE"/>
        </w:rPr>
        <w:t>bijwerking</w:t>
      </w:r>
      <w:r w:rsidR="00B510EC" w:rsidRPr="00A170C5">
        <w:rPr>
          <w:rFonts w:cstheme="minorHAnsi"/>
          <w:szCs w:val="24"/>
          <w:lang w:val="nl-BE"/>
        </w:rPr>
        <w:t xml:space="preserve"> ervan;</w:t>
      </w:r>
    </w:p>
    <w:p w14:paraId="76F1F285" w14:textId="77777777" w:rsidR="00B510EC" w:rsidRPr="00A170C5" w:rsidRDefault="00B510EC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 xml:space="preserve">de </w:t>
      </w:r>
      <w:r w:rsidR="00A170C5">
        <w:rPr>
          <w:rFonts w:cstheme="minorHAnsi"/>
          <w:szCs w:val="24"/>
          <w:lang w:val="nl-BE"/>
        </w:rPr>
        <w:t>bepaling</w:t>
      </w:r>
      <w:r w:rsidRPr="00A170C5">
        <w:rPr>
          <w:rFonts w:cstheme="minorHAnsi"/>
          <w:szCs w:val="24"/>
          <w:lang w:val="nl-BE"/>
        </w:rPr>
        <w:t xml:space="preserve"> en uitvoering van het organisatorische kader, d.w.z. </w:t>
      </w:r>
      <w:r w:rsidR="00A170C5">
        <w:rPr>
          <w:rFonts w:cstheme="minorHAnsi"/>
          <w:szCs w:val="24"/>
          <w:lang w:val="nl-BE"/>
        </w:rPr>
        <w:t xml:space="preserve">het </w:t>
      </w:r>
      <w:r w:rsidRPr="00A170C5">
        <w:rPr>
          <w:rFonts w:cstheme="minorHAnsi"/>
          <w:szCs w:val="24"/>
          <w:lang w:val="nl-BE"/>
        </w:rPr>
        <w:t xml:space="preserve">beleid, </w:t>
      </w:r>
      <w:r w:rsidR="00A170C5">
        <w:rPr>
          <w:rFonts w:cstheme="minorHAnsi"/>
          <w:szCs w:val="24"/>
          <w:lang w:val="nl-BE"/>
        </w:rPr>
        <w:t xml:space="preserve">de </w:t>
      </w:r>
      <w:r w:rsidRPr="00A170C5">
        <w:rPr>
          <w:rFonts w:cstheme="minorHAnsi"/>
          <w:szCs w:val="24"/>
          <w:lang w:val="nl-BE"/>
        </w:rPr>
        <w:t xml:space="preserve">procedures en </w:t>
      </w:r>
      <w:r w:rsidR="00A170C5">
        <w:rPr>
          <w:rFonts w:cstheme="minorHAnsi"/>
          <w:szCs w:val="24"/>
          <w:lang w:val="nl-BE"/>
        </w:rPr>
        <w:t xml:space="preserve">de </w:t>
      </w:r>
      <w:r w:rsidRPr="00A170C5">
        <w:rPr>
          <w:rFonts w:cstheme="minorHAnsi"/>
          <w:szCs w:val="24"/>
          <w:lang w:val="nl-BE"/>
        </w:rPr>
        <w:t>interne controlemaatregelen die doeltreffend zijn en in verhouding staan tot de aard en de omvang van uw activiteiten, teneinde u in staat te stellen uw wettelijke verplichtingen na te komen;</w:t>
      </w:r>
    </w:p>
    <w:p w14:paraId="3AF1C650" w14:textId="77777777" w:rsidR="00B510EC" w:rsidRPr="00A170C5" w:rsidRDefault="00B510EC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>de individuele beoordeling van de risico's van witwassen en financiering van terrorism</w:t>
      </w:r>
      <w:r w:rsidR="00A170C5">
        <w:rPr>
          <w:rFonts w:cstheme="minorHAnsi"/>
          <w:szCs w:val="24"/>
          <w:lang w:val="nl-BE"/>
        </w:rPr>
        <w:t>e ("WG</w:t>
      </w:r>
      <w:r w:rsidR="001B12FD">
        <w:rPr>
          <w:rFonts w:cstheme="minorHAnsi"/>
          <w:szCs w:val="24"/>
          <w:lang w:val="nl-BE"/>
        </w:rPr>
        <w:t>/FT</w:t>
      </w:r>
      <w:r w:rsidRPr="00A170C5">
        <w:rPr>
          <w:rFonts w:cstheme="minorHAnsi"/>
          <w:szCs w:val="24"/>
          <w:lang w:val="nl-BE"/>
        </w:rPr>
        <w:t>") voor elke klant;</w:t>
      </w:r>
    </w:p>
    <w:p w14:paraId="6851B76A" w14:textId="77777777" w:rsidR="00B510EC" w:rsidRPr="00A170C5" w:rsidRDefault="00B510EC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>de procedure voor de aanvaarding door de klant, de identificatie en de verificatie van de identiteit van de klant;</w:t>
      </w:r>
    </w:p>
    <w:p w14:paraId="21F63ADF" w14:textId="77777777" w:rsidR="00B510EC" w:rsidRPr="00A170C5" w:rsidRDefault="00B510EC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 xml:space="preserve">de toepassing van passende </w:t>
      </w:r>
      <w:r w:rsidR="00A170C5">
        <w:rPr>
          <w:rFonts w:cstheme="minorHAnsi"/>
          <w:szCs w:val="24"/>
          <w:lang w:val="nl-BE"/>
        </w:rPr>
        <w:t>waakzaamheids</w:t>
      </w:r>
      <w:r w:rsidRPr="00A170C5">
        <w:rPr>
          <w:rFonts w:cstheme="minorHAnsi"/>
          <w:szCs w:val="24"/>
          <w:lang w:val="nl-BE"/>
        </w:rPr>
        <w:t>maatregelen voor elke cliënt naar gelang van zijn risicocategorie;</w:t>
      </w:r>
    </w:p>
    <w:p w14:paraId="7E3D3CEC" w14:textId="77777777" w:rsidR="00B510EC" w:rsidRPr="00A170C5" w:rsidRDefault="00B510EC" w:rsidP="00A170C5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>de genomen maatregelen:</w:t>
      </w:r>
    </w:p>
    <w:p w14:paraId="0E57279E" w14:textId="77777777" w:rsidR="00B510EC" w:rsidRPr="00A170C5" w:rsidRDefault="00B510EC" w:rsidP="00A170C5">
      <w:pPr>
        <w:pStyle w:val="ListParagraph"/>
        <w:numPr>
          <w:ilvl w:val="0"/>
          <w:numId w:val="6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>om de personen wier functie dit vereist en, in voorkomend geval, de agenten en distributeurs o</w:t>
      </w:r>
      <w:r w:rsidR="00D20DD5">
        <w:rPr>
          <w:rFonts w:cstheme="minorHAnsi"/>
          <w:szCs w:val="24"/>
          <w:lang w:val="nl-BE"/>
        </w:rPr>
        <w:t>p de hoogte te brengen van de WG</w:t>
      </w:r>
      <w:r w:rsidRPr="00A170C5">
        <w:rPr>
          <w:rFonts w:cstheme="minorHAnsi"/>
          <w:szCs w:val="24"/>
          <w:lang w:val="nl-BE"/>
        </w:rPr>
        <w:t>/FT-risi</w:t>
      </w:r>
      <w:r w:rsidR="00A170C5">
        <w:rPr>
          <w:rFonts w:cstheme="minorHAnsi"/>
          <w:szCs w:val="24"/>
          <w:lang w:val="nl-BE"/>
        </w:rPr>
        <w:t>co's waaraan de kredietgev</w:t>
      </w:r>
      <w:r w:rsidRPr="00A170C5">
        <w:rPr>
          <w:rFonts w:cstheme="minorHAnsi"/>
          <w:szCs w:val="24"/>
          <w:lang w:val="nl-BE"/>
        </w:rPr>
        <w:t xml:space="preserve">er wordt blootgesteld ; </w:t>
      </w:r>
    </w:p>
    <w:p w14:paraId="409791DE" w14:textId="77777777" w:rsidR="00B510EC" w:rsidRPr="00A170C5" w:rsidRDefault="00B510EC" w:rsidP="00A170C5">
      <w:pPr>
        <w:pStyle w:val="ListParagraph"/>
        <w:numPr>
          <w:ilvl w:val="0"/>
          <w:numId w:val="6"/>
        </w:numPr>
        <w:jc w:val="both"/>
        <w:rPr>
          <w:rFonts w:cstheme="minorHAnsi"/>
          <w:szCs w:val="24"/>
          <w:lang w:val="nl-BE"/>
        </w:rPr>
      </w:pPr>
      <w:r w:rsidRPr="00A170C5">
        <w:rPr>
          <w:rFonts w:cstheme="minorHAnsi"/>
          <w:szCs w:val="24"/>
          <w:lang w:val="nl-BE"/>
        </w:rPr>
        <w:t>deze personen, en in voorkomend geval de agenten en distributeurs, op te leiden over het algemene wettelijke ka</w:t>
      </w:r>
      <w:r w:rsidR="00D20DD5">
        <w:rPr>
          <w:rFonts w:cstheme="minorHAnsi"/>
          <w:szCs w:val="24"/>
          <w:lang w:val="nl-BE"/>
        </w:rPr>
        <w:t>d</w:t>
      </w:r>
      <w:bookmarkStart w:id="0" w:name="_GoBack"/>
      <w:bookmarkEnd w:id="0"/>
      <w:r w:rsidR="00D20DD5">
        <w:rPr>
          <w:rFonts w:cstheme="minorHAnsi"/>
          <w:szCs w:val="24"/>
          <w:lang w:val="nl-BE"/>
        </w:rPr>
        <w:t xml:space="preserve">er met betrekking tot </w:t>
      </w:r>
      <w:r w:rsidR="001B12FD">
        <w:rPr>
          <w:rFonts w:cstheme="minorHAnsi"/>
          <w:szCs w:val="24"/>
          <w:lang w:val="nl-BE"/>
        </w:rPr>
        <w:t>S</w:t>
      </w:r>
      <w:r w:rsidR="00D20DD5">
        <w:rPr>
          <w:rFonts w:cstheme="minorHAnsi"/>
          <w:szCs w:val="24"/>
          <w:lang w:val="nl-BE"/>
        </w:rPr>
        <w:t>WG/</w:t>
      </w:r>
      <w:r w:rsidRPr="00A170C5">
        <w:rPr>
          <w:rFonts w:cstheme="minorHAnsi"/>
          <w:szCs w:val="24"/>
          <w:lang w:val="nl-BE"/>
        </w:rPr>
        <w:t>FT en over het beleid, de procedures en de interne controlemaatregelen die door de kredi</w:t>
      </w:r>
      <w:r w:rsidR="00D20DD5">
        <w:rPr>
          <w:rFonts w:cstheme="minorHAnsi"/>
          <w:szCs w:val="24"/>
          <w:lang w:val="nl-BE"/>
        </w:rPr>
        <w:t>etgever worden toegepast om de</w:t>
      </w:r>
      <w:r w:rsidRPr="00A170C5">
        <w:rPr>
          <w:rFonts w:cstheme="minorHAnsi"/>
          <w:szCs w:val="24"/>
          <w:lang w:val="nl-BE"/>
        </w:rPr>
        <w:t xml:space="preserve"> risico's te beperken, </w:t>
      </w:r>
      <w:r w:rsidR="00B628A9">
        <w:rPr>
          <w:rFonts w:cstheme="minorHAnsi"/>
          <w:szCs w:val="24"/>
          <w:lang w:val="nl-BE"/>
        </w:rPr>
        <w:t>met inbegrip van</w:t>
      </w:r>
      <w:r w:rsidRPr="00A170C5">
        <w:rPr>
          <w:rFonts w:cstheme="minorHAnsi"/>
          <w:szCs w:val="24"/>
          <w:lang w:val="nl-BE"/>
        </w:rPr>
        <w:t>, in voork</w:t>
      </w:r>
      <w:r w:rsidR="00B628A9">
        <w:rPr>
          <w:rFonts w:cstheme="minorHAnsi"/>
          <w:szCs w:val="24"/>
          <w:lang w:val="nl-BE"/>
        </w:rPr>
        <w:t xml:space="preserve">omend geval, </w:t>
      </w:r>
      <w:r w:rsidRPr="00A170C5">
        <w:rPr>
          <w:rFonts w:cstheme="minorHAnsi"/>
          <w:szCs w:val="24"/>
          <w:lang w:val="nl-BE"/>
        </w:rPr>
        <w:t>agenten en distributeurs;</w:t>
      </w:r>
    </w:p>
    <w:p w14:paraId="11C3D7B4" w14:textId="45D2CE83" w:rsidR="0083450A" w:rsidRDefault="00DB09AD" w:rsidP="0083450A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>
        <w:rPr>
          <w:rFonts w:cstheme="minorHAnsi"/>
          <w:szCs w:val="24"/>
          <w:lang w:val="nl-BE"/>
        </w:rPr>
        <w:t>i</w:t>
      </w:r>
      <w:r w:rsidR="0083450A">
        <w:rPr>
          <w:rFonts w:cstheme="minorHAnsi"/>
          <w:szCs w:val="24"/>
          <w:lang w:val="nl-BE"/>
        </w:rPr>
        <w:t>ndien</w:t>
      </w:r>
      <w:r w:rsidR="00B510EC" w:rsidRPr="0083450A">
        <w:rPr>
          <w:rFonts w:cstheme="minorHAnsi"/>
          <w:szCs w:val="24"/>
          <w:lang w:val="nl-BE"/>
        </w:rPr>
        <w:t xml:space="preserve"> de kredietgever taken in verband me</w:t>
      </w:r>
      <w:r w:rsidR="002336F5">
        <w:rPr>
          <w:rFonts w:cstheme="minorHAnsi"/>
          <w:szCs w:val="24"/>
          <w:lang w:val="nl-BE"/>
        </w:rPr>
        <w:t>t AML-verplichtingen uitbesteed</w:t>
      </w:r>
      <w:r w:rsidR="00B510EC" w:rsidRPr="0083450A">
        <w:rPr>
          <w:rFonts w:cstheme="minorHAnsi"/>
          <w:szCs w:val="24"/>
          <w:lang w:val="nl-BE"/>
        </w:rPr>
        <w:t xml:space="preserve"> </w:t>
      </w:r>
      <w:r w:rsidR="0083450A" w:rsidRPr="0083450A">
        <w:rPr>
          <w:rFonts w:cstheme="minorHAnsi"/>
          <w:szCs w:val="24"/>
          <w:lang w:val="nl-BE"/>
        </w:rPr>
        <w:t xml:space="preserve">heeft </w:t>
      </w:r>
      <w:r w:rsidR="00B628A9" w:rsidRPr="0083450A">
        <w:rPr>
          <w:rFonts w:cstheme="minorHAnsi"/>
          <w:szCs w:val="24"/>
          <w:lang w:val="nl-BE"/>
        </w:rPr>
        <w:t>aan</w:t>
      </w:r>
      <w:r w:rsidR="00B510EC" w:rsidRPr="0083450A">
        <w:rPr>
          <w:rFonts w:cstheme="minorHAnsi"/>
          <w:szCs w:val="24"/>
          <w:lang w:val="nl-BE"/>
        </w:rPr>
        <w:t xml:space="preserve"> </w:t>
      </w:r>
      <w:r>
        <w:rPr>
          <w:rFonts w:cstheme="minorHAnsi"/>
          <w:szCs w:val="24"/>
          <w:lang w:val="nl-BE"/>
        </w:rPr>
        <w:t>lasthebbers</w:t>
      </w:r>
      <w:r w:rsidR="00B510EC" w:rsidRPr="0083450A">
        <w:rPr>
          <w:rFonts w:cstheme="minorHAnsi"/>
          <w:szCs w:val="24"/>
          <w:lang w:val="nl-BE"/>
        </w:rPr>
        <w:t xml:space="preserve"> of onderaannemers, de </w:t>
      </w:r>
      <w:r w:rsidR="00B628A9" w:rsidRPr="0083450A">
        <w:rPr>
          <w:rFonts w:cstheme="minorHAnsi"/>
          <w:szCs w:val="24"/>
          <w:lang w:val="nl-BE"/>
        </w:rPr>
        <w:t>maatregelen</w:t>
      </w:r>
      <w:r w:rsidR="00B510EC" w:rsidRPr="0083450A">
        <w:rPr>
          <w:rFonts w:cstheme="minorHAnsi"/>
          <w:szCs w:val="24"/>
          <w:lang w:val="nl-BE"/>
        </w:rPr>
        <w:t xml:space="preserve"> die door de kredietgever worden </w:t>
      </w:r>
      <w:r w:rsidR="00B628A9" w:rsidRPr="0083450A">
        <w:rPr>
          <w:rFonts w:cstheme="minorHAnsi"/>
          <w:szCs w:val="24"/>
          <w:lang w:val="nl-BE"/>
        </w:rPr>
        <w:t>genomen</w:t>
      </w:r>
      <w:r w:rsidR="00B510EC" w:rsidRPr="0083450A">
        <w:rPr>
          <w:rFonts w:cstheme="minorHAnsi"/>
          <w:szCs w:val="24"/>
          <w:lang w:val="nl-BE"/>
        </w:rPr>
        <w:t xml:space="preserve"> om de continuïteit van de uitbestede taken en de controle van de onderaannemer te waarborgen;</w:t>
      </w:r>
    </w:p>
    <w:p w14:paraId="2136D701" w14:textId="7F7E100C" w:rsidR="00B510EC" w:rsidRPr="0083450A" w:rsidRDefault="00476989" w:rsidP="0083450A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  <w:lang w:val="nl-BE"/>
        </w:rPr>
      </w:pPr>
      <w:r>
        <w:rPr>
          <w:rFonts w:cstheme="minorHAnsi"/>
          <w:szCs w:val="24"/>
          <w:lang w:val="nl-BE"/>
        </w:rPr>
        <w:lastRenderedPageBreak/>
        <w:t>indien</w:t>
      </w:r>
      <w:r w:rsidR="00B510EC" w:rsidRPr="0083450A">
        <w:rPr>
          <w:rFonts w:cstheme="minorHAnsi"/>
          <w:szCs w:val="24"/>
          <w:lang w:val="nl-BE"/>
        </w:rPr>
        <w:t xml:space="preserve"> de kredietgever </w:t>
      </w:r>
      <w:r w:rsidR="001B12FD" w:rsidRPr="0083450A">
        <w:rPr>
          <w:rFonts w:cstheme="minorHAnsi"/>
          <w:szCs w:val="24"/>
          <w:lang w:val="nl-BE"/>
        </w:rPr>
        <w:t xml:space="preserve">beroep doet </w:t>
      </w:r>
      <w:r>
        <w:rPr>
          <w:rFonts w:cstheme="minorHAnsi"/>
          <w:szCs w:val="24"/>
          <w:lang w:val="nl-BE"/>
        </w:rPr>
        <w:t>op</w:t>
      </w:r>
      <w:r w:rsidR="00B510EC" w:rsidRPr="0083450A">
        <w:rPr>
          <w:rFonts w:cstheme="minorHAnsi"/>
          <w:szCs w:val="24"/>
          <w:lang w:val="nl-BE"/>
        </w:rPr>
        <w:t xml:space="preserve"> derde</w:t>
      </w:r>
      <w:r w:rsidR="001B12FD" w:rsidRPr="0083450A">
        <w:rPr>
          <w:rFonts w:cstheme="minorHAnsi"/>
          <w:szCs w:val="24"/>
          <w:lang w:val="nl-BE"/>
        </w:rPr>
        <w:t xml:space="preserve"> zaakaanbrengers</w:t>
      </w:r>
      <w:r w:rsidR="00B510EC" w:rsidRPr="0083450A">
        <w:rPr>
          <w:rFonts w:cstheme="minorHAnsi"/>
          <w:szCs w:val="24"/>
          <w:lang w:val="nl-BE"/>
        </w:rPr>
        <w:t xml:space="preserve"> in de zin van artikel 43, </w:t>
      </w:r>
      <w:r w:rsidR="001B12FD" w:rsidRPr="0083450A">
        <w:rPr>
          <w:rFonts w:cstheme="minorHAnsi"/>
          <w:szCs w:val="24"/>
          <w:lang w:val="nl-BE"/>
        </w:rPr>
        <w:t>§</w:t>
      </w:r>
      <w:r w:rsidR="0083450A">
        <w:rPr>
          <w:rFonts w:cstheme="minorHAnsi"/>
          <w:szCs w:val="24"/>
          <w:lang w:val="nl-BE"/>
        </w:rPr>
        <w:t xml:space="preserve"> 1, van de AML-wet, </w:t>
      </w:r>
      <w:r w:rsidR="00B510EC" w:rsidRPr="0083450A">
        <w:rPr>
          <w:rFonts w:cstheme="minorHAnsi"/>
          <w:szCs w:val="24"/>
          <w:lang w:val="nl-BE"/>
        </w:rPr>
        <w:t>de maatregelen die zijn genomen om te voldoen aan de vereisten van artikel 44 van dezelfde wet.</w:t>
      </w:r>
    </w:p>
    <w:p w14:paraId="4FE30732" w14:textId="2B148A52" w:rsidR="0083450A" w:rsidRDefault="00B628A9" w:rsidP="00A170C5">
      <w:pPr>
        <w:jc w:val="both"/>
        <w:rPr>
          <w:rFonts w:cstheme="minorHAnsi"/>
          <w:szCs w:val="24"/>
          <w:lang w:val="nl-BE"/>
        </w:rPr>
      </w:pPr>
      <w:r>
        <w:rPr>
          <w:rFonts w:cstheme="minorHAnsi"/>
          <w:szCs w:val="24"/>
          <w:lang w:val="nl-BE"/>
        </w:rPr>
        <w:t>Kredietgevers</w:t>
      </w:r>
      <w:r w:rsidR="00B510EC" w:rsidRPr="00B510EC">
        <w:rPr>
          <w:rFonts w:cstheme="minorHAnsi"/>
          <w:szCs w:val="24"/>
          <w:lang w:val="nl-BE"/>
        </w:rPr>
        <w:t xml:space="preserve"> </w:t>
      </w:r>
      <w:r w:rsidR="0083450A">
        <w:rPr>
          <w:rFonts w:cstheme="minorHAnsi"/>
          <w:szCs w:val="24"/>
          <w:lang w:val="nl-BE"/>
        </w:rPr>
        <w:t xml:space="preserve">die deel uitmaken van een groep moeten de op groepsniveau geldende gedragslijnen en procedures ter voorkoming van WG/FT toepassen, </w:t>
      </w:r>
      <w:r w:rsidR="002336F5">
        <w:rPr>
          <w:rFonts w:cstheme="minorHAnsi"/>
          <w:szCs w:val="24"/>
          <w:lang w:val="nl-BE"/>
        </w:rPr>
        <w:t>met inbegrip van</w:t>
      </w:r>
      <w:r w:rsidR="0083450A">
        <w:rPr>
          <w:rFonts w:cstheme="minorHAnsi"/>
          <w:szCs w:val="24"/>
          <w:lang w:val="nl-BE"/>
        </w:rPr>
        <w:t xml:space="preserve"> de gedragslijnen inzake gegevensbescherming en de gedragslijnen en procedures voor het delen van informatie binnen de groep ten behoeve van de strijd tegen WG/FT.</w:t>
      </w:r>
      <w:r w:rsidR="0083450A" w:rsidRPr="0083450A">
        <w:rPr>
          <w:lang w:val="nl-BE"/>
        </w:rPr>
        <w:t xml:space="preserve"> </w:t>
      </w:r>
      <w:r w:rsidR="0083450A" w:rsidRPr="0083450A">
        <w:rPr>
          <w:rFonts w:cstheme="minorHAnsi"/>
          <w:szCs w:val="24"/>
          <w:lang w:val="nl-BE"/>
        </w:rPr>
        <w:t>Deze kredietgevers moeten daarom rekening houden met deze specificiteit in de toelichting bij de bovengenoemde elementen.</w:t>
      </w:r>
    </w:p>
    <w:p w14:paraId="5397EE17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0695DBE6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3E21BD7A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2F6ED0A1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49468C20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327A8716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219D1A34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2303141C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48273A22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23EDFA87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7BB0CE27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48E1A873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14082E67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18E8EB1B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3A901B70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45796D1B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5E5B8158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777DF351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35EC6F46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4A75AC37" w14:textId="77777777" w:rsidR="00D746CC" w:rsidRPr="00D746CC" w:rsidRDefault="00D746CC" w:rsidP="009859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nl-BE"/>
        </w:rPr>
      </w:pPr>
    </w:p>
    <w:p w14:paraId="1F5CA761" w14:textId="77777777" w:rsidR="00AD0CA0" w:rsidRDefault="00AD0CA0" w:rsidP="00D746CC">
      <w:pPr>
        <w:rPr>
          <w:lang w:val="nl-BE"/>
        </w:rPr>
      </w:pPr>
    </w:p>
    <w:p w14:paraId="408DEF35" w14:textId="77777777" w:rsidR="00985946" w:rsidRDefault="00985946" w:rsidP="00D746CC">
      <w:pPr>
        <w:rPr>
          <w:lang w:val="nl-BE"/>
        </w:rPr>
      </w:pPr>
    </w:p>
    <w:p w14:paraId="201E9C39" w14:textId="77777777" w:rsidR="00985946" w:rsidRDefault="00985946" w:rsidP="00D746CC">
      <w:pPr>
        <w:rPr>
          <w:lang w:val="nl-BE"/>
        </w:rPr>
      </w:pPr>
    </w:p>
    <w:p w14:paraId="515BF39F" w14:textId="77777777" w:rsidR="00AD0CA0" w:rsidRPr="00131CDE" w:rsidRDefault="00D746CC" w:rsidP="00D746CC">
      <w:pPr>
        <w:rPr>
          <w:lang w:val="nl-BE"/>
        </w:rPr>
      </w:pPr>
      <w:r>
        <w:rPr>
          <w:lang w:val="nl-BE"/>
        </w:rPr>
        <w:t>De hooggeplaatste leidinggevende en de AMLCO bevestigen dat de verstrekte informatie oprecht en waarheidsgetrouw is</w:t>
      </w:r>
      <w:r>
        <w:rPr>
          <w:rStyle w:val="FootnoteReference"/>
          <w:lang w:val="nl-BE"/>
        </w:rPr>
        <w:footnoteReference w:id="2"/>
      </w:r>
      <w:r>
        <w:rPr>
          <w:lang w:val="nl-BE"/>
        </w:rPr>
        <w:t>.</w:t>
      </w:r>
    </w:p>
    <w:p w14:paraId="4F9E0E73" w14:textId="77777777" w:rsidR="00AD0CA0" w:rsidRPr="000D0EB9" w:rsidRDefault="00AD0CA0" w:rsidP="00AD0CA0">
      <w:pPr>
        <w:tabs>
          <w:tab w:val="left" w:leader="dot" w:pos="8505"/>
        </w:tabs>
        <w:spacing w:after="120"/>
        <w:jc w:val="both"/>
        <w:rPr>
          <w:b/>
          <w:i/>
          <w:u w:val="single"/>
          <w:lang w:val="nl-BE"/>
        </w:rPr>
      </w:pPr>
      <w:r w:rsidRPr="000D0EB9">
        <w:rPr>
          <w:b/>
          <w:i/>
          <w:u w:val="single"/>
          <w:lang w:val="nl-BE"/>
        </w:rPr>
        <w:t>De hooggeplaatste leidinggevende:</w:t>
      </w:r>
    </w:p>
    <w:p w14:paraId="7D9D3CFF" w14:textId="77777777" w:rsidR="00AD0CA0" w:rsidRPr="000D0EB9" w:rsidRDefault="00AD0CA0" w:rsidP="00AD0CA0">
      <w:pPr>
        <w:jc w:val="both"/>
        <w:rPr>
          <w:lang w:val="nl-BE"/>
        </w:rPr>
      </w:pPr>
      <w:r w:rsidRPr="000D0EB9">
        <w:rPr>
          <w:lang w:val="nl-BE"/>
        </w:rPr>
        <w:t>Datum en handtekening</w:t>
      </w:r>
    </w:p>
    <w:p w14:paraId="143A0012" w14:textId="77777777" w:rsidR="00AD0CA0" w:rsidRPr="000D0EB9" w:rsidRDefault="00AD0CA0" w:rsidP="00AD0CA0">
      <w:pPr>
        <w:jc w:val="both"/>
        <w:rPr>
          <w:lang w:val="nl-BE"/>
        </w:rPr>
      </w:pPr>
    </w:p>
    <w:p w14:paraId="102168B7" w14:textId="77777777" w:rsidR="00AD0CA0" w:rsidRPr="000D0EB9" w:rsidRDefault="00AD0CA0" w:rsidP="00AD0CA0">
      <w:pPr>
        <w:tabs>
          <w:tab w:val="left" w:leader="dot" w:pos="8505"/>
        </w:tabs>
        <w:jc w:val="both"/>
        <w:rPr>
          <w:lang w:val="nl-BE"/>
        </w:rPr>
      </w:pPr>
      <w:r w:rsidRPr="000D0EB9">
        <w:rPr>
          <w:lang w:val="nl-BE"/>
        </w:rPr>
        <w:tab/>
      </w:r>
    </w:p>
    <w:p w14:paraId="6CBAF478" w14:textId="77777777" w:rsidR="00AD0CA0" w:rsidRPr="0003528C" w:rsidRDefault="00AD0CA0" w:rsidP="00AD0CA0">
      <w:pPr>
        <w:tabs>
          <w:tab w:val="left" w:leader="dot" w:pos="8505"/>
        </w:tabs>
        <w:spacing w:after="120"/>
        <w:jc w:val="both"/>
        <w:rPr>
          <w:lang w:val="nl-BE"/>
        </w:rPr>
      </w:pPr>
      <w:r>
        <w:rPr>
          <w:b/>
          <w:i/>
          <w:u w:val="single"/>
          <w:lang w:val="nl-BE"/>
        </w:rPr>
        <w:t xml:space="preserve">De </w:t>
      </w:r>
      <w:r w:rsidRPr="0003528C">
        <w:rPr>
          <w:b/>
          <w:i/>
          <w:u w:val="single"/>
          <w:lang w:val="nl-BE"/>
        </w:rPr>
        <w:t>AMLCO:</w:t>
      </w:r>
    </w:p>
    <w:p w14:paraId="5B417E14" w14:textId="77777777" w:rsidR="00AD0CA0" w:rsidRPr="0003528C" w:rsidRDefault="00AD0CA0" w:rsidP="00AD0CA0">
      <w:pPr>
        <w:jc w:val="both"/>
        <w:rPr>
          <w:lang w:val="nl-BE"/>
        </w:rPr>
      </w:pPr>
      <w:r>
        <w:rPr>
          <w:lang w:val="nl-BE"/>
        </w:rPr>
        <w:t>Datum en handtekening</w:t>
      </w:r>
    </w:p>
    <w:p w14:paraId="7A8EA10D" w14:textId="77777777" w:rsidR="00AD0CA0" w:rsidRPr="0003528C" w:rsidRDefault="00AD0CA0" w:rsidP="00AD0CA0">
      <w:pPr>
        <w:jc w:val="both"/>
        <w:rPr>
          <w:lang w:val="nl-BE"/>
        </w:rPr>
      </w:pPr>
    </w:p>
    <w:p w14:paraId="4CC55D1E" w14:textId="77777777" w:rsidR="00AD0CA0" w:rsidRPr="0003528C" w:rsidRDefault="00AD0CA0" w:rsidP="00AD0CA0">
      <w:pPr>
        <w:tabs>
          <w:tab w:val="left" w:leader="dot" w:pos="8505"/>
        </w:tabs>
        <w:jc w:val="both"/>
        <w:rPr>
          <w:lang w:val="nl-BE"/>
        </w:rPr>
      </w:pPr>
      <w:r w:rsidRPr="0003528C">
        <w:rPr>
          <w:lang w:val="nl-BE"/>
        </w:rPr>
        <w:tab/>
      </w:r>
      <w:r>
        <w:rPr>
          <w:lang w:val="nl-BE"/>
        </w:rPr>
        <w:t>.</w:t>
      </w:r>
    </w:p>
    <w:p w14:paraId="4A92293B" w14:textId="77777777" w:rsidR="003D0FDC" w:rsidRPr="00AD0CA0" w:rsidRDefault="002336F5">
      <w:pPr>
        <w:rPr>
          <w:lang w:val="nl-BE"/>
        </w:rPr>
      </w:pPr>
    </w:p>
    <w:sectPr w:rsidR="003D0FDC" w:rsidRPr="00AD0CA0" w:rsidSect="002B4F3F">
      <w:headerReference w:type="default" r:id="rId8"/>
      <w:footerReference w:type="default" r:id="rId9"/>
      <w:pgSz w:w="12240" w:h="15840"/>
      <w:pgMar w:top="1134" w:right="1417" w:bottom="56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17F1" w14:textId="77777777" w:rsidR="00AD0CA0" w:rsidRDefault="00AD0CA0" w:rsidP="00AD0CA0">
      <w:pPr>
        <w:spacing w:after="0" w:line="240" w:lineRule="auto"/>
      </w:pPr>
      <w:r>
        <w:separator/>
      </w:r>
    </w:p>
  </w:endnote>
  <w:endnote w:type="continuationSeparator" w:id="0">
    <w:p w14:paraId="1F2C9D2D" w14:textId="77777777" w:rsidR="00AD0CA0" w:rsidRDefault="00AD0CA0" w:rsidP="00AD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4DD6" w14:textId="403AA76A" w:rsidR="00CA3F03" w:rsidRDefault="00B628A9" w:rsidP="00491EE4">
    <w:pPr>
      <w:pStyle w:val="Footer"/>
      <w:jc w:val="right"/>
      <w:rPr>
        <w:color w:val="5B9BD5" w:themeColor="accent1"/>
      </w:rPr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2336F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>/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2336F5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4C9AC6AF" w14:textId="77777777" w:rsidR="00AD5BD1" w:rsidRDefault="0023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05E6" w14:textId="77777777" w:rsidR="00AD0CA0" w:rsidRDefault="00AD0CA0" w:rsidP="00AD0CA0">
      <w:pPr>
        <w:spacing w:after="0" w:line="240" w:lineRule="auto"/>
      </w:pPr>
      <w:r>
        <w:separator/>
      </w:r>
    </w:p>
  </w:footnote>
  <w:footnote w:type="continuationSeparator" w:id="0">
    <w:p w14:paraId="66CDF325" w14:textId="77777777" w:rsidR="00AD0CA0" w:rsidRDefault="00AD0CA0" w:rsidP="00AD0CA0">
      <w:pPr>
        <w:spacing w:after="0" w:line="240" w:lineRule="auto"/>
      </w:pPr>
      <w:r>
        <w:continuationSeparator/>
      </w:r>
    </w:p>
  </w:footnote>
  <w:footnote w:id="1">
    <w:p w14:paraId="16A6199C" w14:textId="77777777" w:rsidR="00946D1C" w:rsidRPr="00946D1C" w:rsidRDefault="00946D1C">
      <w:pPr>
        <w:pStyle w:val="FootnoteText"/>
        <w:rPr>
          <w:lang w:val="nl-BE"/>
        </w:rPr>
      </w:pPr>
      <w:r w:rsidRPr="00946D1C">
        <w:rPr>
          <w:rStyle w:val="FootnoteReference"/>
          <w:sz w:val="14"/>
          <w:szCs w:val="14"/>
        </w:rPr>
        <w:footnoteRef/>
      </w:r>
      <w:r w:rsidRPr="00946D1C">
        <w:rPr>
          <w:lang w:val="nl-BE"/>
        </w:rPr>
        <w:t xml:space="preserve"> </w:t>
      </w:r>
      <w:r w:rsidRPr="00946D1C">
        <w:rPr>
          <w:sz w:val="18"/>
          <w:szCs w:val="18"/>
          <w:lang w:val="nl-BE"/>
        </w:rPr>
        <w:t>Krediet</w:t>
      </w:r>
      <w:r w:rsidR="00985946">
        <w:rPr>
          <w:sz w:val="18"/>
          <w:szCs w:val="18"/>
          <w:lang w:val="nl-BE"/>
        </w:rPr>
        <w:t>gevers</w:t>
      </w:r>
      <w:r>
        <w:rPr>
          <w:sz w:val="18"/>
          <w:szCs w:val="18"/>
          <w:lang w:val="nl-BE"/>
        </w:rPr>
        <w:t xml:space="preserve"> die</w:t>
      </w:r>
      <w:r w:rsidRPr="00946D1C">
        <w:rPr>
          <w:sz w:val="18"/>
          <w:szCs w:val="18"/>
          <w:lang w:val="nl-BE"/>
        </w:rPr>
        <w:t xml:space="preserve"> on</w:t>
      </w:r>
      <w:r>
        <w:rPr>
          <w:sz w:val="18"/>
          <w:szCs w:val="18"/>
          <w:lang w:val="nl-BE"/>
        </w:rPr>
        <w:t>derworpen zijn aan het prudentie</w:t>
      </w:r>
      <w:r w:rsidRPr="00946D1C">
        <w:rPr>
          <w:sz w:val="18"/>
          <w:szCs w:val="18"/>
          <w:lang w:val="nl-BE"/>
        </w:rPr>
        <w:t>el toezicht van de Nationale Bank van België (bv. kredietinstellingen), zijn onderworpen aan het toezicht van deze autoriteit inzake AML-verplichtingen.</w:t>
      </w:r>
    </w:p>
  </w:footnote>
  <w:footnote w:id="2">
    <w:p w14:paraId="7D31331C" w14:textId="77777777" w:rsidR="00D746CC" w:rsidRPr="00D746CC" w:rsidRDefault="00D746CC">
      <w:pPr>
        <w:pStyle w:val="FootnoteText"/>
        <w:rPr>
          <w:lang w:val="nl-BE"/>
        </w:rPr>
      </w:pPr>
      <w:r w:rsidRPr="00D746CC">
        <w:rPr>
          <w:rStyle w:val="FootnoteReference"/>
          <w:sz w:val="14"/>
          <w:szCs w:val="14"/>
        </w:rPr>
        <w:footnoteRef/>
      </w:r>
      <w:r w:rsidRPr="00D746CC">
        <w:rPr>
          <w:sz w:val="14"/>
          <w:szCs w:val="14"/>
          <w:lang w:val="nl-BE"/>
        </w:rPr>
        <w:t xml:space="preserve"> </w:t>
      </w:r>
      <w:r w:rsidRPr="00336EDE">
        <w:rPr>
          <w:sz w:val="18"/>
          <w:szCs w:val="18"/>
          <w:lang w:val="nl-BE"/>
        </w:rPr>
        <w:t>Indien de beide functies uitgeoefend zijn door dezelfde persoon, gelieve het document tweemaal</w:t>
      </w:r>
      <w:r>
        <w:rPr>
          <w:sz w:val="18"/>
          <w:szCs w:val="18"/>
          <w:lang w:val="nl-BE"/>
        </w:rPr>
        <w:t xml:space="preserve"> te</w:t>
      </w:r>
      <w:r w:rsidRPr="00336EDE">
        <w:rPr>
          <w:sz w:val="18"/>
          <w:szCs w:val="18"/>
          <w:lang w:val="nl-BE"/>
        </w:rPr>
        <w:t xml:space="preserve"> ondertekenen.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330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966F71" w14:textId="6CAD2E81" w:rsidR="00985946" w:rsidRDefault="009859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3E2794" w14:textId="77777777" w:rsidR="00F12A28" w:rsidRPr="00F12A28" w:rsidRDefault="002336F5" w:rsidP="00F12A28">
    <w:pPr>
      <w:pStyle w:val="Header"/>
      <w:jc w:val="right"/>
      <w:rPr>
        <w:sz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A61"/>
    <w:multiLevelType w:val="hybridMultilevel"/>
    <w:tmpl w:val="955C9944"/>
    <w:lvl w:ilvl="0" w:tplc="580C2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4D9"/>
    <w:multiLevelType w:val="hybridMultilevel"/>
    <w:tmpl w:val="5A70EF24"/>
    <w:lvl w:ilvl="0" w:tplc="580C295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D243EA"/>
    <w:multiLevelType w:val="hybridMultilevel"/>
    <w:tmpl w:val="2B582E98"/>
    <w:lvl w:ilvl="0" w:tplc="580C29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EA7333"/>
    <w:multiLevelType w:val="hybridMultilevel"/>
    <w:tmpl w:val="5FAE11B4"/>
    <w:lvl w:ilvl="0" w:tplc="580C295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D34CD"/>
    <w:multiLevelType w:val="multilevel"/>
    <w:tmpl w:val="77EAE8C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D35F26"/>
    <w:multiLevelType w:val="hybridMultilevel"/>
    <w:tmpl w:val="963AA652"/>
    <w:lvl w:ilvl="0" w:tplc="580C29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0"/>
    <w:rsid w:val="000863D7"/>
    <w:rsid w:val="001B12FD"/>
    <w:rsid w:val="002336F5"/>
    <w:rsid w:val="00343B35"/>
    <w:rsid w:val="00476989"/>
    <w:rsid w:val="00610F7F"/>
    <w:rsid w:val="0077523B"/>
    <w:rsid w:val="0083450A"/>
    <w:rsid w:val="00946D1C"/>
    <w:rsid w:val="00985946"/>
    <w:rsid w:val="009D6371"/>
    <w:rsid w:val="009E5E59"/>
    <w:rsid w:val="00A170C5"/>
    <w:rsid w:val="00AD0CA0"/>
    <w:rsid w:val="00B2054E"/>
    <w:rsid w:val="00B510EC"/>
    <w:rsid w:val="00B628A9"/>
    <w:rsid w:val="00CE0AC4"/>
    <w:rsid w:val="00D20DD5"/>
    <w:rsid w:val="00D26294"/>
    <w:rsid w:val="00D746CC"/>
    <w:rsid w:val="00DB09AD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3442F"/>
  <w15:chartTrackingRefBased/>
  <w15:docId w15:val="{38F0A266-CA2E-40DD-8D75-B5467C1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C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A0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AD0CA0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AD0CA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Mangal"/>
      <w:sz w:val="20"/>
      <w:szCs w:val="20"/>
      <w:lang w:val="fr-FR" w:bidi="ne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A0"/>
    <w:rPr>
      <w:rFonts w:eastAsia="Times New Roman" w:cs="Mangal"/>
      <w:sz w:val="20"/>
      <w:szCs w:val="20"/>
      <w:lang w:val="fr-FR" w:bidi="ne-IN"/>
    </w:rPr>
  </w:style>
  <w:style w:type="table" w:styleId="TableGrid">
    <w:name w:val="Table Grid"/>
    <w:basedOn w:val="TableNormal"/>
    <w:rsid w:val="00AD0C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0CA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0CA0"/>
    <w:rPr>
      <w:lang w:val="en-US"/>
    </w:rPr>
  </w:style>
  <w:style w:type="character" w:styleId="Hyperlink">
    <w:name w:val="Hyperlink"/>
    <w:basedOn w:val="DefaultParagraphFont"/>
    <w:unhideWhenUsed/>
    <w:rsid w:val="00AD0C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8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8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966D-3EDE-40E0-B322-E59281F4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Huysegoms, Lies</dc:creator>
  <cp:keywords/>
  <dc:description/>
  <cp:lastModifiedBy>Bindels, Arnaud</cp:lastModifiedBy>
  <cp:revision>2</cp:revision>
  <dcterms:created xsi:type="dcterms:W3CDTF">2021-02-23T07:55:00Z</dcterms:created>
  <dcterms:modified xsi:type="dcterms:W3CDTF">2021-02-23T07:55:00Z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1454518310</vt:i4>
  </property>
  <property fmtid="{D5CDD505-2E9C-101B-9397-08002B2CF9AE}" pid="3" name="_NewReviewCycle">
    <vt:lpwstr/>
  </property>
  <property fmtid="{D5CDD505-2E9C-101B-9397-08002B2CF9AE}" pid="4" name="_EmailSubject">
    <vt:lpwstr>Vragenlijsten/questionnaires AML - Nouvelles versions pour les prêteurs et les intermédiaires</vt:lpwstr>
  </property>
  <property fmtid="{D5CDD505-2E9C-101B-9397-08002B2CF9AE}" pid="5" name="_AuthorEmail">
    <vt:lpwstr>Arnaud.Bindels@fsma.be</vt:lpwstr>
  </property>
  <property fmtid="{D5CDD505-2E9C-101B-9397-08002B2CF9AE}" pid="6" name="_AuthorEmailDisplayName">
    <vt:lpwstr>Bindels, Arnaud</vt:lpwstr>
  </property>
  <property fmtid="{D5CDD505-2E9C-101B-9397-08002B2CF9AE}" pid="7" name="_PreviousAdHocReviewCycleID">
    <vt:i4>2131170883</vt:i4>
  </property>
</Properties>
</file>