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A743" w14:textId="5D71DE21" w:rsidR="00335257" w:rsidRDefault="00335257">
      <w:r w:rsidRPr="00241602">
        <w:rPr>
          <w:i/>
          <w:iCs/>
        </w:rPr>
        <w:t>Please note that it is a courtesy translation in English.  The statement to be submitted to the NBB</w:t>
      </w:r>
      <w:r w:rsidR="00C1624B">
        <w:rPr>
          <w:i/>
          <w:iCs/>
        </w:rPr>
        <w:t xml:space="preserve"> and the FSMA</w:t>
      </w:r>
      <w:r w:rsidRPr="00241602">
        <w:rPr>
          <w:i/>
          <w:iCs/>
        </w:rPr>
        <w:t xml:space="preserve"> should be in French or Dutch (see </w:t>
      </w:r>
      <w:r>
        <w:rPr>
          <w:i/>
          <w:iCs/>
        </w:rPr>
        <w:t>the two</w:t>
      </w:r>
      <w:r w:rsidRPr="00241602">
        <w:rPr>
          <w:i/>
          <w:iCs/>
        </w:rPr>
        <w:t xml:space="preserve"> version</w:t>
      </w:r>
      <w:r w:rsidR="00075F32">
        <w:rPr>
          <w:i/>
          <w:iCs/>
        </w:rPr>
        <w:t>s</w:t>
      </w:r>
      <w:r w:rsidRPr="00241602">
        <w:rPr>
          <w:i/>
          <w:iCs/>
        </w:rPr>
        <w:t xml:space="preserve"> below).</w:t>
      </w:r>
    </w:p>
    <w:tbl>
      <w:tblPr>
        <w:tblStyle w:val="TableGrid2"/>
        <w:tblW w:w="14850" w:type="dxa"/>
        <w:tblLook w:val="04A0" w:firstRow="1" w:lastRow="0" w:firstColumn="1" w:lastColumn="0" w:noHBand="0" w:noVBand="1"/>
      </w:tblPr>
      <w:tblGrid>
        <w:gridCol w:w="14850"/>
      </w:tblGrid>
      <w:tr w:rsidR="00232605" w:rsidRPr="004113C8" w14:paraId="0D2FD4DB" w14:textId="77777777" w:rsidTr="00792754">
        <w:trPr>
          <w:trHeight w:val="638"/>
        </w:trPr>
        <w:tc>
          <w:tcPr>
            <w:tcW w:w="14850" w:type="dxa"/>
            <w:shd w:val="clear" w:color="auto" w:fill="C6D9F1" w:themeFill="text2" w:themeFillTint="33"/>
          </w:tcPr>
          <w:p w14:paraId="79912C75" w14:textId="236406EA" w:rsidR="00232605" w:rsidRPr="004113C8" w:rsidRDefault="00232605" w:rsidP="00792754">
            <w:pPr>
              <w:jc w:val="center"/>
              <w:rPr>
                <w:b/>
                <w:sz w:val="28"/>
                <w:szCs w:val="28"/>
              </w:rPr>
            </w:pPr>
            <w:r>
              <w:rPr>
                <w:b/>
                <w:sz w:val="28"/>
                <w:szCs w:val="28"/>
              </w:rPr>
              <w:t xml:space="preserve">Standard form for the Statement by the Chairman of the Management Committee concerning compliance with the conditions for applying the </w:t>
            </w:r>
            <w:r>
              <w:rPr>
                <w:b/>
                <w:sz w:val="28"/>
                <w:szCs w:val="28"/>
                <w:u w:val="single"/>
              </w:rPr>
              <w:t>simplified procedure</w:t>
            </w:r>
            <w:r>
              <w:rPr>
                <w:b/>
                <w:sz w:val="28"/>
                <w:szCs w:val="28"/>
              </w:rPr>
              <w:t xml:space="preserve"> for authorising the storage </w:t>
            </w:r>
            <w:r>
              <w:rPr>
                <w:b/>
                <w:sz w:val="28"/>
                <w:szCs w:val="28"/>
                <w:u w:val="single"/>
              </w:rPr>
              <w:t>on paper</w:t>
            </w:r>
            <w:r>
              <w:rPr>
                <w:b/>
                <w:sz w:val="28"/>
                <w:szCs w:val="28"/>
              </w:rPr>
              <w:t xml:space="preserve"> of insurance or reinsurance documents in a place other than the </w:t>
            </w:r>
            <w:r w:rsidR="00C270CD" w:rsidRPr="00C270CD">
              <w:rPr>
                <w:b/>
                <w:sz w:val="28"/>
                <w:szCs w:val="28"/>
              </w:rPr>
              <w:t>registered office or the head office</w:t>
            </w:r>
          </w:p>
          <w:p w14:paraId="51637652" w14:textId="77777777" w:rsidR="00232605" w:rsidRPr="001E66B2" w:rsidRDefault="00232605" w:rsidP="001E66B2">
            <w:pPr>
              <w:spacing w:line="240" w:lineRule="auto"/>
              <w:jc w:val="center"/>
              <w:rPr>
                <w:b/>
                <w:sz w:val="12"/>
                <w:szCs w:val="32"/>
                <w:lang w:val="en-US"/>
              </w:rPr>
            </w:pPr>
          </w:p>
          <w:p w14:paraId="6FBEFE54" w14:textId="77777777" w:rsidR="00232605" w:rsidRPr="004113C8" w:rsidRDefault="00232605" w:rsidP="00792754">
            <w:pPr>
              <w:jc w:val="center"/>
              <w:rPr>
                <w:b/>
              </w:rPr>
            </w:pPr>
            <w:r>
              <w:rPr>
                <w:b/>
              </w:rPr>
              <w:t xml:space="preserve">Company: </w:t>
            </w:r>
            <w:r>
              <w:rPr>
                <w:b/>
                <w:highlight w:val="green"/>
              </w:rPr>
              <w:t>TO BE COMPLETED</w:t>
            </w:r>
          </w:p>
        </w:tc>
      </w:tr>
      <w:tr w:rsidR="00232605" w:rsidRPr="004113C8" w14:paraId="10C90291" w14:textId="77777777" w:rsidTr="00792754">
        <w:trPr>
          <w:trHeight w:val="319"/>
        </w:trPr>
        <w:tc>
          <w:tcPr>
            <w:tcW w:w="14850" w:type="dxa"/>
          </w:tcPr>
          <w:p w14:paraId="7F057E3E" w14:textId="74637C17" w:rsidR="00232605" w:rsidRPr="004113C8" w:rsidRDefault="00232605" w:rsidP="001526F4">
            <w:r>
              <w:rPr>
                <w:i/>
                <w:sz w:val="16"/>
                <w:szCs w:val="16"/>
              </w:rPr>
              <w:t xml:space="preserve">The purpose of this statement is to implement Article 3, § 2 of the Regulation of the National Bank of Belgium of 12 May 2020 on the place of storage of insurance or reinsurance documents (approved by Royal Decree dated </w:t>
            </w:r>
            <w:r w:rsidR="001526F4">
              <w:rPr>
                <w:i/>
                <w:sz w:val="16"/>
                <w:szCs w:val="16"/>
              </w:rPr>
              <w:t>31 July</w:t>
            </w:r>
            <w:r w:rsidR="00253E83">
              <w:rPr>
                <w:i/>
                <w:sz w:val="16"/>
                <w:szCs w:val="16"/>
              </w:rPr>
              <w:t xml:space="preserve"> 2020</w:t>
            </w:r>
            <w:r>
              <w:rPr>
                <w:i/>
                <w:sz w:val="16"/>
                <w:szCs w:val="16"/>
              </w:rPr>
              <w:t>)</w:t>
            </w:r>
            <w:r w:rsidR="00C1624B" w:rsidRPr="00A87943">
              <w:rPr>
                <w:i/>
                <w:sz w:val="16"/>
                <w:szCs w:val="16"/>
              </w:rPr>
              <w:t xml:space="preserve"> and </w:t>
            </w:r>
            <w:r w:rsidR="00C1624B">
              <w:rPr>
                <w:i/>
                <w:sz w:val="16"/>
                <w:szCs w:val="16"/>
              </w:rPr>
              <w:t>Article 3</w:t>
            </w:r>
            <w:r w:rsidR="00C1624B" w:rsidRPr="000D14BD">
              <w:rPr>
                <w:i/>
                <w:sz w:val="16"/>
                <w:szCs w:val="16"/>
              </w:rPr>
              <w:t xml:space="preserve">, § 2 of the Regulation of the </w:t>
            </w:r>
            <w:r w:rsidR="00C1624B">
              <w:rPr>
                <w:i/>
                <w:sz w:val="16"/>
                <w:szCs w:val="16"/>
              </w:rPr>
              <w:t>Financial Services and Market Authority</w:t>
            </w:r>
            <w:r w:rsidR="00C1624B" w:rsidRPr="000D14BD">
              <w:rPr>
                <w:i/>
                <w:sz w:val="16"/>
                <w:szCs w:val="16"/>
              </w:rPr>
              <w:t xml:space="preserve"> of </w:t>
            </w:r>
            <w:r w:rsidR="00C1624B">
              <w:rPr>
                <w:i/>
                <w:sz w:val="16"/>
                <w:szCs w:val="16"/>
              </w:rPr>
              <w:t>30 June 2020</w:t>
            </w:r>
            <w:r w:rsidR="00C1624B" w:rsidRPr="000D14BD">
              <w:rPr>
                <w:i/>
                <w:sz w:val="16"/>
                <w:szCs w:val="16"/>
              </w:rPr>
              <w:t xml:space="preserve"> on the place of storage of insurance documents (approved by Royal Decree dated </w:t>
            </w:r>
            <w:r w:rsidR="001526F4">
              <w:rPr>
                <w:i/>
                <w:sz w:val="16"/>
                <w:szCs w:val="16"/>
              </w:rPr>
              <w:t>31 July</w:t>
            </w:r>
            <w:r w:rsidR="00C1624B" w:rsidRPr="000D14BD">
              <w:rPr>
                <w:i/>
                <w:sz w:val="16"/>
                <w:szCs w:val="16"/>
              </w:rPr>
              <w:t xml:space="preserve"> 2020</w:t>
            </w:r>
            <w:r>
              <w:rPr>
                <w:i/>
                <w:sz w:val="16"/>
                <w:szCs w:val="16"/>
              </w:rPr>
              <w:t xml:space="preserve">. </w:t>
            </w:r>
          </w:p>
        </w:tc>
      </w:tr>
      <w:tr w:rsidR="00232605" w:rsidRPr="004113C8" w14:paraId="25834EBB" w14:textId="77777777" w:rsidTr="00792754">
        <w:trPr>
          <w:trHeight w:val="319"/>
        </w:trPr>
        <w:tc>
          <w:tcPr>
            <w:tcW w:w="14850" w:type="dxa"/>
          </w:tcPr>
          <w:p w14:paraId="0A7439D7" w14:textId="21450C88" w:rsidR="00232605" w:rsidRPr="004113C8" w:rsidRDefault="00232605" w:rsidP="00792754">
            <w:pPr>
              <w:contextualSpacing/>
              <w:rPr>
                <w:rFonts w:cs="Arial"/>
                <w:bCs/>
                <w:iCs/>
              </w:rPr>
            </w:pPr>
            <w:r>
              <w:t xml:space="preserve">I hereby confirm that the following conditions for applying the simplified procedure for authorising the storage </w:t>
            </w:r>
            <w:r w:rsidR="00A975B2">
              <w:t xml:space="preserve">on paper </w:t>
            </w:r>
            <w:r>
              <w:t>of insurance or reinsurance documents are met:</w:t>
            </w:r>
          </w:p>
          <w:p w14:paraId="27DB9352" w14:textId="77777777" w:rsidR="00232605" w:rsidRPr="00253E83" w:rsidRDefault="00232605" w:rsidP="00792754">
            <w:pPr>
              <w:contextualSpacing/>
              <w:rPr>
                <w:rFonts w:cs="Arial"/>
                <w:bCs/>
                <w:iCs/>
                <w:lang w:val="en-US"/>
              </w:rPr>
            </w:pPr>
          </w:p>
          <w:p w14:paraId="32056A59" w14:textId="77777777" w:rsidR="000B38EB" w:rsidRPr="004113C8" w:rsidRDefault="000B38EB" w:rsidP="000B38EB">
            <w:pPr>
              <w:numPr>
                <w:ilvl w:val="0"/>
                <w:numId w:val="13"/>
              </w:numPr>
              <w:spacing w:line="240" w:lineRule="auto"/>
              <w:rPr>
                <w:rFonts w:cstheme="minorHAnsi"/>
              </w:rPr>
            </w:pPr>
            <w:r>
              <w:t>documents pertaining to a single business portfolio are kept at the same place;</w:t>
            </w:r>
          </w:p>
          <w:p w14:paraId="14CDB266" w14:textId="67241F48" w:rsidR="000B38EB" w:rsidRPr="004113C8" w:rsidRDefault="000B38EB" w:rsidP="000B38EB">
            <w:pPr>
              <w:numPr>
                <w:ilvl w:val="0"/>
                <w:numId w:val="13"/>
              </w:numPr>
              <w:spacing w:line="240" w:lineRule="auto"/>
              <w:rPr>
                <w:rFonts w:cstheme="minorHAnsi"/>
              </w:rPr>
            </w:pPr>
            <w:r>
              <w:t>the place</w:t>
            </w:r>
            <w:r>
              <w:rPr>
                <w:highlight w:val="green"/>
              </w:rPr>
              <w:t>[s]</w:t>
            </w:r>
            <w:r>
              <w:t xml:space="preserve"> of storage </w:t>
            </w:r>
            <w:r>
              <w:rPr>
                <w:highlight w:val="green"/>
              </w:rPr>
              <w:t>[is/are]</w:t>
            </w:r>
            <w:r>
              <w:t xml:space="preserve"> accessible to the Bank, the FSMA and the judicial authorities and [</w:t>
            </w:r>
            <w:r>
              <w:rPr>
                <w:highlight w:val="green"/>
              </w:rPr>
              <w:t>complies/comply]</w:t>
            </w:r>
            <w:r>
              <w:t xml:space="preserve"> with fire protection measures to ensure the integrity of the documents;</w:t>
            </w:r>
          </w:p>
          <w:p w14:paraId="3241B345" w14:textId="7D842F21" w:rsidR="000B38EB" w:rsidRPr="004113C8" w:rsidRDefault="005E511B" w:rsidP="004113C8">
            <w:pPr>
              <w:numPr>
                <w:ilvl w:val="0"/>
                <w:numId w:val="13"/>
              </w:numPr>
              <w:spacing w:line="240" w:lineRule="auto"/>
              <w:rPr>
                <w:rFonts w:cstheme="minorHAnsi"/>
              </w:rPr>
            </w:pPr>
            <w:r>
              <w:t xml:space="preserve">the condition that, if all documents are not also stored on IT storage media located in Belgium or in the EEA offering guarantees of security and confidentiality, the place(s) of storage should be situated in Belgium is </w:t>
            </w:r>
            <w:r>
              <w:rPr>
                <w:highlight w:val="green"/>
              </w:rPr>
              <w:t>[complied with ]</w:t>
            </w:r>
            <w:r>
              <w:t xml:space="preserve"> or </w:t>
            </w:r>
            <w:r>
              <w:rPr>
                <w:highlight w:val="green"/>
              </w:rPr>
              <w:t>[is not applicable because all documents are also stored on IT storage media situated in Belgium or in the EEA offering guarantees of security and confidentiality]</w:t>
            </w:r>
            <w:r w:rsidR="005E3A46">
              <w:t xml:space="preserve"> [</w:t>
            </w:r>
            <w:r w:rsidR="005E3A46" w:rsidRPr="005E3A46">
              <w:rPr>
                <w:highlight w:val="yellow"/>
              </w:rPr>
              <w:t>delete wat is not applicable</w:t>
            </w:r>
            <w:r w:rsidR="005E3A46">
              <w:t>]</w:t>
            </w:r>
            <w:r>
              <w:t xml:space="preserve">; </w:t>
            </w:r>
          </w:p>
          <w:p w14:paraId="1D872B18" w14:textId="0A767F3B" w:rsidR="000B38EB" w:rsidRPr="004113C8" w:rsidRDefault="000B38EB" w:rsidP="000B38EB">
            <w:pPr>
              <w:numPr>
                <w:ilvl w:val="0"/>
                <w:numId w:val="13"/>
              </w:numPr>
              <w:spacing w:line="240" w:lineRule="auto"/>
              <w:rPr>
                <w:rFonts w:cstheme="minorHAnsi"/>
              </w:rPr>
            </w:pPr>
            <w:r>
              <w:t xml:space="preserve">the security and continuity measures are reviewed periodically by </w:t>
            </w:r>
            <w:r>
              <w:rPr>
                <w:highlight w:val="green"/>
              </w:rPr>
              <w:t>[the company]</w:t>
            </w:r>
            <w:r>
              <w:t xml:space="preserve">; and </w:t>
            </w:r>
          </w:p>
          <w:p w14:paraId="658D0711" w14:textId="2AED6DB2" w:rsidR="000B38EB" w:rsidRPr="004113C8" w:rsidRDefault="000B38EB" w:rsidP="000B38EB">
            <w:pPr>
              <w:numPr>
                <w:ilvl w:val="0"/>
                <w:numId w:val="13"/>
              </w:numPr>
              <w:spacing w:line="240" w:lineRule="auto"/>
              <w:rPr>
                <w:rFonts w:cstheme="minorHAnsi"/>
                <w:highlight w:val="green"/>
              </w:rPr>
            </w:pPr>
            <w:r>
              <w:rPr>
                <w:highlight w:val="green"/>
              </w:rPr>
              <w:t>[</w:t>
            </w:r>
            <w:r w:rsidRPr="00A975B2">
              <w:rPr>
                <w:highlight w:val="yellow"/>
              </w:rPr>
              <w:t>In case of outsourcing</w:t>
            </w:r>
            <w:r w:rsidR="00A975B2" w:rsidRPr="00A975B2">
              <w:rPr>
                <w:highlight w:val="yellow"/>
              </w:rPr>
              <w:t>:</w:t>
            </w:r>
            <w:r>
              <w:rPr>
                <w:highlight w:val="green"/>
              </w:rPr>
              <w:t xml:space="preserve"> the two parties enter into an </w:t>
            </w:r>
            <w:r w:rsidR="00A975B2">
              <w:rPr>
                <w:highlight w:val="green"/>
              </w:rPr>
              <w:t xml:space="preserve">outsourcing </w:t>
            </w:r>
            <w:r>
              <w:rPr>
                <w:highlight w:val="green"/>
              </w:rPr>
              <w:t>agreement to regulate the record-keeping and the related rights and obligations.]</w:t>
            </w:r>
          </w:p>
          <w:p w14:paraId="43E2D548" w14:textId="21D9D8BD" w:rsidR="00232605" w:rsidRPr="00253E83" w:rsidRDefault="00232605" w:rsidP="00792754">
            <w:pPr>
              <w:contextualSpacing/>
              <w:rPr>
                <w:rFonts w:cs="Arial"/>
                <w:bCs/>
                <w:iCs/>
                <w:lang w:val="en-US"/>
              </w:rPr>
            </w:pPr>
          </w:p>
          <w:p w14:paraId="2073F57C" w14:textId="272A3439" w:rsidR="00A975B2" w:rsidRPr="00253E83" w:rsidRDefault="00A975B2" w:rsidP="00A975B2">
            <w:pPr>
              <w:contextualSpacing/>
              <w:rPr>
                <w:rFonts w:cs="Arial"/>
                <w:bCs/>
                <w:iCs/>
                <w:lang w:val="en-US"/>
              </w:rPr>
            </w:pPr>
            <w:r w:rsidRPr="00253E83">
              <w:rPr>
                <w:rFonts w:cs="Arial"/>
                <w:bCs/>
                <w:iCs/>
                <w:lang w:val="en-US"/>
              </w:rPr>
              <w:t xml:space="preserve">This </w:t>
            </w:r>
            <w:r w:rsidR="00AD5C0B" w:rsidRPr="00253E83">
              <w:rPr>
                <w:rFonts w:cs="Arial"/>
                <w:bCs/>
                <w:iCs/>
                <w:lang w:val="en-US"/>
              </w:rPr>
              <w:t>statement</w:t>
            </w:r>
            <w:r w:rsidRPr="00253E83">
              <w:rPr>
                <w:rFonts w:cs="Arial"/>
                <w:bCs/>
                <w:iCs/>
                <w:lang w:val="en-US"/>
              </w:rPr>
              <w:t xml:space="preserve"> relates to the storage</w:t>
            </w:r>
            <w:r w:rsidR="008E5040" w:rsidRPr="00253E83">
              <w:rPr>
                <w:rFonts w:cs="Arial"/>
                <w:bCs/>
                <w:iCs/>
                <w:lang w:val="en-US"/>
              </w:rPr>
              <w:t xml:space="preserve"> on paper</w:t>
            </w:r>
            <w:r w:rsidRPr="00253E83">
              <w:rPr>
                <w:rFonts w:cs="Arial"/>
                <w:bCs/>
                <w:iCs/>
                <w:lang w:val="en-US"/>
              </w:rPr>
              <w:t xml:space="preserve"> which takes place at </w:t>
            </w:r>
            <w:r w:rsidRPr="00253E83">
              <w:rPr>
                <w:rFonts w:cs="Arial"/>
                <w:bCs/>
                <w:iCs/>
                <w:highlight w:val="green"/>
                <w:lang w:val="en-US"/>
              </w:rPr>
              <w:t>[address to be completed]</w:t>
            </w:r>
            <w:r w:rsidRPr="00253E83">
              <w:rPr>
                <w:rFonts w:cs="Arial"/>
                <w:bCs/>
                <w:iCs/>
                <w:lang w:val="en-US"/>
              </w:rPr>
              <w:t xml:space="preserve"> for which the storage system is described </w:t>
            </w:r>
            <w:r w:rsidR="00DD4A86" w:rsidRPr="00253E83">
              <w:rPr>
                <w:rFonts w:cs="Arial"/>
                <w:bCs/>
                <w:iCs/>
                <w:lang w:val="en-US"/>
              </w:rPr>
              <w:t xml:space="preserve">in </w:t>
            </w:r>
            <w:r w:rsidR="00253E83">
              <w:rPr>
                <w:rFonts w:cs="Arial"/>
                <w:bCs/>
                <w:iCs/>
                <w:lang w:val="en-US"/>
              </w:rPr>
              <w:t xml:space="preserve">the </w:t>
            </w:r>
            <w:r w:rsidR="00253E83">
              <w:t>file (referred to in Article 3</w:t>
            </w:r>
            <w:r w:rsidR="00253E83" w:rsidRPr="00EA1FFC">
              <w:t>, § 2</w:t>
            </w:r>
            <w:r w:rsidR="00E455E5">
              <w:t>,</w:t>
            </w:r>
            <w:r w:rsidR="00253E83" w:rsidRPr="00EA1FFC">
              <w:t xml:space="preserve"> of the </w:t>
            </w:r>
            <w:r w:rsidR="00722C02">
              <w:t xml:space="preserve">above-mentioned </w:t>
            </w:r>
            <w:r w:rsidR="00253E83" w:rsidRPr="00EA1FFC">
              <w:t>Regulation</w:t>
            </w:r>
            <w:r w:rsidR="00722C02">
              <w:t>s</w:t>
            </w:r>
            <w:r w:rsidR="00253E83" w:rsidRPr="00EA1FFC">
              <w:t xml:space="preserve"> </w:t>
            </w:r>
            <w:r w:rsidR="00253E83">
              <w:t>) sent to the Bank on</w:t>
            </w:r>
            <w:r w:rsidR="00253E83" w:rsidRPr="00521927">
              <w:rPr>
                <w:rFonts w:cs="Arial"/>
                <w:bCs/>
                <w:iCs/>
                <w:highlight w:val="green"/>
                <w:lang w:val="en-US"/>
              </w:rPr>
              <w:t xml:space="preserve"> [</w:t>
            </w:r>
            <w:r w:rsidR="00253E83">
              <w:rPr>
                <w:rFonts w:cs="Arial"/>
                <w:bCs/>
                <w:iCs/>
                <w:highlight w:val="green"/>
                <w:lang w:val="en-US"/>
              </w:rPr>
              <w:t>date</w:t>
            </w:r>
            <w:r w:rsidR="00253E83" w:rsidRPr="00521927">
              <w:rPr>
                <w:rFonts w:cs="Arial"/>
                <w:bCs/>
                <w:iCs/>
                <w:highlight w:val="green"/>
                <w:lang w:val="en-US"/>
              </w:rPr>
              <w:t xml:space="preserve"> to be completed]</w:t>
            </w:r>
            <w:r w:rsidR="00722C02">
              <w:rPr>
                <w:rFonts w:cs="Arial"/>
                <w:bCs/>
                <w:iCs/>
                <w:lang w:val="en-US"/>
              </w:rPr>
              <w:t xml:space="preserve"> and to the FSMA on </w:t>
            </w:r>
            <w:r w:rsidR="00722C02" w:rsidRPr="001E66B2">
              <w:rPr>
                <w:rFonts w:cs="Arial"/>
                <w:bCs/>
                <w:iCs/>
                <w:highlight w:val="green"/>
                <w:lang w:val="en-US"/>
              </w:rPr>
              <w:t>{date to be completed}</w:t>
            </w:r>
            <w:r w:rsidR="00DD4A86" w:rsidRPr="001E66B2">
              <w:rPr>
                <w:rFonts w:cs="Arial"/>
                <w:bCs/>
                <w:iCs/>
                <w:highlight w:val="green"/>
                <w:lang w:val="en-US"/>
              </w:rPr>
              <w:t>.</w:t>
            </w:r>
          </w:p>
          <w:p w14:paraId="1B9D5297" w14:textId="77777777" w:rsidR="00A975B2" w:rsidRPr="00253E83" w:rsidRDefault="00A975B2" w:rsidP="00A975B2">
            <w:pPr>
              <w:contextualSpacing/>
              <w:rPr>
                <w:rFonts w:cs="Arial"/>
                <w:bCs/>
                <w:iCs/>
                <w:lang w:val="en-US"/>
              </w:rPr>
            </w:pPr>
          </w:p>
          <w:p w14:paraId="3D5C7EA9" w14:textId="192224A8" w:rsidR="00A975B2" w:rsidRDefault="00A975B2" w:rsidP="00792754">
            <w:pPr>
              <w:contextualSpacing/>
              <w:rPr>
                <w:rFonts w:cs="Arial"/>
                <w:bCs/>
                <w:iCs/>
                <w:lang w:val="en-US"/>
              </w:rPr>
            </w:pPr>
            <w:r w:rsidRPr="00253E83">
              <w:rPr>
                <w:rFonts w:cs="Arial"/>
                <w:bCs/>
                <w:iCs/>
                <w:lang w:val="en-US"/>
              </w:rPr>
              <w:t>[</w:t>
            </w:r>
            <w:r w:rsidRPr="00253E83">
              <w:rPr>
                <w:rFonts w:cs="Arial"/>
                <w:bCs/>
                <w:iCs/>
                <w:highlight w:val="yellow"/>
                <w:lang w:val="en-US"/>
              </w:rPr>
              <w:t>To add in case of outsourcing</w:t>
            </w:r>
            <w:r w:rsidR="005E3A46" w:rsidRPr="00253E83">
              <w:rPr>
                <w:rFonts w:cs="Arial"/>
                <w:bCs/>
                <w:iCs/>
                <w:highlight w:val="yellow"/>
                <w:lang w:val="en-US"/>
              </w:rPr>
              <w:t xml:space="preserve"> </w:t>
            </w:r>
            <w:r w:rsidRPr="00253E83">
              <w:rPr>
                <w:rFonts w:cs="Arial"/>
                <w:bCs/>
                <w:iCs/>
                <w:highlight w:val="yellow"/>
                <w:lang w:val="en-US"/>
              </w:rPr>
              <w:t>:</w:t>
            </w:r>
            <w:r w:rsidRPr="00253E83">
              <w:rPr>
                <w:rFonts w:cs="Arial"/>
                <w:bCs/>
                <w:iCs/>
                <w:lang w:val="en-US"/>
              </w:rPr>
              <w:t xml:space="preserve"> The notification file « outsourcing » has been provided to the </w:t>
            </w:r>
            <w:r w:rsidR="00722C02">
              <w:rPr>
                <w:rFonts w:cs="Arial"/>
                <w:bCs/>
                <w:iCs/>
                <w:lang w:val="en-US"/>
              </w:rPr>
              <w:t>Bank</w:t>
            </w:r>
            <w:r w:rsidR="00722C02" w:rsidRPr="00253E83">
              <w:rPr>
                <w:rFonts w:cs="Arial"/>
                <w:bCs/>
                <w:iCs/>
                <w:lang w:val="en-US"/>
              </w:rPr>
              <w:t xml:space="preserve"> </w:t>
            </w:r>
            <w:r w:rsidRPr="00253E83">
              <w:rPr>
                <w:rFonts w:cs="Arial"/>
                <w:bCs/>
                <w:iCs/>
                <w:lang w:val="en-US"/>
              </w:rPr>
              <w:t xml:space="preserve">on </w:t>
            </w:r>
            <w:r w:rsidRPr="00253E83">
              <w:rPr>
                <w:rFonts w:cs="Arial"/>
                <w:bCs/>
                <w:iCs/>
                <w:highlight w:val="green"/>
                <w:lang w:val="en-US"/>
              </w:rPr>
              <w:t>[date to be completed]</w:t>
            </w:r>
            <w:r w:rsidRPr="00253E83">
              <w:rPr>
                <w:rFonts w:cs="Arial"/>
                <w:bCs/>
                <w:iCs/>
                <w:lang w:val="en-US"/>
              </w:rPr>
              <w:t>].</w:t>
            </w:r>
          </w:p>
          <w:p w14:paraId="3C1ABF12" w14:textId="6920D90C" w:rsidR="00253E83" w:rsidRDefault="00253E83" w:rsidP="00792754">
            <w:pPr>
              <w:contextualSpacing/>
              <w:rPr>
                <w:rFonts w:cs="Arial"/>
                <w:bCs/>
                <w:iCs/>
                <w:lang w:val="en-US"/>
              </w:rPr>
            </w:pPr>
          </w:p>
          <w:p w14:paraId="701D0CDC" w14:textId="6802BD2A" w:rsidR="00232605" w:rsidRPr="00253E83" w:rsidRDefault="00253E83" w:rsidP="00722C02">
            <w:pPr>
              <w:autoSpaceDE w:val="0"/>
              <w:autoSpaceDN w:val="0"/>
              <w:adjustRightInd w:val="0"/>
              <w:rPr>
                <w:rFonts w:cs="Arial"/>
                <w:bCs/>
                <w:iCs/>
                <w:highlight w:val="yellow"/>
                <w:u w:val="single"/>
                <w:lang w:val="en-US"/>
              </w:rPr>
            </w:pPr>
            <w:r>
              <w:rPr>
                <w:rFonts w:cs="Arial"/>
              </w:rPr>
              <w:t xml:space="preserve">Finally, I undertake to inform the </w:t>
            </w:r>
            <w:r>
              <w:t xml:space="preserve">Bank </w:t>
            </w:r>
            <w:r w:rsidR="00722C02">
              <w:t xml:space="preserve">and the FSMA </w:t>
            </w:r>
            <w:r>
              <w:t>immediately of any major changes to the storage system relative to the information included in the aforementioned file.</w:t>
            </w:r>
          </w:p>
        </w:tc>
      </w:tr>
    </w:tbl>
    <w:p w14:paraId="64985980" w14:textId="77777777" w:rsidR="00335257" w:rsidRPr="00253E83" w:rsidRDefault="00335257" w:rsidP="00232605">
      <w:pPr>
        <w:rPr>
          <w:lang w:val="en-US"/>
        </w:rPr>
      </w:pPr>
    </w:p>
    <w:p w14:paraId="1F2251BE" w14:textId="77777777" w:rsidR="00232605" w:rsidRPr="004113C8" w:rsidRDefault="00232605" w:rsidP="00232605">
      <w:r>
        <w:t xml:space="preserve">Date: </w:t>
      </w:r>
      <w:r>
        <w:rPr>
          <w:highlight w:val="green"/>
        </w:rPr>
        <w:t>DD/MM/YYYYY]</w:t>
      </w:r>
    </w:p>
    <w:p w14:paraId="0F186DBE" w14:textId="43AE6129" w:rsidR="003E3ECF" w:rsidRDefault="003E3ECF" w:rsidP="00232605">
      <w:pPr>
        <w:rPr>
          <w:lang w:val="en-US"/>
        </w:rPr>
      </w:pPr>
    </w:p>
    <w:p w14:paraId="13D23DAF" w14:textId="77777777" w:rsidR="00335257" w:rsidRPr="00253E83" w:rsidRDefault="00335257" w:rsidP="00232605">
      <w:pPr>
        <w:rPr>
          <w:lang w:val="en-US"/>
        </w:rPr>
      </w:pPr>
    </w:p>
    <w:p w14:paraId="69308E28" w14:textId="77777777" w:rsidR="00232605" w:rsidRPr="004113C8" w:rsidRDefault="00232605" w:rsidP="00232605">
      <w:r>
        <w:t>___________________</w:t>
      </w:r>
    </w:p>
    <w:p w14:paraId="605A452F" w14:textId="3330BE6E" w:rsidR="00722C02" w:rsidRDefault="00232605" w:rsidP="00232605">
      <w:r>
        <w:rPr>
          <w:highlight w:val="green"/>
        </w:rPr>
        <w:t>[First and last name]</w:t>
      </w:r>
    </w:p>
    <w:p w14:paraId="741C37AF" w14:textId="3EAA9B69" w:rsidR="00232605" w:rsidRDefault="00232605">
      <w:r>
        <w:t>Chairman of the Management Committee of [</w:t>
      </w:r>
      <w:r w:rsidR="00722C02">
        <w:rPr>
          <w:highlight w:val="green"/>
        </w:rPr>
        <w:t>company</w:t>
      </w:r>
      <w:r>
        <w:t>]</w:t>
      </w:r>
    </w:p>
    <w:tbl>
      <w:tblPr>
        <w:tblStyle w:val="TableGrid2"/>
        <w:tblW w:w="14850" w:type="dxa"/>
        <w:tblLook w:val="04A0" w:firstRow="1" w:lastRow="0" w:firstColumn="1" w:lastColumn="0" w:noHBand="0" w:noVBand="1"/>
      </w:tblPr>
      <w:tblGrid>
        <w:gridCol w:w="14850"/>
      </w:tblGrid>
      <w:tr w:rsidR="00796C8B" w:rsidRPr="004113C8" w14:paraId="16A21600" w14:textId="77777777" w:rsidTr="003B036B">
        <w:trPr>
          <w:trHeight w:val="638"/>
        </w:trPr>
        <w:tc>
          <w:tcPr>
            <w:tcW w:w="14850" w:type="dxa"/>
            <w:shd w:val="clear" w:color="auto" w:fill="C6D9F1" w:themeFill="text2" w:themeFillTint="33"/>
          </w:tcPr>
          <w:p w14:paraId="2285EB0A" w14:textId="77777777" w:rsidR="00796C8B" w:rsidRPr="004113C8" w:rsidRDefault="00796C8B" w:rsidP="003B036B">
            <w:pPr>
              <w:jc w:val="center"/>
              <w:rPr>
                <w:b/>
                <w:sz w:val="28"/>
                <w:szCs w:val="28"/>
                <w:lang w:val="fr-BE"/>
              </w:rPr>
            </w:pPr>
            <w:r w:rsidRPr="004113C8">
              <w:rPr>
                <w:b/>
                <w:sz w:val="28"/>
                <w:szCs w:val="28"/>
                <w:lang w:val="fr-BE"/>
              </w:rPr>
              <w:lastRenderedPageBreak/>
              <w:t xml:space="preserve">Formulaire standard d’Attestation du Président du comité de direction concernant le respect des conditions d’application de la </w:t>
            </w:r>
            <w:r w:rsidRPr="001E1D7D">
              <w:rPr>
                <w:b/>
                <w:sz w:val="28"/>
                <w:szCs w:val="28"/>
                <w:u w:val="single"/>
                <w:lang w:val="fr-BE"/>
              </w:rPr>
              <w:t>procédure simplifiée</w:t>
            </w:r>
            <w:r w:rsidRPr="004113C8">
              <w:rPr>
                <w:b/>
                <w:sz w:val="28"/>
                <w:szCs w:val="28"/>
                <w:lang w:val="fr-BE"/>
              </w:rPr>
              <w:t xml:space="preserve"> d’autorisation d’une conservation </w:t>
            </w:r>
            <w:r w:rsidRPr="004113C8">
              <w:rPr>
                <w:b/>
                <w:sz w:val="28"/>
                <w:szCs w:val="28"/>
                <w:u w:val="single"/>
                <w:lang w:val="fr-BE"/>
              </w:rPr>
              <w:t>papier</w:t>
            </w:r>
            <w:r w:rsidRPr="004113C8">
              <w:rPr>
                <w:b/>
                <w:sz w:val="28"/>
                <w:szCs w:val="28"/>
                <w:lang w:val="fr-BE"/>
              </w:rPr>
              <w:t xml:space="preserve"> de documents d’assurance ou de réassurance dans un lieu autre que le siège</w:t>
            </w:r>
          </w:p>
          <w:p w14:paraId="0696AF7C" w14:textId="77777777" w:rsidR="00796C8B" w:rsidRPr="00E44FB1" w:rsidRDefault="00796C8B" w:rsidP="003B036B">
            <w:pPr>
              <w:spacing w:line="240" w:lineRule="auto"/>
              <w:jc w:val="center"/>
              <w:rPr>
                <w:b/>
                <w:sz w:val="10"/>
                <w:szCs w:val="32"/>
                <w:lang w:val="fr-BE"/>
              </w:rPr>
            </w:pPr>
          </w:p>
          <w:p w14:paraId="5DD6DB25" w14:textId="77777777" w:rsidR="00796C8B" w:rsidRPr="004113C8" w:rsidRDefault="00796C8B" w:rsidP="003B036B">
            <w:pPr>
              <w:jc w:val="center"/>
              <w:rPr>
                <w:b/>
                <w:lang w:val="fr-BE"/>
              </w:rPr>
            </w:pPr>
            <w:r w:rsidRPr="004113C8">
              <w:rPr>
                <w:b/>
                <w:lang w:val="fr-BE"/>
              </w:rPr>
              <w:t xml:space="preserve">Entreprise : </w:t>
            </w:r>
            <w:r w:rsidRPr="004113C8">
              <w:rPr>
                <w:b/>
                <w:highlight w:val="green"/>
                <w:lang w:val="fr-BE"/>
              </w:rPr>
              <w:t>A COMPLÉTER</w:t>
            </w:r>
          </w:p>
        </w:tc>
      </w:tr>
      <w:tr w:rsidR="00796C8B" w:rsidRPr="00796C8B" w14:paraId="2DD4A434" w14:textId="77777777" w:rsidTr="003B036B">
        <w:trPr>
          <w:trHeight w:val="319"/>
        </w:trPr>
        <w:tc>
          <w:tcPr>
            <w:tcW w:w="14850" w:type="dxa"/>
          </w:tcPr>
          <w:p w14:paraId="6332C5A1" w14:textId="77777777" w:rsidR="00796C8B" w:rsidRPr="004113C8" w:rsidRDefault="00796C8B" w:rsidP="003B036B">
            <w:pPr>
              <w:rPr>
                <w:lang w:val="fr-BE"/>
              </w:rPr>
            </w:pPr>
            <w:r w:rsidRPr="004113C8">
              <w:rPr>
                <w:i/>
                <w:sz w:val="16"/>
                <w:szCs w:val="16"/>
                <w:lang w:val="fr-BE"/>
              </w:rPr>
              <w:t xml:space="preserve">La présente attestation a pour objet de mettre en œuvre l’article 3, §2 du Règlement de la Banque nationale de Belgique du 12 mai 2020 relatif au lieu de conservation des documents d’assurance ou de réassurance (approuvé par l’arrêté royal daté du </w:t>
            </w:r>
            <w:r>
              <w:rPr>
                <w:i/>
                <w:sz w:val="16"/>
                <w:szCs w:val="16"/>
                <w:lang w:val="fr-BE"/>
              </w:rPr>
              <w:t>31 juillet 2020</w:t>
            </w:r>
            <w:r w:rsidRPr="004113C8">
              <w:rPr>
                <w:i/>
                <w:sz w:val="16"/>
                <w:szCs w:val="16"/>
                <w:lang w:val="fr-BE"/>
              </w:rPr>
              <w:t>)</w:t>
            </w:r>
            <w:r>
              <w:rPr>
                <w:i/>
                <w:sz w:val="16"/>
                <w:szCs w:val="16"/>
                <w:lang w:val="fr-FR"/>
              </w:rPr>
              <w:t xml:space="preserve"> ainsi que l’article 3, §2, du Règlement de l’Autorité des services et marchés financiers du 30 juin 2020 relatif au lieu de conservation des documents d’assurance (approuvé par arrêté royal daté du 31 juillet 2020)</w:t>
            </w:r>
            <w:r w:rsidRPr="004113C8">
              <w:rPr>
                <w:i/>
                <w:sz w:val="16"/>
                <w:szCs w:val="16"/>
                <w:lang w:val="fr-BE"/>
              </w:rPr>
              <w:t xml:space="preserve">. </w:t>
            </w:r>
          </w:p>
        </w:tc>
      </w:tr>
      <w:tr w:rsidR="00796C8B" w:rsidRPr="00796C8B" w14:paraId="4AFF6E62" w14:textId="77777777" w:rsidTr="003B036B">
        <w:trPr>
          <w:trHeight w:val="319"/>
        </w:trPr>
        <w:tc>
          <w:tcPr>
            <w:tcW w:w="14850" w:type="dxa"/>
          </w:tcPr>
          <w:p w14:paraId="51AC3C40" w14:textId="77777777" w:rsidR="00796C8B" w:rsidRPr="004113C8" w:rsidRDefault="00796C8B" w:rsidP="003B036B">
            <w:pPr>
              <w:contextualSpacing/>
              <w:rPr>
                <w:rFonts w:cs="Arial"/>
                <w:bCs/>
                <w:iCs/>
                <w:lang w:val="fr-BE"/>
              </w:rPr>
            </w:pPr>
            <w:r w:rsidRPr="004113C8">
              <w:rPr>
                <w:rFonts w:cs="Arial"/>
                <w:bCs/>
                <w:iCs/>
                <w:lang w:val="fr-BE"/>
              </w:rPr>
              <w:t xml:space="preserve">Par la présente attestation, je confirme que les conditions suivantes permettant l’application de la procédure simplifiée d’autorisation d’une conservation </w:t>
            </w:r>
            <w:r>
              <w:rPr>
                <w:rFonts w:cs="Arial"/>
                <w:bCs/>
                <w:iCs/>
                <w:lang w:val="fr-BE"/>
              </w:rPr>
              <w:t>papier</w:t>
            </w:r>
            <w:r w:rsidRPr="004113C8">
              <w:rPr>
                <w:rFonts w:cs="Arial"/>
                <w:bCs/>
                <w:iCs/>
                <w:lang w:val="fr-BE"/>
              </w:rPr>
              <w:t xml:space="preserve"> de documents d’assurance ou de réassurance sont remplies:</w:t>
            </w:r>
          </w:p>
          <w:p w14:paraId="57904987" w14:textId="77777777" w:rsidR="00796C8B" w:rsidRPr="004113C8" w:rsidRDefault="00796C8B" w:rsidP="003B036B">
            <w:pPr>
              <w:contextualSpacing/>
              <w:rPr>
                <w:rFonts w:cs="Arial"/>
                <w:bCs/>
                <w:iCs/>
                <w:lang w:val="fr-BE"/>
              </w:rPr>
            </w:pPr>
          </w:p>
          <w:p w14:paraId="5561978F" w14:textId="77777777" w:rsidR="00796C8B" w:rsidRPr="004113C8" w:rsidRDefault="00796C8B" w:rsidP="003B036B">
            <w:pPr>
              <w:numPr>
                <w:ilvl w:val="0"/>
                <w:numId w:val="13"/>
              </w:numPr>
              <w:spacing w:line="240" w:lineRule="auto"/>
              <w:rPr>
                <w:rFonts w:cstheme="minorHAnsi"/>
                <w:lang w:val="fr-BE"/>
              </w:rPr>
            </w:pPr>
            <w:r w:rsidRPr="004113C8">
              <w:rPr>
                <w:rFonts w:cstheme="minorHAnsi"/>
                <w:lang w:val="fr-BE"/>
              </w:rPr>
              <w:t>les documents relatifs à un même portefeuille d’activités sont conservés au même endroit ;</w:t>
            </w:r>
          </w:p>
          <w:p w14:paraId="1C0028C9" w14:textId="77777777" w:rsidR="00796C8B" w:rsidRPr="004113C8" w:rsidRDefault="00796C8B" w:rsidP="003B036B">
            <w:pPr>
              <w:numPr>
                <w:ilvl w:val="0"/>
                <w:numId w:val="13"/>
              </w:numPr>
              <w:spacing w:line="240" w:lineRule="auto"/>
              <w:rPr>
                <w:rFonts w:cstheme="minorHAnsi"/>
                <w:lang w:val="fr-BE"/>
              </w:rPr>
            </w:pPr>
            <w:r w:rsidRPr="004113C8">
              <w:rPr>
                <w:rFonts w:cstheme="minorHAnsi"/>
                <w:lang w:val="fr-BE"/>
              </w:rPr>
              <w:t>le</w:t>
            </w:r>
            <w:r w:rsidRPr="004113C8">
              <w:rPr>
                <w:rFonts w:cstheme="minorHAnsi"/>
                <w:highlight w:val="green"/>
                <w:lang w:val="fr-BE"/>
              </w:rPr>
              <w:t>[s]</w:t>
            </w:r>
            <w:r w:rsidRPr="004113C8">
              <w:rPr>
                <w:rFonts w:cstheme="minorHAnsi"/>
                <w:lang w:val="fr-BE"/>
              </w:rPr>
              <w:t xml:space="preserve"> lieu</w:t>
            </w:r>
            <w:r w:rsidRPr="004113C8">
              <w:rPr>
                <w:rFonts w:cstheme="minorHAnsi"/>
                <w:highlight w:val="green"/>
                <w:lang w:val="fr-BE"/>
              </w:rPr>
              <w:t>[x]</w:t>
            </w:r>
            <w:r w:rsidRPr="004113C8">
              <w:rPr>
                <w:rFonts w:cstheme="minorHAnsi"/>
                <w:lang w:val="fr-BE"/>
              </w:rPr>
              <w:t xml:space="preserve"> de conservation </w:t>
            </w:r>
            <w:r w:rsidRPr="004113C8">
              <w:rPr>
                <w:rFonts w:cstheme="minorHAnsi"/>
                <w:highlight w:val="green"/>
                <w:lang w:val="fr-BE"/>
              </w:rPr>
              <w:t>[est/sont]</w:t>
            </w:r>
            <w:r w:rsidRPr="004113C8">
              <w:rPr>
                <w:rFonts w:cstheme="minorHAnsi"/>
                <w:lang w:val="fr-BE"/>
              </w:rPr>
              <w:t xml:space="preserve"> accessible</w:t>
            </w:r>
            <w:r w:rsidRPr="004113C8">
              <w:rPr>
                <w:rFonts w:cstheme="minorHAnsi"/>
                <w:highlight w:val="green"/>
                <w:lang w:val="fr-BE"/>
              </w:rPr>
              <w:t>[s]</w:t>
            </w:r>
            <w:r w:rsidRPr="004113C8">
              <w:rPr>
                <w:rFonts w:cstheme="minorHAnsi"/>
                <w:lang w:val="fr-BE"/>
              </w:rPr>
              <w:t xml:space="preserve"> à la Banque, à la FSMA et aux autorités judiciaires et respecte</w:t>
            </w:r>
            <w:r w:rsidRPr="004113C8">
              <w:rPr>
                <w:rFonts w:cstheme="minorHAnsi"/>
                <w:highlight w:val="green"/>
                <w:lang w:val="fr-BE"/>
              </w:rPr>
              <w:t>[nt]</w:t>
            </w:r>
            <w:r w:rsidRPr="004113C8">
              <w:rPr>
                <w:rFonts w:cstheme="minorHAnsi"/>
                <w:lang w:val="fr-BE"/>
              </w:rPr>
              <w:t xml:space="preserve"> des mesures de protection contre le feu visant à garantir l’intégrité des documents ;</w:t>
            </w:r>
          </w:p>
          <w:p w14:paraId="4D2966B5" w14:textId="77777777" w:rsidR="00796C8B" w:rsidRPr="004113C8" w:rsidRDefault="00796C8B" w:rsidP="003B036B">
            <w:pPr>
              <w:numPr>
                <w:ilvl w:val="0"/>
                <w:numId w:val="13"/>
              </w:numPr>
              <w:spacing w:line="240" w:lineRule="auto"/>
              <w:rPr>
                <w:rFonts w:cstheme="minorHAnsi"/>
                <w:lang w:val="fr-BE"/>
              </w:rPr>
            </w:pPr>
            <w:r w:rsidRPr="004113C8">
              <w:rPr>
                <w:rFonts w:cstheme="minorHAnsi"/>
                <w:lang w:val="fr-BE"/>
              </w:rPr>
              <w:t xml:space="preserve">la condition qui prévoit que, si tous les documents ne sont pas également conservés sur des supports IT localisés en Belgique ou dans l’EEE offrant des garanties de sécurité et de confidentialité, le(s) lieu(x) de conservation doi(ven)t se situer en Belgique est </w:t>
            </w:r>
            <w:r w:rsidRPr="004113C8">
              <w:rPr>
                <w:rFonts w:cstheme="minorHAnsi"/>
                <w:highlight w:val="green"/>
                <w:lang w:val="fr-BE"/>
              </w:rPr>
              <w:t>[respectée]</w:t>
            </w:r>
            <w:r w:rsidRPr="004113C8">
              <w:rPr>
                <w:rFonts w:cstheme="minorHAnsi"/>
                <w:lang w:val="fr-BE"/>
              </w:rPr>
              <w:t xml:space="preserve"> </w:t>
            </w:r>
            <w:r>
              <w:rPr>
                <w:rFonts w:cstheme="minorHAnsi"/>
                <w:lang w:val="fr-BE"/>
              </w:rPr>
              <w:t>ou</w:t>
            </w:r>
            <w:r w:rsidRPr="004113C8">
              <w:rPr>
                <w:rFonts w:cstheme="minorHAnsi"/>
                <w:lang w:val="fr-BE"/>
              </w:rPr>
              <w:t xml:space="preserve"> </w:t>
            </w:r>
            <w:r w:rsidRPr="004113C8">
              <w:rPr>
                <w:rFonts w:cstheme="minorHAnsi"/>
                <w:highlight w:val="green"/>
                <w:lang w:val="fr-BE"/>
              </w:rPr>
              <w:t>[non-</w:t>
            </w:r>
            <w:r>
              <w:rPr>
                <w:rFonts w:cstheme="minorHAnsi"/>
                <w:highlight w:val="green"/>
                <w:lang w:val="fr-BE"/>
              </w:rPr>
              <w:t>applicable</w:t>
            </w:r>
            <w:r w:rsidRPr="004113C8">
              <w:rPr>
                <w:rFonts w:cstheme="minorHAnsi"/>
                <w:highlight w:val="green"/>
                <w:lang w:val="fr-BE"/>
              </w:rPr>
              <w:t xml:space="preserve"> car tous les documents sont également conservés sur des supports IT localisés en Belgique ou dans l’EEE offrant des garanties de sécurité et de confidentialité]</w:t>
            </w:r>
            <w:r w:rsidRPr="004113C8">
              <w:rPr>
                <w:rFonts w:cstheme="minorHAnsi"/>
                <w:lang w:val="fr-BE"/>
              </w:rPr>
              <w:t> </w:t>
            </w:r>
            <w:r w:rsidRPr="00676B4F">
              <w:rPr>
                <w:rFonts w:cstheme="minorHAnsi"/>
                <w:highlight w:val="yellow"/>
                <w:lang w:val="fr-BE"/>
              </w:rPr>
              <w:t>[S</w:t>
            </w:r>
            <w:r>
              <w:rPr>
                <w:rFonts w:cstheme="minorHAnsi"/>
                <w:highlight w:val="yellow"/>
                <w:lang w:val="fr-BE"/>
              </w:rPr>
              <w:t>upprimer ce qui n’est pas applicable</w:t>
            </w:r>
            <w:r w:rsidRPr="00676B4F">
              <w:rPr>
                <w:rFonts w:cstheme="minorHAnsi"/>
                <w:highlight w:val="yellow"/>
                <w:lang w:val="fr-BE"/>
              </w:rPr>
              <w:t>]</w:t>
            </w:r>
            <w:r>
              <w:rPr>
                <w:rFonts w:cstheme="minorHAnsi"/>
                <w:lang w:val="fr-BE"/>
              </w:rPr>
              <w:t xml:space="preserve"> </w:t>
            </w:r>
            <w:r w:rsidRPr="004113C8">
              <w:rPr>
                <w:rFonts w:cstheme="minorHAnsi"/>
                <w:lang w:val="fr-BE"/>
              </w:rPr>
              <w:t xml:space="preserve">; </w:t>
            </w:r>
          </w:p>
          <w:p w14:paraId="485616BA" w14:textId="77777777" w:rsidR="00796C8B" w:rsidRPr="004113C8" w:rsidRDefault="00796C8B" w:rsidP="003B036B">
            <w:pPr>
              <w:numPr>
                <w:ilvl w:val="0"/>
                <w:numId w:val="13"/>
              </w:numPr>
              <w:spacing w:line="240" w:lineRule="auto"/>
              <w:rPr>
                <w:rFonts w:cstheme="minorHAnsi"/>
                <w:lang w:val="fr-BE"/>
              </w:rPr>
            </w:pPr>
            <w:r w:rsidRPr="004113C8">
              <w:rPr>
                <w:rFonts w:cstheme="minorHAnsi"/>
                <w:lang w:val="fr-BE"/>
              </w:rPr>
              <w:t xml:space="preserve">les mesures de sécurité et de continuité font l’objet d’un contrôle périodique par </w:t>
            </w:r>
            <w:r w:rsidRPr="004113C8">
              <w:rPr>
                <w:rFonts w:cstheme="minorHAnsi"/>
                <w:highlight w:val="green"/>
                <w:lang w:val="fr-BE"/>
              </w:rPr>
              <w:t>[l’entreprise]</w:t>
            </w:r>
            <w:r w:rsidRPr="004113C8">
              <w:rPr>
                <w:rFonts w:cstheme="minorHAnsi"/>
                <w:lang w:val="fr-BE"/>
              </w:rPr>
              <w:t xml:space="preserve"> ; </w:t>
            </w:r>
          </w:p>
          <w:p w14:paraId="29B2C9C5" w14:textId="77777777" w:rsidR="00796C8B" w:rsidRPr="004113C8" w:rsidRDefault="00796C8B" w:rsidP="003B036B">
            <w:pPr>
              <w:numPr>
                <w:ilvl w:val="0"/>
                <w:numId w:val="13"/>
              </w:numPr>
              <w:spacing w:line="240" w:lineRule="auto"/>
              <w:rPr>
                <w:rFonts w:cstheme="minorHAnsi"/>
                <w:highlight w:val="green"/>
                <w:lang w:val="fr-BE"/>
              </w:rPr>
            </w:pPr>
            <w:r w:rsidRPr="00676B4F">
              <w:rPr>
                <w:rFonts w:cstheme="minorHAnsi"/>
                <w:highlight w:val="yellow"/>
                <w:lang w:val="fr-BE"/>
              </w:rPr>
              <w:t>[</w:t>
            </w:r>
            <w:r>
              <w:rPr>
                <w:rFonts w:cstheme="minorHAnsi"/>
                <w:highlight w:val="yellow"/>
                <w:lang w:val="fr-BE"/>
              </w:rPr>
              <w:t>E</w:t>
            </w:r>
            <w:r w:rsidRPr="00676B4F">
              <w:rPr>
                <w:rFonts w:cstheme="minorHAnsi"/>
                <w:highlight w:val="yellow"/>
                <w:lang w:val="fr-BE"/>
              </w:rPr>
              <w:t>n cas de sous-traitance </w:t>
            </w:r>
            <w:r>
              <w:rPr>
                <w:rFonts w:cstheme="minorHAnsi"/>
                <w:highlight w:val="green"/>
                <w:lang w:val="fr-BE"/>
              </w:rPr>
              <w:t>:</w:t>
            </w:r>
            <w:r w:rsidRPr="004113C8">
              <w:rPr>
                <w:rFonts w:cstheme="minorHAnsi"/>
                <w:highlight w:val="green"/>
                <w:lang w:val="fr-BE"/>
              </w:rPr>
              <w:t xml:space="preserve"> une convention </w:t>
            </w:r>
            <w:r>
              <w:rPr>
                <w:rFonts w:cstheme="minorHAnsi"/>
                <w:highlight w:val="green"/>
                <w:lang w:val="fr-BE"/>
              </w:rPr>
              <w:t xml:space="preserve">de sous-traitance </w:t>
            </w:r>
            <w:r w:rsidRPr="004113C8">
              <w:rPr>
                <w:rFonts w:cstheme="minorHAnsi"/>
                <w:highlight w:val="green"/>
                <w:lang w:val="fr-BE"/>
              </w:rPr>
              <w:t>est conclue entre les deux parties pour régler la conservation des documents et les droits et obligations y relatifs.]</w:t>
            </w:r>
          </w:p>
          <w:p w14:paraId="4AF34922" w14:textId="77777777" w:rsidR="00796C8B" w:rsidRPr="00676B4F" w:rsidRDefault="00796C8B" w:rsidP="003B036B">
            <w:pPr>
              <w:contextualSpacing/>
              <w:rPr>
                <w:rFonts w:cs="Arial"/>
                <w:bCs/>
                <w:iCs/>
                <w:lang w:val="fr-BE"/>
              </w:rPr>
            </w:pPr>
          </w:p>
          <w:p w14:paraId="72496A86" w14:textId="77777777" w:rsidR="00796C8B" w:rsidRDefault="00796C8B" w:rsidP="003B036B">
            <w:pPr>
              <w:contextualSpacing/>
              <w:rPr>
                <w:rFonts w:cs="Arial"/>
                <w:bCs/>
                <w:iCs/>
                <w:lang w:val="fr-BE"/>
              </w:rPr>
            </w:pPr>
            <w:r w:rsidRPr="00676B4F">
              <w:rPr>
                <w:rFonts w:cs="Arial"/>
                <w:bCs/>
                <w:iCs/>
                <w:lang w:val="fr-BE"/>
              </w:rPr>
              <w:t xml:space="preserve">Cette </w:t>
            </w:r>
            <w:r>
              <w:rPr>
                <w:rFonts w:cs="Arial"/>
                <w:bCs/>
                <w:iCs/>
                <w:lang w:val="fr-BE"/>
              </w:rPr>
              <w:t>attestation</w:t>
            </w:r>
            <w:r w:rsidRPr="00676B4F">
              <w:rPr>
                <w:rFonts w:cs="Arial"/>
                <w:bCs/>
                <w:iCs/>
                <w:lang w:val="fr-BE"/>
              </w:rPr>
              <w:t xml:space="preserve"> concerne </w:t>
            </w:r>
            <w:r>
              <w:rPr>
                <w:rFonts w:cs="Arial"/>
                <w:bCs/>
                <w:iCs/>
                <w:lang w:val="fr-BE"/>
              </w:rPr>
              <w:t>la conservation papier qui a lieu à</w:t>
            </w:r>
            <w:r w:rsidRPr="00676B4F">
              <w:rPr>
                <w:rFonts w:cs="Arial"/>
                <w:bCs/>
                <w:iCs/>
                <w:lang w:val="fr-BE"/>
              </w:rPr>
              <w:t xml:space="preserve"> </w:t>
            </w:r>
            <w:r w:rsidRPr="00676B4F">
              <w:rPr>
                <w:rFonts w:cs="Arial"/>
                <w:bCs/>
                <w:iCs/>
                <w:highlight w:val="green"/>
                <w:lang w:val="fr-BE"/>
              </w:rPr>
              <w:t>[</w:t>
            </w:r>
            <w:r>
              <w:rPr>
                <w:rFonts w:cs="Arial"/>
                <w:bCs/>
                <w:iCs/>
                <w:highlight w:val="green"/>
                <w:lang w:val="fr-BE"/>
              </w:rPr>
              <w:t>adresse à compléter</w:t>
            </w:r>
            <w:r w:rsidRPr="00676B4F">
              <w:rPr>
                <w:rFonts w:cs="Arial"/>
                <w:bCs/>
                <w:iCs/>
                <w:highlight w:val="green"/>
                <w:lang w:val="fr-BE"/>
              </w:rPr>
              <w:t>]</w:t>
            </w:r>
            <w:r>
              <w:rPr>
                <w:rFonts w:cs="Arial"/>
                <w:bCs/>
                <w:iCs/>
                <w:lang w:val="fr-BE"/>
              </w:rPr>
              <w:t xml:space="preserve"> dont le système de conservation est décrit dans le dossier (visé à l’article 3, § 2, des Règlements susmentionnés) transmis à la Banque en date du </w:t>
            </w:r>
            <w:r w:rsidRPr="00745EAB">
              <w:rPr>
                <w:rFonts w:cs="Arial"/>
                <w:bCs/>
                <w:iCs/>
                <w:highlight w:val="green"/>
                <w:lang w:val="fr-BE"/>
              </w:rPr>
              <w:t>[référence à compléter]</w:t>
            </w:r>
            <w:r>
              <w:rPr>
                <w:rFonts w:cs="Arial"/>
                <w:bCs/>
                <w:iCs/>
                <w:lang w:val="fr-BE"/>
              </w:rPr>
              <w:t xml:space="preserve"> et à la FSMA en date du </w:t>
            </w:r>
            <w:r w:rsidRPr="00745EAB">
              <w:rPr>
                <w:rFonts w:cs="Arial"/>
                <w:bCs/>
                <w:iCs/>
                <w:highlight w:val="green"/>
                <w:lang w:val="fr-BE"/>
              </w:rPr>
              <w:t>[référence à compléter]</w:t>
            </w:r>
            <w:r>
              <w:rPr>
                <w:rFonts w:cs="Arial"/>
                <w:bCs/>
                <w:iCs/>
                <w:lang w:val="fr-BE"/>
              </w:rPr>
              <w:t>.</w:t>
            </w:r>
          </w:p>
          <w:p w14:paraId="05889A55" w14:textId="77777777" w:rsidR="00796C8B" w:rsidRDefault="00796C8B" w:rsidP="003B036B">
            <w:pPr>
              <w:contextualSpacing/>
              <w:rPr>
                <w:rFonts w:cs="Arial"/>
                <w:bCs/>
                <w:iCs/>
                <w:lang w:val="fr-BE"/>
              </w:rPr>
            </w:pPr>
          </w:p>
          <w:p w14:paraId="649567E6" w14:textId="77777777" w:rsidR="00796C8B" w:rsidRPr="00676B4F" w:rsidRDefault="00796C8B" w:rsidP="003B036B">
            <w:pPr>
              <w:contextualSpacing/>
              <w:rPr>
                <w:rFonts w:cs="Arial"/>
                <w:bCs/>
                <w:iCs/>
                <w:lang w:val="fr-BE"/>
              </w:rPr>
            </w:pPr>
            <w:r>
              <w:rPr>
                <w:rFonts w:cs="Arial"/>
                <w:bCs/>
                <w:iCs/>
                <w:lang w:val="fr-BE"/>
              </w:rPr>
              <w:t>[</w:t>
            </w:r>
            <w:r w:rsidRPr="005351D8">
              <w:rPr>
                <w:rFonts w:cs="Arial"/>
                <w:bCs/>
                <w:iCs/>
                <w:highlight w:val="yellow"/>
                <w:lang w:val="fr-BE"/>
              </w:rPr>
              <w:t xml:space="preserve">A ajouter en cas </w:t>
            </w:r>
            <w:r w:rsidRPr="00676B4F">
              <w:rPr>
                <w:rFonts w:cs="Arial"/>
                <w:bCs/>
                <w:iCs/>
                <w:highlight w:val="yellow"/>
                <w:lang w:val="fr-BE"/>
              </w:rPr>
              <w:t>de sous-</w:t>
            </w:r>
            <w:r w:rsidRPr="005351D8">
              <w:rPr>
                <w:rFonts w:cs="Arial"/>
                <w:bCs/>
                <w:iCs/>
                <w:highlight w:val="yellow"/>
                <w:lang w:val="fr-BE"/>
              </w:rPr>
              <w:t>traitance :</w:t>
            </w:r>
            <w:r>
              <w:rPr>
                <w:rFonts w:cs="Arial"/>
                <w:bCs/>
                <w:iCs/>
                <w:lang w:val="fr-BE"/>
              </w:rPr>
              <w:t xml:space="preserve"> </w:t>
            </w:r>
            <w:r w:rsidRPr="00676B4F">
              <w:rPr>
                <w:rFonts w:cs="Arial"/>
                <w:bCs/>
                <w:iCs/>
                <w:lang w:val="fr-BE"/>
              </w:rPr>
              <w:t xml:space="preserve">Le dossier de notification </w:t>
            </w:r>
            <w:r>
              <w:rPr>
                <w:rFonts w:cs="Arial"/>
                <w:bCs/>
                <w:iCs/>
                <w:lang w:val="fr-BE"/>
              </w:rPr>
              <w:t xml:space="preserve">« sous-traitance » a été </w:t>
            </w:r>
            <w:r w:rsidRPr="00676B4F">
              <w:rPr>
                <w:rFonts w:cs="Arial"/>
                <w:bCs/>
                <w:iCs/>
                <w:lang w:val="fr-BE"/>
              </w:rPr>
              <w:t>remis</w:t>
            </w:r>
            <w:r>
              <w:rPr>
                <w:rFonts w:cs="Arial"/>
                <w:bCs/>
                <w:iCs/>
                <w:lang w:val="fr-BE"/>
              </w:rPr>
              <w:t xml:space="preserve"> à la Banque</w:t>
            </w:r>
            <w:r w:rsidRPr="00676B4F">
              <w:rPr>
                <w:rFonts w:cs="Arial"/>
                <w:bCs/>
                <w:iCs/>
                <w:lang w:val="fr-BE"/>
              </w:rPr>
              <w:t xml:space="preserve"> le </w:t>
            </w:r>
            <w:r w:rsidRPr="00B745DB">
              <w:rPr>
                <w:rFonts w:cs="Arial"/>
                <w:bCs/>
                <w:iCs/>
                <w:highlight w:val="green"/>
                <w:lang w:val="fr-BE"/>
              </w:rPr>
              <w:t>[</w:t>
            </w:r>
            <w:r>
              <w:rPr>
                <w:rFonts w:cs="Arial"/>
                <w:bCs/>
                <w:iCs/>
                <w:highlight w:val="green"/>
                <w:lang w:val="fr-BE"/>
              </w:rPr>
              <w:t>date à compléter</w:t>
            </w:r>
            <w:r w:rsidRPr="00B745DB">
              <w:rPr>
                <w:rFonts w:cs="Arial"/>
                <w:bCs/>
                <w:iCs/>
                <w:highlight w:val="green"/>
                <w:lang w:val="fr-BE"/>
              </w:rPr>
              <w:t>]</w:t>
            </w:r>
            <w:r>
              <w:rPr>
                <w:rFonts w:cs="Arial"/>
                <w:bCs/>
                <w:iCs/>
                <w:lang w:val="fr-BE"/>
              </w:rPr>
              <w:t>]</w:t>
            </w:r>
            <w:r w:rsidRPr="00676B4F">
              <w:rPr>
                <w:rFonts w:cs="Arial"/>
                <w:bCs/>
                <w:iCs/>
                <w:lang w:val="fr-BE"/>
              </w:rPr>
              <w:t>.</w:t>
            </w:r>
          </w:p>
          <w:p w14:paraId="52BFC529" w14:textId="77777777" w:rsidR="00796C8B" w:rsidRDefault="00796C8B" w:rsidP="003B036B">
            <w:pPr>
              <w:contextualSpacing/>
              <w:rPr>
                <w:rFonts w:cs="Arial"/>
                <w:bCs/>
                <w:iCs/>
                <w:highlight w:val="yellow"/>
                <w:u w:val="single"/>
                <w:lang w:val="fr-BE"/>
              </w:rPr>
            </w:pPr>
          </w:p>
          <w:p w14:paraId="21FB913C" w14:textId="77777777" w:rsidR="00796C8B" w:rsidRPr="004113C8" w:rsidRDefault="00796C8B" w:rsidP="003B036B">
            <w:pPr>
              <w:contextualSpacing/>
              <w:rPr>
                <w:rFonts w:cs="Arial"/>
                <w:bCs/>
                <w:iCs/>
                <w:highlight w:val="yellow"/>
                <w:u w:val="single"/>
                <w:lang w:val="fr-BE"/>
              </w:rPr>
            </w:pPr>
            <w:r>
              <w:rPr>
                <w:rFonts w:cs="Arial"/>
                <w:bCs/>
                <w:iCs/>
                <w:lang w:val="fr-BE"/>
              </w:rPr>
              <w:t>Enfin, je m’engage à porter immédiatement à la connaissance de la Banque et de la FSMA les changements majeurs qui seraient apportés au système de conservation par rapport aux informations reprises dans le dossier susmentionné.</w:t>
            </w:r>
          </w:p>
        </w:tc>
      </w:tr>
    </w:tbl>
    <w:p w14:paraId="443A794C" w14:textId="77777777" w:rsidR="00796C8B" w:rsidRPr="004113C8" w:rsidRDefault="00796C8B" w:rsidP="00796C8B">
      <w:pPr>
        <w:rPr>
          <w:lang w:val="fr-BE"/>
        </w:rPr>
      </w:pPr>
    </w:p>
    <w:p w14:paraId="124C2E55" w14:textId="77777777" w:rsidR="00796C8B" w:rsidRDefault="00796C8B" w:rsidP="00796C8B">
      <w:pPr>
        <w:rPr>
          <w:lang w:val="fr-BE"/>
        </w:rPr>
      </w:pPr>
      <w:r w:rsidRPr="004113C8">
        <w:rPr>
          <w:lang w:val="fr-BE"/>
        </w:rPr>
        <w:t xml:space="preserve">Date: </w:t>
      </w:r>
      <w:r w:rsidRPr="004113C8">
        <w:rPr>
          <w:highlight w:val="green"/>
          <w:lang w:val="fr-BE"/>
        </w:rPr>
        <w:t>[JJ/MM/AAAA]</w:t>
      </w:r>
    </w:p>
    <w:p w14:paraId="0F9A1E91" w14:textId="77777777" w:rsidR="00796C8B" w:rsidRDefault="00796C8B" w:rsidP="00796C8B">
      <w:pPr>
        <w:rPr>
          <w:lang w:val="fr-BE"/>
        </w:rPr>
      </w:pPr>
    </w:p>
    <w:p w14:paraId="2693502F" w14:textId="77777777" w:rsidR="00796C8B" w:rsidRPr="004113C8" w:rsidRDefault="00796C8B" w:rsidP="00796C8B">
      <w:pPr>
        <w:rPr>
          <w:lang w:val="fr-BE"/>
        </w:rPr>
      </w:pPr>
    </w:p>
    <w:p w14:paraId="7C77D4B1" w14:textId="77777777" w:rsidR="00796C8B" w:rsidRDefault="00796C8B" w:rsidP="00796C8B">
      <w:pPr>
        <w:rPr>
          <w:lang w:val="fr-BE"/>
        </w:rPr>
      </w:pPr>
      <w:r w:rsidRPr="004113C8">
        <w:rPr>
          <w:lang w:val="fr-BE"/>
        </w:rPr>
        <w:t>___________________</w:t>
      </w:r>
    </w:p>
    <w:p w14:paraId="1C277E4B" w14:textId="77777777" w:rsidR="00796C8B" w:rsidRPr="004113C8" w:rsidRDefault="00796C8B" w:rsidP="00796C8B">
      <w:pPr>
        <w:rPr>
          <w:lang w:val="fr-BE"/>
        </w:rPr>
      </w:pPr>
      <w:r w:rsidRPr="004113C8">
        <w:rPr>
          <w:highlight w:val="green"/>
          <w:lang w:val="fr-BE"/>
        </w:rPr>
        <w:t>[Nom et Prénom]</w:t>
      </w:r>
    </w:p>
    <w:p w14:paraId="3224BD9E" w14:textId="77777777" w:rsidR="00796C8B" w:rsidRPr="004113C8" w:rsidRDefault="00796C8B" w:rsidP="00796C8B">
      <w:pPr>
        <w:rPr>
          <w:lang w:val="fr-BE"/>
        </w:rPr>
      </w:pPr>
      <w:r w:rsidRPr="004113C8">
        <w:rPr>
          <w:lang w:val="fr-BE"/>
        </w:rPr>
        <w:t>Président du comité de direction de [</w:t>
      </w:r>
      <w:r w:rsidRPr="004113C8">
        <w:rPr>
          <w:highlight w:val="green"/>
          <w:lang w:val="fr-BE"/>
        </w:rPr>
        <w:t>entreprise</w:t>
      </w:r>
      <w:r w:rsidRPr="004113C8">
        <w:rPr>
          <w:lang w:val="fr-BE"/>
        </w:rPr>
        <w:t>]</w:t>
      </w:r>
    </w:p>
    <w:tbl>
      <w:tblPr>
        <w:tblStyle w:val="TableGrid2"/>
        <w:tblW w:w="14850" w:type="dxa"/>
        <w:tblLook w:val="04A0" w:firstRow="1" w:lastRow="0" w:firstColumn="1" w:lastColumn="0" w:noHBand="0" w:noVBand="1"/>
      </w:tblPr>
      <w:tblGrid>
        <w:gridCol w:w="14850"/>
      </w:tblGrid>
      <w:tr w:rsidR="00796C8B" w:rsidRPr="004113C8" w14:paraId="6F629F6F" w14:textId="77777777" w:rsidTr="003B036B">
        <w:trPr>
          <w:trHeight w:val="638"/>
        </w:trPr>
        <w:tc>
          <w:tcPr>
            <w:tcW w:w="14850" w:type="dxa"/>
            <w:shd w:val="clear" w:color="auto" w:fill="C6D9F1" w:themeFill="text2" w:themeFillTint="33"/>
          </w:tcPr>
          <w:p w14:paraId="12C69290" w14:textId="77777777" w:rsidR="00796C8B" w:rsidRPr="00796C8B" w:rsidRDefault="00796C8B" w:rsidP="003B036B">
            <w:pPr>
              <w:jc w:val="center"/>
              <w:rPr>
                <w:b/>
                <w:sz w:val="28"/>
                <w:szCs w:val="28"/>
                <w:lang w:val="nl-BE"/>
              </w:rPr>
            </w:pPr>
            <w:r w:rsidRPr="00796C8B">
              <w:rPr>
                <w:b/>
                <w:sz w:val="28"/>
                <w:szCs w:val="28"/>
                <w:lang w:val="nl-BE"/>
              </w:rPr>
              <w:lastRenderedPageBreak/>
              <w:t xml:space="preserve">Standaardformulier voor de verklaring van de voorzitter van het directiecomité met betrekking tot de naleving van de voorwaarden voor de toepassing van de </w:t>
            </w:r>
            <w:r w:rsidRPr="00796C8B">
              <w:rPr>
                <w:b/>
                <w:sz w:val="28"/>
                <w:szCs w:val="28"/>
                <w:u w:val="single"/>
                <w:lang w:val="nl-BE"/>
              </w:rPr>
              <w:t>vereenvoudigde procedure</w:t>
            </w:r>
            <w:r w:rsidRPr="00796C8B">
              <w:rPr>
                <w:b/>
                <w:sz w:val="28"/>
                <w:szCs w:val="28"/>
                <w:lang w:val="nl-BE"/>
              </w:rPr>
              <w:t xml:space="preserve"> voor het verlenen van goedkeuring om verzekerings- of herverzekeringsdocumenten </w:t>
            </w:r>
            <w:r w:rsidRPr="00796C8B">
              <w:rPr>
                <w:b/>
                <w:sz w:val="28"/>
                <w:szCs w:val="28"/>
                <w:u w:val="single"/>
                <w:lang w:val="nl-BE"/>
              </w:rPr>
              <w:t>op papier</w:t>
            </w:r>
            <w:r w:rsidRPr="00796C8B">
              <w:rPr>
                <w:b/>
                <w:sz w:val="28"/>
                <w:szCs w:val="28"/>
                <w:lang w:val="nl-BE"/>
              </w:rPr>
              <w:t xml:space="preserve"> op een andere plaats dan de zetel te bewaren</w:t>
            </w:r>
          </w:p>
          <w:p w14:paraId="66F162F2" w14:textId="77777777" w:rsidR="00796C8B" w:rsidRPr="005D5898" w:rsidRDefault="00796C8B" w:rsidP="003B036B">
            <w:pPr>
              <w:spacing w:line="240" w:lineRule="auto"/>
              <w:jc w:val="center"/>
              <w:rPr>
                <w:b/>
                <w:sz w:val="12"/>
                <w:szCs w:val="32"/>
                <w:lang w:val="nl-BE"/>
              </w:rPr>
            </w:pPr>
          </w:p>
          <w:p w14:paraId="556DC670" w14:textId="77777777" w:rsidR="00796C8B" w:rsidRPr="004113C8" w:rsidRDefault="00796C8B" w:rsidP="003B036B">
            <w:pPr>
              <w:jc w:val="center"/>
              <w:rPr>
                <w:b/>
              </w:rPr>
            </w:pPr>
            <w:r>
              <w:rPr>
                <w:b/>
              </w:rPr>
              <w:t xml:space="preserve">Onderneming: </w:t>
            </w:r>
            <w:r>
              <w:rPr>
                <w:b/>
                <w:highlight w:val="green"/>
              </w:rPr>
              <w:t>AAN TE VULLEN</w:t>
            </w:r>
          </w:p>
        </w:tc>
      </w:tr>
      <w:tr w:rsidR="00796C8B" w:rsidRPr="00796C8B" w14:paraId="3F610230" w14:textId="77777777" w:rsidTr="003B036B">
        <w:trPr>
          <w:trHeight w:val="319"/>
        </w:trPr>
        <w:tc>
          <w:tcPr>
            <w:tcW w:w="14850" w:type="dxa"/>
          </w:tcPr>
          <w:p w14:paraId="358B62FB" w14:textId="77777777" w:rsidR="00796C8B" w:rsidRPr="00796C8B" w:rsidRDefault="00796C8B" w:rsidP="003B036B">
            <w:pPr>
              <w:rPr>
                <w:lang w:val="nl-BE"/>
              </w:rPr>
            </w:pPr>
            <w:r w:rsidRPr="00796C8B">
              <w:rPr>
                <w:i/>
                <w:sz w:val="16"/>
                <w:szCs w:val="16"/>
                <w:lang w:val="nl-BE"/>
              </w:rPr>
              <w:t xml:space="preserve">Met deze verklaring wordt uitvoering gegeven aan artikel 3, § 2 van het Reglement van de Nationale Bank van België van 12 mei 2020 betreffende de bewaarplaats van verzekerings- of herverzekeringsdocumenten (goedgekeurd bij koninklijk besluit van 31 juli 2020) en artikel 3, § 2, van het Reglement van de Autoriteit voor Financiële Diensten en Markten van 30 juni 2020 betreffende de bewaarplaats van verzekeringsdocumenten (goedgekeurd bij koninklijk besluit van 31 juli 2020). </w:t>
            </w:r>
          </w:p>
        </w:tc>
      </w:tr>
      <w:tr w:rsidR="00796C8B" w:rsidRPr="00796C8B" w14:paraId="363993A0" w14:textId="77777777" w:rsidTr="003B036B">
        <w:trPr>
          <w:trHeight w:val="319"/>
        </w:trPr>
        <w:tc>
          <w:tcPr>
            <w:tcW w:w="14850" w:type="dxa"/>
          </w:tcPr>
          <w:p w14:paraId="079DBE76" w14:textId="77777777" w:rsidR="00796C8B" w:rsidRPr="00796C8B" w:rsidRDefault="00796C8B" w:rsidP="003B036B">
            <w:pPr>
              <w:contextualSpacing/>
              <w:rPr>
                <w:rFonts w:cs="Arial"/>
                <w:bCs/>
                <w:iCs/>
                <w:lang w:val="nl-BE"/>
              </w:rPr>
            </w:pPr>
            <w:r w:rsidRPr="00796C8B">
              <w:rPr>
                <w:lang w:val="nl-BE"/>
              </w:rPr>
              <w:t>Ik bevestig bij deze dat voldaan is aan de volgende voorwaarden voor de toepassing van de vereenvoudigde procedure voor het verlenen van goedkeuring voor het op papier bewaren van verzekerings- of herverzekeringsdocumenten:</w:t>
            </w:r>
          </w:p>
          <w:p w14:paraId="49A0723C" w14:textId="77777777" w:rsidR="00796C8B" w:rsidRPr="00915D17" w:rsidRDefault="00796C8B" w:rsidP="003B036B">
            <w:pPr>
              <w:contextualSpacing/>
              <w:rPr>
                <w:rFonts w:cs="Arial"/>
                <w:bCs/>
                <w:iCs/>
                <w:lang w:val="nl-BE"/>
              </w:rPr>
            </w:pPr>
            <w:r w:rsidRPr="00915D17">
              <w:rPr>
                <w:rFonts w:cs="Arial"/>
                <w:bCs/>
                <w:iCs/>
                <w:lang w:val="nl-BE"/>
              </w:rPr>
              <w:tab/>
            </w:r>
          </w:p>
          <w:p w14:paraId="2B4B3892" w14:textId="77777777" w:rsidR="00796C8B" w:rsidRPr="00796C8B" w:rsidRDefault="00796C8B" w:rsidP="00796C8B">
            <w:pPr>
              <w:numPr>
                <w:ilvl w:val="0"/>
                <w:numId w:val="13"/>
              </w:numPr>
              <w:spacing w:line="240" w:lineRule="auto"/>
              <w:rPr>
                <w:rFonts w:cstheme="minorHAnsi"/>
                <w:lang w:val="nl-BE"/>
              </w:rPr>
            </w:pPr>
            <w:r w:rsidRPr="00796C8B">
              <w:rPr>
                <w:lang w:val="nl-BE"/>
              </w:rPr>
              <w:t>documenten die betrekking hebben op dezelfde activiteitenportefeuille worden op dezelfde plaats bewaard:</w:t>
            </w:r>
          </w:p>
          <w:p w14:paraId="7FC60B88" w14:textId="77777777" w:rsidR="00796C8B" w:rsidRPr="00796C8B" w:rsidRDefault="00796C8B" w:rsidP="00796C8B">
            <w:pPr>
              <w:numPr>
                <w:ilvl w:val="0"/>
                <w:numId w:val="13"/>
              </w:numPr>
              <w:spacing w:line="240" w:lineRule="auto"/>
              <w:rPr>
                <w:rFonts w:cstheme="minorHAnsi"/>
                <w:lang w:val="nl-BE"/>
              </w:rPr>
            </w:pPr>
            <w:r w:rsidRPr="00796C8B">
              <w:rPr>
                <w:lang w:val="nl-BE"/>
              </w:rPr>
              <w:t>de bewaarplaats</w:t>
            </w:r>
            <w:r w:rsidRPr="00796C8B">
              <w:rPr>
                <w:highlight w:val="green"/>
                <w:lang w:val="nl-BE"/>
              </w:rPr>
              <w:t>[en]</w:t>
            </w:r>
            <w:r w:rsidRPr="00796C8B">
              <w:rPr>
                <w:lang w:val="nl-BE"/>
              </w:rPr>
              <w:t xml:space="preserve"> </w:t>
            </w:r>
            <w:r w:rsidRPr="00796C8B">
              <w:rPr>
                <w:highlight w:val="green"/>
                <w:lang w:val="nl-BE"/>
              </w:rPr>
              <w:t>[is/zijn]</w:t>
            </w:r>
            <w:r w:rsidRPr="00796C8B">
              <w:rPr>
                <w:lang w:val="nl-BE"/>
              </w:rPr>
              <w:t xml:space="preserve"> toegankelijk voor de Bank, de FSMA en de gerechtelijke autoriteiten en voldoet </w:t>
            </w:r>
            <w:r w:rsidRPr="00796C8B">
              <w:rPr>
                <w:highlight w:val="green"/>
                <w:lang w:val="nl-BE"/>
              </w:rPr>
              <w:t>[voldoen]</w:t>
            </w:r>
            <w:r w:rsidRPr="00796C8B">
              <w:rPr>
                <w:lang w:val="nl-BE"/>
              </w:rPr>
              <w:t xml:space="preserve"> aan de brandbeveiligingsmaatregelen om de integriteit van de documenten te waarborgen;</w:t>
            </w:r>
          </w:p>
          <w:p w14:paraId="6BB56015" w14:textId="77777777" w:rsidR="00796C8B" w:rsidRPr="00796C8B" w:rsidRDefault="00796C8B" w:rsidP="00796C8B">
            <w:pPr>
              <w:numPr>
                <w:ilvl w:val="0"/>
                <w:numId w:val="13"/>
              </w:numPr>
              <w:spacing w:line="240" w:lineRule="auto"/>
              <w:rPr>
                <w:rFonts w:cstheme="minorHAnsi"/>
                <w:lang w:val="nl-BE"/>
              </w:rPr>
            </w:pPr>
            <w:r w:rsidRPr="00796C8B">
              <w:rPr>
                <w:lang w:val="nl-BE"/>
              </w:rPr>
              <w:t xml:space="preserve">de voorwaarde die inhoudt dat, indien niet alle documenten eveneens worden bewaard op IT-dragers die zich in België of in de EER bevinden en die garanties bieden inzake de beveiliging en de vertrouwelijkheid, de bewaarplaats(en) zich in België moet(en) bevinden, is </w:t>
            </w:r>
            <w:r w:rsidRPr="00796C8B">
              <w:rPr>
                <w:highlight w:val="green"/>
                <w:lang w:val="nl-BE"/>
              </w:rPr>
              <w:t>[vervuld]</w:t>
            </w:r>
            <w:r w:rsidRPr="00796C8B">
              <w:rPr>
                <w:lang w:val="nl-BE"/>
              </w:rPr>
              <w:t xml:space="preserve"> of </w:t>
            </w:r>
            <w:r w:rsidRPr="00796C8B">
              <w:rPr>
                <w:highlight w:val="green"/>
                <w:lang w:val="nl-BE"/>
              </w:rPr>
              <w:t>[is niet van toepassing omdat alle documenten eveneens worden bewaard op IT-dragers die zich in België of in de EER bevinden en die garanties bieden inzake de beveiliging en de vertrouwelijkheid]</w:t>
            </w:r>
            <w:r w:rsidRPr="00796C8B">
              <w:rPr>
                <w:lang w:val="nl-BE"/>
              </w:rPr>
              <w:t xml:space="preserve">; </w:t>
            </w:r>
            <w:r w:rsidRPr="00796C8B">
              <w:rPr>
                <w:highlight w:val="yellow"/>
                <w:lang w:val="nl-BE"/>
              </w:rPr>
              <w:t>[schrappen wat niet van toepassing is]</w:t>
            </w:r>
            <w:r w:rsidRPr="00796C8B">
              <w:rPr>
                <w:lang w:val="nl-BE"/>
              </w:rPr>
              <w:t xml:space="preserve">  </w:t>
            </w:r>
          </w:p>
          <w:p w14:paraId="2833F340" w14:textId="77777777" w:rsidR="00796C8B" w:rsidRPr="00796C8B" w:rsidRDefault="00796C8B" w:rsidP="00796C8B">
            <w:pPr>
              <w:numPr>
                <w:ilvl w:val="0"/>
                <w:numId w:val="13"/>
              </w:numPr>
              <w:spacing w:line="240" w:lineRule="auto"/>
              <w:rPr>
                <w:rFonts w:cstheme="minorHAnsi"/>
                <w:lang w:val="nl-BE"/>
              </w:rPr>
            </w:pPr>
            <w:r w:rsidRPr="00796C8B">
              <w:rPr>
                <w:lang w:val="nl-BE"/>
              </w:rPr>
              <w:t xml:space="preserve">de beveiligings- en continuïteitsmaatregelen worden periodiek gecontroleerd door </w:t>
            </w:r>
            <w:r w:rsidRPr="00796C8B">
              <w:rPr>
                <w:highlight w:val="green"/>
                <w:lang w:val="nl-BE"/>
              </w:rPr>
              <w:t>[de onderneming]</w:t>
            </w:r>
            <w:r w:rsidRPr="00796C8B">
              <w:rPr>
                <w:lang w:val="nl-BE"/>
              </w:rPr>
              <w:t xml:space="preserve">; </w:t>
            </w:r>
          </w:p>
          <w:p w14:paraId="6C07AE32" w14:textId="77777777" w:rsidR="00796C8B" w:rsidRPr="00796C8B" w:rsidRDefault="00796C8B" w:rsidP="00796C8B">
            <w:pPr>
              <w:numPr>
                <w:ilvl w:val="0"/>
                <w:numId w:val="13"/>
              </w:numPr>
              <w:spacing w:line="240" w:lineRule="auto"/>
              <w:rPr>
                <w:rFonts w:cstheme="minorHAnsi"/>
                <w:highlight w:val="green"/>
                <w:lang w:val="nl-BE"/>
              </w:rPr>
            </w:pPr>
            <w:r w:rsidRPr="00796C8B">
              <w:rPr>
                <w:highlight w:val="green"/>
                <w:lang w:val="nl-BE"/>
              </w:rPr>
              <w:t xml:space="preserve">[In geval van uitbesteding: een uitbesteding overeenkomst is tussen de twee partijen gesloten om de bewaring van de documenten en de bijbehorende rechten en plichten te regelen.] </w:t>
            </w:r>
          </w:p>
          <w:p w14:paraId="7DB2AD18" w14:textId="77777777" w:rsidR="00796C8B" w:rsidRPr="00915D17" w:rsidRDefault="00796C8B" w:rsidP="003B036B">
            <w:pPr>
              <w:contextualSpacing/>
              <w:rPr>
                <w:rFonts w:cs="Arial"/>
                <w:bCs/>
                <w:iCs/>
                <w:lang w:val="nl-BE"/>
              </w:rPr>
            </w:pPr>
          </w:p>
          <w:p w14:paraId="4AA77884" w14:textId="77777777" w:rsidR="00796C8B" w:rsidRDefault="00796C8B" w:rsidP="003B036B">
            <w:pPr>
              <w:autoSpaceDE w:val="0"/>
              <w:autoSpaceDN w:val="0"/>
              <w:adjustRightInd w:val="0"/>
              <w:spacing w:line="240" w:lineRule="auto"/>
              <w:jc w:val="left"/>
              <w:rPr>
                <w:rFonts w:ascii="Calibri" w:hAnsi="Calibri" w:cs="Calibri"/>
                <w:lang w:val="nl-BE" w:eastAsia="nl-BE"/>
              </w:rPr>
            </w:pPr>
            <w:r w:rsidRPr="00915D17">
              <w:rPr>
                <w:rFonts w:cs="Arial"/>
                <w:bCs/>
                <w:iCs/>
                <w:lang w:val="nl-BE"/>
              </w:rPr>
              <w:t>Deze verklaring betreft de bewaring op papier in [</w:t>
            </w:r>
            <w:r w:rsidRPr="00915D17">
              <w:rPr>
                <w:rFonts w:cs="Arial"/>
                <w:bCs/>
                <w:iCs/>
                <w:highlight w:val="green"/>
                <w:lang w:val="nl-BE"/>
              </w:rPr>
              <w:t>adres in te vullen</w:t>
            </w:r>
            <w:r w:rsidRPr="00915D17">
              <w:rPr>
                <w:rFonts w:cs="Arial"/>
                <w:bCs/>
                <w:iCs/>
                <w:lang w:val="nl-BE"/>
              </w:rPr>
              <w:t xml:space="preserve">] waarvoor een beschrijving </w:t>
            </w:r>
            <w:r>
              <w:rPr>
                <w:rFonts w:cs="Arial"/>
                <w:bCs/>
                <w:iCs/>
                <w:lang w:val="nl-BE"/>
              </w:rPr>
              <w:t xml:space="preserve">van </w:t>
            </w:r>
            <w:r w:rsidRPr="009E5662">
              <w:rPr>
                <w:rFonts w:cs="Arial"/>
                <w:lang w:val="nl-BE" w:eastAsia="nl-BE"/>
              </w:rPr>
              <w:t xml:space="preserve">het voorgenomen bewaarsysteem </w:t>
            </w:r>
            <w:r>
              <w:rPr>
                <w:rFonts w:cs="Arial"/>
                <w:lang w:val="nl-BE" w:eastAsia="nl-BE"/>
              </w:rPr>
              <w:t>is opgenomen</w:t>
            </w:r>
            <w:r w:rsidRPr="009E5662">
              <w:rPr>
                <w:rFonts w:cs="Arial"/>
                <w:lang w:val="nl-BE" w:eastAsia="nl-BE"/>
              </w:rPr>
              <w:t xml:space="preserve"> in </w:t>
            </w:r>
            <w:r w:rsidRPr="00796C8B">
              <w:rPr>
                <w:lang w:val="nl-BE"/>
              </w:rPr>
              <w:t>het dossier (als bedoeld in artikel 3, § 2, van de bovenvermelde Reglementen)</w:t>
            </w:r>
            <w:r>
              <w:rPr>
                <w:rFonts w:cs="Arial"/>
                <w:lang w:val="nl-BE" w:eastAsia="nl-BE"/>
              </w:rPr>
              <w:t xml:space="preserve"> </w:t>
            </w:r>
            <w:r w:rsidRPr="00796C8B">
              <w:rPr>
                <w:lang w:val="nl-BE"/>
              </w:rPr>
              <w:t>dat op [</w:t>
            </w:r>
            <w:r>
              <w:rPr>
                <w:rFonts w:cs="Arial"/>
                <w:bCs/>
                <w:iCs/>
                <w:highlight w:val="green"/>
                <w:lang w:val="nl-BE"/>
              </w:rPr>
              <w:t>datum</w:t>
            </w:r>
            <w:r w:rsidRPr="00955B5F">
              <w:rPr>
                <w:rFonts w:cs="Arial"/>
                <w:bCs/>
                <w:iCs/>
                <w:highlight w:val="green"/>
                <w:lang w:val="nl-BE"/>
              </w:rPr>
              <w:t xml:space="preserve"> in te vullen</w:t>
            </w:r>
            <w:r w:rsidRPr="00796C8B">
              <w:rPr>
                <w:lang w:val="nl-BE"/>
              </w:rPr>
              <w:t>] aan de Bank en op [</w:t>
            </w:r>
            <w:r>
              <w:rPr>
                <w:rFonts w:cs="Arial"/>
                <w:bCs/>
                <w:iCs/>
                <w:highlight w:val="green"/>
                <w:lang w:val="nl-BE"/>
              </w:rPr>
              <w:t>datum</w:t>
            </w:r>
            <w:r w:rsidRPr="00955B5F">
              <w:rPr>
                <w:rFonts w:cs="Arial"/>
                <w:bCs/>
                <w:iCs/>
                <w:highlight w:val="green"/>
                <w:lang w:val="nl-BE"/>
              </w:rPr>
              <w:t xml:space="preserve"> in te vullen</w:t>
            </w:r>
            <w:r w:rsidRPr="00796C8B">
              <w:rPr>
                <w:lang w:val="nl-BE"/>
              </w:rPr>
              <w:t>] aan de FSMA werd bezorgd</w:t>
            </w:r>
            <w:r>
              <w:rPr>
                <w:rFonts w:cs="Arial"/>
                <w:lang w:val="nl-BE" w:eastAsia="nl-BE"/>
              </w:rPr>
              <w:t>.</w:t>
            </w:r>
          </w:p>
          <w:p w14:paraId="15C7311A" w14:textId="77777777" w:rsidR="00796C8B" w:rsidRDefault="00796C8B" w:rsidP="003B036B">
            <w:pPr>
              <w:autoSpaceDE w:val="0"/>
              <w:autoSpaceDN w:val="0"/>
              <w:adjustRightInd w:val="0"/>
              <w:spacing w:line="240" w:lineRule="auto"/>
              <w:jc w:val="left"/>
              <w:rPr>
                <w:rFonts w:ascii="Calibri" w:hAnsi="Calibri" w:cs="Calibri"/>
                <w:lang w:val="nl-BE" w:eastAsia="nl-BE"/>
              </w:rPr>
            </w:pPr>
          </w:p>
          <w:p w14:paraId="15B3816C" w14:textId="77777777" w:rsidR="00796C8B" w:rsidRDefault="00796C8B" w:rsidP="003B036B">
            <w:pPr>
              <w:autoSpaceDE w:val="0"/>
              <w:autoSpaceDN w:val="0"/>
              <w:adjustRightInd w:val="0"/>
              <w:spacing w:line="240" w:lineRule="auto"/>
              <w:jc w:val="left"/>
              <w:rPr>
                <w:rFonts w:cs="Arial"/>
                <w:bCs/>
                <w:iCs/>
                <w:lang w:val="nl-BE"/>
              </w:rPr>
            </w:pPr>
            <w:r w:rsidRPr="00915D17">
              <w:rPr>
                <w:rFonts w:cs="Arial"/>
                <w:bCs/>
                <w:iCs/>
                <w:lang w:val="nl-BE"/>
              </w:rPr>
              <w:t>[</w:t>
            </w:r>
            <w:r w:rsidRPr="00915D17">
              <w:rPr>
                <w:rFonts w:cs="Arial"/>
                <w:bCs/>
                <w:iCs/>
                <w:highlight w:val="yellow"/>
                <w:lang w:val="nl-BE"/>
              </w:rPr>
              <w:t>In te vullen indien de bewaring wordt uitbesteed :</w:t>
            </w:r>
            <w:r w:rsidRPr="00915D17">
              <w:rPr>
                <w:rFonts w:cs="Arial"/>
                <w:bCs/>
                <w:iCs/>
                <w:lang w:val="nl-BE"/>
              </w:rPr>
              <w:t xml:space="preserve"> Het dossier « uitbesteding » is bezorgd aan de </w:t>
            </w:r>
            <w:r>
              <w:rPr>
                <w:rFonts w:cs="Arial"/>
                <w:bCs/>
                <w:iCs/>
                <w:lang w:val="nl-BE"/>
              </w:rPr>
              <w:t>Bank</w:t>
            </w:r>
            <w:r w:rsidRPr="00915D17">
              <w:rPr>
                <w:rFonts w:cs="Arial"/>
                <w:bCs/>
                <w:iCs/>
                <w:lang w:val="nl-BE"/>
              </w:rPr>
              <w:t xml:space="preserve"> op [</w:t>
            </w:r>
            <w:r w:rsidRPr="00915D17">
              <w:rPr>
                <w:rFonts w:cs="Arial"/>
                <w:bCs/>
                <w:iCs/>
                <w:highlight w:val="green"/>
                <w:lang w:val="nl-BE"/>
              </w:rPr>
              <w:t>datum in te vullen</w:t>
            </w:r>
            <w:r w:rsidRPr="00915D17">
              <w:rPr>
                <w:rFonts w:cs="Arial"/>
                <w:bCs/>
                <w:iCs/>
                <w:lang w:val="nl-BE"/>
              </w:rPr>
              <w:t>]].</w:t>
            </w:r>
          </w:p>
          <w:p w14:paraId="2278D0F2" w14:textId="77777777" w:rsidR="00796C8B" w:rsidRDefault="00796C8B" w:rsidP="003B036B">
            <w:pPr>
              <w:autoSpaceDE w:val="0"/>
              <w:autoSpaceDN w:val="0"/>
              <w:adjustRightInd w:val="0"/>
              <w:spacing w:line="240" w:lineRule="auto"/>
              <w:jc w:val="left"/>
              <w:rPr>
                <w:rFonts w:cs="Arial"/>
                <w:bCs/>
                <w:iCs/>
                <w:lang w:val="nl-BE"/>
              </w:rPr>
            </w:pPr>
          </w:p>
          <w:p w14:paraId="0FF49D0C" w14:textId="77777777" w:rsidR="00796C8B" w:rsidRPr="00915D17" w:rsidRDefault="00796C8B" w:rsidP="003B036B">
            <w:pPr>
              <w:autoSpaceDE w:val="0"/>
              <w:autoSpaceDN w:val="0"/>
              <w:adjustRightInd w:val="0"/>
              <w:rPr>
                <w:rFonts w:cs="Arial"/>
                <w:bCs/>
                <w:iCs/>
                <w:highlight w:val="yellow"/>
                <w:u w:val="single"/>
                <w:lang w:val="nl-BE"/>
              </w:rPr>
            </w:pPr>
            <w:r w:rsidRPr="00796C8B">
              <w:rPr>
                <w:rFonts w:cs="Arial"/>
                <w:lang w:val="nl-BE"/>
              </w:rPr>
              <w:t>Tot slot verbind ik mij ertoe de Bank en de FSMA onverwijld in kennis te stellen van eventuele belangrijke wijzigingen in het bewaarsysteem ten opzichte van de informatie die in het bovengenoemde dossier is opgenomen.</w:t>
            </w:r>
          </w:p>
        </w:tc>
      </w:tr>
    </w:tbl>
    <w:p w14:paraId="59E138CA" w14:textId="77777777" w:rsidR="00796C8B" w:rsidRDefault="00796C8B" w:rsidP="00796C8B">
      <w:pPr>
        <w:rPr>
          <w:lang w:val="nl-BE"/>
        </w:rPr>
      </w:pPr>
    </w:p>
    <w:p w14:paraId="304C8B27" w14:textId="77777777" w:rsidR="00796C8B" w:rsidRPr="00796C8B" w:rsidRDefault="00796C8B" w:rsidP="00796C8B">
      <w:pPr>
        <w:rPr>
          <w:lang w:val="nl-BE"/>
        </w:rPr>
      </w:pPr>
      <w:r w:rsidRPr="00796C8B">
        <w:rPr>
          <w:lang w:val="nl-BE"/>
        </w:rPr>
        <w:t xml:space="preserve">Datum: </w:t>
      </w:r>
      <w:r w:rsidRPr="00796C8B">
        <w:rPr>
          <w:highlight w:val="green"/>
          <w:lang w:val="nl-BE"/>
        </w:rPr>
        <w:t>[DD/MM/JJJJ]</w:t>
      </w:r>
    </w:p>
    <w:p w14:paraId="038334FB" w14:textId="77777777" w:rsidR="00796C8B" w:rsidRPr="00915D17" w:rsidRDefault="00796C8B" w:rsidP="00796C8B">
      <w:pPr>
        <w:rPr>
          <w:lang w:val="nl-BE"/>
        </w:rPr>
      </w:pPr>
    </w:p>
    <w:p w14:paraId="5B94448B" w14:textId="77777777" w:rsidR="00796C8B" w:rsidRPr="00915D17" w:rsidRDefault="00796C8B" w:rsidP="00796C8B">
      <w:pPr>
        <w:rPr>
          <w:lang w:val="nl-BE"/>
        </w:rPr>
      </w:pPr>
    </w:p>
    <w:p w14:paraId="62166DA6" w14:textId="77777777" w:rsidR="00796C8B" w:rsidRPr="00796C8B" w:rsidRDefault="00796C8B" w:rsidP="00796C8B">
      <w:pPr>
        <w:rPr>
          <w:lang w:val="nl-BE"/>
        </w:rPr>
      </w:pPr>
      <w:r w:rsidRPr="00796C8B">
        <w:rPr>
          <w:lang w:val="nl-BE"/>
        </w:rPr>
        <w:t>___________________</w:t>
      </w:r>
    </w:p>
    <w:p w14:paraId="11795B64" w14:textId="77777777" w:rsidR="00796C8B" w:rsidRPr="00796C8B" w:rsidRDefault="00796C8B" w:rsidP="00796C8B">
      <w:pPr>
        <w:rPr>
          <w:lang w:val="nl-BE"/>
        </w:rPr>
      </w:pPr>
      <w:r w:rsidRPr="00796C8B">
        <w:rPr>
          <w:highlight w:val="green"/>
          <w:lang w:val="nl-BE"/>
        </w:rPr>
        <w:t>[Naam en Voornaam]</w:t>
      </w:r>
    </w:p>
    <w:p w14:paraId="77B3B5E2" w14:textId="77777777" w:rsidR="00796C8B" w:rsidRPr="00915D17" w:rsidRDefault="00796C8B" w:rsidP="00796C8B">
      <w:pPr>
        <w:rPr>
          <w:lang w:val="nl-BE"/>
        </w:rPr>
      </w:pPr>
      <w:r w:rsidRPr="00796C8B">
        <w:rPr>
          <w:lang w:val="nl-BE"/>
        </w:rPr>
        <w:lastRenderedPageBreak/>
        <w:t>Voorzitter van het directiecomité van [</w:t>
      </w:r>
      <w:r w:rsidRPr="00796C8B">
        <w:rPr>
          <w:highlight w:val="green"/>
          <w:lang w:val="nl-BE"/>
        </w:rPr>
        <w:t>onderneming</w:t>
      </w:r>
      <w:r w:rsidRPr="00796C8B">
        <w:rPr>
          <w:lang w:val="nl-BE"/>
        </w:rPr>
        <w:t>]</w:t>
      </w:r>
    </w:p>
    <w:p w14:paraId="3218DCD1" w14:textId="7EDC1750" w:rsidR="00350D04" w:rsidRPr="00796C8B" w:rsidRDefault="00350D04">
      <w:pPr>
        <w:rPr>
          <w:lang w:val="nl-BE"/>
        </w:rPr>
      </w:pPr>
      <w:bookmarkStart w:id="0" w:name="_GoBack"/>
      <w:bookmarkEnd w:id="0"/>
    </w:p>
    <w:p w14:paraId="67C46E6B" w14:textId="28B75F4D" w:rsidR="00350D04" w:rsidRPr="00796C8B" w:rsidRDefault="00350D04" w:rsidP="00350D04">
      <w:pPr>
        <w:rPr>
          <w:b/>
          <w:lang w:val="nl-BE"/>
        </w:rPr>
      </w:pPr>
    </w:p>
    <w:p w14:paraId="5C774CA6" w14:textId="77777777" w:rsidR="00350D04" w:rsidRPr="00796C8B" w:rsidRDefault="00350D04">
      <w:pPr>
        <w:rPr>
          <w:lang w:val="nl-BE"/>
        </w:rPr>
      </w:pPr>
    </w:p>
    <w:sectPr w:rsidR="00350D04" w:rsidRPr="00796C8B" w:rsidSect="00335257">
      <w:headerReference w:type="even" r:id="rId11"/>
      <w:headerReference w:type="first" r:id="rId12"/>
      <w:pgSz w:w="16840" w:h="11907" w:orient="landscape" w:code="9"/>
      <w:pgMar w:top="1134"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B5DFD" w14:textId="77777777" w:rsidR="00EB390A" w:rsidRDefault="00EB390A">
      <w:r>
        <w:separator/>
      </w:r>
    </w:p>
  </w:endnote>
  <w:endnote w:type="continuationSeparator" w:id="0">
    <w:p w14:paraId="09488919" w14:textId="77777777" w:rsidR="00EB390A" w:rsidRDefault="00EB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E8C1" w14:textId="77777777" w:rsidR="00EB390A" w:rsidRDefault="00EB390A">
      <w:r>
        <w:separator/>
      </w:r>
    </w:p>
  </w:footnote>
  <w:footnote w:type="continuationSeparator" w:id="0">
    <w:p w14:paraId="2F55E6A0" w14:textId="77777777" w:rsidR="00EB390A" w:rsidRDefault="00EB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BC3A"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C0D1"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4718D"/>
    <w:multiLevelType w:val="hybridMultilevel"/>
    <w:tmpl w:val="F6248F26"/>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1" w15:restartNumberingAfterBreak="0">
    <w:nsid w:val="45DC574E"/>
    <w:multiLevelType w:val="hybridMultilevel"/>
    <w:tmpl w:val="6388F51E"/>
    <w:lvl w:ilvl="0" w:tplc="CE9A97D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7EC1F61"/>
    <w:multiLevelType w:val="hybridMultilevel"/>
    <w:tmpl w:val="EA5E975E"/>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05"/>
    <w:rsid w:val="00002AB1"/>
    <w:rsid w:val="00005848"/>
    <w:rsid w:val="0001064F"/>
    <w:rsid w:val="00016588"/>
    <w:rsid w:val="0002547B"/>
    <w:rsid w:val="00075F32"/>
    <w:rsid w:val="00082B62"/>
    <w:rsid w:val="00092F24"/>
    <w:rsid w:val="000A43B4"/>
    <w:rsid w:val="000B38EB"/>
    <w:rsid w:val="000C2D0A"/>
    <w:rsid w:val="001526F4"/>
    <w:rsid w:val="001726FE"/>
    <w:rsid w:val="001767E5"/>
    <w:rsid w:val="00190BA2"/>
    <w:rsid w:val="001B2EFE"/>
    <w:rsid w:val="001E1D7D"/>
    <w:rsid w:val="001E66B2"/>
    <w:rsid w:val="001F3EC1"/>
    <w:rsid w:val="00217B38"/>
    <w:rsid w:val="0022049F"/>
    <w:rsid w:val="00232605"/>
    <w:rsid w:val="00243709"/>
    <w:rsid w:val="00247B44"/>
    <w:rsid w:val="00253E83"/>
    <w:rsid w:val="002968E4"/>
    <w:rsid w:val="002D19CB"/>
    <w:rsid w:val="002F65B9"/>
    <w:rsid w:val="00310D8D"/>
    <w:rsid w:val="00335257"/>
    <w:rsid w:val="00350D04"/>
    <w:rsid w:val="00352DC7"/>
    <w:rsid w:val="003B6994"/>
    <w:rsid w:val="003C268F"/>
    <w:rsid w:val="003D0B0F"/>
    <w:rsid w:val="003E3ECF"/>
    <w:rsid w:val="004113C8"/>
    <w:rsid w:val="00436395"/>
    <w:rsid w:val="00477796"/>
    <w:rsid w:val="00577B66"/>
    <w:rsid w:val="005A5C35"/>
    <w:rsid w:val="005C7148"/>
    <w:rsid w:val="005E3A46"/>
    <w:rsid w:val="005E511B"/>
    <w:rsid w:val="005F182D"/>
    <w:rsid w:val="006356E0"/>
    <w:rsid w:val="00637909"/>
    <w:rsid w:val="00661343"/>
    <w:rsid w:val="00662196"/>
    <w:rsid w:val="00665FF1"/>
    <w:rsid w:val="006720E3"/>
    <w:rsid w:val="00683E12"/>
    <w:rsid w:val="0068491F"/>
    <w:rsid w:val="00692D3A"/>
    <w:rsid w:val="006A50FA"/>
    <w:rsid w:val="006E020F"/>
    <w:rsid w:val="007049A4"/>
    <w:rsid w:val="007060FF"/>
    <w:rsid w:val="0071233C"/>
    <w:rsid w:val="00722C02"/>
    <w:rsid w:val="007360DD"/>
    <w:rsid w:val="00772B0D"/>
    <w:rsid w:val="00782E97"/>
    <w:rsid w:val="00786EEF"/>
    <w:rsid w:val="00792754"/>
    <w:rsid w:val="00796132"/>
    <w:rsid w:val="00796C8B"/>
    <w:rsid w:val="007B7057"/>
    <w:rsid w:val="007F0CC7"/>
    <w:rsid w:val="0083501D"/>
    <w:rsid w:val="008364AB"/>
    <w:rsid w:val="00840F95"/>
    <w:rsid w:val="008448B4"/>
    <w:rsid w:val="008533D0"/>
    <w:rsid w:val="00871F80"/>
    <w:rsid w:val="00876A19"/>
    <w:rsid w:val="00892821"/>
    <w:rsid w:val="008A6313"/>
    <w:rsid w:val="008C53AF"/>
    <w:rsid w:val="008D7E67"/>
    <w:rsid w:val="008E5040"/>
    <w:rsid w:val="0090787B"/>
    <w:rsid w:val="00913394"/>
    <w:rsid w:val="00943598"/>
    <w:rsid w:val="00960F42"/>
    <w:rsid w:val="0096502C"/>
    <w:rsid w:val="00993CCE"/>
    <w:rsid w:val="009F23EB"/>
    <w:rsid w:val="00A126F9"/>
    <w:rsid w:val="00A80218"/>
    <w:rsid w:val="00A86AC8"/>
    <w:rsid w:val="00A91882"/>
    <w:rsid w:val="00A975B2"/>
    <w:rsid w:val="00AA3C24"/>
    <w:rsid w:val="00AC79A6"/>
    <w:rsid w:val="00AD5C0B"/>
    <w:rsid w:val="00B37AA8"/>
    <w:rsid w:val="00B40075"/>
    <w:rsid w:val="00BC6750"/>
    <w:rsid w:val="00BE791D"/>
    <w:rsid w:val="00C1624B"/>
    <w:rsid w:val="00C270CD"/>
    <w:rsid w:val="00C275C3"/>
    <w:rsid w:val="00C30DDE"/>
    <w:rsid w:val="00C377BC"/>
    <w:rsid w:val="00C769A5"/>
    <w:rsid w:val="00CA177B"/>
    <w:rsid w:val="00CA5A74"/>
    <w:rsid w:val="00CB4B76"/>
    <w:rsid w:val="00CD268E"/>
    <w:rsid w:val="00D84645"/>
    <w:rsid w:val="00DD4A86"/>
    <w:rsid w:val="00DE2E9A"/>
    <w:rsid w:val="00E02090"/>
    <w:rsid w:val="00E455E5"/>
    <w:rsid w:val="00EA01EB"/>
    <w:rsid w:val="00EA6773"/>
    <w:rsid w:val="00EB390A"/>
    <w:rsid w:val="00ED1B50"/>
    <w:rsid w:val="00F27D53"/>
    <w:rsid w:val="00F7258B"/>
    <w:rsid w:val="00FA5EF5"/>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82B17"/>
  <w15:chartTrackingRefBased/>
  <w15:docId w15:val="{DFFDA939-18A5-4DAD-8305-E22619F9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05"/>
    <w:pPr>
      <w:spacing w:line="260" w:lineRule="atLeast"/>
      <w:jc w:val="both"/>
    </w:pPr>
    <w:rPr>
      <w:rFonts w:ascii="Arial" w:hAnsi="Arial"/>
      <w:lang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link w:val="ListParagraphChar"/>
    <w:uiPriority w:val="34"/>
    <w:qFormat/>
    <w:rsid w:val="00232605"/>
    <w:pPr>
      <w:ind w:left="720"/>
      <w:contextualSpacing/>
    </w:pPr>
  </w:style>
  <w:style w:type="character" w:customStyle="1" w:styleId="ListParagraphChar">
    <w:name w:val="List Paragraph Char"/>
    <w:link w:val="ListParagraph"/>
    <w:uiPriority w:val="34"/>
    <w:locked/>
    <w:rsid w:val="00232605"/>
    <w:rPr>
      <w:rFonts w:ascii="Arial" w:hAnsi="Arial"/>
      <w:lang w:val="en-GB" w:eastAsia="en-US"/>
    </w:rPr>
  </w:style>
  <w:style w:type="table" w:customStyle="1" w:styleId="TableGrid2">
    <w:name w:val="Table Grid2"/>
    <w:basedOn w:val="TableNormal"/>
    <w:next w:val="TableGrid"/>
    <w:rsid w:val="0023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3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B38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B38EB"/>
    <w:rPr>
      <w:rFonts w:ascii="Segoe UI" w:hAnsi="Segoe UI" w:cs="Segoe UI"/>
      <w:sz w:val="18"/>
      <w:szCs w:val="18"/>
      <w:lang w:val="en-GB" w:eastAsia="en-US"/>
    </w:rPr>
  </w:style>
  <w:style w:type="character" w:styleId="CommentReference">
    <w:name w:val="annotation reference"/>
    <w:basedOn w:val="DefaultParagraphFont"/>
    <w:semiHidden/>
    <w:unhideWhenUsed/>
    <w:rsid w:val="00075F32"/>
    <w:rPr>
      <w:sz w:val="16"/>
      <w:szCs w:val="16"/>
    </w:rPr>
  </w:style>
  <w:style w:type="paragraph" w:styleId="CommentText">
    <w:name w:val="annotation text"/>
    <w:basedOn w:val="Normal"/>
    <w:link w:val="CommentTextChar"/>
    <w:semiHidden/>
    <w:unhideWhenUsed/>
    <w:rsid w:val="00075F32"/>
    <w:pPr>
      <w:spacing w:line="240" w:lineRule="auto"/>
    </w:pPr>
  </w:style>
  <w:style w:type="character" w:customStyle="1" w:styleId="CommentTextChar">
    <w:name w:val="Comment Text Char"/>
    <w:basedOn w:val="DefaultParagraphFont"/>
    <w:link w:val="CommentText"/>
    <w:semiHidden/>
    <w:rsid w:val="00075F32"/>
    <w:rPr>
      <w:rFonts w:ascii="Arial" w:hAnsi="Arial"/>
      <w:lang w:eastAsia="en-US"/>
    </w:rPr>
  </w:style>
  <w:style w:type="paragraph" w:styleId="CommentSubject">
    <w:name w:val="annotation subject"/>
    <w:basedOn w:val="CommentText"/>
    <w:next w:val="CommentText"/>
    <w:link w:val="CommentSubjectChar"/>
    <w:semiHidden/>
    <w:unhideWhenUsed/>
    <w:rsid w:val="00075F32"/>
    <w:rPr>
      <w:b/>
      <w:bCs/>
    </w:rPr>
  </w:style>
  <w:style w:type="character" w:customStyle="1" w:styleId="CommentSubjectChar">
    <w:name w:val="Comment Subject Char"/>
    <w:basedOn w:val="CommentTextChar"/>
    <w:link w:val="CommentSubject"/>
    <w:semiHidden/>
    <w:rsid w:val="00075F3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unication out" ma:contentTypeID="0x01010096B10D78A450B444BAE61FDEE383F8480044E0243E4ED140D4BAD5C13474CFEAB0002E67721A1CF6684E81FE547F9163D7E9" ma:contentTypeVersion="3" ma:contentTypeDescription="Create a new document." ma:contentTypeScope="" ma:versionID="10de6296a3077bbdd24c9d2dcb63244c">
  <xsd:schema xmlns:xsd="http://www.w3.org/2001/XMLSchema" xmlns:xs="http://www.w3.org/2001/XMLSchema" xmlns:p="http://schemas.microsoft.com/office/2006/metadata/properties" xmlns:ns2="d0828405-936d-4cce-b915-60c7ca1ebf2e" targetNamespace="http://schemas.microsoft.com/office/2006/metadata/properties" ma:root="true" ma:fieldsID="9f8ae06aa20be344e459a740a8ee1f51" ns2:_="">
    <xsd:import namespace="d0828405-936d-4cce-b915-60c7ca1ebf2e"/>
    <xsd:element name="properties">
      <xsd:complexType>
        <xsd:sequence>
          <xsd:element name="documentManagement">
            <xsd:complexType>
              <xsd:all>
                <xsd:element ref="ns2:FSMADocumentDescription" minOccurs="0"/>
                <xsd:element ref="ns2:RelevantFor" minOccurs="0"/>
                <xsd:element ref="ns2:j57658f9111242c1ab0be9b95dacce65" minOccurs="0"/>
                <xsd:element ref="ns2:o3d75fc94b264abb977af7e04b885cd5" minOccurs="0"/>
                <xsd:element ref="ns2:b252f7a24a5b428398326c6f59ad01f1" minOccurs="0"/>
                <xsd:element ref="ns2:Date1" minOccurs="0"/>
                <xsd:element ref="ns2:ncff1c19e96f4f66a1ef6e7dc3ac23a0" minOccurs="0"/>
                <xsd:element ref="ns2:Case" minOccurs="0"/>
                <xsd:element ref="ns2:From1" minOccurs="0"/>
                <xsd:element ref="ns2:To" minOccurs="0"/>
                <xsd:element ref="ns2:Cc" minOccurs="0"/>
                <xsd:element ref="ns2:Sent" minOccurs="0"/>
                <xsd:element ref="ns2: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28405-936d-4cce-b915-60c7ca1ebf2e" elementFormDefault="qualified">
    <xsd:import namespace="http://schemas.microsoft.com/office/2006/documentManagement/types"/>
    <xsd:import namespace="http://schemas.microsoft.com/office/infopath/2007/PartnerControls"/>
    <xsd:element name="FSMADocumentDescription" ma:index="8" nillable="true" ma:displayName="Description" ma:internalName="FSMADocumentDescription">
      <xsd:simpleType>
        <xsd:restriction base="dms:Note"/>
      </xsd:simpleType>
    </xsd:element>
    <xsd:element name="RelevantFor" ma:index="9" nillable="true" ma:displayName="Relevant for" ma:list="{6d001bb1-4a45-4f40-80f4-1deb4f10d808}" ma:internalName="RelevantFor" ma:showField="Combined" ma:web="b9c05335-a9dd-482d-8670-1af0930635fb">
      <xsd:simpleType>
        <xsd:restriction base="dms:Unknown"/>
      </xsd:simpleType>
    </xsd:element>
    <xsd:element name="j57658f9111242c1ab0be9b95dacce65" ma:index="10" nillable="true" ma:taxonomy="true" ma:internalName="j57658f9111242c1ab0be9b95dacce65" ma:taxonomyFieldName="FSMAKeywords" ma:displayName="Keywords" ma:default="" ma:fieldId="{357658f9-1112-42c1-ab0b-e9b95dacce65}" ma:taxonomyMulti="true" ma:sspId="733e9705-8999-4689-82cc-e4b589d7ceac" ma:termSetId="0c0cad7d-378f-43ed-928f-3cdc5e0a6410" ma:anchorId="00000000-0000-0000-0000-000000000000" ma:open="false" ma:isKeyword="false">
      <xsd:complexType>
        <xsd:sequence>
          <xsd:element ref="pc:Terms" minOccurs="0" maxOccurs="1"/>
        </xsd:sequence>
      </xsd:complexType>
    </xsd:element>
    <xsd:element name="o3d75fc94b264abb977af7e04b885cd5" ma:index="12" nillable="true" ma:taxonomy="true" ma:internalName="o3d75fc94b264abb977af7e04b885cd5" ma:taxonomyFieldName="FSMADocumentStatus" ma:displayName="Status" ma:default="" ma:fieldId="{83d75fc9-4b26-4abb-977a-f7e04b885cd5}" ma:sspId="733e9705-8999-4689-82cc-e4b589d7ceac" ma:termSetId="f70b2fdd-aab3-4f0c-90d0-dfa46d2b54cf" ma:anchorId="00000000-0000-0000-0000-000000000000" ma:open="false" ma:isKeyword="false">
      <xsd:complexType>
        <xsd:sequence>
          <xsd:element ref="pc:Terms" minOccurs="0" maxOccurs="1"/>
        </xsd:sequence>
      </xsd:complexType>
    </xsd:element>
    <xsd:element name="b252f7a24a5b428398326c6f59ad01f1" ma:index="14" nillable="true" ma:taxonomy="true" ma:internalName="b252f7a24a5b428398326c6f59ad01f1" ma:taxonomyFieldName="FSMALanguage" ma:displayName="Language" ma:default="" ma:fieldId="{b252f7a2-4a5b-4283-9832-6c6f59ad01f1}" ma:taxonomyMulti="true" ma:sspId="733e9705-8999-4689-82cc-e4b589d7ceac" ma:termSetId="aafeecad-3366-4f68-8bb2-095e8beb6c45" ma:anchorId="00000000-0000-0000-0000-000000000000" ma:open="false" ma:isKeyword="false">
      <xsd:complexType>
        <xsd:sequence>
          <xsd:element ref="pc:Terms" minOccurs="0" maxOccurs="1"/>
        </xsd:sequence>
      </xsd:complexType>
    </xsd:element>
    <xsd:element name="Date1" ma:index="16" nillable="true" ma:displayName="Date" ma:format="DateOnly" ma:internalName="Date1">
      <xsd:simpleType>
        <xsd:restriction base="dms:DateTime"/>
      </xsd:simpleType>
    </xsd:element>
    <xsd:element name="ncff1c19e96f4f66a1ef6e7dc3ac23a0" ma:index="17" nillable="true" ma:taxonomy="true" ma:internalName="ncff1c19e96f4f66a1ef6e7dc3ac23a0" ma:taxonomyFieldName="Importance" ma:displayName="Importance" ma:default="" ma:fieldId="{7cff1c19-e96f-4f66-a1ef-6e7dc3ac23a0}" ma:sspId="733e9705-8999-4689-82cc-e4b589d7ceac" ma:termSetId="94677fba-fc98-4aba-92d7-620adf123057" ma:anchorId="00000000-0000-0000-0000-000000000000" ma:open="false" ma:isKeyword="false">
      <xsd:complexType>
        <xsd:sequence>
          <xsd:element ref="pc:Terms" minOccurs="0" maxOccurs="1"/>
        </xsd:sequence>
      </xsd:complexType>
    </xsd:element>
    <xsd:element name="Case" ma:index="19" nillable="true" ma:displayName="Case" ma:format="Hyperlink" ma:internalName="Case">
      <xsd:complexType>
        <xsd:complexContent>
          <xsd:extension base="dms:URL">
            <xsd:sequence>
              <xsd:element name="Url" type="dms:ValidUrl" minOccurs="0" nillable="true"/>
              <xsd:element name="Description" type="xsd:string" nillable="true"/>
            </xsd:sequence>
          </xsd:extension>
        </xsd:complexContent>
      </xsd:complexType>
    </xsd:element>
    <xsd:element name="From1" ma:index="20" nillable="true" ma:displayName="From" ma:internalName="From1">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Sent" ma:index="23" nillable="true" ma:displayName="Sent" ma:format="DateTime" ma:internalName="Sent">
      <xsd:simpleType>
        <xsd:restriction base="dms:DateTime"/>
      </xsd:simpleType>
    </xsd:element>
    <xsd:element name="Received" ma:index="24" nillable="true" ma:displayName="Received" ma:format="DateTime" ma:internalName="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cff1c19e96f4f66a1ef6e7dc3ac23a0 xmlns="d0828405-936d-4cce-b915-60c7ca1ebf2e">
      <Terms xmlns="http://schemas.microsoft.com/office/infopath/2007/PartnerControls"/>
    </ncff1c19e96f4f66a1ef6e7dc3ac23a0>
    <j57658f9111242c1ab0be9b95dacce65 xmlns="d0828405-936d-4cce-b915-60c7ca1ebf2e">
      <Terms xmlns="http://schemas.microsoft.com/office/infopath/2007/PartnerControls"/>
    </j57658f9111242c1ab0be9b95dacce65>
    <o3d75fc94b264abb977af7e04b885cd5 xmlns="d0828405-936d-4cce-b915-60c7ca1ebf2e">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7d7850c6-150d-4cd3-9e58-5c4a2226475a</TermId>
        </TermInfo>
      </Terms>
    </o3d75fc94b264abb977af7e04b885cd5>
    <b252f7a24a5b428398326c6f59ad01f1 xmlns="d0828405-936d-4cce-b915-60c7ca1ebf2e">
      <Terms xmlns="http://schemas.microsoft.com/office/infopath/2007/PartnerControls"/>
    </b252f7a24a5b428398326c6f59ad01f1>
    <Case xmlns="d0828405-936d-4cce-b915-60c7ca1ebf2e">
      <Url>https://edossier2.fsmanet.be/sites/administration/_layouts/15/eDossier.Core/CaseRedirect.aspx?Id=eb2cd897-e640-4085-9003-46215b930398</Url>
      <Description>ANALYS-2021-000680</Description>
    </Case>
    <Date1 xmlns="d0828405-936d-4cce-b915-60c7ca1ebf2e" xsi:nil="true"/>
    <FSMADocumentDescription xmlns="d0828405-936d-4cce-b915-60c7ca1ebf2e" xsi:nil="true"/>
    <RelevantFor xmlns="d0828405-936d-4cce-b915-60c7ca1ebf2e" xsi:nil="true"/>
    <Cc xmlns="d0828405-936d-4cce-b915-60c7ca1ebf2e" xsi:nil="true"/>
    <From1 xmlns="d0828405-936d-4cce-b915-60c7ca1ebf2e" xsi:nil="true"/>
    <Received xmlns="d0828405-936d-4cce-b915-60c7ca1ebf2e" xsi:nil="true"/>
    <To xmlns="d0828405-936d-4cce-b915-60c7ca1ebf2e" xsi:nil="true"/>
    <Sent xmlns="d0828405-936d-4cce-b915-60c7ca1ebf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A4CE-C009-4683-94A0-69830CC42478}">
  <ds:schemaRefs>
    <ds:schemaRef ds:uri="http://schemas.microsoft.com/sharepoint/v3/contenttype/forms"/>
  </ds:schemaRefs>
</ds:datastoreItem>
</file>

<file path=customXml/itemProps2.xml><?xml version="1.0" encoding="utf-8"?>
<ds:datastoreItem xmlns:ds="http://schemas.openxmlformats.org/officeDocument/2006/customXml" ds:itemID="{7759FE53-E95F-4B2A-993E-4381E6F69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28405-936d-4cce-b915-60c7ca1e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6A44D-79C8-48C6-83A9-9EBCE217F30D}">
  <ds:schemaRefs>
    <ds:schemaRef ds:uri="http://schemas.microsoft.com/office/2006/metadata/properties"/>
    <ds:schemaRef ds:uri="http://schemas.microsoft.com/office/infopath/2007/PartnerControls"/>
    <ds:schemaRef ds:uri="d0828405-936d-4cce-b915-60c7ca1ebf2e"/>
  </ds:schemaRefs>
</ds:datastoreItem>
</file>

<file path=customXml/itemProps4.xml><?xml version="1.0" encoding="utf-8"?>
<ds:datastoreItem xmlns:ds="http://schemas.openxmlformats.org/officeDocument/2006/customXml" ds:itemID="{9E48B56D-9C7C-48C2-B030-1F1BB7F5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1341</Words>
  <Characters>7210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Strypstein Nicolas</dc:creator>
  <cp:keywords/>
  <dc:description/>
  <cp:lastModifiedBy>FSMA</cp:lastModifiedBy>
  <cp:revision>9</cp:revision>
  <cp:lastPrinted>1900-12-31T22:00:00Z</cp:lastPrinted>
  <dcterms:created xsi:type="dcterms:W3CDTF">2021-01-25T15:27:00Z</dcterms:created>
  <dcterms:modified xsi:type="dcterms:W3CDTF">2021-03-11T11:36:00Z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0x01010096B10D78A450B444BAE61FDEE383F8480044E0243E4ED140D4BAD5C13474CFEAB0002E67721A1CF6684E81FE547F9163D7E9</vt:lpwstr>
  </property>
  <property fmtid="{D5CDD505-2E9C-101B-9397-08002B2CF9AE}" pid="3" name="_NewReviewCycle">
    <vt:lpwstr/>
  </property>
  <property fmtid="{D5CDD505-2E9C-101B-9397-08002B2CF9AE}" pid="4" name="FSMAKeywords">
    <vt:lpwstr/>
  </property>
  <property fmtid="{D5CDD505-2E9C-101B-9397-08002B2CF9AE}" pid="5" name="OfficialLanguageVersion">
    <vt:bool>false</vt:bool>
  </property>
  <property fmtid="{D5CDD505-2E9C-101B-9397-08002B2CF9AE}" pid="6" name="FSMALanguage">
    <vt:lpwstr/>
  </property>
  <property fmtid="{D5CDD505-2E9C-101B-9397-08002B2CF9AE}" pid="7" name="Importance">
    <vt:lpwstr/>
  </property>
  <property fmtid="{D5CDD505-2E9C-101B-9397-08002B2CF9AE}" pid="8" name="TaxCatchAll">
    <vt:lpwstr>1;#Final|7d7850c6-150d-4cd3-9e58-5c4a2226475a</vt:lpwstr>
  </property>
  <property fmtid="{D5CDD505-2E9C-101B-9397-08002B2CF9AE}" pid="9" name="FSMADocumentStatus">
    <vt:lpwstr>1;#Final|7d7850c6-150d-4cd3-9e58-5c4a2226475a</vt:lpwstr>
  </property>
  <property fmtid="{D5CDD505-2E9C-101B-9397-08002B2CF9AE}" pid="10" name="Dossier">
    <vt:lpwstr/>
  </property>
  <property fmtid="{D5CDD505-2E9C-101B-9397-08002B2CF9AE}" pid="11" name="DossierFr">
    <vt:lpwstr/>
  </property>
  <property fmtid="{D5CDD505-2E9C-101B-9397-08002B2CF9AE}" pid="12" name="DossierOfficialNameFr">
    <vt:lpwstr/>
  </property>
  <property fmtid="{D5CDD505-2E9C-101B-9397-08002B2CF9AE}" pid="13" name="DossierOfficialName">
    <vt:lpwstr/>
  </property>
  <property fmtid="{D5CDD505-2E9C-101B-9397-08002B2CF9AE}" pid="14" name="DossierNl">
    <vt:lpwstr/>
  </property>
  <property fmtid="{D5CDD505-2E9C-101B-9397-08002B2CF9AE}" pid="15" name="DossierOfficialNameNl">
    <vt:lpwstr/>
  </property>
  <property fmtid="{D5CDD505-2E9C-101B-9397-08002B2CF9AE}" pid="16" name="_AdHocReviewCycleID">
    <vt:i4>-494853836</vt:i4>
  </property>
  <property fmtid="{D5CDD505-2E9C-101B-9397-08002B2CF9AE}" pid="17" name="_EmailSubject">
    <vt:lpwstr>Formulaires à publier sur le site internet de la FSMA</vt:lpwstr>
  </property>
  <property fmtid="{D5CDD505-2E9C-101B-9397-08002B2CF9AE}" pid="18" name="_AuthorEmail">
    <vt:lpwstr>Audrey.Jaumotte@fsma.be</vt:lpwstr>
  </property>
  <property fmtid="{D5CDD505-2E9C-101B-9397-08002B2CF9AE}" pid="19" name="_AuthorEmailDisplayName">
    <vt:lpwstr>Jaumotte, Audrey</vt:lpwstr>
  </property>
</Properties>
</file>