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5DEA8" w14:textId="77777777" w:rsidR="003F5D5C" w:rsidRDefault="003F5D5C" w:rsidP="003F5D5C">
      <w:pPr>
        <w:pStyle w:val="NormalWeb"/>
        <w:keepNext/>
        <w:pageBreakBefore/>
        <w:spacing w:before="0" w:beforeAutospacing="0" w:after="0" w:afterAutospacing="0"/>
      </w:pPr>
      <w:bookmarkStart w:id="0" w:name="_Toc493194602"/>
      <w:r>
        <w:t> </w:t>
      </w:r>
    </w:p>
    <w:p w14:paraId="6BBB9F88" w14:textId="77777777" w:rsidR="003F5D5C" w:rsidRDefault="003F5D5C" w:rsidP="003F5D5C">
      <w:pPr>
        <w:pStyle w:val="NormalWeb"/>
        <w:spacing w:before="0" w:beforeAutospacing="0" w:after="0" w:afterAutospacing="0"/>
      </w:pPr>
      <w:r>
        <w:rPr>
          <w:noProof/>
          <w:sz w:val="20"/>
          <w:lang w:val="nl-BE" w:eastAsia="nl-BE"/>
        </w:rPr>
        <w:drawing>
          <wp:anchor distT="0" distB="0" distL="114300" distR="114300" simplePos="0" relativeHeight="251664896" behindDoc="1" locked="1" layoutInCell="1" allowOverlap="1" wp14:anchorId="5A11DAC5" wp14:editId="7A029A05">
            <wp:simplePos x="0" y="0"/>
            <wp:positionH relativeFrom="page">
              <wp:posOffset>3347085</wp:posOffset>
            </wp:positionH>
            <wp:positionV relativeFrom="page">
              <wp:posOffset>560705</wp:posOffset>
            </wp:positionV>
            <wp:extent cx="949325" cy="609600"/>
            <wp:effectExtent l="0" t="0" r="3175" b="0"/>
            <wp:wrapNone/>
            <wp:docPr id="61" name="Placeholder" descr="VGP LOGO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P LOGO LETTER.jpg"/>
                    <pic:cNvPicPr/>
                  </pic:nvPicPr>
                  <pic:blipFill>
                    <a:blip r:embed="rId8"/>
                    <a:stretch>
                      <a:fillRect/>
                    </a:stretch>
                  </pic:blipFill>
                  <pic:spPr>
                    <a:xfrm>
                      <a:off x="0" y="0"/>
                      <a:ext cx="949325" cy="609600"/>
                    </a:xfrm>
                    <a:prstGeom prst="rect">
                      <a:avLst/>
                    </a:prstGeom>
                  </pic:spPr>
                </pic:pic>
              </a:graphicData>
            </a:graphic>
            <wp14:sizeRelH relativeFrom="margin">
              <wp14:pctWidth>0</wp14:pctWidth>
            </wp14:sizeRelH>
            <wp14:sizeRelV relativeFrom="margin">
              <wp14:pctHeight>0</wp14:pctHeight>
            </wp14:sizeRelV>
          </wp:anchor>
        </w:drawing>
      </w:r>
    </w:p>
    <w:p w14:paraId="17E40FB5" w14:textId="77777777" w:rsidR="003F5D5C" w:rsidRDefault="003F5D5C" w:rsidP="003F5D5C">
      <w:pPr>
        <w:pStyle w:val="NormalWeb"/>
        <w:keepNext/>
        <w:spacing w:before="240" w:beforeAutospacing="0" w:after="0" w:afterAutospacing="0"/>
        <w:jc w:val="center"/>
        <w:rPr>
          <w:b/>
          <w:bCs/>
          <w:lang w:val="en-GB"/>
        </w:rPr>
      </w:pPr>
    </w:p>
    <w:p w14:paraId="233B4A6D" w14:textId="77777777" w:rsidR="003F5D5C" w:rsidRDefault="003F5D5C" w:rsidP="003F5D5C">
      <w:pPr>
        <w:pStyle w:val="NormalWeb"/>
        <w:keepNext/>
        <w:spacing w:before="240" w:beforeAutospacing="0" w:after="0" w:afterAutospacing="0"/>
        <w:jc w:val="center"/>
        <w:rPr>
          <w:b/>
          <w:bCs/>
          <w:lang w:val="en-GB"/>
        </w:rPr>
      </w:pPr>
      <w:r>
        <w:rPr>
          <w:b/>
          <w:bCs/>
          <w:lang w:val="en-GB"/>
        </w:rPr>
        <w:t>VGP NV</w:t>
      </w:r>
    </w:p>
    <w:p w14:paraId="34A30FDD" w14:textId="77777777" w:rsidR="003F5D5C" w:rsidRDefault="003F5D5C" w:rsidP="003F5D5C">
      <w:pPr>
        <w:pStyle w:val="NormalWeb"/>
        <w:keepNext/>
        <w:spacing w:before="240" w:beforeAutospacing="0" w:after="0" w:afterAutospacing="0"/>
        <w:jc w:val="center"/>
        <w:rPr>
          <w:i/>
          <w:sz w:val="16"/>
          <w:szCs w:val="16"/>
          <w:lang w:val="en-GB"/>
        </w:rPr>
      </w:pPr>
      <w:r>
        <w:rPr>
          <w:i/>
          <w:sz w:val="16"/>
          <w:szCs w:val="16"/>
          <w:lang w:val="en-GB"/>
        </w:rPr>
        <w:t>a public limited liability company under Belgian law</w:t>
      </w:r>
    </w:p>
    <w:p w14:paraId="6EA46A13" w14:textId="77777777" w:rsidR="003F5D5C" w:rsidRDefault="003F5D5C" w:rsidP="003F5D5C">
      <w:pPr>
        <w:pStyle w:val="NormalWeb"/>
        <w:keepNext/>
        <w:spacing w:before="240" w:beforeAutospacing="0" w:after="0" w:afterAutospacing="0"/>
        <w:jc w:val="center"/>
        <w:rPr>
          <w:b/>
          <w:bCs/>
          <w:sz w:val="16"/>
          <w:szCs w:val="16"/>
        </w:rPr>
      </w:pPr>
      <w:r>
        <w:rPr>
          <w:sz w:val="16"/>
          <w:szCs w:val="16"/>
          <w:lang w:val="en-GB"/>
        </w:rPr>
        <w:t xml:space="preserve">Leonardo Da </w:t>
      </w:r>
      <w:proofErr w:type="spellStart"/>
      <w:r>
        <w:rPr>
          <w:sz w:val="16"/>
          <w:szCs w:val="16"/>
          <w:lang w:val="en-GB"/>
        </w:rPr>
        <w:t>Vincilaan</w:t>
      </w:r>
      <w:proofErr w:type="spellEnd"/>
      <w:r>
        <w:rPr>
          <w:sz w:val="16"/>
          <w:szCs w:val="16"/>
          <w:lang w:val="en-GB"/>
        </w:rPr>
        <w:t xml:space="preserve"> 19A bus 6, 1831 </w:t>
      </w:r>
      <w:proofErr w:type="spellStart"/>
      <w:r>
        <w:rPr>
          <w:sz w:val="16"/>
          <w:szCs w:val="16"/>
          <w:lang w:val="en-GB"/>
        </w:rPr>
        <w:t>Machelen</w:t>
      </w:r>
      <w:proofErr w:type="spellEnd"/>
      <w:r>
        <w:rPr>
          <w:sz w:val="16"/>
          <w:szCs w:val="16"/>
          <w:lang w:val="en-GB"/>
        </w:rPr>
        <w:t xml:space="preserve"> (</w:t>
      </w:r>
      <w:proofErr w:type="spellStart"/>
      <w:r>
        <w:rPr>
          <w:sz w:val="16"/>
          <w:szCs w:val="16"/>
          <w:lang w:val="en-GB"/>
        </w:rPr>
        <w:t>Diegem</w:t>
      </w:r>
      <w:proofErr w:type="spellEnd"/>
      <w:r>
        <w:rPr>
          <w:sz w:val="16"/>
          <w:szCs w:val="16"/>
          <w:lang w:val="en-GB"/>
        </w:rPr>
        <w:t>)</w:t>
      </w:r>
      <w:r>
        <w:rPr>
          <w:b/>
          <w:bCs/>
          <w:sz w:val="16"/>
          <w:szCs w:val="16"/>
        </w:rPr>
        <w:t xml:space="preserve"> </w:t>
      </w:r>
    </w:p>
    <w:p w14:paraId="34863E1C" w14:textId="134F7418" w:rsidR="003F5D5C" w:rsidRDefault="003F5D5C" w:rsidP="003F5D5C">
      <w:pPr>
        <w:pStyle w:val="NormalWeb"/>
        <w:keepNext/>
        <w:spacing w:before="240" w:beforeAutospacing="0" w:after="0" w:afterAutospacing="0"/>
        <w:jc w:val="center"/>
      </w:pPr>
      <w:r>
        <w:rPr>
          <w:b/>
          <w:bCs/>
          <w:sz w:val="16"/>
          <w:szCs w:val="16"/>
        </w:rPr>
        <w:t xml:space="preserve">Offering of up to </w:t>
      </w:r>
      <w:r w:rsidR="00CB7137">
        <w:rPr>
          <w:b/>
          <w:bCs/>
          <w:sz w:val="16"/>
          <w:szCs w:val="16"/>
        </w:rPr>
        <w:t>4,524,569</w:t>
      </w:r>
      <w:r>
        <w:rPr>
          <w:b/>
          <w:bCs/>
          <w:sz w:val="16"/>
          <w:szCs w:val="16"/>
        </w:rPr>
        <w:t xml:space="preserve"> existing Shares </w:t>
      </w:r>
    </w:p>
    <w:p w14:paraId="1D097E88" w14:textId="21F5E38F" w:rsidR="003F5D5C" w:rsidRDefault="003F5D5C" w:rsidP="003F5D5C">
      <w:pPr>
        <w:pStyle w:val="NormalWeb"/>
        <w:spacing w:before="240" w:beforeAutospacing="0" w:after="0" w:afterAutospacing="0"/>
        <w:ind w:firstLine="857"/>
      </w:pPr>
      <w:r>
        <w:rPr>
          <w:sz w:val="14"/>
          <w:szCs w:val="14"/>
        </w:rPr>
        <w:t xml:space="preserve">The shares of the Company (the “Shares”) being offered by the Selling Shareholders are herein referred to as the “Offer Shares.” This prospectus (the “Prospectus”) relates to the offering by VM Invest NV, Bart Van Malderen and Little Rock SA (the “Selling Shareholders”) of </w:t>
      </w:r>
      <w:r w:rsidR="00CB7137">
        <w:rPr>
          <w:sz w:val="14"/>
          <w:szCs w:val="14"/>
        </w:rPr>
        <w:t>up to 4,524,569</w:t>
      </w:r>
      <w:r>
        <w:rPr>
          <w:sz w:val="14"/>
          <w:szCs w:val="14"/>
        </w:rPr>
        <w:t xml:space="preserve"> existing Shares (the “Offer Shares”). The Offer Shares are being offered in: (</w:t>
      </w:r>
      <w:proofErr w:type="spellStart"/>
      <w:r>
        <w:rPr>
          <w:sz w:val="14"/>
          <w:szCs w:val="14"/>
        </w:rPr>
        <w:t>i</w:t>
      </w:r>
      <w:proofErr w:type="spellEnd"/>
      <w:r>
        <w:rPr>
          <w:sz w:val="14"/>
          <w:szCs w:val="14"/>
        </w:rPr>
        <w:t>) a secondary public offering to retail and institutional investors in Belgium (the “Belgian Offering”); (ii) a private placement in the United States to persons who are reasonably believed to be “qualified institutional buyers” or “QIBs” (as defined in Rule 144A (“Rule 144A”) under the U.S. Securities Act of 1933, as amended (the “U.S. Securities Act”)), in reliance on Rule 144A or pursuant to another exemption from or transaction not subject to the registration requirements under the U.S. Securities Act; and (iii) private placements to institutional investors in certain other jurisdictions (collectively, the “Offering”). The Offering outside the United States will be made in compliance with Regulation S (“Regulation S”) under the U.S. Securities Act. The Offer Shares are being offered only in those jurisdictions in which, and only to those persons to whom, offers of Offer Shares may be lawfully made.</w:t>
      </w:r>
    </w:p>
    <w:p w14:paraId="1047F064" w14:textId="3FD4E828" w:rsidR="003F5D5C" w:rsidRDefault="003F5D5C" w:rsidP="003F5D5C">
      <w:pPr>
        <w:pStyle w:val="NormalWeb"/>
        <w:spacing w:before="240" w:beforeAutospacing="0" w:after="0" w:afterAutospacing="0"/>
        <w:ind w:firstLine="857"/>
      </w:pPr>
      <w:r>
        <w:rPr>
          <w:sz w:val="14"/>
          <w:szCs w:val="14"/>
        </w:rPr>
        <w:t>The aggregate number of Offer Shares ma</w:t>
      </w:r>
      <w:r w:rsidR="00CB7137">
        <w:rPr>
          <w:sz w:val="14"/>
          <w:szCs w:val="14"/>
        </w:rPr>
        <w:t>y be increased by option up to 25</w:t>
      </w:r>
      <w:r>
        <w:rPr>
          <w:sz w:val="14"/>
          <w:szCs w:val="14"/>
        </w:rPr>
        <w:t xml:space="preserve">% of the aggregate number of Offer Shares initially offered (the “Increase Option”). Any decision to exercise the Increase Option will be communicated, at the latest, on the date of the announcement of the Offer Price. </w:t>
      </w:r>
    </w:p>
    <w:p w14:paraId="32DDDCA8" w14:textId="67B6E495" w:rsidR="003F5D5C" w:rsidRDefault="003F5D5C" w:rsidP="003F5D5C">
      <w:pPr>
        <w:pStyle w:val="NormalWeb"/>
        <w:spacing w:before="240" w:beforeAutospacing="0" w:after="0" w:afterAutospacing="0"/>
        <w:ind w:firstLine="857"/>
      </w:pPr>
      <w:r>
        <w:rPr>
          <w:sz w:val="14"/>
          <w:szCs w:val="14"/>
        </w:rPr>
        <w:t xml:space="preserve">The Selling Shareholders are expected to grant KBC Securities, as stabilization manager (the “Stabilization Manager”), on behalf of itself and the Underwriters (as defined herein), an option to purchase additional Shares in an aggregate </w:t>
      </w:r>
      <w:r w:rsidR="00CB7137">
        <w:rPr>
          <w:sz w:val="14"/>
          <w:szCs w:val="14"/>
        </w:rPr>
        <w:t>amount equal to up to 15</w:t>
      </w:r>
      <w:r>
        <w:rPr>
          <w:sz w:val="14"/>
          <w:szCs w:val="14"/>
        </w:rPr>
        <w:t xml:space="preserve">% of the number of Offer Shares sold in the Offering (including pursuant to any effective exercise of the Increase Option) at the Offer Price (as defined below) to cover over-allotments or short positions, if any, in connection with the Offering (the “Over-allotment Option”). The Over-allotment Option will be exercisable for a period of 30 days following the Pricing Date (as defined below). As used herein, the term “Offer Shares” shall include any over-allotted Shares (unless the context requires otherwise). Within five business days after the end of the Stabilization Period (as defined below), information in relation to stabilization activities, if any, will be made public. </w:t>
      </w:r>
    </w:p>
    <w:p w14:paraId="0466F8F2" w14:textId="77777777" w:rsidR="003F5D5C" w:rsidRDefault="003F5D5C" w:rsidP="003F5D5C">
      <w:pPr>
        <w:pStyle w:val="NormalWeb"/>
        <w:keepNext/>
        <w:spacing w:before="0" w:beforeAutospacing="0" w:after="0" w:afterAutospacing="0"/>
      </w:pPr>
      <w:r>
        <w:t> </w:t>
      </w:r>
    </w:p>
    <w:p w14:paraId="7D68FC34" w14:textId="77777777" w:rsidR="003F5D5C" w:rsidRDefault="003F5D5C" w:rsidP="003F5D5C">
      <w:pPr>
        <w:pStyle w:val="NormalWeb"/>
        <w:spacing w:before="0" w:beforeAutospacing="0" w:after="0" w:afterAutospacing="0"/>
        <w:ind w:left="122" w:right="122"/>
      </w:pPr>
      <w:r>
        <w:rPr>
          <w:b/>
          <w:bCs/>
          <w:sz w:val="14"/>
          <w:szCs w:val="14"/>
        </w:rPr>
        <w:t>An investment in the Offer Shares involves substantial risks and uncertainties. Prospective investors should read the entire document, and, in particular, should see “</w:t>
      </w:r>
      <w:r>
        <w:rPr>
          <w:b/>
          <w:bCs/>
          <w:i/>
          <w:iCs/>
          <w:sz w:val="14"/>
          <w:szCs w:val="14"/>
        </w:rPr>
        <w:t>Risk Factors</w:t>
      </w:r>
      <w:r>
        <w:rPr>
          <w:b/>
          <w:bCs/>
          <w:sz w:val="14"/>
          <w:szCs w:val="14"/>
        </w:rPr>
        <w:t>” beginning on page 16 for a discussion of certain factors that should be considered in connection with an investment in the Shares. All of these factors should be considered before investing in the Offer Shares. Prospective investors must be able to bear the economic risk of an investment in the Shares and should be able to sustain a partial or total loss of their investment. See “</w:t>
      </w:r>
      <w:r>
        <w:rPr>
          <w:b/>
          <w:bCs/>
          <w:i/>
          <w:iCs/>
          <w:sz w:val="14"/>
          <w:szCs w:val="14"/>
        </w:rPr>
        <w:t>Summary—Section D—Risks</w:t>
      </w:r>
      <w:r>
        <w:rPr>
          <w:b/>
          <w:bCs/>
          <w:sz w:val="14"/>
          <w:szCs w:val="14"/>
        </w:rPr>
        <w:t>” and “</w:t>
      </w:r>
      <w:r>
        <w:rPr>
          <w:b/>
          <w:bCs/>
          <w:i/>
          <w:iCs/>
          <w:sz w:val="14"/>
          <w:szCs w:val="14"/>
        </w:rPr>
        <w:t>Risk Factors</w:t>
      </w:r>
      <w:r>
        <w:rPr>
          <w:b/>
          <w:bCs/>
          <w:sz w:val="14"/>
          <w:szCs w:val="14"/>
        </w:rPr>
        <w:t xml:space="preserve">.” </w:t>
      </w:r>
    </w:p>
    <w:p w14:paraId="3FA0621C" w14:textId="77777777" w:rsidR="003F5D5C" w:rsidRDefault="003F5D5C" w:rsidP="003F5D5C">
      <w:pPr>
        <w:pStyle w:val="rco"/>
        <w:spacing w:before="240"/>
      </w:pPr>
      <w:r>
        <w:t> </w:t>
      </w:r>
    </w:p>
    <w:p w14:paraId="06E09289" w14:textId="1FF2A6AD" w:rsidR="003F5D5C" w:rsidRDefault="00CB7137" w:rsidP="003F5D5C">
      <w:pPr>
        <w:pStyle w:val="NormalWeb"/>
        <w:keepNext/>
        <w:spacing w:before="240" w:beforeAutospacing="0" w:after="0" w:afterAutospacing="0"/>
        <w:jc w:val="center"/>
      </w:pPr>
      <w:r>
        <w:rPr>
          <w:b/>
          <w:bCs/>
          <w:sz w:val="16"/>
          <w:szCs w:val="16"/>
        </w:rPr>
        <w:t>PRICE RANGE: € 55 TO € 63</w:t>
      </w:r>
      <w:r w:rsidR="003F5D5C">
        <w:rPr>
          <w:b/>
          <w:bCs/>
          <w:sz w:val="16"/>
          <w:szCs w:val="16"/>
        </w:rPr>
        <w:t xml:space="preserve"> PER OFFER SHARE </w:t>
      </w:r>
    </w:p>
    <w:p w14:paraId="70623462" w14:textId="77777777" w:rsidR="003F5D5C" w:rsidRDefault="003F5D5C" w:rsidP="003F5D5C">
      <w:pPr>
        <w:pStyle w:val="rco"/>
        <w:spacing w:before="240"/>
      </w:pPr>
      <w:r>
        <w:t> </w:t>
      </w:r>
    </w:p>
    <w:p w14:paraId="028090A9" w14:textId="3F564004" w:rsidR="003F5D5C" w:rsidRDefault="003F5D5C" w:rsidP="003F5D5C">
      <w:pPr>
        <w:pStyle w:val="NormalWeb"/>
        <w:spacing w:before="240" w:beforeAutospacing="0" w:after="0" w:afterAutospacing="0"/>
        <w:ind w:firstLine="857"/>
      </w:pPr>
      <w:r>
        <w:rPr>
          <w:sz w:val="14"/>
          <w:szCs w:val="14"/>
        </w:rPr>
        <w:t xml:space="preserve">The price per Offer Share (the “Offer Price”) will be determined during the Offering Period (as defined herein) through a </w:t>
      </w:r>
      <w:proofErr w:type="spellStart"/>
      <w:r>
        <w:rPr>
          <w:sz w:val="14"/>
          <w:szCs w:val="14"/>
        </w:rPr>
        <w:t>bookbuilding</w:t>
      </w:r>
      <w:proofErr w:type="spellEnd"/>
      <w:r>
        <w:rPr>
          <w:sz w:val="14"/>
          <w:szCs w:val="14"/>
        </w:rPr>
        <w:t xml:space="preserve"> process in which only institutional investors may participate. The Offer Price, the number of Offer Shares sold in the Offering and the allocation of Offer Shares to retail investors is expected to be made public by a Com</w:t>
      </w:r>
      <w:r w:rsidR="00CB7137">
        <w:rPr>
          <w:sz w:val="14"/>
          <w:szCs w:val="14"/>
        </w:rPr>
        <w:t>p</w:t>
      </w:r>
      <w:r w:rsidR="001146AD">
        <w:rPr>
          <w:sz w:val="14"/>
          <w:szCs w:val="14"/>
        </w:rPr>
        <w:t>any press release on or about 26</w:t>
      </w:r>
      <w:r w:rsidR="00CB7137">
        <w:rPr>
          <w:sz w:val="14"/>
          <w:szCs w:val="14"/>
        </w:rPr>
        <w:t xml:space="preserve"> October</w:t>
      </w:r>
      <w:r>
        <w:rPr>
          <w:sz w:val="14"/>
          <w:szCs w:val="14"/>
        </w:rPr>
        <w:t xml:space="preserve"> 2017 and in any event no later than the first business day after the end of the Offering Period (the “Pricing Date”). The Offer Price will be a single price in Euros, exclusive of the Belgian tax on stock exchange transactions, and of costs, if any, charged by financial intermediaries for the submission of applications. The Offer Price</w:t>
      </w:r>
      <w:r w:rsidR="00CB7137">
        <w:rPr>
          <w:sz w:val="14"/>
          <w:szCs w:val="14"/>
        </w:rPr>
        <w:t xml:space="preserve"> is expected to be between € 55 and € 63</w:t>
      </w:r>
      <w:r>
        <w:rPr>
          <w:sz w:val="14"/>
          <w:szCs w:val="14"/>
        </w:rPr>
        <w:t xml:space="preserve"> per Offer Share (the “Price Range”). The Offer Price may be set within the Price Range or below the lower end of the Price Range but will not exceed the higher end of the Price Range. A supplement to this Prospectus will be published in accordance with article 34 of the Prospectus Law if the Offer Price is set below the lower end of the Price Range.</w:t>
      </w:r>
    </w:p>
    <w:p w14:paraId="193A5D04" w14:textId="23443EFA" w:rsidR="003F5D5C" w:rsidRDefault="003F5D5C" w:rsidP="003F5D5C">
      <w:pPr>
        <w:pStyle w:val="NormalWeb"/>
        <w:spacing w:before="240" w:beforeAutospacing="0" w:after="0" w:afterAutospacing="0"/>
        <w:ind w:firstLine="857"/>
      </w:pPr>
      <w:r>
        <w:rPr>
          <w:sz w:val="14"/>
          <w:szCs w:val="14"/>
        </w:rPr>
        <w:t>The offering period (the “Offering Period”) will begin o</w:t>
      </w:r>
      <w:r w:rsidR="00CB7137">
        <w:rPr>
          <w:sz w:val="14"/>
          <w:szCs w:val="14"/>
        </w:rPr>
        <w:t xml:space="preserve">n </w:t>
      </w:r>
      <w:r>
        <w:rPr>
          <w:sz w:val="14"/>
          <w:szCs w:val="14"/>
        </w:rPr>
        <w:t>1</w:t>
      </w:r>
      <w:r w:rsidR="00CB7137">
        <w:rPr>
          <w:sz w:val="14"/>
          <w:szCs w:val="14"/>
        </w:rPr>
        <w:t>2 October</w:t>
      </w:r>
      <w:r>
        <w:rPr>
          <w:sz w:val="14"/>
          <w:szCs w:val="14"/>
        </w:rPr>
        <w:t xml:space="preserve"> 2017 and is</w:t>
      </w:r>
      <w:r w:rsidR="00CB7137">
        <w:rPr>
          <w:sz w:val="14"/>
          <w:szCs w:val="14"/>
        </w:rPr>
        <w:t xml:space="preserve"> expected to end </w:t>
      </w:r>
      <w:r w:rsidR="001146AD">
        <w:rPr>
          <w:sz w:val="14"/>
          <w:szCs w:val="14"/>
        </w:rPr>
        <w:t>no later than 1 p.m. (CET) on 25</w:t>
      </w:r>
      <w:r w:rsidR="00CB7137">
        <w:rPr>
          <w:sz w:val="14"/>
          <w:szCs w:val="14"/>
        </w:rPr>
        <w:t xml:space="preserve"> October</w:t>
      </w:r>
      <w:r>
        <w:rPr>
          <w:sz w:val="14"/>
          <w:szCs w:val="14"/>
        </w:rPr>
        <w:t xml:space="preserve"> 2017, subject to early closing, provided that the Offering Period will in any event be open for at least three business days from the availability of this Prospectus. However, in accordance with the possibility provided for in Article 3, § 2 of the Royal Decree of May 17, 2007 on primary market practices, the Company expects the subscription period for</w:t>
      </w:r>
      <w:r w:rsidR="00CB7137">
        <w:rPr>
          <w:sz w:val="14"/>
          <w:szCs w:val="14"/>
        </w:rPr>
        <w:t xml:space="preserve"> </w:t>
      </w:r>
      <w:r w:rsidR="001146AD">
        <w:rPr>
          <w:sz w:val="14"/>
          <w:szCs w:val="14"/>
        </w:rPr>
        <w:t>the retail offering to end on 24</w:t>
      </w:r>
      <w:r w:rsidR="00CB7137">
        <w:rPr>
          <w:sz w:val="14"/>
          <w:szCs w:val="14"/>
        </w:rPr>
        <w:t xml:space="preserve"> October</w:t>
      </w:r>
      <w:r>
        <w:rPr>
          <w:sz w:val="14"/>
          <w:szCs w:val="14"/>
        </w:rPr>
        <w:t xml:space="preserve"> 2017, the day before the end of the institutional </w:t>
      </w:r>
      <w:proofErr w:type="spellStart"/>
      <w:r>
        <w:rPr>
          <w:sz w:val="14"/>
          <w:szCs w:val="14"/>
        </w:rPr>
        <w:t>bookbuilding</w:t>
      </w:r>
      <w:proofErr w:type="spellEnd"/>
      <w:r>
        <w:rPr>
          <w:sz w:val="14"/>
          <w:szCs w:val="14"/>
        </w:rPr>
        <w:t xml:space="preserve"> period, due to the timing and logistical constraints associated with the centralization of the subscriptions placed by retail investors with the Joint Global Coordinators (as defined below) and with other financial institutions. Any early closing of the Offering Period will be announced by means of a Company press release, and the dates for each of pricing and allocation, publication of the Offer Price and results of the Offering and closing of the Offering will in such case be adjusted accordingly. The Selling Shareholders reserve the right to reduce the maximum number of Offer Shares at any time prior to the allocation of the Offer Shares. The Offering will be withdrawn in the event no underwriting agreement is executed or in the event the underwriting agreement is executed but is subsequently terminated. If the Offering is withdrawn or if the maximum number of Offer Shares is reduced, such withdrawal or reduction will be announced by means of a Company press release, through electronic information services such as Reuters or Bloomberg, and in a supplement to this Prospectus. There is no minimum size</w:t>
      </w:r>
      <w:r w:rsidR="00CB7137">
        <w:rPr>
          <w:sz w:val="14"/>
          <w:szCs w:val="14"/>
        </w:rPr>
        <w:t xml:space="preserve"> of the Offering.</w:t>
      </w:r>
      <w:r>
        <w:rPr>
          <w:sz w:val="14"/>
          <w:szCs w:val="14"/>
        </w:rPr>
        <w:t xml:space="preserve"> The Company will not receive any proceeds from the Offering.</w:t>
      </w:r>
    </w:p>
    <w:p w14:paraId="6F0F3014" w14:textId="1BC84379" w:rsidR="003F5D5C" w:rsidRDefault="003F5D5C" w:rsidP="003F5D5C">
      <w:pPr>
        <w:pStyle w:val="NormalWeb"/>
        <w:spacing w:before="240" w:beforeAutospacing="0" w:after="0" w:afterAutospacing="0"/>
        <w:ind w:firstLine="857"/>
      </w:pPr>
      <w:r>
        <w:rPr>
          <w:sz w:val="14"/>
          <w:szCs w:val="14"/>
        </w:rPr>
        <w:t>Delivery of the Offer Shares is expected to take place in book-entry form against payment therefor in immediate</w:t>
      </w:r>
      <w:r w:rsidR="00ED34B9">
        <w:rPr>
          <w:sz w:val="14"/>
          <w:szCs w:val="14"/>
        </w:rPr>
        <w:t>l</w:t>
      </w:r>
      <w:r w:rsidR="00E62FE9">
        <w:rPr>
          <w:sz w:val="14"/>
          <w:szCs w:val="14"/>
        </w:rPr>
        <w:t>y available funds on or about 27</w:t>
      </w:r>
      <w:r w:rsidR="00ED34B9">
        <w:rPr>
          <w:sz w:val="14"/>
          <w:szCs w:val="14"/>
        </w:rPr>
        <w:t xml:space="preserve"> October</w:t>
      </w:r>
      <w:r>
        <w:rPr>
          <w:sz w:val="14"/>
          <w:szCs w:val="14"/>
        </w:rPr>
        <w:t xml:space="preserve"> 2017 (the “Closing Date”) to investors’ securities accounts </w:t>
      </w:r>
      <w:r>
        <w:rPr>
          <w:iCs/>
          <w:sz w:val="14"/>
          <w:szCs w:val="14"/>
        </w:rPr>
        <w:t>via</w:t>
      </w:r>
      <w:r>
        <w:rPr>
          <w:i/>
          <w:iCs/>
          <w:sz w:val="14"/>
          <w:szCs w:val="14"/>
        </w:rPr>
        <w:t xml:space="preserve"> </w:t>
      </w:r>
      <w:r>
        <w:rPr>
          <w:sz w:val="14"/>
          <w:szCs w:val="14"/>
        </w:rPr>
        <w:t>Euroclear Belgium, the Belgian central securities depository. See “</w:t>
      </w:r>
      <w:r>
        <w:rPr>
          <w:i/>
          <w:sz w:val="14"/>
          <w:szCs w:val="14"/>
        </w:rPr>
        <w:t>The Offering –</w:t>
      </w:r>
      <w:r>
        <w:rPr>
          <w:sz w:val="14"/>
          <w:szCs w:val="14"/>
        </w:rPr>
        <w:t xml:space="preserve"> </w:t>
      </w:r>
      <w:r>
        <w:rPr>
          <w:i/>
          <w:iCs/>
          <w:sz w:val="14"/>
          <w:szCs w:val="14"/>
        </w:rPr>
        <w:t>Form of the Offer Shares and Delivery</w:t>
      </w:r>
      <w:r>
        <w:rPr>
          <w:sz w:val="14"/>
          <w:szCs w:val="14"/>
        </w:rPr>
        <w:t xml:space="preserve">.” </w:t>
      </w:r>
    </w:p>
    <w:p w14:paraId="34B46701" w14:textId="228D0F82" w:rsidR="003F5D5C" w:rsidRDefault="003F5D5C" w:rsidP="003F5D5C">
      <w:pPr>
        <w:pStyle w:val="NormalWeb"/>
        <w:spacing w:before="240" w:beforeAutospacing="0" w:after="0" w:afterAutospacing="0"/>
        <w:ind w:firstLine="857"/>
      </w:pPr>
      <w:r>
        <w:rPr>
          <w:sz w:val="14"/>
          <w:szCs w:val="14"/>
        </w:rPr>
        <w:t>This document constitutes an offer prospectus for purposes of Article 3 of Directive 2003/71/EC of the European Parliament and of the Council of the European Union (as amended, including by Directive 2010/73/EU, the “Prospectus Directive”) and has been prepared in accordance with Article 20 of the Belgian Law of June 16, 2006 on the public offering of securities and the admission of securities to trading on a regulated market, as amended (the “Prospectus Law”). The English version of this Prospectus</w:t>
      </w:r>
      <w:r w:rsidR="001146AD">
        <w:rPr>
          <w:sz w:val="14"/>
          <w:szCs w:val="14"/>
        </w:rPr>
        <w:t xml:space="preserve"> dated 11 October 2017</w:t>
      </w:r>
      <w:r>
        <w:rPr>
          <w:sz w:val="14"/>
          <w:szCs w:val="14"/>
        </w:rPr>
        <w:t xml:space="preserve"> was approved by the Belgian Financial Services and Marke</w:t>
      </w:r>
      <w:r w:rsidR="00ED34B9">
        <w:rPr>
          <w:sz w:val="14"/>
          <w:szCs w:val="14"/>
        </w:rPr>
        <w:t>ts Authority (the “FSMA”)</w:t>
      </w:r>
      <w:r>
        <w:rPr>
          <w:sz w:val="14"/>
          <w:szCs w:val="14"/>
        </w:rPr>
        <w:t xml:space="preserve">. </w:t>
      </w:r>
    </w:p>
    <w:p w14:paraId="07E04F08" w14:textId="77777777" w:rsidR="003F5D5C" w:rsidRDefault="003F5D5C" w:rsidP="003F5D5C">
      <w:pPr>
        <w:pStyle w:val="NormalWeb"/>
        <w:spacing w:before="240" w:beforeAutospacing="0" w:after="0" w:afterAutospacing="0"/>
        <w:ind w:firstLine="857"/>
      </w:pPr>
      <w:r>
        <w:rPr>
          <w:sz w:val="14"/>
          <w:szCs w:val="14"/>
        </w:rPr>
        <w:t>A supplement to this Prospectus will be published in accordance with article 34 of the Prospectus Law in the event (</w:t>
      </w:r>
      <w:proofErr w:type="spellStart"/>
      <w:r>
        <w:rPr>
          <w:sz w:val="14"/>
          <w:szCs w:val="14"/>
        </w:rPr>
        <w:t>i</w:t>
      </w:r>
      <w:proofErr w:type="spellEnd"/>
      <w:r>
        <w:rPr>
          <w:sz w:val="14"/>
          <w:szCs w:val="14"/>
        </w:rPr>
        <w:t>) the Offering Period is extended, (ii) the lower limit of the Price Range is decreased or the Offer Price is set below the lower end of the Price Range, (iii) the maximum number of Offer Shares is reduced, including due to an early closing of the Offering Period without placement of the total number of Offer Shares (excluding the Increase Option), or (iv) the underwriting agreement is not executed or is executed but subsequently terminated and the Offering is withdrawn.</w:t>
      </w:r>
    </w:p>
    <w:p w14:paraId="4344AC30" w14:textId="77777777" w:rsidR="003F5D5C" w:rsidRDefault="003F5D5C" w:rsidP="003F5D5C">
      <w:pPr>
        <w:pStyle w:val="NormalWeb"/>
        <w:spacing w:before="240" w:beforeAutospacing="0" w:after="0" w:afterAutospacing="0"/>
        <w:ind w:firstLine="857"/>
      </w:pPr>
      <w:r>
        <w:rPr>
          <w:sz w:val="14"/>
          <w:szCs w:val="14"/>
        </w:rPr>
        <w:t xml:space="preserve">This Prospectus does not constitute an offer to sell or the solicitation of an offer to buy any of the Offer Shares in any jurisdiction or to any person to whom it would be unlawful to do so. </w:t>
      </w:r>
    </w:p>
    <w:p w14:paraId="3C8E95D0" w14:textId="77777777" w:rsidR="003F5D5C" w:rsidRDefault="003F5D5C" w:rsidP="003F5D5C">
      <w:pPr>
        <w:pStyle w:val="NormalWeb"/>
        <w:spacing w:before="240" w:beforeAutospacing="0" w:after="0" w:afterAutospacing="0"/>
        <w:ind w:firstLine="857"/>
      </w:pPr>
      <w:r>
        <w:rPr>
          <w:sz w:val="14"/>
          <w:szCs w:val="14"/>
        </w:rPr>
        <w:lastRenderedPageBreak/>
        <w:t>The Shares have not been and will not be registered under the U.S. Securities Act or the applicable securities laws of any state or other jurisdiction of the United States and may not be offered, sold, pledged or transferred within the United States, except pursuant to an applicable exemption from, or in a transaction not subject to, the registration requirements of the U.S. Securities Act. Prospective purchasers are hereby notified that sellers of the Shares may be relying on the exemption from the provisions of Section 5 of the U.S. Securities Act provided by Rule 144A. For a description of certain restrictions on transfer of the Shares, see “</w:t>
      </w:r>
      <w:r>
        <w:rPr>
          <w:i/>
          <w:iCs/>
          <w:sz w:val="14"/>
          <w:szCs w:val="14"/>
        </w:rPr>
        <w:t>Transfer Restrictions</w:t>
      </w:r>
      <w:r>
        <w:rPr>
          <w:sz w:val="14"/>
          <w:szCs w:val="14"/>
        </w:rPr>
        <w:t xml:space="preserve">.” </w:t>
      </w:r>
    </w:p>
    <w:p w14:paraId="45162760" w14:textId="77777777" w:rsidR="003F5D5C" w:rsidRDefault="003F5D5C" w:rsidP="003F5D5C">
      <w:pPr>
        <w:pStyle w:val="rco"/>
        <w:spacing w:before="240"/>
      </w:pPr>
      <w:r>
        <w:t> </w:t>
      </w:r>
    </w:p>
    <w:p w14:paraId="7DF16D68" w14:textId="77777777" w:rsidR="003F5D5C" w:rsidRDefault="003F5D5C" w:rsidP="003F5D5C">
      <w:pPr>
        <w:pStyle w:val="NormalWeb"/>
        <w:spacing w:before="240" w:beforeAutospacing="0" w:after="0" w:afterAutospacing="0"/>
        <w:jc w:val="center"/>
      </w:pPr>
      <w:r>
        <w:rPr>
          <w:b/>
          <w:bCs/>
          <w:i/>
          <w:iCs/>
          <w:sz w:val="14"/>
          <w:szCs w:val="14"/>
        </w:rPr>
        <w:t xml:space="preserve">Joint Global Coordinators and Joint Bookrunners </w:t>
      </w:r>
    </w:p>
    <w:p w14:paraId="31FF1F53" w14:textId="77777777" w:rsidR="003F5D5C" w:rsidRDefault="003F5D5C" w:rsidP="003F5D5C">
      <w:pPr>
        <w:pStyle w:val="NormalWeb"/>
        <w:keepNext/>
        <w:spacing w:before="0" w:beforeAutospacing="0" w:after="0" w:afterAutospacing="0"/>
      </w:pPr>
      <w:r>
        <w:t> </w:t>
      </w:r>
    </w:p>
    <w:tbl>
      <w:tblPr>
        <w:tblW w:w="5000" w:type="pct"/>
        <w:jc w:val="center"/>
        <w:tblCellMar>
          <w:left w:w="0" w:type="dxa"/>
          <w:right w:w="0" w:type="dxa"/>
        </w:tblCellMar>
        <w:tblLook w:val="04A0" w:firstRow="1" w:lastRow="0" w:firstColumn="1" w:lastColumn="0" w:noHBand="0" w:noVBand="1"/>
      </w:tblPr>
      <w:tblGrid>
        <w:gridCol w:w="4876"/>
        <w:gridCol w:w="4877"/>
      </w:tblGrid>
      <w:tr w:rsidR="003F5D5C" w14:paraId="61D15FEC" w14:textId="77777777" w:rsidTr="00ED34B9">
        <w:trPr>
          <w:jc w:val="center"/>
        </w:trPr>
        <w:tc>
          <w:tcPr>
            <w:tcW w:w="4920" w:type="dxa"/>
            <w:vAlign w:val="center"/>
            <w:hideMark/>
          </w:tcPr>
          <w:p w14:paraId="23618666" w14:textId="77777777" w:rsidR="003F5D5C" w:rsidRDefault="003F5D5C" w:rsidP="00ED34B9">
            <w:pPr>
              <w:rPr>
                <w:sz w:val="1"/>
              </w:rPr>
            </w:pPr>
          </w:p>
        </w:tc>
        <w:tc>
          <w:tcPr>
            <w:tcW w:w="4920" w:type="dxa"/>
            <w:vAlign w:val="center"/>
            <w:hideMark/>
          </w:tcPr>
          <w:p w14:paraId="6F6DC953" w14:textId="77777777" w:rsidR="003F5D5C" w:rsidRDefault="003F5D5C" w:rsidP="00ED34B9">
            <w:pPr>
              <w:rPr>
                <w:sz w:val="1"/>
              </w:rPr>
            </w:pPr>
          </w:p>
        </w:tc>
      </w:tr>
      <w:tr w:rsidR="003F5D5C" w14:paraId="1FF96E47" w14:textId="77777777" w:rsidTr="00ED34B9">
        <w:trPr>
          <w:cantSplit/>
          <w:jc w:val="center"/>
        </w:trPr>
        <w:tc>
          <w:tcPr>
            <w:tcW w:w="0" w:type="auto"/>
            <w:hideMark/>
          </w:tcPr>
          <w:p w14:paraId="3859DACB" w14:textId="77777777" w:rsidR="003F5D5C" w:rsidRDefault="003F5D5C" w:rsidP="00ED34B9">
            <w:pPr>
              <w:jc w:val="center"/>
              <w:rPr>
                <w:sz w:val="20"/>
              </w:rPr>
            </w:pPr>
            <w:r>
              <w:rPr>
                <w:b/>
                <w:bCs/>
                <w:sz w:val="20"/>
              </w:rPr>
              <w:t>J.P. Morgan</w:t>
            </w:r>
          </w:p>
        </w:tc>
        <w:tc>
          <w:tcPr>
            <w:tcW w:w="0" w:type="auto"/>
            <w:hideMark/>
          </w:tcPr>
          <w:p w14:paraId="6A2B7376" w14:textId="77777777" w:rsidR="003F5D5C" w:rsidRDefault="003F5D5C" w:rsidP="00ED34B9">
            <w:pPr>
              <w:jc w:val="center"/>
              <w:rPr>
                <w:sz w:val="20"/>
              </w:rPr>
            </w:pPr>
            <w:r>
              <w:rPr>
                <w:b/>
                <w:bCs/>
                <w:sz w:val="20"/>
              </w:rPr>
              <w:t>KBC Securities</w:t>
            </w:r>
          </w:p>
        </w:tc>
      </w:tr>
    </w:tbl>
    <w:p w14:paraId="3F086FA9" w14:textId="77777777" w:rsidR="003F5D5C" w:rsidRDefault="003F5D5C" w:rsidP="003F5D5C">
      <w:pPr>
        <w:pStyle w:val="NormalWeb"/>
        <w:spacing w:before="240" w:beforeAutospacing="0" w:after="0" w:afterAutospacing="0"/>
        <w:jc w:val="center"/>
        <w:rPr>
          <w:b/>
          <w:bCs/>
          <w:i/>
          <w:iCs/>
          <w:sz w:val="14"/>
          <w:szCs w:val="14"/>
        </w:rPr>
      </w:pPr>
      <w:r>
        <w:rPr>
          <w:b/>
          <w:bCs/>
          <w:i/>
          <w:iCs/>
          <w:sz w:val="14"/>
          <w:szCs w:val="14"/>
        </w:rPr>
        <w:t>Co-Lead Manager</w:t>
      </w:r>
    </w:p>
    <w:p w14:paraId="41B08661" w14:textId="77777777" w:rsidR="003F5D5C" w:rsidRDefault="003F5D5C" w:rsidP="003F5D5C">
      <w:pPr>
        <w:pStyle w:val="NormalWeb"/>
        <w:spacing w:before="240" w:beforeAutospacing="0" w:after="0" w:afterAutospacing="0"/>
        <w:jc w:val="center"/>
        <w:rPr>
          <w:b/>
          <w:bCs/>
          <w:i/>
          <w:iCs/>
          <w:sz w:val="14"/>
          <w:szCs w:val="14"/>
        </w:rPr>
      </w:pPr>
      <w:r>
        <w:rPr>
          <w:b/>
          <w:bCs/>
          <w:sz w:val="20"/>
        </w:rPr>
        <w:t>Belfius</w:t>
      </w:r>
    </w:p>
    <w:p w14:paraId="2C2004DE" w14:textId="77777777" w:rsidR="003F5D5C" w:rsidRDefault="003F5D5C" w:rsidP="003F5D5C">
      <w:pPr>
        <w:pStyle w:val="NormalWeb"/>
        <w:spacing w:before="240" w:beforeAutospacing="0" w:after="0" w:afterAutospacing="0"/>
        <w:jc w:val="center"/>
        <w:rPr>
          <w:b/>
          <w:bCs/>
          <w:i/>
          <w:iCs/>
          <w:sz w:val="14"/>
          <w:szCs w:val="14"/>
        </w:rPr>
      </w:pPr>
      <w:r>
        <w:rPr>
          <w:b/>
          <w:bCs/>
          <w:i/>
          <w:iCs/>
          <w:sz w:val="14"/>
          <w:szCs w:val="14"/>
        </w:rPr>
        <w:t>Co-Manager</w:t>
      </w:r>
    </w:p>
    <w:p w14:paraId="63677304" w14:textId="77777777" w:rsidR="003F5D5C" w:rsidRDefault="003F5D5C" w:rsidP="003F5D5C">
      <w:pPr>
        <w:pStyle w:val="NormalWeb"/>
        <w:spacing w:before="240" w:beforeAutospacing="0" w:after="0" w:afterAutospacing="0"/>
        <w:jc w:val="center"/>
        <w:rPr>
          <w:b/>
          <w:bCs/>
          <w:i/>
          <w:iCs/>
          <w:sz w:val="14"/>
          <w:szCs w:val="14"/>
        </w:rPr>
      </w:pPr>
      <w:r>
        <w:rPr>
          <w:b/>
          <w:bCs/>
          <w:sz w:val="20"/>
        </w:rPr>
        <w:t>ING</w:t>
      </w:r>
    </w:p>
    <w:p w14:paraId="12B44D67" w14:textId="10794CB4" w:rsidR="003F5D5C" w:rsidRDefault="00ED34B9" w:rsidP="003F5D5C">
      <w:pPr>
        <w:pStyle w:val="NormalWeb"/>
        <w:spacing w:before="240" w:beforeAutospacing="0" w:after="0" w:afterAutospacing="0"/>
        <w:jc w:val="center"/>
        <w:rPr>
          <w:rFonts w:eastAsiaTheme="minorEastAsia"/>
        </w:rPr>
      </w:pPr>
      <w:r>
        <w:rPr>
          <w:sz w:val="14"/>
          <w:szCs w:val="14"/>
        </w:rPr>
        <w:t>Prospectus dated 11</w:t>
      </w:r>
      <w:r w:rsidR="003F5D5C">
        <w:rPr>
          <w:sz w:val="14"/>
          <w:szCs w:val="14"/>
        </w:rPr>
        <w:t xml:space="preserve"> October 2017 </w:t>
      </w:r>
    </w:p>
    <w:p w14:paraId="2A0A1FF1" w14:textId="77777777" w:rsidR="003F5D5C" w:rsidRDefault="003F5D5C" w:rsidP="003F5D5C">
      <w:pPr>
        <w:pStyle w:val="NormalWeb"/>
        <w:spacing w:before="240" w:beforeAutospacing="0" w:after="0" w:afterAutospacing="0"/>
        <w:rPr>
          <w:sz w:val="2"/>
          <w:szCs w:val="2"/>
        </w:rPr>
      </w:pPr>
      <w:r>
        <w:rPr>
          <w:sz w:val="2"/>
          <w:szCs w:val="2"/>
        </w:rPr>
        <w:t> </w:t>
      </w:r>
    </w:p>
    <w:p w14:paraId="61782AE1" w14:textId="77777777" w:rsidR="003F5D5C" w:rsidRDefault="003F5D5C" w:rsidP="003F5D5C">
      <w:pPr>
        <w:pStyle w:val="NormalWeb"/>
        <w:keepNext/>
        <w:spacing w:before="0" w:beforeAutospacing="0" w:after="0" w:afterAutospacing="0"/>
        <w:jc w:val="center"/>
        <w:rPr>
          <w:b/>
          <w:bCs/>
          <w:sz w:val="18"/>
          <w:szCs w:val="18"/>
        </w:rPr>
      </w:pPr>
      <w:r>
        <w:rPr>
          <w:b/>
          <w:bCs/>
          <w:sz w:val="18"/>
          <w:szCs w:val="18"/>
        </w:rPr>
        <w:br w:type="page"/>
      </w:r>
    </w:p>
    <w:p w14:paraId="51597957" w14:textId="468B1BB8" w:rsidR="00F76607" w:rsidRDefault="001863F0">
      <w:pPr>
        <w:pStyle w:val="VulcanIISectionTitle"/>
      </w:pPr>
      <w:r>
        <w:lastRenderedPageBreak/>
        <w:t>TABLE OF CONTENTS</w:t>
      </w:r>
      <w:bookmarkEnd w:id="0"/>
    </w:p>
    <w:p w14:paraId="7090D213" w14:textId="77777777" w:rsidR="00F76607" w:rsidRDefault="00F76607">
      <w:pPr>
        <w:pStyle w:val="VulcanIIbody"/>
      </w:pPr>
    </w:p>
    <w:p w14:paraId="391B93ED" w14:textId="322B21ED" w:rsidR="007262E8" w:rsidRPr="007262E8" w:rsidRDefault="001863F0">
      <w:pPr>
        <w:pStyle w:val="TOC1"/>
        <w:rPr>
          <w:rFonts w:asciiTheme="minorHAnsi" w:eastAsiaTheme="minorEastAsia" w:hAnsiTheme="minorHAnsi" w:cstheme="minorBidi"/>
          <w:b w:val="0"/>
          <w:bCs w:val="0"/>
          <w:caps w:val="0"/>
          <w:noProof/>
          <w:sz w:val="18"/>
          <w:szCs w:val="18"/>
          <w:lang w:eastAsia="nl-BE"/>
        </w:rPr>
      </w:pPr>
      <w:r w:rsidRPr="007262E8">
        <w:rPr>
          <w:rFonts w:ascii="Times New Roman" w:hAnsi="Times New Roman"/>
          <w:sz w:val="18"/>
          <w:szCs w:val="18"/>
        </w:rPr>
        <w:fldChar w:fldCharType="begin"/>
      </w:r>
      <w:r w:rsidRPr="007262E8">
        <w:rPr>
          <w:rFonts w:ascii="Times New Roman" w:hAnsi="Times New Roman"/>
          <w:sz w:val="18"/>
          <w:szCs w:val="18"/>
        </w:rPr>
        <w:instrText xml:space="preserve"> TOC \h \z \t "Vulcan II_Section Title;1" </w:instrText>
      </w:r>
      <w:r w:rsidRPr="007262E8">
        <w:rPr>
          <w:rFonts w:ascii="Times New Roman" w:hAnsi="Times New Roman"/>
          <w:sz w:val="18"/>
          <w:szCs w:val="18"/>
        </w:rPr>
        <w:fldChar w:fldCharType="separate"/>
      </w:r>
      <w:hyperlink w:anchor="_Toc493194602" w:history="1">
        <w:r w:rsidR="007262E8" w:rsidRPr="007262E8">
          <w:rPr>
            <w:rStyle w:val="Hyperlink"/>
            <w:noProof/>
            <w:sz w:val="18"/>
            <w:szCs w:val="18"/>
          </w:rPr>
          <w:t>TABLE OF CONTENTS</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_Toc493194602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1</w:t>
        </w:r>
        <w:r w:rsidR="007262E8" w:rsidRPr="007262E8">
          <w:rPr>
            <w:noProof/>
            <w:webHidden/>
            <w:sz w:val="18"/>
            <w:szCs w:val="18"/>
          </w:rPr>
          <w:fldChar w:fldCharType="end"/>
        </w:r>
      </w:hyperlink>
    </w:p>
    <w:p w14:paraId="7206B5A6" w14:textId="68E76CB0"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03" w:history="1">
        <w:r w:rsidR="007262E8" w:rsidRPr="007262E8">
          <w:rPr>
            <w:rStyle w:val="Hyperlink"/>
            <w:noProof/>
            <w:sz w:val="18"/>
            <w:szCs w:val="18"/>
          </w:rPr>
          <w:t>Summary</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_Toc493194603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4</w:t>
        </w:r>
        <w:r w:rsidR="007262E8" w:rsidRPr="007262E8">
          <w:rPr>
            <w:noProof/>
            <w:webHidden/>
            <w:sz w:val="18"/>
            <w:szCs w:val="18"/>
          </w:rPr>
          <w:fldChar w:fldCharType="end"/>
        </w:r>
      </w:hyperlink>
    </w:p>
    <w:p w14:paraId="0673973F" w14:textId="44582F42"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04" w:history="1">
        <w:r w:rsidR="007262E8" w:rsidRPr="007262E8">
          <w:rPr>
            <w:rStyle w:val="Hyperlink"/>
            <w:noProof/>
            <w:sz w:val="18"/>
            <w:szCs w:val="18"/>
          </w:rPr>
          <w:t>RISK FACTORS</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_Toc493194604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17</w:t>
        </w:r>
        <w:r w:rsidR="007262E8" w:rsidRPr="007262E8">
          <w:rPr>
            <w:noProof/>
            <w:webHidden/>
            <w:sz w:val="18"/>
            <w:szCs w:val="18"/>
          </w:rPr>
          <w:fldChar w:fldCharType="end"/>
        </w:r>
      </w:hyperlink>
    </w:p>
    <w:p w14:paraId="1B7DFBC5" w14:textId="7ACA8CD7"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05" w:history="1">
        <w:r w:rsidR="007262E8" w:rsidRPr="007262E8">
          <w:rPr>
            <w:rStyle w:val="Hyperlink"/>
            <w:noProof/>
            <w:sz w:val="18"/>
            <w:szCs w:val="18"/>
          </w:rPr>
          <w:t>Important Information</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_Toc493194605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32</w:t>
        </w:r>
        <w:r w:rsidR="007262E8" w:rsidRPr="007262E8">
          <w:rPr>
            <w:noProof/>
            <w:webHidden/>
            <w:sz w:val="18"/>
            <w:szCs w:val="18"/>
          </w:rPr>
          <w:fldChar w:fldCharType="end"/>
        </w:r>
      </w:hyperlink>
    </w:p>
    <w:p w14:paraId="4B306AAA" w14:textId="01563739"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06" w:history="1">
        <w:r w:rsidR="007262E8" w:rsidRPr="007262E8">
          <w:rPr>
            <w:rStyle w:val="Hyperlink"/>
            <w:noProof/>
            <w:sz w:val="18"/>
            <w:szCs w:val="18"/>
          </w:rPr>
          <w:t>Presentation of Financial and Other Information</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_Toc493194606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36</w:t>
        </w:r>
        <w:r w:rsidR="007262E8" w:rsidRPr="007262E8">
          <w:rPr>
            <w:noProof/>
            <w:webHidden/>
            <w:sz w:val="18"/>
            <w:szCs w:val="18"/>
          </w:rPr>
          <w:fldChar w:fldCharType="end"/>
        </w:r>
      </w:hyperlink>
    </w:p>
    <w:p w14:paraId="1B78DB25" w14:textId="02C666D4"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07" w:history="1">
        <w:r w:rsidR="007262E8" w:rsidRPr="007262E8">
          <w:rPr>
            <w:rStyle w:val="Hyperlink"/>
            <w:noProof/>
            <w:sz w:val="18"/>
            <w:szCs w:val="18"/>
          </w:rPr>
          <w:t>INDUSTRY AND MARKET DATA</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_Toc493194607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38</w:t>
        </w:r>
        <w:r w:rsidR="007262E8" w:rsidRPr="007262E8">
          <w:rPr>
            <w:noProof/>
            <w:webHidden/>
            <w:sz w:val="18"/>
            <w:szCs w:val="18"/>
          </w:rPr>
          <w:fldChar w:fldCharType="end"/>
        </w:r>
      </w:hyperlink>
    </w:p>
    <w:p w14:paraId="067BD6B0" w14:textId="48E1476F"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08" w:history="1">
        <w:r w:rsidR="007262E8" w:rsidRPr="007262E8">
          <w:rPr>
            <w:rStyle w:val="Hyperlink"/>
            <w:noProof/>
            <w:sz w:val="18"/>
            <w:szCs w:val="18"/>
          </w:rPr>
          <w:t>Enforcement of Civil Liabilities</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_Toc493194608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39</w:t>
        </w:r>
        <w:r w:rsidR="007262E8" w:rsidRPr="007262E8">
          <w:rPr>
            <w:noProof/>
            <w:webHidden/>
            <w:sz w:val="18"/>
            <w:szCs w:val="18"/>
          </w:rPr>
          <w:fldChar w:fldCharType="end"/>
        </w:r>
      </w:hyperlink>
    </w:p>
    <w:p w14:paraId="57E7D2E9" w14:textId="65F75C2C"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09" w:history="1">
        <w:r w:rsidR="007262E8" w:rsidRPr="007262E8">
          <w:rPr>
            <w:rStyle w:val="Hyperlink"/>
            <w:noProof/>
            <w:sz w:val="18"/>
            <w:szCs w:val="18"/>
          </w:rPr>
          <w:t>FORWARD-LOOKING STATEMENTS</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_Toc493194609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40</w:t>
        </w:r>
        <w:r w:rsidR="007262E8" w:rsidRPr="007262E8">
          <w:rPr>
            <w:noProof/>
            <w:webHidden/>
            <w:sz w:val="18"/>
            <w:szCs w:val="18"/>
          </w:rPr>
          <w:fldChar w:fldCharType="end"/>
        </w:r>
      </w:hyperlink>
    </w:p>
    <w:p w14:paraId="73931E97" w14:textId="398A740F"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10" w:history="1">
        <w:r w:rsidR="007262E8" w:rsidRPr="007262E8">
          <w:rPr>
            <w:rStyle w:val="Hyperlink"/>
            <w:noProof/>
            <w:sz w:val="18"/>
            <w:szCs w:val="18"/>
          </w:rPr>
          <w:t>EXCHANGE RATES</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_Toc493194610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41</w:t>
        </w:r>
        <w:r w:rsidR="007262E8" w:rsidRPr="007262E8">
          <w:rPr>
            <w:noProof/>
            <w:webHidden/>
            <w:sz w:val="18"/>
            <w:szCs w:val="18"/>
          </w:rPr>
          <w:fldChar w:fldCharType="end"/>
        </w:r>
      </w:hyperlink>
    </w:p>
    <w:p w14:paraId="6E0980E9" w14:textId="7AA5FC81"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11" w:history="1">
        <w:r w:rsidR="007262E8" w:rsidRPr="007262E8">
          <w:rPr>
            <w:rStyle w:val="Hyperlink"/>
            <w:noProof/>
            <w:sz w:val="18"/>
            <w:szCs w:val="18"/>
          </w:rPr>
          <w:t>Use of Proceeds AND RATIONALE OF THE OFFERING</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_Toc493194611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42</w:t>
        </w:r>
        <w:r w:rsidR="007262E8" w:rsidRPr="007262E8">
          <w:rPr>
            <w:noProof/>
            <w:webHidden/>
            <w:sz w:val="18"/>
            <w:szCs w:val="18"/>
          </w:rPr>
          <w:fldChar w:fldCharType="end"/>
        </w:r>
      </w:hyperlink>
    </w:p>
    <w:p w14:paraId="7DA366CC" w14:textId="7FF8DB92"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12" w:history="1">
        <w:r w:rsidR="007262E8" w:rsidRPr="007262E8">
          <w:rPr>
            <w:rStyle w:val="Hyperlink"/>
            <w:noProof/>
            <w:sz w:val="18"/>
            <w:szCs w:val="18"/>
          </w:rPr>
          <w:t>Dividends and Dividend Policy</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_Toc493194612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43</w:t>
        </w:r>
        <w:r w:rsidR="007262E8" w:rsidRPr="007262E8">
          <w:rPr>
            <w:noProof/>
            <w:webHidden/>
            <w:sz w:val="18"/>
            <w:szCs w:val="18"/>
          </w:rPr>
          <w:fldChar w:fldCharType="end"/>
        </w:r>
      </w:hyperlink>
    </w:p>
    <w:p w14:paraId="00AB9F91" w14:textId="097E3078"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13" w:history="1">
        <w:r w:rsidR="007262E8" w:rsidRPr="007262E8">
          <w:rPr>
            <w:rStyle w:val="Hyperlink"/>
            <w:noProof/>
            <w:sz w:val="18"/>
            <w:szCs w:val="18"/>
          </w:rPr>
          <w:t>Capitalization and Indebtedness</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_Toc493194613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44</w:t>
        </w:r>
        <w:r w:rsidR="007262E8" w:rsidRPr="007262E8">
          <w:rPr>
            <w:noProof/>
            <w:webHidden/>
            <w:sz w:val="18"/>
            <w:szCs w:val="18"/>
          </w:rPr>
          <w:fldChar w:fldCharType="end"/>
        </w:r>
      </w:hyperlink>
    </w:p>
    <w:p w14:paraId="5315301A" w14:textId="52F52020"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14" w:history="1">
        <w:r w:rsidR="007262E8" w:rsidRPr="007262E8">
          <w:rPr>
            <w:rStyle w:val="Hyperlink"/>
            <w:noProof/>
            <w:sz w:val="18"/>
            <w:szCs w:val="18"/>
          </w:rPr>
          <w:t>Selected Consolidated Financial Information</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_Toc493194614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46</w:t>
        </w:r>
        <w:r w:rsidR="007262E8" w:rsidRPr="007262E8">
          <w:rPr>
            <w:noProof/>
            <w:webHidden/>
            <w:sz w:val="18"/>
            <w:szCs w:val="18"/>
          </w:rPr>
          <w:fldChar w:fldCharType="end"/>
        </w:r>
      </w:hyperlink>
    </w:p>
    <w:p w14:paraId="6EE338A6" w14:textId="5AAA43C6"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15" w:history="1">
        <w:r w:rsidR="007262E8" w:rsidRPr="007262E8">
          <w:rPr>
            <w:rStyle w:val="Hyperlink"/>
            <w:noProof/>
            <w:sz w:val="18"/>
            <w:szCs w:val="18"/>
          </w:rPr>
          <w:t>Operating and Financial Review</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_Toc493194615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54</w:t>
        </w:r>
        <w:r w:rsidR="007262E8" w:rsidRPr="007262E8">
          <w:rPr>
            <w:noProof/>
            <w:webHidden/>
            <w:sz w:val="18"/>
            <w:szCs w:val="18"/>
          </w:rPr>
          <w:fldChar w:fldCharType="end"/>
        </w:r>
      </w:hyperlink>
    </w:p>
    <w:p w14:paraId="1E01307E" w14:textId="500E96DA"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16" w:history="1">
        <w:r w:rsidR="007262E8" w:rsidRPr="007262E8">
          <w:rPr>
            <w:rStyle w:val="Hyperlink"/>
            <w:noProof/>
            <w:sz w:val="18"/>
            <w:szCs w:val="18"/>
          </w:rPr>
          <w:t>BUSINESS</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_Toc493194616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78</w:t>
        </w:r>
        <w:r w:rsidR="007262E8" w:rsidRPr="007262E8">
          <w:rPr>
            <w:noProof/>
            <w:webHidden/>
            <w:sz w:val="18"/>
            <w:szCs w:val="18"/>
          </w:rPr>
          <w:fldChar w:fldCharType="end"/>
        </w:r>
      </w:hyperlink>
    </w:p>
    <w:p w14:paraId="2EAE12BD" w14:textId="71AAFA5F"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17" w:history="1">
        <w:r w:rsidR="007262E8" w:rsidRPr="007262E8">
          <w:rPr>
            <w:rStyle w:val="Hyperlink"/>
            <w:noProof/>
            <w:sz w:val="18"/>
            <w:szCs w:val="18"/>
          </w:rPr>
          <w:t>IndustRY</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_Toc493194617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102</w:t>
        </w:r>
        <w:r w:rsidR="007262E8" w:rsidRPr="007262E8">
          <w:rPr>
            <w:noProof/>
            <w:webHidden/>
            <w:sz w:val="18"/>
            <w:szCs w:val="18"/>
          </w:rPr>
          <w:fldChar w:fldCharType="end"/>
        </w:r>
      </w:hyperlink>
    </w:p>
    <w:p w14:paraId="6711A2A4" w14:textId="6DE2E0AF"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18" w:history="1">
        <w:r w:rsidR="007262E8" w:rsidRPr="007262E8">
          <w:rPr>
            <w:rStyle w:val="Hyperlink"/>
            <w:noProof/>
            <w:sz w:val="18"/>
            <w:szCs w:val="18"/>
          </w:rPr>
          <w:t>Management and Corporate Governance</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_Toc493194618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110</w:t>
        </w:r>
        <w:r w:rsidR="007262E8" w:rsidRPr="007262E8">
          <w:rPr>
            <w:noProof/>
            <w:webHidden/>
            <w:sz w:val="18"/>
            <w:szCs w:val="18"/>
          </w:rPr>
          <w:fldChar w:fldCharType="end"/>
        </w:r>
      </w:hyperlink>
    </w:p>
    <w:p w14:paraId="2A996072" w14:textId="43E47B6C"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19" w:history="1">
        <w:r w:rsidR="007262E8" w:rsidRPr="007262E8">
          <w:rPr>
            <w:rStyle w:val="Hyperlink"/>
            <w:noProof/>
            <w:sz w:val="18"/>
            <w:szCs w:val="18"/>
          </w:rPr>
          <w:t>GROUP STRUCTURE</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_Toc493194619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122</w:t>
        </w:r>
        <w:r w:rsidR="007262E8" w:rsidRPr="007262E8">
          <w:rPr>
            <w:noProof/>
            <w:webHidden/>
            <w:sz w:val="18"/>
            <w:szCs w:val="18"/>
          </w:rPr>
          <w:fldChar w:fldCharType="end"/>
        </w:r>
      </w:hyperlink>
    </w:p>
    <w:p w14:paraId="5915BA59" w14:textId="3E6ACDF4"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20" w:history="1">
        <w:r w:rsidR="007262E8" w:rsidRPr="007262E8">
          <w:rPr>
            <w:rStyle w:val="Hyperlink"/>
            <w:noProof/>
            <w:sz w:val="18"/>
            <w:szCs w:val="18"/>
          </w:rPr>
          <w:t>MAJOR SHAREHOLDERS AND RELATED PARTY TRANSACTIONS</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_Toc493194620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124</w:t>
        </w:r>
        <w:r w:rsidR="007262E8" w:rsidRPr="007262E8">
          <w:rPr>
            <w:noProof/>
            <w:webHidden/>
            <w:sz w:val="18"/>
            <w:szCs w:val="18"/>
          </w:rPr>
          <w:fldChar w:fldCharType="end"/>
        </w:r>
      </w:hyperlink>
    </w:p>
    <w:p w14:paraId="319AC65E" w14:textId="01959231"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21" w:history="1">
        <w:r w:rsidR="007262E8" w:rsidRPr="007262E8">
          <w:rPr>
            <w:rStyle w:val="Hyperlink"/>
            <w:noProof/>
            <w:sz w:val="18"/>
            <w:szCs w:val="18"/>
          </w:rPr>
          <w:t>Description of Share Capital and Articles of Association</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_Toc493194621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127</w:t>
        </w:r>
        <w:r w:rsidR="007262E8" w:rsidRPr="007262E8">
          <w:rPr>
            <w:noProof/>
            <w:webHidden/>
            <w:sz w:val="18"/>
            <w:szCs w:val="18"/>
          </w:rPr>
          <w:fldChar w:fldCharType="end"/>
        </w:r>
      </w:hyperlink>
    </w:p>
    <w:p w14:paraId="19B8DC6B" w14:textId="700AD8B3"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22" w:history="1">
        <w:r w:rsidR="007262E8" w:rsidRPr="007262E8">
          <w:rPr>
            <w:rStyle w:val="Hyperlink"/>
            <w:noProof/>
            <w:sz w:val="18"/>
            <w:szCs w:val="18"/>
          </w:rPr>
          <w:t>Taxation</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_Toc493194622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134</w:t>
        </w:r>
        <w:r w:rsidR="007262E8" w:rsidRPr="007262E8">
          <w:rPr>
            <w:noProof/>
            <w:webHidden/>
            <w:sz w:val="18"/>
            <w:szCs w:val="18"/>
          </w:rPr>
          <w:fldChar w:fldCharType="end"/>
        </w:r>
      </w:hyperlink>
    </w:p>
    <w:p w14:paraId="63ECA74C" w14:textId="6006795A"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23" w:history="1">
        <w:r w:rsidR="007262E8" w:rsidRPr="007262E8">
          <w:rPr>
            <w:rStyle w:val="Hyperlink"/>
            <w:noProof/>
            <w:sz w:val="18"/>
            <w:szCs w:val="18"/>
          </w:rPr>
          <w:t>The Offering</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_Toc493194623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143</w:t>
        </w:r>
        <w:r w:rsidR="007262E8" w:rsidRPr="007262E8">
          <w:rPr>
            <w:noProof/>
            <w:webHidden/>
            <w:sz w:val="18"/>
            <w:szCs w:val="18"/>
          </w:rPr>
          <w:fldChar w:fldCharType="end"/>
        </w:r>
      </w:hyperlink>
    </w:p>
    <w:p w14:paraId="08DAF1D1" w14:textId="4CFE0AFF"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24" w:history="1">
        <w:r w:rsidR="007262E8" w:rsidRPr="007262E8">
          <w:rPr>
            <w:rStyle w:val="Hyperlink"/>
            <w:noProof/>
            <w:sz w:val="18"/>
            <w:szCs w:val="18"/>
          </w:rPr>
          <w:t>Plan of Distribution</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_Toc493194624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148</w:t>
        </w:r>
        <w:r w:rsidR="007262E8" w:rsidRPr="007262E8">
          <w:rPr>
            <w:noProof/>
            <w:webHidden/>
            <w:sz w:val="18"/>
            <w:szCs w:val="18"/>
          </w:rPr>
          <w:fldChar w:fldCharType="end"/>
        </w:r>
      </w:hyperlink>
    </w:p>
    <w:p w14:paraId="527BA548" w14:textId="514617E0"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25" w:history="1">
        <w:r w:rsidR="007262E8" w:rsidRPr="007262E8">
          <w:rPr>
            <w:rStyle w:val="Hyperlink"/>
            <w:noProof/>
            <w:sz w:val="18"/>
            <w:szCs w:val="18"/>
          </w:rPr>
          <w:t>Transfer Restrictions</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_Toc493194625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154</w:t>
        </w:r>
        <w:r w:rsidR="007262E8" w:rsidRPr="007262E8">
          <w:rPr>
            <w:noProof/>
            <w:webHidden/>
            <w:sz w:val="18"/>
            <w:szCs w:val="18"/>
          </w:rPr>
          <w:fldChar w:fldCharType="end"/>
        </w:r>
      </w:hyperlink>
    </w:p>
    <w:p w14:paraId="6C80AA7F" w14:textId="2174D008"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26" w:history="1">
        <w:r w:rsidR="007262E8" w:rsidRPr="007262E8">
          <w:rPr>
            <w:rStyle w:val="Hyperlink"/>
            <w:noProof/>
            <w:sz w:val="18"/>
            <w:szCs w:val="18"/>
          </w:rPr>
          <w:t>Legal Matters</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_Toc493194626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156</w:t>
        </w:r>
        <w:r w:rsidR="007262E8" w:rsidRPr="007262E8">
          <w:rPr>
            <w:noProof/>
            <w:webHidden/>
            <w:sz w:val="18"/>
            <w:szCs w:val="18"/>
          </w:rPr>
          <w:fldChar w:fldCharType="end"/>
        </w:r>
      </w:hyperlink>
    </w:p>
    <w:p w14:paraId="1F19C732" w14:textId="4C5BDF9E"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27" w:history="1">
        <w:r w:rsidR="007262E8" w:rsidRPr="007262E8">
          <w:rPr>
            <w:rStyle w:val="Hyperlink"/>
            <w:noProof/>
            <w:sz w:val="18"/>
            <w:szCs w:val="18"/>
          </w:rPr>
          <w:t>Independent Auditors</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_Toc493194627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157</w:t>
        </w:r>
        <w:r w:rsidR="007262E8" w:rsidRPr="007262E8">
          <w:rPr>
            <w:noProof/>
            <w:webHidden/>
            <w:sz w:val="18"/>
            <w:szCs w:val="18"/>
          </w:rPr>
          <w:fldChar w:fldCharType="end"/>
        </w:r>
      </w:hyperlink>
    </w:p>
    <w:p w14:paraId="3AFB82C9" w14:textId="0A641FDE"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28" w:history="1">
        <w:r w:rsidR="007262E8" w:rsidRPr="007262E8">
          <w:rPr>
            <w:rStyle w:val="Hyperlink"/>
            <w:noProof/>
            <w:sz w:val="18"/>
            <w:szCs w:val="18"/>
          </w:rPr>
          <w:t>Certain Definitions</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_Toc493194628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158</w:t>
        </w:r>
        <w:r w:rsidR="007262E8" w:rsidRPr="007262E8">
          <w:rPr>
            <w:noProof/>
            <w:webHidden/>
            <w:sz w:val="18"/>
            <w:szCs w:val="18"/>
          </w:rPr>
          <w:fldChar w:fldCharType="end"/>
        </w:r>
      </w:hyperlink>
    </w:p>
    <w:p w14:paraId="5DD526A5" w14:textId="6D96DB4C" w:rsidR="007262E8" w:rsidRPr="007262E8" w:rsidRDefault="006300F6">
      <w:pPr>
        <w:pStyle w:val="TOC1"/>
        <w:rPr>
          <w:rFonts w:asciiTheme="minorHAnsi" w:eastAsiaTheme="minorEastAsia" w:hAnsiTheme="minorHAnsi" w:cstheme="minorBidi"/>
          <w:b w:val="0"/>
          <w:bCs w:val="0"/>
          <w:caps w:val="0"/>
          <w:noProof/>
          <w:sz w:val="18"/>
          <w:szCs w:val="18"/>
          <w:lang w:eastAsia="nl-BE"/>
        </w:rPr>
      </w:pPr>
      <w:hyperlink w:anchor="_Toc493194629" w:history="1">
        <w:r w:rsidR="007262E8" w:rsidRPr="007262E8">
          <w:rPr>
            <w:rStyle w:val="Hyperlink"/>
            <w:noProof/>
            <w:sz w:val="18"/>
            <w:szCs w:val="18"/>
          </w:rPr>
          <w:t>ANNUAL Financial Statements and interim financial statements</w:t>
        </w:r>
        <w:r w:rsidR="007262E8" w:rsidRPr="007262E8">
          <w:rPr>
            <w:noProof/>
            <w:webHidden/>
            <w:sz w:val="18"/>
            <w:szCs w:val="18"/>
          </w:rPr>
          <w:tab/>
        </w:r>
        <w:r w:rsidR="007262E8" w:rsidRPr="007262E8">
          <w:rPr>
            <w:noProof/>
            <w:webHidden/>
            <w:sz w:val="18"/>
            <w:szCs w:val="18"/>
          </w:rPr>
          <w:fldChar w:fldCharType="begin"/>
        </w:r>
        <w:r w:rsidR="007262E8" w:rsidRPr="007262E8">
          <w:rPr>
            <w:noProof/>
            <w:webHidden/>
            <w:sz w:val="18"/>
            <w:szCs w:val="18"/>
          </w:rPr>
          <w:instrText xml:space="preserve"> PAGEREF _Toc493194629 \h </w:instrText>
        </w:r>
        <w:r w:rsidR="007262E8" w:rsidRPr="007262E8">
          <w:rPr>
            <w:noProof/>
            <w:webHidden/>
            <w:sz w:val="18"/>
            <w:szCs w:val="18"/>
          </w:rPr>
        </w:r>
        <w:r w:rsidR="007262E8" w:rsidRPr="007262E8">
          <w:rPr>
            <w:noProof/>
            <w:webHidden/>
            <w:sz w:val="18"/>
            <w:szCs w:val="18"/>
          </w:rPr>
          <w:fldChar w:fldCharType="separate"/>
        </w:r>
        <w:r w:rsidR="001146AD">
          <w:rPr>
            <w:noProof/>
            <w:webHidden/>
            <w:sz w:val="18"/>
            <w:szCs w:val="18"/>
          </w:rPr>
          <w:t>168</w:t>
        </w:r>
        <w:r w:rsidR="007262E8" w:rsidRPr="007262E8">
          <w:rPr>
            <w:noProof/>
            <w:webHidden/>
            <w:sz w:val="18"/>
            <w:szCs w:val="18"/>
          </w:rPr>
          <w:fldChar w:fldCharType="end"/>
        </w:r>
      </w:hyperlink>
    </w:p>
    <w:p w14:paraId="22CB7018" w14:textId="7A58BB6F" w:rsidR="00F76607" w:rsidRDefault="001863F0">
      <w:pPr>
        <w:pStyle w:val="VulcanIIbody"/>
      </w:pPr>
      <w:r w:rsidRPr="007262E8">
        <w:fldChar w:fldCharType="end"/>
      </w:r>
    </w:p>
    <w:p w14:paraId="71981C90" w14:textId="77777777" w:rsidR="00F76607" w:rsidRDefault="001863F0">
      <w:pPr>
        <w:pStyle w:val="VulcanIISectionTitle"/>
      </w:pPr>
      <w:bookmarkStart w:id="1" w:name="_Toc493194603"/>
      <w:r>
        <w:lastRenderedPageBreak/>
        <w:t>Summary</w:t>
      </w:r>
      <w:bookmarkEnd w:id="1"/>
      <w:r>
        <w:t xml:space="preserve"> </w:t>
      </w:r>
    </w:p>
    <w:p w14:paraId="738CA3F7" w14:textId="77777777" w:rsidR="00F76607" w:rsidRDefault="001863F0">
      <w:pPr>
        <w:pStyle w:val="NormalWeb"/>
        <w:spacing w:before="240" w:beforeAutospacing="0" w:after="0" w:afterAutospacing="0"/>
        <w:ind w:firstLine="857"/>
      </w:pPr>
      <w:r>
        <w:rPr>
          <w:i/>
          <w:iCs/>
          <w:sz w:val="18"/>
          <w:szCs w:val="18"/>
        </w:rPr>
        <w:t xml:space="preserve">Summaries are made up of disclosure requirements known as “Elements.” These Elements are numbered in Sections A – E (A.1 – E.7). </w:t>
      </w:r>
    </w:p>
    <w:p w14:paraId="757B2B0C" w14:textId="77777777" w:rsidR="00F76607" w:rsidRDefault="001863F0">
      <w:pPr>
        <w:pStyle w:val="NormalWeb"/>
        <w:spacing w:before="240" w:beforeAutospacing="0" w:after="0" w:afterAutospacing="0"/>
        <w:ind w:firstLine="857"/>
      </w:pPr>
      <w:r>
        <w:rPr>
          <w:i/>
          <w:iCs/>
          <w:sz w:val="18"/>
          <w:szCs w:val="18"/>
        </w:rPr>
        <w:t xml:space="preserve">This summary contains all the Elements required to be included in a summary for this type of securities and company. Because some Elements are not required to be addressed, there may be gaps in the numbering sequence of the Elements. </w:t>
      </w:r>
    </w:p>
    <w:p w14:paraId="112F4FFE" w14:textId="77777777" w:rsidR="00F76607" w:rsidRDefault="001863F0">
      <w:pPr>
        <w:pStyle w:val="NormalWeb"/>
        <w:spacing w:before="240" w:beforeAutospacing="0" w:after="0" w:afterAutospacing="0"/>
        <w:ind w:firstLine="857"/>
      </w:pPr>
      <w:r>
        <w:rPr>
          <w:i/>
          <w:iCs/>
          <w:sz w:val="18"/>
          <w:szCs w:val="18"/>
        </w:rPr>
        <w:t xml:space="preserve">Even though an Element may be required to be inserted in the summary because of the type of securities and company, it is possible that no relevant information can be given regarding the Element. In this case a short description of the Element is included in the summary with the mention of “Not applicable.” </w:t>
      </w:r>
    </w:p>
    <w:p w14:paraId="5F1C74A6" w14:textId="77777777" w:rsidR="00F76607" w:rsidRDefault="001863F0">
      <w:pPr>
        <w:pStyle w:val="NormalWeb"/>
        <w:keepNext/>
        <w:spacing w:before="240" w:beforeAutospacing="0" w:after="0" w:afterAutospacing="0"/>
        <w:jc w:val="center"/>
      </w:pPr>
      <w:r>
        <w:rPr>
          <w:b/>
          <w:bCs/>
          <w:sz w:val="18"/>
          <w:szCs w:val="18"/>
        </w:rPr>
        <w:t xml:space="preserve">Section A—Introduction and warnings </w:t>
      </w:r>
    </w:p>
    <w:p w14:paraId="61B3F90B" w14:textId="77777777" w:rsidR="00F76607" w:rsidRDefault="001863F0">
      <w:pPr>
        <w:pStyle w:val="NormalWeb"/>
        <w:keepNext/>
        <w:spacing w:before="0" w:beforeAutospacing="0" w:after="0" w:afterAutospacing="0"/>
      </w:pPr>
      <w:r>
        <w:t> </w:t>
      </w:r>
    </w:p>
    <w:p w14:paraId="5065F4AF" w14:textId="77777777" w:rsidR="00F76607" w:rsidRDefault="001863F0">
      <w:pPr>
        <w:pStyle w:val="NormalWeb"/>
        <w:keepNext/>
        <w:spacing w:before="0" w:beforeAutospacing="0" w:after="0" w:afterAutospacing="0"/>
        <w:rPr>
          <w:sz w:val="2"/>
          <w:szCs w:val="2"/>
        </w:rPr>
      </w:pPr>
      <w:r>
        <w:rPr>
          <w:sz w:val="2"/>
          <w:szCs w:val="2"/>
        </w:rPr>
        <w:t> </w:t>
      </w:r>
    </w:p>
    <w:tbl>
      <w:tblPr>
        <w:tblW w:w="5000" w:type="pct"/>
        <w:jc w:val="center"/>
        <w:tblCellMar>
          <w:left w:w="0" w:type="dxa"/>
          <w:right w:w="0" w:type="dxa"/>
        </w:tblCellMar>
        <w:tblLook w:val="04A0" w:firstRow="1" w:lastRow="0" w:firstColumn="1" w:lastColumn="0" w:noHBand="0" w:noVBand="1"/>
      </w:tblPr>
      <w:tblGrid>
        <w:gridCol w:w="826"/>
        <w:gridCol w:w="8927"/>
      </w:tblGrid>
      <w:tr w:rsidR="00F76607" w14:paraId="5D3B9373" w14:textId="77777777">
        <w:trPr>
          <w:jc w:val="center"/>
        </w:trPr>
        <w:tc>
          <w:tcPr>
            <w:tcW w:w="900" w:type="dxa"/>
            <w:vAlign w:val="center"/>
            <w:hideMark/>
          </w:tcPr>
          <w:p w14:paraId="7268C7AC" w14:textId="77777777" w:rsidR="00F76607" w:rsidRDefault="00F76607">
            <w:pPr>
              <w:rPr>
                <w:sz w:val="1"/>
                <w:szCs w:val="18"/>
              </w:rPr>
            </w:pPr>
          </w:p>
        </w:tc>
        <w:tc>
          <w:tcPr>
            <w:tcW w:w="8220" w:type="dxa"/>
            <w:vAlign w:val="center"/>
            <w:hideMark/>
          </w:tcPr>
          <w:p w14:paraId="38C0F31E" w14:textId="77777777" w:rsidR="00F76607" w:rsidRDefault="00F76607">
            <w:pPr>
              <w:rPr>
                <w:sz w:val="1"/>
                <w:szCs w:val="18"/>
              </w:rPr>
            </w:pPr>
          </w:p>
        </w:tc>
      </w:tr>
      <w:tr w:rsidR="00F76607" w14:paraId="2506A10A" w14:textId="77777777">
        <w:trPr>
          <w:trHeight w:val="75"/>
          <w:jc w:val="center"/>
        </w:trPr>
        <w:tc>
          <w:tcPr>
            <w:tcW w:w="0" w:type="auto"/>
            <w:tcBorders>
              <w:top w:val="single" w:sz="6" w:space="0" w:color="000000"/>
              <w:left w:val="single" w:sz="6" w:space="0" w:color="000000"/>
            </w:tcBorders>
            <w:shd w:val="clear" w:color="auto" w:fill="D8D8D8"/>
            <w:tcMar>
              <w:top w:w="0" w:type="dxa"/>
              <w:left w:w="160" w:type="dxa"/>
              <w:bottom w:w="0" w:type="dxa"/>
              <w:right w:w="0" w:type="dxa"/>
            </w:tcMar>
            <w:vAlign w:val="center"/>
            <w:hideMark/>
          </w:tcPr>
          <w:p w14:paraId="51947C8A" w14:textId="77777777" w:rsidR="00F76607" w:rsidRDefault="001863F0">
            <w:pPr>
              <w:rPr>
                <w:sz w:val="2"/>
                <w:szCs w:val="2"/>
              </w:rPr>
            </w:pPr>
            <w:r>
              <w:rPr>
                <w:sz w:val="2"/>
                <w:szCs w:val="2"/>
              </w:rPr>
              <w:t> </w:t>
            </w:r>
          </w:p>
        </w:tc>
        <w:tc>
          <w:tcPr>
            <w:tcW w:w="0" w:type="auto"/>
            <w:tcBorders>
              <w:top w:val="single" w:sz="6" w:space="0" w:color="000000"/>
              <w:left w:val="single" w:sz="6" w:space="0" w:color="000000"/>
              <w:right w:val="single" w:sz="6" w:space="0" w:color="000000"/>
            </w:tcBorders>
            <w:shd w:val="clear" w:color="auto" w:fill="D8D8D8"/>
            <w:vAlign w:val="center"/>
            <w:hideMark/>
          </w:tcPr>
          <w:p w14:paraId="487AAB33" w14:textId="77777777" w:rsidR="00F76607" w:rsidRDefault="001863F0">
            <w:pPr>
              <w:rPr>
                <w:sz w:val="2"/>
                <w:szCs w:val="2"/>
              </w:rPr>
            </w:pPr>
            <w:r>
              <w:rPr>
                <w:sz w:val="2"/>
                <w:szCs w:val="2"/>
              </w:rPr>
              <w:t> </w:t>
            </w:r>
          </w:p>
        </w:tc>
      </w:tr>
      <w:tr w:rsidR="00F76607" w14:paraId="7855185E" w14:textId="77777777">
        <w:trPr>
          <w:cantSplit/>
          <w:jc w:val="center"/>
        </w:trPr>
        <w:tc>
          <w:tcPr>
            <w:tcW w:w="0" w:type="auto"/>
            <w:tcBorders>
              <w:left w:val="single" w:sz="6" w:space="0" w:color="000000"/>
              <w:bottom w:val="single" w:sz="6" w:space="0" w:color="000000"/>
            </w:tcBorders>
            <w:shd w:val="clear" w:color="auto" w:fill="D8D8D8"/>
            <w:tcMar>
              <w:top w:w="0" w:type="dxa"/>
              <w:left w:w="160" w:type="dxa"/>
              <w:bottom w:w="0" w:type="dxa"/>
              <w:right w:w="0" w:type="dxa"/>
            </w:tcMar>
            <w:hideMark/>
          </w:tcPr>
          <w:p w14:paraId="0A5CCA7D" w14:textId="77777777" w:rsidR="00F76607" w:rsidRDefault="001863F0">
            <w:pPr>
              <w:rPr>
                <w:sz w:val="18"/>
                <w:szCs w:val="18"/>
              </w:rPr>
            </w:pPr>
            <w:r>
              <w:rPr>
                <w:b/>
                <w:bCs/>
                <w:sz w:val="18"/>
                <w:szCs w:val="18"/>
              </w:rPr>
              <w:t>Element</w:t>
            </w:r>
          </w:p>
        </w:tc>
        <w:tc>
          <w:tcPr>
            <w:tcW w:w="0" w:type="auto"/>
            <w:tcBorders>
              <w:bottom w:val="single" w:sz="6" w:space="0" w:color="000000"/>
              <w:right w:val="single" w:sz="6" w:space="0" w:color="000000"/>
            </w:tcBorders>
            <w:shd w:val="clear" w:color="auto" w:fill="D8D8D8"/>
            <w:tcMar>
              <w:top w:w="0" w:type="dxa"/>
              <w:left w:w="0" w:type="dxa"/>
              <w:bottom w:w="0" w:type="dxa"/>
              <w:right w:w="40" w:type="dxa"/>
            </w:tcMar>
            <w:hideMark/>
          </w:tcPr>
          <w:p w14:paraId="24D0C653" w14:textId="77777777" w:rsidR="00F76607" w:rsidRDefault="001863F0">
            <w:pPr>
              <w:rPr>
                <w:sz w:val="18"/>
                <w:szCs w:val="18"/>
              </w:rPr>
            </w:pPr>
            <w:r>
              <w:rPr>
                <w:b/>
                <w:bCs/>
                <w:sz w:val="18"/>
                <w:szCs w:val="18"/>
              </w:rPr>
              <w:t>Disclosure requirement</w:t>
            </w:r>
          </w:p>
        </w:tc>
      </w:tr>
      <w:tr w:rsidR="00F76607" w14:paraId="62238E11" w14:textId="77777777">
        <w:trPr>
          <w:cantSplit/>
          <w:jc w:val="center"/>
        </w:trPr>
        <w:tc>
          <w:tcPr>
            <w:tcW w:w="0" w:type="auto"/>
            <w:hideMark/>
          </w:tcPr>
          <w:p w14:paraId="7394D385" w14:textId="77777777" w:rsidR="00F76607" w:rsidRDefault="001863F0">
            <w:pPr>
              <w:rPr>
                <w:sz w:val="18"/>
                <w:szCs w:val="18"/>
              </w:rPr>
            </w:pPr>
            <w:r>
              <w:rPr>
                <w:b/>
                <w:bCs/>
                <w:sz w:val="18"/>
                <w:szCs w:val="18"/>
              </w:rPr>
              <w:t>A.1</w:t>
            </w:r>
          </w:p>
        </w:tc>
        <w:tc>
          <w:tcPr>
            <w:tcW w:w="0" w:type="auto"/>
            <w:hideMark/>
          </w:tcPr>
          <w:p w14:paraId="2F837B72" w14:textId="77777777" w:rsidR="00F76607" w:rsidRDefault="001863F0">
            <w:pPr>
              <w:rPr>
                <w:sz w:val="18"/>
                <w:szCs w:val="18"/>
              </w:rPr>
            </w:pPr>
            <w:r>
              <w:rPr>
                <w:b/>
                <w:bCs/>
                <w:sz w:val="18"/>
                <w:szCs w:val="18"/>
              </w:rPr>
              <w:t>Introduction and warnings</w:t>
            </w:r>
          </w:p>
        </w:tc>
      </w:tr>
      <w:tr w:rsidR="00F76607" w14:paraId="47B16F12" w14:textId="77777777">
        <w:trPr>
          <w:cantSplit/>
          <w:jc w:val="center"/>
        </w:trPr>
        <w:tc>
          <w:tcPr>
            <w:tcW w:w="0" w:type="auto"/>
            <w:tcMar>
              <w:top w:w="0" w:type="dxa"/>
              <w:left w:w="144" w:type="dxa"/>
              <w:bottom w:w="0" w:type="dxa"/>
              <w:right w:w="0" w:type="dxa"/>
            </w:tcMar>
            <w:hideMark/>
          </w:tcPr>
          <w:p w14:paraId="090E1139" w14:textId="77777777" w:rsidR="00F76607" w:rsidRDefault="001863F0">
            <w:pPr>
              <w:pStyle w:val="la2"/>
              <w:rPr>
                <w:rFonts w:eastAsiaTheme="minorEastAsia"/>
                <w:sz w:val="18"/>
                <w:szCs w:val="18"/>
              </w:rPr>
            </w:pPr>
            <w:r>
              <w:rPr>
                <w:sz w:val="18"/>
                <w:szCs w:val="18"/>
              </w:rPr>
              <w:t> </w:t>
            </w:r>
          </w:p>
        </w:tc>
        <w:tc>
          <w:tcPr>
            <w:tcW w:w="0" w:type="auto"/>
            <w:hideMark/>
          </w:tcPr>
          <w:p w14:paraId="7BB77286" w14:textId="77777777" w:rsidR="00F76607" w:rsidRDefault="001863F0">
            <w:pPr>
              <w:rPr>
                <w:sz w:val="18"/>
                <w:szCs w:val="18"/>
              </w:rPr>
            </w:pPr>
            <w:r>
              <w:rPr>
                <w:sz w:val="18"/>
                <w:szCs w:val="18"/>
              </w:rPr>
              <w:t>This summary must be read as an introduction to this Prospectus and is provided to aid investors when considering whether to invest in the Offer Shares, but is not a substitute for this Prospectus. Any decision to invest in the Offer Shares should be based on consideration of this Prospectus as a whole. Following the implementation of the relevant provisions of the Prospectus Directive in each Member State of the EEA, no civil liability will attach to the persons responsible for this summary in any such Member State solely on the basis of this summary, including any translation thereof, unless it is misleading, inaccurate or inconsistent when read together with the other parts of this Prospectus or it does not provide, when read together with the other parts of this Prospectus, key information in order to aid investors when considering whether to invest in the Offer Shares. Where a claim relating to this Prospectus is brought before a court in a Member State of the EEA, the plaintiff may, under the national legislation of the Member State where the claim is brought, be required to bear the costs of translating this Prospectus before the legal proceedings are initiated.</w:t>
            </w:r>
          </w:p>
        </w:tc>
      </w:tr>
      <w:tr w:rsidR="00F76607" w14:paraId="5C252B61" w14:textId="77777777">
        <w:trPr>
          <w:cantSplit/>
          <w:jc w:val="center"/>
        </w:trPr>
        <w:tc>
          <w:tcPr>
            <w:tcW w:w="0" w:type="auto"/>
            <w:hideMark/>
          </w:tcPr>
          <w:p w14:paraId="7CFEF10F" w14:textId="77777777" w:rsidR="00F76607" w:rsidRDefault="001863F0">
            <w:pPr>
              <w:rPr>
                <w:sz w:val="18"/>
                <w:szCs w:val="18"/>
              </w:rPr>
            </w:pPr>
            <w:r>
              <w:rPr>
                <w:b/>
                <w:bCs/>
                <w:sz w:val="18"/>
                <w:szCs w:val="18"/>
              </w:rPr>
              <w:t>A.2</w:t>
            </w:r>
          </w:p>
        </w:tc>
        <w:tc>
          <w:tcPr>
            <w:tcW w:w="0" w:type="auto"/>
            <w:hideMark/>
          </w:tcPr>
          <w:p w14:paraId="5B72BF63" w14:textId="77777777" w:rsidR="00F76607" w:rsidRDefault="001863F0">
            <w:pPr>
              <w:rPr>
                <w:sz w:val="18"/>
                <w:szCs w:val="18"/>
              </w:rPr>
            </w:pPr>
            <w:r>
              <w:rPr>
                <w:b/>
                <w:bCs/>
                <w:sz w:val="18"/>
                <w:szCs w:val="18"/>
              </w:rPr>
              <w:t>Consent for use of the prospectus for subsequent resale</w:t>
            </w:r>
          </w:p>
        </w:tc>
      </w:tr>
      <w:tr w:rsidR="00F76607" w14:paraId="7B284C21" w14:textId="77777777">
        <w:trPr>
          <w:cantSplit/>
          <w:jc w:val="center"/>
        </w:trPr>
        <w:tc>
          <w:tcPr>
            <w:tcW w:w="0" w:type="auto"/>
            <w:tcMar>
              <w:top w:w="0" w:type="dxa"/>
              <w:left w:w="144" w:type="dxa"/>
              <w:bottom w:w="0" w:type="dxa"/>
              <w:right w:w="0" w:type="dxa"/>
            </w:tcMar>
            <w:hideMark/>
          </w:tcPr>
          <w:p w14:paraId="18FE1017" w14:textId="77777777" w:rsidR="00F76607" w:rsidRDefault="001863F0">
            <w:pPr>
              <w:pStyle w:val="la2"/>
              <w:rPr>
                <w:rFonts w:eastAsiaTheme="minorEastAsia"/>
                <w:sz w:val="18"/>
                <w:szCs w:val="18"/>
              </w:rPr>
            </w:pPr>
            <w:r>
              <w:rPr>
                <w:sz w:val="18"/>
                <w:szCs w:val="18"/>
              </w:rPr>
              <w:t> </w:t>
            </w:r>
          </w:p>
        </w:tc>
        <w:tc>
          <w:tcPr>
            <w:tcW w:w="0" w:type="auto"/>
            <w:hideMark/>
          </w:tcPr>
          <w:p w14:paraId="65BC12C0" w14:textId="77777777" w:rsidR="00F76607" w:rsidRDefault="001863F0">
            <w:pPr>
              <w:rPr>
                <w:sz w:val="18"/>
                <w:szCs w:val="18"/>
              </w:rPr>
            </w:pPr>
            <w:r>
              <w:rPr>
                <w:sz w:val="18"/>
                <w:szCs w:val="18"/>
              </w:rPr>
              <w:t>Not applicable. The Company does not consent to the use of the Prospectus for the subsequent resale or final placement of securities by financial intermediaries.</w:t>
            </w:r>
          </w:p>
        </w:tc>
      </w:tr>
    </w:tbl>
    <w:p w14:paraId="53FD7BE8" w14:textId="77777777" w:rsidR="00F76607" w:rsidRDefault="001863F0">
      <w:pPr>
        <w:pStyle w:val="NormalWeb"/>
        <w:keepNext/>
        <w:spacing w:before="0" w:beforeAutospacing="0" w:after="0" w:afterAutospacing="0"/>
        <w:rPr>
          <w:rFonts w:eastAsiaTheme="minorEastAsia"/>
          <w:sz w:val="2"/>
          <w:szCs w:val="2"/>
        </w:rPr>
      </w:pPr>
      <w:r>
        <w:rPr>
          <w:sz w:val="2"/>
          <w:szCs w:val="2"/>
        </w:rPr>
        <w:t> </w:t>
      </w:r>
    </w:p>
    <w:p w14:paraId="3E875F1A" w14:textId="77777777" w:rsidR="00F76607" w:rsidRDefault="001863F0">
      <w:pPr>
        <w:pStyle w:val="NormalWeb"/>
        <w:keepNext/>
        <w:spacing w:before="240" w:beforeAutospacing="0" w:after="0" w:afterAutospacing="0"/>
        <w:jc w:val="center"/>
      </w:pPr>
      <w:r>
        <w:rPr>
          <w:b/>
          <w:bCs/>
          <w:sz w:val="18"/>
          <w:szCs w:val="18"/>
        </w:rPr>
        <w:t xml:space="preserve">Section B—Company </w:t>
      </w:r>
    </w:p>
    <w:p w14:paraId="6A5850E5" w14:textId="77777777" w:rsidR="00F76607" w:rsidRDefault="001863F0">
      <w:pPr>
        <w:pStyle w:val="NormalWeb"/>
        <w:keepNext/>
        <w:spacing w:before="0" w:beforeAutospacing="0" w:after="0" w:afterAutospacing="0"/>
      </w:pPr>
      <w:r>
        <w:t> </w:t>
      </w:r>
    </w:p>
    <w:p w14:paraId="592442F9" w14:textId="77777777" w:rsidR="00F76607" w:rsidRDefault="001863F0">
      <w:pPr>
        <w:pStyle w:val="NormalWeb"/>
        <w:keepNext/>
        <w:spacing w:before="0" w:beforeAutospacing="0" w:after="0" w:afterAutospacing="0"/>
        <w:rPr>
          <w:sz w:val="2"/>
          <w:szCs w:val="2"/>
        </w:rPr>
      </w:pPr>
      <w:r>
        <w:rPr>
          <w:sz w:val="2"/>
          <w:szCs w:val="2"/>
        </w:rPr>
        <w:t> </w:t>
      </w:r>
    </w:p>
    <w:tbl>
      <w:tblPr>
        <w:tblW w:w="5000" w:type="pct"/>
        <w:jc w:val="center"/>
        <w:tblCellMar>
          <w:left w:w="0" w:type="dxa"/>
          <w:right w:w="0" w:type="dxa"/>
        </w:tblCellMar>
        <w:tblLook w:val="04A0" w:firstRow="1" w:lastRow="0" w:firstColumn="1" w:lastColumn="0" w:noHBand="0" w:noVBand="1"/>
      </w:tblPr>
      <w:tblGrid>
        <w:gridCol w:w="696"/>
        <w:gridCol w:w="9057"/>
      </w:tblGrid>
      <w:tr w:rsidR="00F76607" w14:paraId="4731D840" w14:textId="77777777">
        <w:trPr>
          <w:jc w:val="center"/>
        </w:trPr>
        <w:tc>
          <w:tcPr>
            <w:tcW w:w="754" w:type="dxa"/>
            <w:vAlign w:val="center"/>
            <w:hideMark/>
          </w:tcPr>
          <w:p w14:paraId="5F2A25DE" w14:textId="77777777" w:rsidR="00F76607" w:rsidRDefault="00F76607">
            <w:pPr>
              <w:rPr>
                <w:sz w:val="1"/>
                <w:szCs w:val="18"/>
              </w:rPr>
            </w:pPr>
          </w:p>
        </w:tc>
        <w:tc>
          <w:tcPr>
            <w:tcW w:w="8999" w:type="dxa"/>
            <w:vAlign w:val="center"/>
            <w:hideMark/>
          </w:tcPr>
          <w:p w14:paraId="6EFBA690" w14:textId="77777777" w:rsidR="00F76607" w:rsidRDefault="00F76607">
            <w:pPr>
              <w:rPr>
                <w:sz w:val="1"/>
                <w:szCs w:val="18"/>
              </w:rPr>
            </w:pPr>
          </w:p>
        </w:tc>
      </w:tr>
      <w:tr w:rsidR="00F76607" w14:paraId="2E9FB02F" w14:textId="77777777">
        <w:trPr>
          <w:trHeight w:val="75"/>
          <w:jc w:val="center"/>
        </w:trPr>
        <w:tc>
          <w:tcPr>
            <w:tcW w:w="754" w:type="dxa"/>
            <w:tcBorders>
              <w:top w:val="single" w:sz="6" w:space="0" w:color="000000"/>
              <w:left w:val="single" w:sz="6" w:space="0" w:color="000000"/>
            </w:tcBorders>
            <w:shd w:val="clear" w:color="auto" w:fill="D8D8D8"/>
            <w:tcMar>
              <w:top w:w="0" w:type="dxa"/>
              <w:left w:w="160" w:type="dxa"/>
              <w:bottom w:w="0" w:type="dxa"/>
              <w:right w:w="0" w:type="dxa"/>
            </w:tcMar>
            <w:vAlign w:val="center"/>
            <w:hideMark/>
          </w:tcPr>
          <w:p w14:paraId="5E41E57E" w14:textId="77777777" w:rsidR="00F76607" w:rsidRDefault="001863F0">
            <w:pPr>
              <w:rPr>
                <w:sz w:val="2"/>
                <w:szCs w:val="2"/>
              </w:rPr>
            </w:pPr>
            <w:r>
              <w:rPr>
                <w:sz w:val="2"/>
                <w:szCs w:val="2"/>
              </w:rPr>
              <w:t> </w:t>
            </w:r>
          </w:p>
        </w:tc>
        <w:tc>
          <w:tcPr>
            <w:tcW w:w="8999" w:type="dxa"/>
            <w:tcBorders>
              <w:top w:val="single" w:sz="6" w:space="0" w:color="000000"/>
              <w:left w:val="single" w:sz="6" w:space="0" w:color="000000"/>
              <w:right w:val="single" w:sz="6" w:space="0" w:color="000000"/>
            </w:tcBorders>
            <w:shd w:val="clear" w:color="auto" w:fill="D8D8D8"/>
            <w:vAlign w:val="center"/>
            <w:hideMark/>
          </w:tcPr>
          <w:p w14:paraId="210DEF3D" w14:textId="77777777" w:rsidR="00F76607" w:rsidRDefault="001863F0">
            <w:pPr>
              <w:rPr>
                <w:sz w:val="2"/>
                <w:szCs w:val="2"/>
              </w:rPr>
            </w:pPr>
            <w:r>
              <w:rPr>
                <w:sz w:val="2"/>
                <w:szCs w:val="2"/>
              </w:rPr>
              <w:t> </w:t>
            </w:r>
          </w:p>
        </w:tc>
      </w:tr>
      <w:tr w:rsidR="00F76607" w14:paraId="390317CA" w14:textId="77777777">
        <w:trPr>
          <w:cantSplit/>
          <w:jc w:val="center"/>
        </w:trPr>
        <w:tc>
          <w:tcPr>
            <w:tcW w:w="754" w:type="dxa"/>
            <w:tcBorders>
              <w:left w:val="single" w:sz="6" w:space="0" w:color="000000"/>
              <w:bottom w:val="single" w:sz="6" w:space="0" w:color="000000"/>
            </w:tcBorders>
            <w:shd w:val="clear" w:color="auto" w:fill="D8D8D8"/>
            <w:tcMar>
              <w:top w:w="0" w:type="dxa"/>
              <w:left w:w="160" w:type="dxa"/>
              <w:bottom w:w="0" w:type="dxa"/>
              <w:right w:w="0" w:type="dxa"/>
            </w:tcMar>
            <w:hideMark/>
          </w:tcPr>
          <w:p w14:paraId="3F36B751" w14:textId="77777777" w:rsidR="00F76607" w:rsidRDefault="001863F0">
            <w:pPr>
              <w:rPr>
                <w:sz w:val="18"/>
                <w:szCs w:val="18"/>
              </w:rPr>
            </w:pPr>
            <w:r>
              <w:rPr>
                <w:b/>
                <w:bCs/>
                <w:sz w:val="18"/>
                <w:szCs w:val="18"/>
              </w:rPr>
              <w:t>Element</w:t>
            </w:r>
          </w:p>
        </w:tc>
        <w:tc>
          <w:tcPr>
            <w:tcW w:w="8999" w:type="dxa"/>
            <w:tcBorders>
              <w:bottom w:val="single" w:sz="6" w:space="0" w:color="000000"/>
              <w:right w:val="single" w:sz="6" w:space="0" w:color="000000"/>
            </w:tcBorders>
            <w:shd w:val="clear" w:color="auto" w:fill="D8D8D8"/>
            <w:tcMar>
              <w:top w:w="0" w:type="dxa"/>
              <w:left w:w="0" w:type="dxa"/>
              <w:bottom w:w="0" w:type="dxa"/>
              <w:right w:w="40" w:type="dxa"/>
            </w:tcMar>
            <w:hideMark/>
          </w:tcPr>
          <w:p w14:paraId="312379C4" w14:textId="77777777" w:rsidR="00F76607" w:rsidRDefault="001863F0">
            <w:pPr>
              <w:rPr>
                <w:sz w:val="18"/>
                <w:szCs w:val="18"/>
              </w:rPr>
            </w:pPr>
            <w:r>
              <w:rPr>
                <w:b/>
                <w:bCs/>
                <w:sz w:val="18"/>
                <w:szCs w:val="18"/>
              </w:rPr>
              <w:t>Disclosure requirement</w:t>
            </w:r>
          </w:p>
        </w:tc>
      </w:tr>
      <w:tr w:rsidR="00F76607" w14:paraId="12BDAD99" w14:textId="77777777">
        <w:trPr>
          <w:cantSplit/>
          <w:jc w:val="center"/>
        </w:trPr>
        <w:tc>
          <w:tcPr>
            <w:tcW w:w="754" w:type="dxa"/>
            <w:hideMark/>
          </w:tcPr>
          <w:p w14:paraId="46B47414" w14:textId="77777777" w:rsidR="00F76607" w:rsidRDefault="001863F0">
            <w:pPr>
              <w:rPr>
                <w:sz w:val="18"/>
                <w:szCs w:val="18"/>
              </w:rPr>
            </w:pPr>
            <w:r>
              <w:rPr>
                <w:b/>
                <w:bCs/>
                <w:sz w:val="18"/>
                <w:szCs w:val="18"/>
              </w:rPr>
              <w:t>B.1</w:t>
            </w:r>
          </w:p>
        </w:tc>
        <w:tc>
          <w:tcPr>
            <w:tcW w:w="8999" w:type="dxa"/>
            <w:hideMark/>
          </w:tcPr>
          <w:p w14:paraId="13D5F8FD" w14:textId="77777777" w:rsidR="00F76607" w:rsidRDefault="001863F0">
            <w:pPr>
              <w:rPr>
                <w:sz w:val="18"/>
                <w:szCs w:val="18"/>
              </w:rPr>
            </w:pPr>
            <w:r>
              <w:rPr>
                <w:b/>
                <w:bCs/>
                <w:sz w:val="18"/>
                <w:szCs w:val="18"/>
              </w:rPr>
              <w:t>The legal and commercial name of the Company</w:t>
            </w:r>
          </w:p>
        </w:tc>
      </w:tr>
      <w:tr w:rsidR="00F76607" w14:paraId="372F8972" w14:textId="77777777">
        <w:trPr>
          <w:cantSplit/>
          <w:jc w:val="center"/>
        </w:trPr>
        <w:tc>
          <w:tcPr>
            <w:tcW w:w="754" w:type="dxa"/>
            <w:tcMar>
              <w:top w:w="0" w:type="dxa"/>
              <w:left w:w="144" w:type="dxa"/>
              <w:bottom w:w="0" w:type="dxa"/>
              <w:right w:w="0" w:type="dxa"/>
            </w:tcMar>
            <w:hideMark/>
          </w:tcPr>
          <w:p w14:paraId="11B97617" w14:textId="77777777" w:rsidR="00F76607" w:rsidRDefault="001863F0">
            <w:pPr>
              <w:pStyle w:val="la2"/>
              <w:rPr>
                <w:rFonts w:eastAsiaTheme="minorEastAsia"/>
                <w:sz w:val="18"/>
                <w:szCs w:val="18"/>
              </w:rPr>
            </w:pPr>
            <w:r>
              <w:rPr>
                <w:sz w:val="18"/>
                <w:szCs w:val="18"/>
              </w:rPr>
              <w:t> </w:t>
            </w:r>
          </w:p>
        </w:tc>
        <w:tc>
          <w:tcPr>
            <w:tcW w:w="8999" w:type="dxa"/>
            <w:hideMark/>
          </w:tcPr>
          <w:p w14:paraId="12F409FA" w14:textId="77777777" w:rsidR="00F76607" w:rsidRDefault="001863F0">
            <w:pPr>
              <w:rPr>
                <w:sz w:val="18"/>
                <w:szCs w:val="18"/>
              </w:rPr>
            </w:pPr>
            <w:r>
              <w:rPr>
                <w:sz w:val="18"/>
                <w:szCs w:val="18"/>
              </w:rPr>
              <w:t>The legal name of the Company is VGP NV. It carries out its business under the name of VGP and associated registered trademarks.</w:t>
            </w:r>
          </w:p>
        </w:tc>
      </w:tr>
      <w:tr w:rsidR="00F76607" w14:paraId="43BB1EDA" w14:textId="77777777">
        <w:trPr>
          <w:cantSplit/>
          <w:jc w:val="center"/>
        </w:trPr>
        <w:tc>
          <w:tcPr>
            <w:tcW w:w="754" w:type="dxa"/>
            <w:hideMark/>
          </w:tcPr>
          <w:p w14:paraId="35B8BB26" w14:textId="77777777" w:rsidR="00F76607" w:rsidRDefault="001863F0">
            <w:pPr>
              <w:rPr>
                <w:sz w:val="18"/>
                <w:szCs w:val="18"/>
              </w:rPr>
            </w:pPr>
            <w:r>
              <w:rPr>
                <w:b/>
                <w:bCs/>
                <w:sz w:val="18"/>
                <w:szCs w:val="18"/>
              </w:rPr>
              <w:t>B.2</w:t>
            </w:r>
          </w:p>
        </w:tc>
        <w:tc>
          <w:tcPr>
            <w:tcW w:w="8999" w:type="dxa"/>
            <w:hideMark/>
          </w:tcPr>
          <w:p w14:paraId="0AF06764" w14:textId="77777777" w:rsidR="00F76607" w:rsidRDefault="001863F0">
            <w:pPr>
              <w:rPr>
                <w:sz w:val="18"/>
                <w:szCs w:val="18"/>
              </w:rPr>
            </w:pPr>
            <w:r>
              <w:rPr>
                <w:b/>
                <w:bCs/>
                <w:sz w:val="18"/>
                <w:szCs w:val="18"/>
              </w:rPr>
              <w:t>Domicile and legal form of the Company</w:t>
            </w:r>
          </w:p>
        </w:tc>
      </w:tr>
      <w:tr w:rsidR="00F76607" w14:paraId="47A89CA6" w14:textId="77777777">
        <w:trPr>
          <w:cantSplit/>
          <w:jc w:val="center"/>
        </w:trPr>
        <w:tc>
          <w:tcPr>
            <w:tcW w:w="754" w:type="dxa"/>
            <w:tcMar>
              <w:top w:w="0" w:type="dxa"/>
              <w:left w:w="144" w:type="dxa"/>
              <w:bottom w:w="0" w:type="dxa"/>
              <w:right w:w="0" w:type="dxa"/>
            </w:tcMar>
            <w:hideMark/>
          </w:tcPr>
          <w:p w14:paraId="7C9B5B85" w14:textId="77777777" w:rsidR="00F76607" w:rsidRDefault="001863F0">
            <w:pPr>
              <w:pStyle w:val="la2"/>
              <w:rPr>
                <w:rFonts w:eastAsiaTheme="minorEastAsia"/>
                <w:sz w:val="18"/>
                <w:szCs w:val="18"/>
              </w:rPr>
            </w:pPr>
            <w:r>
              <w:rPr>
                <w:sz w:val="18"/>
                <w:szCs w:val="18"/>
              </w:rPr>
              <w:t> </w:t>
            </w:r>
          </w:p>
        </w:tc>
        <w:tc>
          <w:tcPr>
            <w:tcW w:w="8999" w:type="dxa"/>
            <w:hideMark/>
          </w:tcPr>
          <w:p w14:paraId="6F1304B6" w14:textId="77777777" w:rsidR="00F76607" w:rsidRDefault="001863F0">
            <w:pPr>
              <w:rPr>
                <w:sz w:val="18"/>
                <w:szCs w:val="18"/>
              </w:rPr>
            </w:pPr>
            <w:r>
              <w:rPr>
                <w:sz w:val="18"/>
                <w:szCs w:val="18"/>
              </w:rPr>
              <w:t xml:space="preserve">The Company is a public limited liability company incorporated in the form of a </w:t>
            </w:r>
            <w:proofErr w:type="spellStart"/>
            <w:r>
              <w:rPr>
                <w:i/>
                <w:iCs/>
                <w:sz w:val="18"/>
                <w:szCs w:val="18"/>
              </w:rPr>
              <w:t>société</w:t>
            </w:r>
            <w:proofErr w:type="spellEnd"/>
            <w:r>
              <w:rPr>
                <w:i/>
                <w:iCs/>
                <w:sz w:val="18"/>
                <w:szCs w:val="18"/>
              </w:rPr>
              <w:t xml:space="preserve"> </w:t>
            </w:r>
            <w:proofErr w:type="spellStart"/>
            <w:r>
              <w:rPr>
                <w:i/>
                <w:iCs/>
                <w:sz w:val="18"/>
                <w:szCs w:val="18"/>
              </w:rPr>
              <w:t>anonyme</w:t>
            </w:r>
            <w:proofErr w:type="spellEnd"/>
            <w:r>
              <w:rPr>
                <w:i/>
                <w:iCs/>
                <w:sz w:val="18"/>
                <w:szCs w:val="18"/>
              </w:rPr>
              <w:t xml:space="preserve">/ </w:t>
            </w:r>
            <w:proofErr w:type="spellStart"/>
            <w:r>
              <w:rPr>
                <w:i/>
                <w:iCs/>
                <w:sz w:val="18"/>
                <w:szCs w:val="18"/>
              </w:rPr>
              <w:t>naamloze</w:t>
            </w:r>
            <w:proofErr w:type="spellEnd"/>
            <w:r>
              <w:rPr>
                <w:i/>
                <w:iCs/>
                <w:sz w:val="18"/>
                <w:szCs w:val="18"/>
              </w:rPr>
              <w:t xml:space="preserve"> </w:t>
            </w:r>
            <w:proofErr w:type="spellStart"/>
            <w:r>
              <w:rPr>
                <w:i/>
                <w:iCs/>
                <w:sz w:val="18"/>
                <w:szCs w:val="18"/>
              </w:rPr>
              <w:t>vennootschap</w:t>
            </w:r>
            <w:proofErr w:type="spellEnd"/>
            <w:r>
              <w:rPr>
                <w:sz w:val="18"/>
                <w:szCs w:val="18"/>
              </w:rPr>
              <w:t xml:space="preserve"> under Belgian law. It is registered with the legal entities register of Brussels, under enterprise number 0887.216.042. The Company’s registered office is located at Leonardo Da </w:t>
            </w:r>
            <w:proofErr w:type="spellStart"/>
            <w:r>
              <w:rPr>
                <w:sz w:val="18"/>
                <w:szCs w:val="18"/>
              </w:rPr>
              <w:t>Vincilaan</w:t>
            </w:r>
            <w:proofErr w:type="spellEnd"/>
            <w:r>
              <w:rPr>
                <w:sz w:val="18"/>
                <w:szCs w:val="18"/>
              </w:rPr>
              <w:t xml:space="preserve"> 19A bus 6, 1831 </w:t>
            </w:r>
            <w:proofErr w:type="spellStart"/>
            <w:r>
              <w:rPr>
                <w:sz w:val="18"/>
                <w:szCs w:val="18"/>
              </w:rPr>
              <w:t>Machelen</w:t>
            </w:r>
            <w:proofErr w:type="spellEnd"/>
            <w:r>
              <w:rPr>
                <w:sz w:val="18"/>
                <w:szCs w:val="18"/>
              </w:rPr>
              <w:t xml:space="preserve"> (</w:t>
            </w:r>
            <w:proofErr w:type="spellStart"/>
            <w:r>
              <w:rPr>
                <w:sz w:val="18"/>
                <w:szCs w:val="18"/>
              </w:rPr>
              <w:t>Diegem</w:t>
            </w:r>
            <w:proofErr w:type="spellEnd"/>
            <w:r>
              <w:rPr>
                <w:sz w:val="18"/>
                <w:szCs w:val="18"/>
              </w:rPr>
              <w:t>), Belgium.</w:t>
            </w:r>
          </w:p>
        </w:tc>
      </w:tr>
      <w:tr w:rsidR="00F76607" w14:paraId="4BD948CC" w14:textId="77777777">
        <w:trPr>
          <w:cantSplit/>
          <w:jc w:val="center"/>
        </w:trPr>
        <w:tc>
          <w:tcPr>
            <w:tcW w:w="754" w:type="dxa"/>
            <w:hideMark/>
          </w:tcPr>
          <w:p w14:paraId="2A8E60C0" w14:textId="77777777" w:rsidR="00F76607" w:rsidRDefault="001863F0">
            <w:pPr>
              <w:rPr>
                <w:sz w:val="18"/>
                <w:szCs w:val="18"/>
              </w:rPr>
            </w:pPr>
            <w:r>
              <w:rPr>
                <w:b/>
                <w:bCs/>
                <w:sz w:val="18"/>
                <w:szCs w:val="18"/>
              </w:rPr>
              <w:t>B.3</w:t>
            </w:r>
          </w:p>
        </w:tc>
        <w:tc>
          <w:tcPr>
            <w:tcW w:w="8999" w:type="dxa"/>
            <w:hideMark/>
          </w:tcPr>
          <w:p w14:paraId="3322746D" w14:textId="77777777" w:rsidR="00F76607" w:rsidRDefault="001863F0">
            <w:pPr>
              <w:rPr>
                <w:sz w:val="18"/>
                <w:szCs w:val="18"/>
              </w:rPr>
            </w:pPr>
            <w:r>
              <w:rPr>
                <w:b/>
                <w:bCs/>
                <w:sz w:val="18"/>
                <w:szCs w:val="18"/>
              </w:rPr>
              <w:t>Current operations and principal activities of the Company and the principal markets in which it competes</w:t>
            </w:r>
          </w:p>
        </w:tc>
      </w:tr>
      <w:tr w:rsidR="00F76607" w14:paraId="28D1AA84" w14:textId="77777777">
        <w:trPr>
          <w:cantSplit/>
          <w:jc w:val="center"/>
        </w:trPr>
        <w:tc>
          <w:tcPr>
            <w:tcW w:w="754" w:type="dxa"/>
            <w:tcMar>
              <w:top w:w="0" w:type="dxa"/>
              <w:left w:w="144" w:type="dxa"/>
              <w:bottom w:w="0" w:type="dxa"/>
              <w:right w:w="0" w:type="dxa"/>
            </w:tcMar>
            <w:hideMark/>
          </w:tcPr>
          <w:p w14:paraId="69CA93B9" w14:textId="77777777" w:rsidR="00F76607" w:rsidRDefault="001863F0">
            <w:pPr>
              <w:pStyle w:val="la2"/>
              <w:rPr>
                <w:rFonts w:eastAsiaTheme="minorEastAsia"/>
                <w:sz w:val="18"/>
                <w:szCs w:val="18"/>
              </w:rPr>
            </w:pPr>
            <w:r>
              <w:rPr>
                <w:sz w:val="18"/>
                <w:szCs w:val="18"/>
              </w:rPr>
              <w:t> </w:t>
            </w:r>
          </w:p>
        </w:tc>
        <w:tc>
          <w:tcPr>
            <w:tcW w:w="8999" w:type="dxa"/>
          </w:tcPr>
          <w:p w14:paraId="1B920357" w14:textId="54047D61" w:rsidR="00F76607" w:rsidRDefault="001863F0">
            <w:pPr>
              <w:rPr>
                <w:sz w:val="18"/>
                <w:szCs w:val="18"/>
                <w:lang w:val="en-GB"/>
              </w:rPr>
            </w:pPr>
            <w:r>
              <w:rPr>
                <w:sz w:val="18"/>
                <w:szCs w:val="18"/>
                <w:lang w:val="en-GB"/>
              </w:rPr>
              <w:t>The Company, together with its Subsidiaries (collectively, “VGP”, the “VGP Group” or the “Group”) is a real estate group specialised in the acquisition, development, and management of logistic real estate, i.e. buildings suitable for logistical purposes and light industrial activities. The Group focuses on strategically located plots of land suitable for development of logistic business parks of a certain size, so as to build up an extensive and well-diversified land bank on top locations, i.e. locations in the vicinity of highly concentrated living and/or production centres, with an optimal access to transport infrastructure.</w:t>
            </w:r>
          </w:p>
          <w:p w14:paraId="4B96DFFF" w14:textId="77777777" w:rsidR="00F76607" w:rsidRDefault="001863F0">
            <w:pPr>
              <w:rPr>
                <w:sz w:val="18"/>
                <w:szCs w:val="18"/>
                <w:lang w:val="en-GB"/>
              </w:rPr>
            </w:pPr>
            <w:r>
              <w:rPr>
                <w:sz w:val="18"/>
                <w:szCs w:val="18"/>
                <w:lang w:val="en-GB"/>
              </w:rPr>
              <w:t>The geographical focus of the Group is mainly on Germany, the Czech Republic and Spain and to a lesser extent on Latvia, Slovakia, Hungary and Romania.</w:t>
            </w:r>
          </w:p>
          <w:p w14:paraId="761C06BC" w14:textId="23B3FA74" w:rsidR="00F76607" w:rsidRDefault="001863F0">
            <w:pPr>
              <w:rPr>
                <w:sz w:val="18"/>
                <w:szCs w:val="18"/>
                <w:lang w:val="en-GB"/>
              </w:rPr>
            </w:pPr>
            <w:r>
              <w:rPr>
                <w:sz w:val="18"/>
                <w:szCs w:val="18"/>
                <w:lang w:val="en-GB"/>
              </w:rPr>
              <w:t xml:space="preserve">The Group has an in-house team which manages all the activities of its fully integrated business model: from the identification and acquisition of the land, to the conceptualisation and design of the project, the supervision of the construction works, the contacts with potential tenants and </w:t>
            </w:r>
            <w:r w:rsidR="00F479F2">
              <w:rPr>
                <w:sz w:val="18"/>
                <w:szCs w:val="18"/>
                <w:lang w:val="en-GB"/>
              </w:rPr>
              <w:t xml:space="preserve">a significant part of </w:t>
            </w:r>
            <w:r>
              <w:rPr>
                <w:sz w:val="18"/>
                <w:szCs w:val="18"/>
                <w:lang w:val="en-GB"/>
              </w:rPr>
              <w:t>the Facility Management of its own real estate portfolio.</w:t>
            </w:r>
          </w:p>
          <w:p w14:paraId="2C3B56FB" w14:textId="77777777" w:rsidR="00F76607" w:rsidRDefault="001863F0">
            <w:pPr>
              <w:rPr>
                <w:sz w:val="18"/>
                <w:szCs w:val="18"/>
                <w:lang w:val="en-GB"/>
              </w:rPr>
            </w:pPr>
            <w:r>
              <w:rPr>
                <w:sz w:val="18"/>
                <w:szCs w:val="18"/>
                <w:lang w:val="en-GB"/>
              </w:rPr>
              <w:t>The aim of the Group is to become a leading specialised developer and owner of logistic property for the mid-European region (with a current focus on Latvia, the Czech Republic, Slovakia, Hungary and Romania), Germany, Spain and possibly other countries depending on market demand and perceived trends.</w:t>
            </w:r>
          </w:p>
          <w:p w14:paraId="7B84983F" w14:textId="77777777" w:rsidR="00F76607" w:rsidRDefault="00F76607">
            <w:pPr>
              <w:rPr>
                <w:sz w:val="18"/>
                <w:szCs w:val="18"/>
                <w:lang w:val="en-GB"/>
              </w:rPr>
            </w:pPr>
          </w:p>
        </w:tc>
      </w:tr>
      <w:tr w:rsidR="00F76607" w14:paraId="7B8B48AE" w14:textId="77777777">
        <w:trPr>
          <w:cantSplit/>
          <w:jc w:val="center"/>
        </w:trPr>
        <w:tc>
          <w:tcPr>
            <w:tcW w:w="754" w:type="dxa"/>
            <w:hideMark/>
          </w:tcPr>
          <w:p w14:paraId="0E8746B9" w14:textId="77777777" w:rsidR="00F76607" w:rsidRDefault="001863F0">
            <w:pPr>
              <w:rPr>
                <w:sz w:val="18"/>
                <w:szCs w:val="18"/>
              </w:rPr>
            </w:pPr>
            <w:r>
              <w:rPr>
                <w:b/>
                <w:bCs/>
                <w:sz w:val="18"/>
                <w:szCs w:val="18"/>
              </w:rPr>
              <w:t>B.4a</w:t>
            </w:r>
          </w:p>
        </w:tc>
        <w:tc>
          <w:tcPr>
            <w:tcW w:w="8999" w:type="dxa"/>
            <w:hideMark/>
          </w:tcPr>
          <w:p w14:paraId="76B0E698" w14:textId="77777777" w:rsidR="00F76607" w:rsidRDefault="001863F0">
            <w:pPr>
              <w:rPr>
                <w:sz w:val="18"/>
                <w:szCs w:val="18"/>
              </w:rPr>
            </w:pPr>
            <w:r>
              <w:rPr>
                <w:b/>
                <w:bCs/>
                <w:sz w:val="18"/>
                <w:szCs w:val="18"/>
              </w:rPr>
              <w:t>Significant recent trends affecting the Company and the industries in which it operates</w:t>
            </w:r>
          </w:p>
        </w:tc>
      </w:tr>
      <w:tr w:rsidR="00F76607" w14:paraId="1AB7353D" w14:textId="77777777">
        <w:trPr>
          <w:cantSplit/>
          <w:jc w:val="center"/>
        </w:trPr>
        <w:tc>
          <w:tcPr>
            <w:tcW w:w="754" w:type="dxa"/>
            <w:tcMar>
              <w:top w:w="0" w:type="dxa"/>
              <w:left w:w="144" w:type="dxa"/>
              <w:bottom w:w="0" w:type="dxa"/>
              <w:right w:w="0" w:type="dxa"/>
            </w:tcMar>
            <w:hideMark/>
          </w:tcPr>
          <w:p w14:paraId="297037F8" w14:textId="77777777" w:rsidR="00F76607" w:rsidRDefault="001863F0">
            <w:pPr>
              <w:pStyle w:val="la2"/>
              <w:rPr>
                <w:rFonts w:eastAsiaTheme="minorEastAsia"/>
                <w:sz w:val="18"/>
                <w:szCs w:val="18"/>
              </w:rPr>
            </w:pPr>
            <w:r>
              <w:rPr>
                <w:sz w:val="18"/>
                <w:szCs w:val="18"/>
              </w:rPr>
              <w:lastRenderedPageBreak/>
              <w:t> </w:t>
            </w:r>
          </w:p>
        </w:tc>
        <w:tc>
          <w:tcPr>
            <w:tcW w:w="8999" w:type="dxa"/>
            <w:hideMark/>
          </w:tcPr>
          <w:p w14:paraId="511FE934" w14:textId="2E420402" w:rsidR="00F76607" w:rsidRDefault="00A01869">
            <w:pPr>
              <w:rPr>
                <w:bCs/>
                <w:sz w:val="18"/>
                <w:szCs w:val="18"/>
              </w:rPr>
            </w:pPr>
            <w:r>
              <w:rPr>
                <w:bCs/>
                <w:sz w:val="18"/>
                <w:szCs w:val="18"/>
              </w:rPr>
              <w:t xml:space="preserve">Following the initial steps into the Spanish market in 2015 with the opening of an office in Barcelona, the Group has substantially expanded its presence in Spain during 2016 with the acquisition of a state of the art brand new 180,000 m² logistics building (extendable to circa 260,000 m²) together with a significant portion of </w:t>
            </w:r>
            <w:proofErr w:type="spellStart"/>
            <w:r>
              <w:rPr>
                <w:bCs/>
                <w:sz w:val="18"/>
                <w:szCs w:val="18"/>
              </w:rPr>
              <w:t>of</w:t>
            </w:r>
            <w:proofErr w:type="spellEnd"/>
            <w:r>
              <w:rPr>
                <w:bCs/>
                <w:sz w:val="18"/>
                <w:szCs w:val="18"/>
              </w:rPr>
              <w:t xml:space="preserve"> future development land from the fashion group Mango and a 223,000 m² development land plot in San Fernando de Henares, located close to the Madrid Barajas International airport.</w:t>
            </w:r>
          </w:p>
          <w:p w14:paraId="628D002A" w14:textId="77777777" w:rsidR="00F76607" w:rsidRDefault="001863F0">
            <w:pPr>
              <w:rPr>
                <w:bCs/>
                <w:sz w:val="18"/>
                <w:szCs w:val="18"/>
              </w:rPr>
            </w:pPr>
            <w:r>
              <w:rPr>
                <w:bCs/>
                <w:sz w:val="18"/>
                <w:szCs w:val="18"/>
              </w:rPr>
              <w:t>The Group’s Property Portfolio is rapidly expanding, with Germany being the Group’s main market in which it has become one of the leading developers over the past 24 months (</w:t>
            </w:r>
            <w:r>
              <w:rPr>
                <w:bCs/>
                <w:i/>
                <w:sz w:val="18"/>
                <w:szCs w:val="18"/>
              </w:rPr>
              <w:t>source: wirtschaftswoche.de</w:t>
            </w:r>
            <w:r>
              <w:rPr>
                <w:bCs/>
                <w:sz w:val="18"/>
                <w:szCs w:val="18"/>
              </w:rPr>
              <w:t>). Notwithstanding the anticipated growth in new markets such as Spain, Germany is expected to remain the main market for the Group for the foreseeable future given the fact that Germany is one of the top logistics locations in Europe. In recent years the supply of stock available for leasing in Germany has become very scarce, and there is an increasing demand for lettable spaces of around and above 10,000 m² which is in line with the niche market in which the Group wants to be active in. The property market in which the Group is active in the European countries has experienced a significant increase of investment activity in the last few years, caused by, among others, a climate of falling interest rates, strong economic growth and increasing exchange rate stability. The prime headline rents for modern logistics space in all of the markets where the Group is active have remained flat over the past 12 months and are expected to remain stable for the foreseeable future (</w:t>
            </w:r>
            <w:r>
              <w:rPr>
                <w:bCs/>
                <w:i/>
                <w:sz w:val="18"/>
                <w:szCs w:val="18"/>
              </w:rPr>
              <w:t>source: Jones Lang LaSalle</w:t>
            </w:r>
            <w:r>
              <w:rPr>
                <w:bCs/>
                <w:sz w:val="18"/>
                <w:szCs w:val="18"/>
              </w:rPr>
              <w:t xml:space="preserve">). E-commerce is the fastest growing retail market in Europe and North-America </w:t>
            </w:r>
            <w:r>
              <w:rPr>
                <w:i/>
                <w:sz w:val="18"/>
                <w:szCs w:val="18"/>
                <w:lang w:val="en-GB"/>
              </w:rPr>
              <w:t xml:space="preserve">(Source: </w:t>
            </w:r>
            <w:hyperlink r:id="rId9" w:history="1">
              <w:r>
                <w:rPr>
                  <w:rStyle w:val="Hyperlink"/>
                  <w:i/>
                  <w:sz w:val="18"/>
                  <w:szCs w:val="18"/>
                  <w:lang w:val="en-GB"/>
                </w:rPr>
                <w:t>http://www.retailresearch.org/onlineretailing.php</w:t>
              </w:r>
            </w:hyperlink>
            <w:r>
              <w:rPr>
                <w:i/>
                <w:sz w:val="18"/>
                <w:szCs w:val="18"/>
                <w:lang w:val="en-GB"/>
              </w:rPr>
              <w:t>)</w:t>
            </w:r>
            <w:r>
              <w:rPr>
                <w:bCs/>
                <w:sz w:val="18"/>
                <w:szCs w:val="18"/>
              </w:rPr>
              <w:t xml:space="preserve">. One of the key characteristics of the e-commerce business model is to enhance product availability by streamlining the supply chain through multiple retail / storage points. Opportunities abound for investment in and development of warehouses to service the changing needs of Europe’s e-commerce sector. </w:t>
            </w:r>
            <w:r>
              <w:rPr>
                <w:i/>
                <w:sz w:val="18"/>
                <w:szCs w:val="18"/>
                <w:lang w:val="en-GB"/>
              </w:rPr>
              <w:t>(Source: KPMG)</w:t>
            </w:r>
            <w:r>
              <w:rPr>
                <w:bCs/>
                <w:sz w:val="18"/>
                <w:szCs w:val="18"/>
              </w:rPr>
              <w:t xml:space="preserve"> </w:t>
            </w:r>
          </w:p>
          <w:p w14:paraId="15D44A50" w14:textId="01A1EABF" w:rsidR="0050406B" w:rsidRPr="0050406B" w:rsidRDefault="0050406B" w:rsidP="0050406B">
            <w:pPr>
              <w:rPr>
                <w:bCs/>
                <w:sz w:val="18"/>
                <w:szCs w:val="18"/>
              </w:rPr>
            </w:pPr>
            <w:r>
              <w:rPr>
                <w:bCs/>
                <w:sz w:val="18"/>
                <w:szCs w:val="18"/>
              </w:rPr>
              <w:t>As per the</w:t>
            </w:r>
            <w:r w:rsidR="00E265C4">
              <w:rPr>
                <w:bCs/>
                <w:sz w:val="18"/>
                <w:szCs w:val="18"/>
              </w:rPr>
              <w:t xml:space="preserve"> end of</w:t>
            </w:r>
            <w:r>
              <w:rPr>
                <w:bCs/>
                <w:sz w:val="18"/>
                <w:szCs w:val="18"/>
              </w:rPr>
              <w:t xml:space="preserve"> </w:t>
            </w:r>
            <w:r w:rsidR="00A5572A">
              <w:rPr>
                <w:bCs/>
                <w:sz w:val="18"/>
                <w:szCs w:val="18"/>
              </w:rPr>
              <w:t>September 2017, the Group has signed</w:t>
            </w:r>
            <w:r>
              <w:rPr>
                <w:bCs/>
                <w:sz w:val="18"/>
                <w:szCs w:val="18"/>
              </w:rPr>
              <w:t xml:space="preserve"> </w:t>
            </w:r>
            <w:r w:rsidRPr="0050406B">
              <w:rPr>
                <w:bCs/>
                <w:sz w:val="18"/>
                <w:szCs w:val="18"/>
              </w:rPr>
              <w:t xml:space="preserve">€ 3.3 million of additional new leases signed bringing the </w:t>
            </w:r>
            <w:proofErr w:type="spellStart"/>
            <w:r>
              <w:rPr>
                <w:bCs/>
                <w:sz w:val="18"/>
                <w:szCs w:val="18"/>
              </w:rPr>
              <w:t>Annualised</w:t>
            </w:r>
            <w:proofErr w:type="spellEnd"/>
            <w:r>
              <w:rPr>
                <w:bCs/>
                <w:sz w:val="18"/>
                <w:szCs w:val="18"/>
              </w:rPr>
              <w:t xml:space="preserve"> Committed Lease</w:t>
            </w:r>
            <w:r w:rsidRPr="0050406B">
              <w:rPr>
                <w:bCs/>
                <w:sz w:val="18"/>
                <w:szCs w:val="18"/>
              </w:rPr>
              <w:t>s for the ye</w:t>
            </w:r>
            <w:r w:rsidR="00DD4528">
              <w:rPr>
                <w:bCs/>
                <w:sz w:val="18"/>
                <w:szCs w:val="18"/>
              </w:rPr>
              <w:t xml:space="preserve">ar to date to € 77.2 million (an increase of </w:t>
            </w:r>
            <w:r w:rsidRPr="0050406B">
              <w:rPr>
                <w:bCs/>
                <w:sz w:val="18"/>
                <w:szCs w:val="18"/>
              </w:rPr>
              <w:t>€ 17.1 million compared to 31 December 2016) with several new leases in advanced / final phase(s) of negotiations.</w:t>
            </w:r>
          </w:p>
          <w:p w14:paraId="2F48FF7D" w14:textId="1A229F12" w:rsidR="0050406B" w:rsidRPr="0050406B" w:rsidRDefault="00A5572A" w:rsidP="0050406B">
            <w:pPr>
              <w:rPr>
                <w:bCs/>
                <w:sz w:val="18"/>
                <w:szCs w:val="18"/>
              </w:rPr>
            </w:pPr>
            <w:r>
              <w:rPr>
                <w:bCs/>
                <w:sz w:val="18"/>
                <w:szCs w:val="18"/>
              </w:rPr>
              <w:t xml:space="preserve">The Group occupied </w:t>
            </w:r>
            <w:r w:rsidR="0050406B" w:rsidRPr="0050406B">
              <w:rPr>
                <w:bCs/>
                <w:sz w:val="18"/>
                <w:szCs w:val="18"/>
              </w:rPr>
              <w:t>328,246 m² of new land plots acquired adding 159,208 m² of additional development lettable area potential</w:t>
            </w:r>
            <w:r w:rsidR="0050406B">
              <w:rPr>
                <w:bCs/>
                <w:sz w:val="18"/>
                <w:szCs w:val="18"/>
              </w:rPr>
              <w:t xml:space="preserve"> and </w:t>
            </w:r>
            <w:r w:rsidR="0050406B" w:rsidRPr="0050406B">
              <w:rPr>
                <w:bCs/>
                <w:sz w:val="18"/>
                <w:szCs w:val="18"/>
              </w:rPr>
              <w:t>660,000 m² of new land plots which brings the total land bank under option to 1,300,000 m² having a development potential of circa 60</w:t>
            </w:r>
            <w:r w:rsidR="0050406B">
              <w:rPr>
                <w:bCs/>
                <w:sz w:val="18"/>
                <w:szCs w:val="18"/>
              </w:rPr>
              <w:t>0,000 m²of future lettable area.</w:t>
            </w:r>
          </w:p>
          <w:p w14:paraId="67894BBA" w14:textId="2877B4EF" w:rsidR="0050406B" w:rsidRPr="0050406B" w:rsidRDefault="0050406B" w:rsidP="0050406B">
            <w:pPr>
              <w:rPr>
                <w:bCs/>
                <w:sz w:val="18"/>
                <w:szCs w:val="18"/>
              </w:rPr>
            </w:pPr>
            <w:r w:rsidRPr="0050406B">
              <w:rPr>
                <w:bCs/>
                <w:sz w:val="18"/>
                <w:szCs w:val="18"/>
              </w:rPr>
              <w:t xml:space="preserve">Development of 6 new projects </w:t>
            </w:r>
            <w:r>
              <w:rPr>
                <w:bCs/>
                <w:sz w:val="18"/>
                <w:szCs w:val="18"/>
              </w:rPr>
              <w:t xml:space="preserve">have started up, </w:t>
            </w:r>
            <w:r w:rsidR="00434873" w:rsidRPr="00434873">
              <w:rPr>
                <w:bCs/>
                <w:sz w:val="18"/>
                <w:szCs w:val="18"/>
                <w:lang w:val="en-GB"/>
              </w:rPr>
              <w:t>totalling</w:t>
            </w:r>
            <w:r w:rsidRPr="0050406B">
              <w:rPr>
                <w:bCs/>
                <w:sz w:val="18"/>
                <w:szCs w:val="18"/>
              </w:rPr>
              <w:t xml:space="preserve"> 46,536 m² of future lettable area increasing the current buildings under construction to 563,198 m² of future lettable area. These buildings under construction on which 76% pre-leases have already been signe</w:t>
            </w:r>
            <w:r w:rsidR="00E265C4">
              <w:rPr>
                <w:bCs/>
                <w:sz w:val="18"/>
                <w:szCs w:val="18"/>
              </w:rPr>
              <w:t xml:space="preserve">d, represent a total estimated </w:t>
            </w:r>
            <w:proofErr w:type="spellStart"/>
            <w:r w:rsidR="00E265C4">
              <w:rPr>
                <w:bCs/>
                <w:sz w:val="18"/>
                <w:szCs w:val="18"/>
              </w:rPr>
              <w:t>Annualised</w:t>
            </w:r>
            <w:proofErr w:type="spellEnd"/>
            <w:r w:rsidR="00E265C4">
              <w:rPr>
                <w:bCs/>
                <w:sz w:val="18"/>
                <w:szCs w:val="18"/>
              </w:rPr>
              <w:t xml:space="preserve"> Rent I</w:t>
            </w:r>
            <w:r w:rsidRPr="0050406B">
              <w:rPr>
                <w:bCs/>
                <w:sz w:val="18"/>
                <w:szCs w:val="18"/>
              </w:rPr>
              <w:t>ncome of € 26.9 million (assuming full occupancy and current market rental conditions).</w:t>
            </w:r>
          </w:p>
          <w:p w14:paraId="640B83CF" w14:textId="34AAD583" w:rsidR="0050406B" w:rsidRPr="0050406B" w:rsidRDefault="0050406B" w:rsidP="0050406B">
            <w:pPr>
              <w:rPr>
                <w:bCs/>
                <w:sz w:val="18"/>
                <w:szCs w:val="18"/>
              </w:rPr>
            </w:pPr>
            <w:r w:rsidRPr="0050406B">
              <w:rPr>
                <w:bCs/>
                <w:sz w:val="18"/>
                <w:szCs w:val="18"/>
              </w:rPr>
              <w:t>The Group is in ongoing negotiations for the acquisition of 4 separate locations in a new European market. The exact location of the new market will be announced as soon as the negotiations are finalized and all permits have been obtained, after which it is expected that shortly thereafter the first development will be started up.</w:t>
            </w:r>
          </w:p>
          <w:p w14:paraId="50424E00" w14:textId="0B5A44CB" w:rsidR="0050406B" w:rsidRDefault="0050406B" w:rsidP="0050406B">
            <w:pPr>
              <w:rPr>
                <w:bCs/>
                <w:sz w:val="18"/>
                <w:szCs w:val="18"/>
              </w:rPr>
            </w:pPr>
            <w:r w:rsidRPr="0050406B">
              <w:rPr>
                <w:bCs/>
                <w:sz w:val="18"/>
                <w:szCs w:val="18"/>
              </w:rPr>
              <w:t>At the end of September 2017, VGP had 1.1 million m² completed GLA, 0.6 million m² GLA under construction, and 1.6 million m² GLA remaining potential for development.</w:t>
            </w:r>
          </w:p>
        </w:tc>
      </w:tr>
      <w:tr w:rsidR="00F76607" w14:paraId="68CCB166" w14:textId="77777777">
        <w:trPr>
          <w:cantSplit/>
          <w:jc w:val="center"/>
        </w:trPr>
        <w:tc>
          <w:tcPr>
            <w:tcW w:w="754" w:type="dxa"/>
            <w:hideMark/>
          </w:tcPr>
          <w:p w14:paraId="01821378" w14:textId="77777777" w:rsidR="00F76607" w:rsidRDefault="001863F0">
            <w:pPr>
              <w:rPr>
                <w:sz w:val="18"/>
                <w:szCs w:val="18"/>
              </w:rPr>
            </w:pPr>
            <w:r>
              <w:rPr>
                <w:b/>
                <w:bCs/>
                <w:sz w:val="18"/>
                <w:szCs w:val="18"/>
              </w:rPr>
              <w:t>B.5</w:t>
            </w:r>
          </w:p>
        </w:tc>
        <w:tc>
          <w:tcPr>
            <w:tcW w:w="8999" w:type="dxa"/>
            <w:hideMark/>
          </w:tcPr>
          <w:p w14:paraId="76319FCF" w14:textId="77777777" w:rsidR="00F76607" w:rsidRDefault="001863F0">
            <w:pPr>
              <w:rPr>
                <w:sz w:val="18"/>
                <w:szCs w:val="18"/>
              </w:rPr>
            </w:pPr>
            <w:r>
              <w:rPr>
                <w:b/>
                <w:bCs/>
                <w:sz w:val="18"/>
                <w:szCs w:val="18"/>
              </w:rPr>
              <w:t>Description of the Group and the Company’s position within the Group</w:t>
            </w:r>
          </w:p>
        </w:tc>
      </w:tr>
      <w:tr w:rsidR="00F76607" w14:paraId="6FCB1A7A" w14:textId="77777777">
        <w:trPr>
          <w:cantSplit/>
          <w:jc w:val="center"/>
        </w:trPr>
        <w:tc>
          <w:tcPr>
            <w:tcW w:w="754" w:type="dxa"/>
          </w:tcPr>
          <w:p w14:paraId="0FBE7C56" w14:textId="77777777" w:rsidR="00F76607" w:rsidRDefault="00F76607">
            <w:pPr>
              <w:rPr>
                <w:b/>
                <w:bCs/>
                <w:sz w:val="18"/>
                <w:szCs w:val="18"/>
              </w:rPr>
            </w:pPr>
          </w:p>
        </w:tc>
        <w:tc>
          <w:tcPr>
            <w:tcW w:w="8999" w:type="dxa"/>
          </w:tcPr>
          <w:p w14:paraId="19B4A066" w14:textId="77777777" w:rsidR="00F76607" w:rsidRDefault="001863F0">
            <w:pPr>
              <w:rPr>
                <w:bCs/>
                <w:sz w:val="18"/>
                <w:szCs w:val="18"/>
              </w:rPr>
            </w:pPr>
            <w:r>
              <w:rPr>
                <w:bCs/>
                <w:sz w:val="18"/>
                <w:szCs w:val="18"/>
              </w:rPr>
              <w:t xml:space="preserve">The Company is the holding company of the different entities that constitute the Group. The Company holds 100% of the shares in a number of subsidiaries (the “Subsidiaries”). </w:t>
            </w:r>
          </w:p>
          <w:p w14:paraId="2D3E490E" w14:textId="77777777" w:rsidR="00AF7864" w:rsidRPr="00AF7864" w:rsidRDefault="001863F0" w:rsidP="00AF7864">
            <w:pPr>
              <w:rPr>
                <w:bCs/>
                <w:sz w:val="18"/>
                <w:szCs w:val="18"/>
                <w:lang w:val="en-GB"/>
              </w:rPr>
            </w:pPr>
            <w:r>
              <w:rPr>
                <w:bCs/>
                <w:sz w:val="18"/>
                <w:szCs w:val="18"/>
              </w:rPr>
              <w:t xml:space="preserve">The Group develops and constructs high-end logistic real estate and ancillary offices, which are subsequently rented out to reputable clients by means of long term commercial lease contracts. </w:t>
            </w:r>
            <w:r>
              <w:rPr>
                <w:bCs/>
                <w:sz w:val="18"/>
                <w:szCs w:val="18"/>
                <w:lang w:val="en-GB"/>
              </w:rPr>
              <w:t xml:space="preserve">Since 2010, the Group has changed its business model and strategy from a strict develop and hold strategy towards a strategy with an increased focus on development and more pro-active approach in respect of potential disposal of the income-generating assets, as a result of which the Group could (partially) realise valuation gains and generate additional fee income from property – and facility services. This change in strategy has been further reinforced with the entering into a 50:50 joint venture with Allianz </w:t>
            </w:r>
            <w:r w:rsidR="00AF7864" w:rsidRPr="00AF7864">
              <w:rPr>
                <w:bCs/>
                <w:sz w:val="18"/>
                <w:szCs w:val="18"/>
                <w:lang w:val="en-GB"/>
              </w:rPr>
              <w:t>AZ Finance VII Luxembourg</w:t>
            </w:r>
          </w:p>
          <w:p w14:paraId="417A2286" w14:textId="1FA738A9" w:rsidR="00F76607" w:rsidRDefault="00AF7864" w:rsidP="00AF7864">
            <w:pPr>
              <w:rPr>
                <w:bCs/>
                <w:sz w:val="18"/>
                <w:szCs w:val="18"/>
              </w:rPr>
            </w:pPr>
            <w:r w:rsidRPr="00AF7864">
              <w:rPr>
                <w:bCs/>
                <w:sz w:val="18"/>
                <w:szCs w:val="18"/>
                <w:lang w:val="en-GB"/>
              </w:rPr>
              <w:t xml:space="preserve">S.A., SAS Allianz </w:t>
            </w:r>
            <w:proofErr w:type="spellStart"/>
            <w:r w:rsidRPr="00AF7864">
              <w:rPr>
                <w:bCs/>
                <w:sz w:val="18"/>
                <w:szCs w:val="18"/>
                <w:lang w:val="en-GB"/>
              </w:rPr>
              <w:t>Logistique</w:t>
            </w:r>
            <w:proofErr w:type="spellEnd"/>
            <w:r w:rsidRPr="00AF7864">
              <w:rPr>
                <w:bCs/>
                <w:sz w:val="18"/>
                <w:szCs w:val="18"/>
                <w:lang w:val="en-GB"/>
              </w:rPr>
              <w:t xml:space="preserve"> S.A.S.U. and Allianz Benelux SA (together “Allianz”) </w:t>
            </w:r>
            <w:r w:rsidR="001863F0">
              <w:rPr>
                <w:bCs/>
                <w:sz w:val="18"/>
                <w:szCs w:val="18"/>
                <w:lang w:val="en-GB"/>
              </w:rPr>
              <w:t xml:space="preserve">in the first quarter of 2016, pursuant to which </w:t>
            </w:r>
            <w:r w:rsidR="001863F0">
              <w:rPr>
                <w:bCs/>
                <w:sz w:val="18"/>
                <w:szCs w:val="18"/>
              </w:rPr>
              <w:t xml:space="preserve">VGP NV holds a 50% participation in the share capital of VGP European Logistics </w:t>
            </w:r>
            <w:proofErr w:type="spellStart"/>
            <w:r w:rsidR="001863F0">
              <w:rPr>
                <w:bCs/>
                <w:sz w:val="18"/>
                <w:szCs w:val="18"/>
              </w:rPr>
              <w:t>S.à</w:t>
            </w:r>
            <w:proofErr w:type="spellEnd"/>
            <w:r w:rsidR="001863F0">
              <w:rPr>
                <w:bCs/>
                <w:sz w:val="18"/>
                <w:szCs w:val="18"/>
              </w:rPr>
              <w:t xml:space="preserve"> </w:t>
            </w:r>
            <w:proofErr w:type="spellStart"/>
            <w:r w:rsidR="001863F0">
              <w:rPr>
                <w:bCs/>
                <w:sz w:val="18"/>
                <w:szCs w:val="18"/>
              </w:rPr>
              <w:t>r.l</w:t>
            </w:r>
            <w:proofErr w:type="spellEnd"/>
            <w:r w:rsidR="001863F0">
              <w:rPr>
                <w:bCs/>
                <w:sz w:val="18"/>
                <w:szCs w:val="18"/>
              </w:rPr>
              <w:t>. (the vehicle of the joint venture with Allianz, the “Joint Venture”).</w:t>
            </w:r>
          </w:p>
          <w:p w14:paraId="058B54BC" w14:textId="4E735AAB" w:rsidR="00F76607" w:rsidRDefault="001863F0">
            <w:pPr>
              <w:rPr>
                <w:bCs/>
                <w:sz w:val="18"/>
                <w:szCs w:val="18"/>
              </w:rPr>
            </w:pPr>
            <w:r>
              <w:rPr>
                <w:bCs/>
                <w:sz w:val="18"/>
                <w:szCs w:val="18"/>
              </w:rPr>
              <w:t xml:space="preserve">The Joint Venture’s objective is to build a platform of new, grade A logistics and industrial properties with a key focus on expansion in its core German market and high growth </w:t>
            </w:r>
            <w:r w:rsidR="00F43B88">
              <w:rPr>
                <w:bCs/>
                <w:sz w:val="18"/>
                <w:szCs w:val="18"/>
              </w:rPr>
              <w:t xml:space="preserve">in the </w:t>
            </w:r>
            <w:r>
              <w:rPr>
                <w:bCs/>
                <w:sz w:val="18"/>
                <w:szCs w:val="18"/>
              </w:rPr>
              <w:t>C</w:t>
            </w:r>
            <w:r w:rsidR="00F43B88">
              <w:rPr>
                <w:bCs/>
                <w:sz w:val="18"/>
                <w:szCs w:val="18"/>
              </w:rPr>
              <w:t xml:space="preserve">entral and </w:t>
            </w:r>
            <w:r>
              <w:rPr>
                <w:bCs/>
                <w:sz w:val="18"/>
                <w:szCs w:val="18"/>
              </w:rPr>
              <w:t>E</w:t>
            </w:r>
            <w:r w:rsidR="00F43B88">
              <w:rPr>
                <w:bCs/>
                <w:sz w:val="18"/>
                <w:szCs w:val="18"/>
              </w:rPr>
              <w:t xml:space="preserve">astern </w:t>
            </w:r>
            <w:r>
              <w:rPr>
                <w:bCs/>
                <w:sz w:val="18"/>
                <w:szCs w:val="18"/>
              </w:rPr>
              <w:t>E</w:t>
            </w:r>
            <w:r w:rsidR="00F43B88">
              <w:rPr>
                <w:bCs/>
                <w:sz w:val="18"/>
                <w:szCs w:val="18"/>
              </w:rPr>
              <w:t>uropean (“CEE”)</w:t>
            </w:r>
            <w:r>
              <w:rPr>
                <w:bCs/>
                <w:sz w:val="18"/>
                <w:szCs w:val="18"/>
              </w:rPr>
              <w:t xml:space="preserve"> markets with the aim of delivering stable income-driven returns with potential for capital appreciation. The Joint Venture aims to increase its portfolio size to ca. € 1.7 billion, exclusively via the contribution to the Joint Venture of new logistics developments carried out by VGP. The Joint Venture’s strategy will therefore primarily be a hold strategy and its territorial scope may be expanded in order to include other countries, subject to a mutual agreement thereto between VGP and Allianz.</w:t>
            </w:r>
            <w:r>
              <w:t xml:space="preserve"> </w:t>
            </w:r>
            <w:r>
              <w:rPr>
                <w:bCs/>
                <w:sz w:val="18"/>
                <w:szCs w:val="18"/>
              </w:rPr>
              <w:t xml:space="preserve">This Joint Venture confirms the long-term strategy of the Group to </w:t>
            </w:r>
            <w:proofErr w:type="spellStart"/>
            <w:r>
              <w:rPr>
                <w:bCs/>
                <w:sz w:val="18"/>
                <w:szCs w:val="18"/>
              </w:rPr>
              <w:t>realise</w:t>
            </w:r>
            <w:proofErr w:type="spellEnd"/>
            <w:r>
              <w:rPr>
                <w:bCs/>
                <w:sz w:val="18"/>
                <w:szCs w:val="18"/>
              </w:rPr>
              <w:t xml:space="preserve"> valuation gains and will over time have a significant impact on the fee income generating capabilities of the Group as VGP benefits from fee income generated from asset management, property management and development management services. This strategy has a negative impact on the recurrent rent income for the Group as the income generating assets are generally sold to realize capital gains. However, the rent income will grow again in the short and medium term once new developments are constructed on the land bank that has been acquired, among others, with proceeds from these transactions</w:t>
            </w:r>
            <w:r w:rsidR="00A01869">
              <w:rPr>
                <w:bCs/>
                <w:sz w:val="18"/>
                <w:szCs w:val="18"/>
              </w:rPr>
              <w:t>, and</w:t>
            </w:r>
            <w:r>
              <w:rPr>
                <w:bCs/>
                <w:sz w:val="18"/>
                <w:szCs w:val="18"/>
              </w:rPr>
              <w:t xml:space="preserve"> </w:t>
            </w:r>
            <w:r w:rsidR="006525D0">
              <w:rPr>
                <w:bCs/>
                <w:sz w:val="18"/>
                <w:szCs w:val="18"/>
              </w:rPr>
              <w:t>are</w:t>
            </w:r>
            <w:r>
              <w:rPr>
                <w:bCs/>
                <w:sz w:val="18"/>
                <w:szCs w:val="18"/>
              </w:rPr>
              <w:t xml:space="preserve"> let to tenants. In addition, the Group indirectly benefits from the underlying increase in rent income of the Joint Venture as it is entitled to 50% of its profits.</w:t>
            </w:r>
          </w:p>
          <w:p w14:paraId="4D3E72E8" w14:textId="77777777" w:rsidR="00F76607" w:rsidRDefault="001863F0">
            <w:pPr>
              <w:rPr>
                <w:bCs/>
                <w:sz w:val="18"/>
                <w:szCs w:val="18"/>
              </w:rPr>
            </w:pPr>
            <w:r>
              <w:rPr>
                <w:bCs/>
                <w:sz w:val="18"/>
                <w:szCs w:val="18"/>
              </w:rPr>
              <w:t>VGP NV currently also holds 43.23% of the share capital of VGP MISV Comm. VA (the “Associate”), a separate vehicle set up with a view to implement a</w:t>
            </w:r>
            <w:r>
              <w:t xml:space="preserve"> </w:t>
            </w:r>
            <w:r>
              <w:rPr>
                <w:bCs/>
                <w:sz w:val="18"/>
                <w:szCs w:val="18"/>
              </w:rPr>
              <w:t xml:space="preserve">long-term incentive plan for the Group’s personnel. </w:t>
            </w:r>
          </w:p>
        </w:tc>
      </w:tr>
      <w:tr w:rsidR="00F76607" w14:paraId="5083BE06" w14:textId="77777777">
        <w:trPr>
          <w:cantSplit/>
          <w:jc w:val="center"/>
        </w:trPr>
        <w:tc>
          <w:tcPr>
            <w:tcW w:w="754" w:type="dxa"/>
            <w:hideMark/>
          </w:tcPr>
          <w:p w14:paraId="5DC39F3F" w14:textId="77777777" w:rsidR="00F76607" w:rsidRDefault="001863F0">
            <w:pPr>
              <w:rPr>
                <w:sz w:val="18"/>
                <w:szCs w:val="18"/>
              </w:rPr>
            </w:pPr>
            <w:r>
              <w:rPr>
                <w:b/>
                <w:bCs/>
                <w:sz w:val="18"/>
                <w:szCs w:val="18"/>
              </w:rPr>
              <w:lastRenderedPageBreak/>
              <w:t>B.6</w:t>
            </w:r>
          </w:p>
        </w:tc>
        <w:tc>
          <w:tcPr>
            <w:tcW w:w="8999" w:type="dxa"/>
            <w:hideMark/>
          </w:tcPr>
          <w:p w14:paraId="34C12781" w14:textId="77777777" w:rsidR="00F76607" w:rsidRDefault="001863F0">
            <w:pPr>
              <w:rPr>
                <w:b/>
                <w:bCs/>
                <w:sz w:val="18"/>
                <w:szCs w:val="18"/>
              </w:rPr>
            </w:pPr>
            <w:r>
              <w:rPr>
                <w:b/>
                <w:bCs/>
                <w:sz w:val="18"/>
                <w:szCs w:val="18"/>
              </w:rPr>
              <w:t>Major shareholders</w:t>
            </w:r>
          </w:p>
          <w:p w14:paraId="71153DC0" w14:textId="77777777" w:rsidR="00F76607" w:rsidRDefault="001863F0">
            <w:pPr>
              <w:rPr>
                <w:bCs/>
                <w:sz w:val="18"/>
                <w:szCs w:val="18"/>
              </w:rPr>
            </w:pPr>
            <w:r>
              <w:rPr>
                <w:bCs/>
                <w:sz w:val="18"/>
                <w:szCs w:val="18"/>
              </w:rPr>
              <w:t>The following shareholders have an interest in the Company’s capital which is notifiable in accordance with article 6 of the Law of 2 May 2007 on the disclosure of important participations in listed companies and article 14 of the Articles of Association: (</w:t>
            </w:r>
            <w:proofErr w:type="spellStart"/>
            <w:r>
              <w:rPr>
                <w:bCs/>
                <w:sz w:val="18"/>
                <w:szCs w:val="18"/>
              </w:rPr>
              <w:t>i</w:t>
            </w:r>
            <w:proofErr w:type="spellEnd"/>
            <w:r>
              <w:rPr>
                <w:bCs/>
                <w:sz w:val="18"/>
                <w:szCs w:val="18"/>
              </w:rPr>
              <w:t>) VM Invest NV (controlled by Bart Van Malderen) (23.96%), (ii) Bart Van Malderen (19.08%), (iii) VGP MISV Comm. VA (controlled by Bart Van Malderen) (5.00%), (iv) Little Rock SA (controlled by Jan Van Geet) (25.33%), (v) </w:t>
            </w:r>
            <w:proofErr w:type="spellStart"/>
            <w:r>
              <w:rPr>
                <w:bCs/>
                <w:sz w:val="18"/>
                <w:szCs w:val="18"/>
              </w:rPr>
              <w:t>Alsgard</w:t>
            </w:r>
            <w:proofErr w:type="spellEnd"/>
            <w:r>
              <w:rPr>
                <w:bCs/>
                <w:sz w:val="18"/>
                <w:szCs w:val="18"/>
              </w:rPr>
              <w:t xml:space="preserve"> SA (controlled by Jan Van Geet) (12.97%) and (vi) </w:t>
            </w:r>
            <w:proofErr w:type="spellStart"/>
            <w:r>
              <w:rPr>
                <w:bCs/>
                <w:sz w:val="18"/>
                <w:szCs w:val="18"/>
              </w:rPr>
              <w:t>Vadebo</w:t>
            </w:r>
            <w:proofErr w:type="spellEnd"/>
            <w:r>
              <w:rPr>
                <w:bCs/>
                <w:sz w:val="18"/>
                <w:szCs w:val="18"/>
              </w:rPr>
              <w:t xml:space="preserve"> France NV (controlled by </w:t>
            </w:r>
            <w:proofErr w:type="spellStart"/>
            <w:r>
              <w:rPr>
                <w:bCs/>
                <w:sz w:val="18"/>
                <w:szCs w:val="18"/>
              </w:rPr>
              <w:t>Griet</w:t>
            </w:r>
            <w:proofErr w:type="spellEnd"/>
            <w:r>
              <w:rPr>
                <w:bCs/>
                <w:sz w:val="18"/>
                <w:szCs w:val="18"/>
              </w:rPr>
              <w:t xml:space="preserve"> Van Malderen) (3.53%).</w:t>
            </w:r>
          </w:p>
          <w:tbl>
            <w:tblPr>
              <w:tblStyle w:val="TableGrid6"/>
              <w:tblW w:w="0" w:type="auto"/>
              <w:tblLook w:val="04A0" w:firstRow="1" w:lastRow="0" w:firstColumn="1" w:lastColumn="0" w:noHBand="0" w:noVBand="1"/>
            </w:tblPr>
            <w:tblGrid>
              <w:gridCol w:w="3278"/>
              <w:gridCol w:w="2689"/>
              <w:gridCol w:w="2354"/>
            </w:tblGrid>
            <w:tr w:rsidR="00F76607" w14:paraId="404693E8" w14:textId="77777777">
              <w:tc>
                <w:tcPr>
                  <w:tcW w:w="3278" w:type="dxa"/>
                  <w:tcBorders>
                    <w:left w:val="nil"/>
                    <w:right w:val="nil"/>
                  </w:tcBorders>
                </w:tcPr>
                <w:p w14:paraId="56EEF04D" w14:textId="77777777" w:rsidR="00F76607" w:rsidRPr="007D27AA" w:rsidRDefault="001863F0">
                  <w:pPr>
                    <w:keepNext/>
                    <w:rPr>
                      <w:rFonts w:ascii="Times New Roman" w:hAnsi="Times New Roman"/>
                      <w:b/>
                      <w:sz w:val="18"/>
                      <w:szCs w:val="18"/>
                      <w:lang w:val="en-GB"/>
                    </w:rPr>
                  </w:pPr>
                  <w:r w:rsidRPr="007D27AA">
                    <w:rPr>
                      <w:rFonts w:ascii="Times New Roman" w:hAnsi="Times New Roman"/>
                      <w:b/>
                      <w:sz w:val="18"/>
                      <w:szCs w:val="18"/>
                      <w:lang w:val="en-GB"/>
                    </w:rPr>
                    <w:t>Shareholders</w:t>
                  </w:r>
                </w:p>
              </w:tc>
              <w:tc>
                <w:tcPr>
                  <w:tcW w:w="2689" w:type="dxa"/>
                  <w:tcBorders>
                    <w:left w:val="nil"/>
                    <w:right w:val="nil"/>
                  </w:tcBorders>
                </w:tcPr>
                <w:p w14:paraId="27859610" w14:textId="77777777" w:rsidR="00F76607" w:rsidRPr="007D27AA" w:rsidRDefault="001863F0">
                  <w:pPr>
                    <w:keepNext/>
                    <w:jc w:val="right"/>
                    <w:rPr>
                      <w:rFonts w:ascii="Times New Roman" w:hAnsi="Times New Roman"/>
                      <w:b/>
                      <w:sz w:val="18"/>
                      <w:szCs w:val="18"/>
                      <w:lang w:val="en-GB"/>
                    </w:rPr>
                  </w:pPr>
                  <w:r w:rsidRPr="007D27AA">
                    <w:rPr>
                      <w:rFonts w:ascii="Times New Roman" w:hAnsi="Times New Roman"/>
                      <w:b/>
                      <w:sz w:val="18"/>
                      <w:szCs w:val="18"/>
                      <w:lang w:val="en-GB"/>
                    </w:rPr>
                    <w:t>Number of shares</w:t>
                  </w:r>
                </w:p>
              </w:tc>
              <w:tc>
                <w:tcPr>
                  <w:tcW w:w="2354" w:type="dxa"/>
                  <w:tcBorders>
                    <w:left w:val="nil"/>
                    <w:right w:val="nil"/>
                  </w:tcBorders>
                </w:tcPr>
                <w:p w14:paraId="4ADAA05B" w14:textId="77777777" w:rsidR="00F76607" w:rsidRPr="007D27AA" w:rsidRDefault="001863F0">
                  <w:pPr>
                    <w:keepNext/>
                    <w:jc w:val="right"/>
                    <w:rPr>
                      <w:rFonts w:ascii="Times New Roman" w:hAnsi="Times New Roman"/>
                      <w:b/>
                      <w:sz w:val="18"/>
                      <w:szCs w:val="18"/>
                      <w:lang w:val="en-GB"/>
                    </w:rPr>
                  </w:pPr>
                  <w:r w:rsidRPr="007D27AA">
                    <w:rPr>
                      <w:rFonts w:ascii="Times New Roman" w:hAnsi="Times New Roman"/>
                      <w:b/>
                      <w:sz w:val="18"/>
                      <w:szCs w:val="18"/>
                      <w:lang w:val="en-GB"/>
                    </w:rPr>
                    <w:t>% of shares issued</w:t>
                  </w:r>
                </w:p>
              </w:tc>
            </w:tr>
            <w:tr w:rsidR="00F76607" w14:paraId="0778DC11" w14:textId="77777777">
              <w:tc>
                <w:tcPr>
                  <w:tcW w:w="3278" w:type="dxa"/>
                  <w:tcBorders>
                    <w:left w:val="nil"/>
                    <w:bottom w:val="nil"/>
                    <w:right w:val="nil"/>
                  </w:tcBorders>
                </w:tcPr>
                <w:p w14:paraId="6EA504BE" w14:textId="77777777" w:rsidR="00F76607" w:rsidRPr="007D27AA" w:rsidRDefault="001863F0">
                  <w:pPr>
                    <w:rPr>
                      <w:rFonts w:ascii="Times New Roman" w:hAnsi="Times New Roman"/>
                      <w:sz w:val="18"/>
                      <w:szCs w:val="18"/>
                      <w:lang w:val="en-GB"/>
                    </w:rPr>
                  </w:pPr>
                  <w:r w:rsidRPr="007D27AA">
                    <w:rPr>
                      <w:rFonts w:ascii="Times New Roman" w:hAnsi="Times New Roman"/>
                      <w:sz w:val="18"/>
                      <w:szCs w:val="18"/>
                      <w:lang w:val="en-GB"/>
                    </w:rPr>
                    <w:t>VM Invest NV</w:t>
                  </w:r>
                </w:p>
              </w:tc>
              <w:tc>
                <w:tcPr>
                  <w:tcW w:w="2689" w:type="dxa"/>
                  <w:tcBorders>
                    <w:left w:val="nil"/>
                    <w:bottom w:val="nil"/>
                    <w:right w:val="nil"/>
                  </w:tcBorders>
                  <w:vAlign w:val="bottom"/>
                </w:tcPr>
                <w:p w14:paraId="4BB3E894" w14:textId="77777777" w:rsidR="00F76607" w:rsidRPr="007D27AA" w:rsidRDefault="001863F0">
                  <w:pPr>
                    <w:jc w:val="right"/>
                    <w:rPr>
                      <w:rFonts w:ascii="Times New Roman" w:hAnsi="Times New Roman"/>
                      <w:color w:val="000000"/>
                      <w:sz w:val="18"/>
                      <w:szCs w:val="18"/>
                      <w:lang w:val="en-GB"/>
                    </w:rPr>
                  </w:pPr>
                  <w:r w:rsidRPr="007D27AA">
                    <w:rPr>
                      <w:rFonts w:ascii="Times New Roman" w:hAnsi="Times New Roman"/>
                      <w:color w:val="000000"/>
                      <w:sz w:val="18"/>
                      <w:szCs w:val="18"/>
                      <w:lang w:val="en-GB"/>
                    </w:rPr>
                    <w:t>4,451,668</w:t>
                  </w:r>
                </w:p>
              </w:tc>
              <w:tc>
                <w:tcPr>
                  <w:tcW w:w="2354" w:type="dxa"/>
                  <w:tcBorders>
                    <w:left w:val="nil"/>
                    <w:bottom w:val="nil"/>
                    <w:right w:val="nil"/>
                  </w:tcBorders>
                  <w:vAlign w:val="bottom"/>
                </w:tcPr>
                <w:p w14:paraId="4FEE63D6" w14:textId="77777777" w:rsidR="00F76607" w:rsidRPr="007D27AA" w:rsidRDefault="001863F0">
                  <w:pPr>
                    <w:jc w:val="right"/>
                    <w:rPr>
                      <w:rFonts w:ascii="Times New Roman" w:hAnsi="Times New Roman"/>
                      <w:color w:val="000000"/>
                      <w:sz w:val="18"/>
                      <w:szCs w:val="18"/>
                      <w:lang w:val="en-GB"/>
                    </w:rPr>
                  </w:pPr>
                  <w:r w:rsidRPr="007D27AA">
                    <w:rPr>
                      <w:rFonts w:ascii="Times New Roman" w:hAnsi="Times New Roman"/>
                      <w:color w:val="000000"/>
                      <w:sz w:val="18"/>
                      <w:szCs w:val="18"/>
                      <w:lang w:val="en-GB"/>
                    </w:rPr>
                    <w:t>23.96%</w:t>
                  </w:r>
                </w:p>
              </w:tc>
            </w:tr>
            <w:tr w:rsidR="00F76607" w14:paraId="31A60C51" w14:textId="77777777">
              <w:tc>
                <w:tcPr>
                  <w:tcW w:w="3278" w:type="dxa"/>
                  <w:tcBorders>
                    <w:top w:val="nil"/>
                    <w:left w:val="nil"/>
                    <w:bottom w:val="nil"/>
                    <w:right w:val="nil"/>
                  </w:tcBorders>
                </w:tcPr>
                <w:p w14:paraId="429F2B0D" w14:textId="77777777" w:rsidR="00F76607" w:rsidRPr="007D27AA" w:rsidRDefault="001863F0">
                  <w:pPr>
                    <w:rPr>
                      <w:rFonts w:ascii="Times New Roman" w:hAnsi="Times New Roman"/>
                      <w:sz w:val="18"/>
                      <w:szCs w:val="18"/>
                      <w:lang w:val="en-GB"/>
                    </w:rPr>
                  </w:pPr>
                  <w:r w:rsidRPr="007D27AA">
                    <w:rPr>
                      <w:rFonts w:ascii="Times New Roman" w:hAnsi="Times New Roman"/>
                      <w:sz w:val="18"/>
                      <w:szCs w:val="18"/>
                      <w:lang w:val="en-GB"/>
                    </w:rPr>
                    <w:t>Bart Van Malderen</w:t>
                  </w:r>
                </w:p>
              </w:tc>
              <w:tc>
                <w:tcPr>
                  <w:tcW w:w="2689" w:type="dxa"/>
                  <w:tcBorders>
                    <w:top w:val="nil"/>
                    <w:left w:val="nil"/>
                    <w:bottom w:val="nil"/>
                    <w:right w:val="nil"/>
                  </w:tcBorders>
                  <w:vAlign w:val="bottom"/>
                </w:tcPr>
                <w:p w14:paraId="6F43785F" w14:textId="77777777" w:rsidR="00F76607" w:rsidRPr="007D27AA" w:rsidRDefault="001863F0">
                  <w:pPr>
                    <w:jc w:val="right"/>
                    <w:rPr>
                      <w:rFonts w:ascii="Times New Roman" w:hAnsi="Times New Roman"/>
                      <w:color w:val="000000"/>
                      <w:sz w:val="18"/>
                      <w:szCs w:val="18"/>
                      <w:lang w:val="en-GB"/>
                    </w:rPr>
                  </w:pPr>
                  <w:r w:rsidRPr="007D27AA">
                    <w:rPr>
                      <w:rFonts w:ascii="Times New Roman" w:hAnsi="Times New Roman"/>
                      <w:color w:val="000000"/>
                      <w:sz w:val="18"/>
                      <w:szCs w:val="18"/>
                      <w:lang w:val="en-GB"/>
                    </w:rPr>
                    <w:t>3,545,250</w:t>
                  </w:r>
                </w:p>
              </w:tc>
              <w:tc>
                <w:tcPr>
                  <w:tcW w:w="2354" w:type="dxa"/>
                  <w:tcBorders>
                    <w:top w:val="nil"/>
                    <w:left w:val="nil"/>
                    <w:bottom w:val="nil"/>
                    <w:right w:val="nil"/>
                  </w:tcBorders>
                  <w:vAlign w:val="bottom"/>
                </w:tcPr>
                <w:p w14:paraId="0A6DCEE0" w14:textId="77777777" w:rsidR="00F76607" w:rsidRPr="007D27AA" w:rsidRDefault="001863F0">
                  <w:pPr>
                    <w:jc w:val="right"/>
                    <w:rPr>
                      <w:rFonts w:ascii="Times New Roman" w:hAnsi="Times New Roman"/>
                      <w:color w:val="000000"/>
                      <w:sz w:val="18"/>
                      <w:szCs w:val="18"/>
                      <w:lang w:val="en-GB"/>
                    </w:rPr>
                  </w:pPr>
                  <w:r w:rsidRPr="007D27AA">
                    <w:rPr>
                      <w:rFonts w:ascii="Times New Roman" w:hAnsi="Times New Roman"/>
                      <w:color w:val="000000"/>
                      <w:sz w:val="18"/>
                      <w:szCs w:val="18"/>
                      <w:lang w:val="en-GB"/>
                    </w:rPr>
                    <w:t>19.08%</w:t>
                  </w:r>
                </w:p>
              </w:tc>
            </w:tr>
            <w:tr w:rsidR="00F76607" w14:paraId="301ABB17" w14:textId="77777777">
              <w:tc>
                <w:tcPr>
                  <w:tcW w:w="3278" w:type="dxa"/>
                  <w:tcBorders>
                    <w:top w:val="nil"/>
                    <w:left w:val="nil"/>
                    <w:bottom w:val="nil"/>
                    <w:right w:val="nil"/>
                  </w:tcBorders>
                </w:tcPr>
                <w:p w14:paraId="4A3347F5" w14:textId="77777777" w:rsidR="00F76607" w:rsidRPr="007D27AA" w:rsidRDefault="001863F0">
                  <w:pPr>
                    <w:rPr>
                      <w:rFonts w:ascii="Times New Roman" w:hAnsi="Times New Roman"/>
                      <w:sz w:val="18"/>
                      <w:szCs w:val="18"/>
                      <w:lang w:val="en-GB"/>
                    </w:rPr>
                  </w:pPr>
                  <w:r w:rsidRPr="007D27AA">
                    <w:rPr>
                      <w:rFonts w:ascii="Times New Roman" w:hAnsi="Times New Roman"/>
                      <w:sz w:val="18"/>
                      <w:szCs w:val="18"/>
                      <w:lang w:val="en-GB"/>
                    </w:rPr>
                    <w:t>VGP MISV Comm. VA</w:t>
                  </w:r>
                </w:p>
              </w:tc>
              <w:tc>
                <w:tcPr>
                  <w:tcW w:w="2689" w:type="dxa"/>
                  <w:tcBorders>
                    <w:top w:val="nil"/>
                    <w:left w:val="nil"/>
                    <w:bottom w:val="nil"/>
                    <w:right w:val="nil"/>
                  </w:tcBorders>
                  <w:vAlign w:val="bottom"/>
                </w:tcPr>
                <w:p w14:paraId="2C5C5540" w14:textId="77777777" w:rsidR="00F76607" w:rsidRPr="007D27AA" w:rsidRDefault="001863F0">
                  <w:pPr>
                    <w:jc w:val="right"/>
                    <w:rPr>
                      <w:rFonts w:ascii="Times New Roman" w:hAnsi="Times New Roman"/>
                      <w:sz w:val="18"/>
                      <w:szCs w:val="18"/>
                      <w:lang w:val="en-GB"/>
                    </w:rPr>
                  </w:pPr>
                  <w:r w:rsidRPr="007D27AA">
                    <w:rPr>
                      <w:rFonts w:ascii="Times New Roman" w:hAnsi="Times New Roman"/>
                      <w:sz w:val="18"/>
                      <w:szCs w:val="18"/>
                      <w:lang w:val="en-GB"/>
                    </w:rPr>
                    <w:t>929,153</w:t>
                  </w:r>
                </w:p>
              </w:tc>
              <w:tc>
                <w:tcPr>
                  <w:tcW w:w="2354" w:type="dxa"/>
                  <w:tcBorders>
                    <w:top w:val="nil"/>
                    <w:left w:val="nil"/>
                    <w:bottom w:val="nil"/>
                    <w:right w:val="nil"/>
                  </w:tcBorders>
                  <w:vAlign w:val="bottom"/>
                </w:tcPr>
                <w:p w14:paraId="6D3F4A85" w14:textId="77777777" w:rsidR="00F76607" w:rsidRPr="007D27AA" w:rsidRDefault="001863F0">
                  <w:pPr>
                    <w:jc w:val="right"/>
                    <w:rPr>
                      <w:rFonts w:ascii="Times New Roman" w:hAnsi="Times New Roman"/>
                      <w:sz w:val="18"/>
                      <w:szCs w:val="18"/>
                      <w:lang w:val="en-GB"/>
                    </w:rPr>
                  </w:pPr>
                  <w:r w:rsidRPr="007D27AA">
                    <w:rPr>
                      <w:rFonts w:ascii="Times New Roman" w:hAnsi="Times New Roman"/>
                      <w:sz w:val="18"/>
                      <w:szCs w:val="18"/>
                      <w:lang w:val="en-GB"/>
                    </w:rPr>
                    <w:t>5.00%</w:t>
                  </w:r>
                </w:p>
              </w:tc>
            </w:tr>
            <w:tr w:rsidR="00F76607" w14:paraId="16D9C2F4" w14:textId="77777777">
              <w:tc>
                <w:tcPr>
                  <w:tcW w:w="3278" w:type="dxa"/>
                  <w:tcBorders>
                    <w:top w:val="nil"/>
                    <w:left w:val="nil"/>
                    <w:bottom w:val="nil"/>
                    <w:right w:val="nil"/>
                  </w:tcBorders>
                </w:tcPr>
                <w:p w14:paraId="0C88350E" w14:textId="77777777" w:rsidR="00F76607" w:rsidRPr="007D27AA" w:rsidRDefault="001863F0">
                  <w:pPr>
                    <w:keepNext/>
                    <w:spacing w:line="256" w:lineRule="auto"/>
                    <w:rPr>
                      <w:rFonts w:ascii="Times New Roman" w:hAnsi="Times New Roman"/>
                      <w:b/>
                      <w:sz w:val="18"/>
                      <w:szCs w:val="18"/>
                      <w:lang w:val="en-GB"/>
                    </w:rPr>
                  </w:pPr>
                  <w:r w:rsidRPr="007D27AA">
                    <w:rPr>
                      <w:rFonts w:ascii="Times New Roman" w:hAnsi="Times New Roman"/>
                      <w:b/>
                      <w:sz w:val="18"/>
                      <w:szCs w:val="18"/>
                      <w:lang w:val="en-GB"/>
                    </w:rPr>
                    <w:t>Sub-total Bart Van Malderen Group</w:t>
                  </w:r>
                </w:p>
              </w:tc>
              <w:tc>
                <w:tcPr>
                  <w:tcW w:w="2689" w:type="dxa"/>
                  <w:tcBorders>
                    <w:top w:val="single" w:sz="4" w:space="0" w:color="auto"/>
                    <w:left w:val="nil"/>
                    <w:bottom w:val="single" w:sz="12" w:space="0" w:color="auto"/>
                    <w:right w:val="nil"/>
                  </w:tcBorders>
                  <w:vAlign w:val="bottom"/>
                </w:tcPr>
                <w:p w14:paraId="60680970" w14:textId="77777777" w:rsidR="00F76607" w:rsidRPr="007D27AA" w:rsidRDefault="001863F0">
                  <w:pPr>
                    <w:jc w:val="right"/>
                    <w:rPr>
                      <w:rFonts w:ascii="Times New Roman" w:hAnsi="Times New Roman"/>
                      <w:b/>
                      <w:i/>
                      <w:color w:val="000000"/>
                      <w:sz w:val="18"/>
                      <w:szCs w:val="18"/>
                      <w:lang w:val="en-GB"/>
                    </w:rPr>
                  </w:pPr>
                  <w:r w:rsidRPr="007D27AA">
                    <w:rPr>
                      <w:rFonts w:ascii="Times New Roman" w:hAnsi="Times New Roman"/>
                      <w:b/>
                      <w:i/>
                      <w:color w:val="000000"/>
                      <w:sz w:val="18"/>
                      <w:szCs w:val="18"/>
                      <w:lang w:val="en-GB"/>
                    </w:rPr>
                    <w:t>8,926,071</w:t>
                  </w:r>
                </w:p>
              </w:tc>
              <w:tc>
                <w:tcPr>
                  <w:tcW w:w="2354" w:type="dxa"/>
                  <w:tcBorders>
                    <w:top w:val="single" w:sz="4" w:space="0" w:color="auto"/>
                    <w:left w:val="nil"/>
                    <w:bottom w:val="single" w:sz="12" w:space="0" w:color="auto"/>
                    <w:right w:val="nil"/>
                  </w:tcBorders>
                  <w:vAlign w:val="bottom"/>
                </w:tcPr>
                <w:p w14:paraId="123F061A" w14:textId="77777777" w:rsidR="00F76607" w:rsidRPr="007D27AA" w:rsidRDefault="001863F0">
                  <w:pPr>
                    <w:jc w:val="right"/>
                    <w:rPr>
                      <w:rFonts w:ascii="Times New Roman" w:hAnsi="Times New Roman"/>
                      <w:b/>
                      <w:color w:val="000000"/>
                      <w:sz w:val="18"/>
                      <w:szCs w:val="18"/>
                      <w:lang w:val="en-GB"/>
                    </w:rPr>
                  </w:pPr>
                  <w:r w:rsidRPr="007D27AA">
                    <w:rPr>
                      <w:rFonts w:ascii="Times New Roman" w:hAnsi="Times New Roman"/>
                      <w:b/>
                      <w:color w:val="000000"/>
                      <w:sz w:val="18"/>
                      <w:szCs w:val="18"/>
                      <w:lang w:val="en-GB"/>
                    </w:rPr>
                    <w:t>48.03%</w:t>
                  </w:r>
                </w:p>
              </w:tc>
            </w:tr>
            <w:tr w:rsidR="00F76607" w14:paraId="7B5C12CF" w14:textId="77777777">
              <w:tc>
                <w:tcPr>
                  <w:tcW w:w="3278" w:type="dxa"/>
                  <w:tcBorders>
                    <w:top w:val="nil"/>
                    <w:left w:val="nil"/>
                    <w:bottom w:val="nil"/>
                    <w:right w:val="nil"/>
                  </w:tcBorders>
                </w:tcPr>
                <w:p w14:paraId="3B18C443" w14:textId="77777777" w:rsidR="00F76607" w:rsidRPr="007D27AA" w:rsidRDefault="001863F0">
                  <w:pPr>
                    <w:rPr>
                      <w:rFonts w:ascii="Times New Roman" w:hAnsi="Times New Roman"/>
                      <w:sz w:val="18"/>
                      <w:szCs w:val="18"/>
                      <w:lang w:val="en-GB"/>
                    </w:rPr>
                  </w:pPr>
                  <w:r w:rsidRPr="007D27AA">
                    <w:rPr>
                      <w:rFonts w:ascii="Times New Roman" w:hAnsi="Times New Roman"/>
                      <w:sz w:val="18"/>
                      <w:szCs w:val="18"/>
                      <w:lang w:val="en-GB"/>
                    </w:rPr>
                    <w:t>Little Rock SA</w:t>
                  </w:r>
                </w:p>
              </w:tc>
              <w:tc>
                <w:tcPr>
                  <w:tcW w:w="2689" w:type="dxa"/>
                  <w:tcBorders>
                    <w:top w:val="single" w:sz="12" w:space="0" w:color="auto"/>
                    <w:left w:val="nil"/>
                    <w:bottom w:val="nil"/>
                    <w:right w:val="nil"/>
                  </w:tcBorders>
                  <w:vAlign w:val="bottom"/>
                </w:tcPr>
                <w:p w14:paraId="402E0BF7" w14:textId="77777777" w:rsidR="00F76607" w:rsidRPr="007D27AA" w:rsidRDefault="001863F0">
                  <w:pPr>
                    <w:jc w:val="right"/>
                    <w:rPr>
                      <w:rFonts w:ascii="Times New Roman" w:hAnsi="Times New Roman"/>
                      <w:color w:val="000000"/>
                      <w:sz w:val="18"/>
                      <w:szCs w:val="18"/>
                      <w:lang w:val="en-GB"/>
                    </w:rPr>
                  </w:pPr>
                  <w:r w:rsidRPr="007D27AA">
                    <w:rPr>
                      <w:rFonts w:ascii="Times New Roman" w:hAnsi="Times New Roman"/>
                      <w:color w:val="000000"/>
                      <w:sz w:val="18"/>
                      <w:szCs w:val="18"/>
                      <w:lang w:val="en-GB"/>
                    </w:rPr>
                    <w:t>4,707,752</w:t>
                  </w:r>
                </w:p>
              </w:tc>
              <w:tc>
                <w:tcPr>
                  <w:tcW w:w="2354" w:type="dxa"/>
                  <w:tcBorders>
                    <w:top w:val="single" w:sz="12" w:space="0" w:color="auto"/>
                    <w:left w:val="nil"/>
                    <w:bottom w:val="nil"/>
                    <w:right w:val="nil"/>
                  </w:tcBorders>
                  <w:vAlign w:val="bottom"/>
                </w:tcPr>
                <w:p w14:paraId="418DE377" w14:textId="77777777" w:rsidR="00F76607" w:rsidRPr="007D27AA" w:rsidRDefault="001863F0">
                  <w:pPr>
                    <w:jc w:val="right"/>
                    <w:rPr>
                      <w:rFonts w:ascii="Times New Roman" w:hAnsi="Times New Roman"/>
                      <w:color w:val="000000"/>
                      <w:sz w:val="18"/>
                      <w:szCs w:val="18"/>
                      <w:lang w:val="en-GB"/>
                    </w:rPr>
                  </w:pPr>
                  <w:r w:rsidRPr="007D27AA">
                    <w:rPr>
                      <w:rFonts w:ascii="Times New Roman" w:hAnsi="Times New Roman"/>
                      <w:color w:val="000000"/>
                      <w:sz w:val="18"/>
                      <w:szCs w:val="18"/>
                      <w:lang w:val="en-GB"/>
                    </w:rPr>
                    <w:t>25.33%</w:t>
                  </w:r>
                </w:p>
              </w:tc>
            </w:tr>
            <w:tr w:rsidR="00F76607" w14:paraId="2BEED574" w14:textId="77777777">
              <w:tc>
                <w:tcPr>
                  <w:tcW w:w="3278" w:type="dxa"/>
                  <w:tcBorders>
                    <w:top w:val="nil"/>
                    <w:left w:val="nil"/>
                    <w:bottom w:val="nil"/>
                    <w:right w:val="nil"/>
                  </w:tcBorders>
                </w:tcPr>
                <w:p w14:paraId="164A9373" w14:textId="77777777" w:rsidR="00F76607" w:rsidRPr="007D27AA" w:rsidRDefault="001863F0">
                  <w:pPr>
                    <w:rPr>
                      <w:rFonts w:ascii="Times New Roman" w:hAnsi="Times New Roman"/>
                      <w:sz w:val="18"/>
                      <w:szCs w:val="18"/>
                      <w:lang w:val="en-GB"/>
                    </w:rPr>
                  </w:pPr>
                  <w:proofErr w:type="spellStart"/>
                  <w:r w:rsidRPr="007D27AA">
                    <w:rPr>
                      <w:rFonts w:ascii="Times New Roman" w:hAnsi="Times New Roman"/>
                      <w:sz w:val="18"/>
                      <w:szCs w:val="18"/>
                      <w:lang w:val="en-GB"/>
                    </w:rPr>
                    <w:t>Alsgard</w:t>
                  </w:r>
                  <w:proofErr w:type="spellEnd"/>
                  <w:r w:rsidRPr="007D27AA">
                    <w:rPr>
                      <w:rFonts w:ascii="Times New Roman" w:hAnsi="Times New Roman"/>
                      <w:sz w:val="18"/>
                      <w:szCs w:val="18"/>
                      <w:lang w:val="en-GB"/>
                    </w:rPr>
                    <w:t xml:space="preserve"> SA</w:t>
                  </w:r>
                </w:p>
              </w:tc>
              <w:tc>
                <w:tcPr>
                  <w:tcW w:w="2689" w:type="dxa"/>
                  <w:tcBorders>
                    <w:top w:val="nil"/>
                    <w:left w:val="nil"/>
                    <w:bottom w:val="single" w:sz="4" w:space="0" w:color="auto"/>
                    <w:right w:val="nil"/>
                  </w:tcBorders>
                  <w:vAlign w:val="bottom"/>
                </w:tcPr>
                <w:p w14:paraId="46076D2E" w14:textId="77777777" w:rsidR="00F76607" w:rsidRPr="007D27AA" w:rsidRDefault="001863F0">
                  <w:pPr>
                    <w:jc w:val="right"/>
                    <w:rPr>
                      <w:rFonts w:ascii="Times New Roman" w:hAnsi="Times New Roman"/>
                      <w:color w:val="000000"/>
                      <w:sz w:val="18"/>
                      <w:szCs w:val="18"/>
                      <w:lang w:val="en-GB"/>
                    </w:rPr>
                  </w:pPr>
                  <w:r w:rsidRPr="007D27AA">
                    <w:rPr>
                      <w:rFonts w:ascii="Times New Roman" w:hAnsi="Times New Roman"/>
                      <w:color w:val="000000"/>
                      <w:sz w:val="18"/>
                      <w:szCs w:val="18"/>
                      <w:lang w:val="en-GB"/>
                    </w:rPr>
                    <w:t>2,409,914</w:t>
                  </w:r>
                </w:p>
              </w:tc>
              <w:tc>
                <w:tcPr>
                  <w:tcW w:w="2354" w:type="dxa"/>
                  <w:tcBorders>
                    <w:top w:val="nil"/>
                    <w:left w:val="nil"/>
                    <w:bottom w:val="single" w:sz="4" w:space="0" w:color="auto"/>
                    <w:right w:val="nil"/>
                  </w:tcBorders>
                  <w:vAlign w:val="bottom"/>
                </w:tcPr>
                <w:p w14:paraId="25F465B7" w14:textId="77777777" w:rsidR="00F76607" w:rsidRPr="007D27AA" w:rsidRDefault="001863F0">
                  <w:pPr>
                    <w:jc w:val="right"/>
                    <w:rPr>
                      <w:rFonts w:ascii="Times New Roman" w:hAnsi="Times New Roman"/>
                      <w:color w:val="000000"/>
                      <w:sz w:val="18"/>
                      <w:szCs w:val="18"/>
                      <w:lang w:val="en-GB"/>
                    </w:rPr>
                  </w:pPr>
                  <w:r w:rsidRPr="007D27AA">
                    <w:rPr>
                      <w:rFonts w:ascii="Times New Roman" w:hAnsi="Times New Roman"/>
                      <w:color w:val="000000"/>
                      <w:sz w:val="18"/>
                      <w:szCs w:val="18"/>
                      <w:lang w:val="en-GB"/>
                    </w:rPr>
                    <w:t>12.97%</w:t>
                  </w:r>
                </w:p>
              </w:tc>
            </w:tr>
            <w:tr w:rsidR="00F76607" w14:paraId="3331F3DC" w14:textId="77777777">
              <w:tc>
                <w:tcPr>
                  <w:tcW w:w="3278" w:type="dxa"/>
                  <w:tcBorders>
                    <w:top w:val="nil"/>
                    <w:left w:val="nil"/>
                    <w:bottom w:val="nil"/>
                    <w:right w:val="nil"/>
                  </w:tcBorders>
                </w:tcPr>
                <w:p w14:paraId="047F90EC" w14:textId="77777777" w:rsidR="00F76607" w:rsidRPr="004D4E01" w:rsidRDefault="001863F0">
                  <w:pPr>
                    <w:rPr>
                      <w:rFonts w:ascii="Times New Roman" w:hAnsi="Times New Roman"/>
                      <w:b/>
                      <w:sz w:val="18"/>
                      <w:szCs w:val="18"/>
                    </w:rPr>
                  </w:pPr>
                  <w:r w:rsidRPr="004D4E01">
                    <w:rPr>
                      <w:rFonts w:ascii="Times New Roman" w:hAnsi="Times New Roman"/>
                      <w:b/>
                      <w:sz w:val="18"/>
                      <w:szCs w:val="18"/>
                    </w:rPr>
                    <w:t>Sub-</w:t>
                  </w:r>
                  <w:proofErr w:type="spellStart"/>
                  <w:r w:rsidRPr="004D4E01">
                    <w:rPr>
                      <w:rFonts w:ascii="Times New Roman" w:hAnsi="Times New Roman"/>
                      <w:b/>
                      <w:sz w:val="18"/>
                      <w:szCs w:val="18"/>
                    </w:rPr>
                    <w:t>total</w:t>
                  </w:r>
                  <w:proofErr w:type="spellEnd"/>
                  <w:r w:rsidRPr="004D4E01">
                    <w:rPr>
                      <w:rFonts w:ascii="Times New Roman" w:hAnsi="Times New Roman"/>
                      <w:b/>
                      <w:sz w:val="18"/>
                      <w:szCs w:val="18"/>
                    </w:rPr>
                    <w:t xml:space="preserve"> Jan Van Geet Group</w:t>
                  </w:r>
                </w:p>
              </w:tc>
              <w:tc>
                <w:tcPr>
                  <w:tcW w:w="2689" w:type="dxa"/>
                  <w:tcBorders>
                    <w:top w:val="single" w:sz="12" w:space="0" w:color="auto"/>
                    <w:left w:val="nil"/>
                    <w:bottom w:val="single" w:sz="4" w:space="0" w:color="auto"/>
                    <w:right w:val="nil"/>
                  </w:tcBorders>
                  <w:vAlign w:val="bottom"/>
                </w:tcPr>
                <w:p w14:paraId="2CE74FAE" w14:textId="77777777" w:rsidR="00F76607" w:rsidRPr="007D27AA" w:rsidRDefault="001863F0">
                  <w:pPr>
                    <w:jc w:val="right"/>
                    <w:rPr>
                      <w:rFonts w:ascii="Times New Roman" w:hAnsi="Times New Roman"/>
                      <w:b/>
                      <w:i/>
                      <w:color w:val="000000"/>
                      <w:sz w:val="18"/>
                      <w:szCs w:val="18"/>
                      <w:lang w:val="en-GB"/>
                    </w:rPr>
                  </w:pPr>
                  <w:r w:rsidRPr="007D27AA">
                    <w:rPr>
                      <w:rFonts w:ascii="Times New Roman" w:hAnsi="Times New Roman"/>
                      <w:b/>
                      <w:i/>
                      <w:color w:val="000000"/>
                      <w:sz w:val="18"/>
                      <w:szCs w:val="18"/>
                      <w:lang w:val="en-GB"/>
                    </w:rPr>
                    <w:t>7,117,666</w:t>
                  </w:r>
                </w:p>
              </w:tc>
              <w:tc>
                <w:tcPr>
                  <w:tcW w:w="2354" w:type="dxa"/>
                  <w:tcBorders>
                    <w:top w:val="single" w:sz="12" w:space="0" w:color="auto"/>
                    <w:left w:val="nil"/>
                    <w:bottom w:val="single" w:sz="4" w:space="0" w:color="auto"/>
                    <w:right w:val="nil"/>
                  </w:tcBorders>
                  <w:vAlign w:val="bottom"/>
                </w:tcPr>
                <w:p w14:paraId="40E8848D" w14:textId="77777777" w:rsidR="00F76607" w:rsidRPr="007D27AA" w:rsidRDefault="001863F0">
                  <w:pPr>
                    <w:jc w:val="right"/>
                    <w:rPr>
                      <w:rFonts w:ascii="Times New Roman" w:hAnsi="Times New Roman"/>
                      <w:b/>
                      <w:color w:val="000000"/>
                      <w:sz w:val="18"/>
                      <w:szCs w:val="18"/>
                      <w:lang w:val="en-GB"/>
                    </w:rPr>
                  </w:pPr>
                  <w:r w:rsidRPr="007D27AA">
                    <w:rPr>
                      <w:rFonts w:ascii="Times New Roman" w:hAnsi="Times New Roman"/>
                      <w:b/>
                      <w:color w:val="000000"/>
                      <w:sz w:val="18"/>
                      <w:szCs w:val="18"/>
                      <w:lang w:val="en-GB"/>
                    </w:rPr>
                    <w:t>38.30%</w:t>
                  </w:r>
                </w:p>
              </w:tc>
            </w:tr>
            <w:tr w:rsidR="00F76607" w14:paraId="157DC261" w14:textId="77777777">
              <w:tc>
                <w:tcPr>
                  <w:tcW w:w="3278" w:type="dxa"/>
                  <w:tcBorders>
                    <w:top w:val="nil"/>
                    <w:left w:val="nil"/>
                    <w:bottom w:val="nil"/>
                    <w:right w:val="nil"/>
                  </w:tcBorders>
                </w:tcPr>
                <w:p w14:paraId="1E650236" w14:textId="77777777" w:rsidR="00F76607" w:rsidRPr="007D27AA" w:rsidRDefault="001863F0">
                  <w:pPr>
                    <w:rPr>
                      <w:rFonts w:ascii="Times New Roman" w:hAnsi="Times New Roman"/>
                      <w:sz w:val="18"/>
                      <w:szCs w:val="18"/>
                      <w:lang w:val="en-GB"/>
                    </w:rPr>
                  </w:pPr>
                  <w:proofErr w:type="spellStart"/>
                  <w:r w:rsidRPr="007D27AA">
                    <w:rPr>
                      <w:rFonts w:ascii="Times New Roman" w:hAnsi="Times New Roman"/>
                      <w:sz w:val="18"/>
                      <w:szCs w:val="18"/>
                      <w:lang w:val="en-GB"/>
                    </w:rPr>
                    <w:t>Vadebo</w:t>
                  </w:r>
                  <w:proofErr w:type="spellEnd"/>
                  <w:r w:rsidRPr="007D27AA">
                    <w:rPr>
                      <w:rFonts w:ascii="Times New Roman" w:hAnsi="Times New Roman"/>
                      <w:sz w:val="18"/>
                      <w:szCs w:val="18"/>
                      <w:lang w:val="en-GB"/>
                    </w:rPr>
                    <w:t xml:space="preserve"> France NV</w:t>
                  </w:r>
                </w:p>
              </w:tc>
              <w:tc>
                <w:tcPr>
                  <w:tcW w:w="2689" w:type="dxa"/>
                  <w:tcBorders>
                    <w:top w:val="single" w:sz="4" w:space="0" w:color="auto"/>
                    <w:left w:val="nil"/>
                    <w:right w:val="nil"/>
                  </w:tcBorders>
                  <w:vAlign w:val="bottom"/>
                </w:tcPr>
                <w:p w14:paraId="24128971" w14:textId="77777777" w:rsidR="00F76607" w:rsidRPr="007D27AA" w:rsidRDefault="001863F0">
                  <w:pPr>
                    <w:jc w:val="right"/>
                    <w:rPr>
                      <w:rFonts w:ascii="Times New Roman" w:hAnsi="Times New Roman"/>
                      <w:color w:val="000000"/>
                      <w:sz w:val="18"/>
                      <w:szCs w:val="18"/>
                      <w:lang w:val="en-GB"/>
                    </w:rPr>
                  </w:pPr>
                  <w:r w:rsidRPr="007D27AA">
                    <w:rPr>
                      <w:rFonts w:ascii="Times New Roman" w:hAnsi="Times New Roman"/>
                      <w:color w:val="000000"/>
                      <w:sz w:val="18"/>
                      <w:szCs w:val="18"/>
                      <w:lang w:val="en-GB"/>
                    </w:rPr>
                    <w:t>655,738</w:t>
                  </w:r>
                </w:p>
              </w:tc>
              <w:tc>
                <w:tcPr>
                  <w:tcW w:w="2354" w:type="dxa"/>
                  <w:tcBorders>
                    <w:top w:val="single" w:sz="4" w:space="0" w:color="auto"/>
                    <w:left w:val="nil"/>
                    <w:right w:val="nil"/>
                  </w:tcBorders>
                  <w:vAlign w:val="bottom"/>
                </w:tcPr>
                <w:p w14:paraId="762F73E3" w14:textId="77777777" w:rsidR="00F76607" w:rsidRPr="007D27AA" w:rsidRDefault="001863F0">
                  <w:pPr>
                    <w:jc w:val="right"/>
                    <w:rPr>
                      <w:rFonts w:ascii="Times New Roman" w:hAnsi="Times New Roman"/>
                      <w:color w:val="000000"/>
                      <w:sz w:val="18"/>
                      <w:szCs w:val="18"/>
                      <w:lang w:val="en-GB"/>
                    </w:rPr>
                  </w:pPr>
                  <w:r w:rsidRPr="007D27AA">
                    <w:rPr>
                      <w:rFonts w:ascii="Times New Roman" w:hAnsi="Times New Roman"/>
                      <w:color w:val="000000"/>
                      <w:sz w:val="18"/>
                      <w:szCs w:val="18"/>
                      <w:lang w:val="en-GB"/>
                    </w:rPr>
                    <w:t>3.53%</w:t>
                  </w:r>
                </w:p>
              </w:tc>
            </w:tr>
            <w:tr w:rsidR="00F76607" w14:paraId="693D60D3" w14:textId="77777777">
              <w:tc>
                <w:tcPr>
                  <w:tcW w:w="3278" w:type="dxa"/>
                  <w:tcBorders>
                    <w:top w:val="nil"/>
                    <w:left w:val="nil"/>
                    <w:bottom w:val="nil"/>
                    <w:right w:val="nil"/>
                  </w:tcBorders>
                </w:tcPr>
                <w:p w14:paraId="1496C0E8" w14:textId="77777777" w:rsidR="00F76607" w:rsidRPr="007D27AA" w:rsidRDefault="001863F0">
                  <w:pPr>
                    <w:rPr>
                      <w:rFonts w:ascii="Times New Roman" w:hAnsi="Times New Roman"/>
                      <w:sz w:val="18"/>
                      <w:szCs w:val="18"/>
                      <w:lang w:val="en-GB"/>
                    </w:rPr>
                  </w:pPr>
                  <w:r w:rsidRPr="007D27AA">
                    <w:rPr>
                      <w:rFonts w:ascii="Times New Roman" w:hAnsi="Times New Roman"/>
                      <w:sz w:val="18"/>
                      <w:szCs w:val="18"/>
                      <w:lang w:val="en-GB"/>
                    </w:rPr>
                    <w:t>Public</w:t>
                  </w:r>
                </w:p>
              </w:tc>
              <w:tc>
                <w:tcPr>
                  <w:tcW w:w="2689" w:type="dxa"/>
                  <w:tcBorders>
                    <w:top w:val="nil"/>
                    <w:left w:val="nil"/>
                    <w:bottom w:val="single" w:sz="12" w:space="0" w:color="auto"/>
                    <w:right w:val="nil"/>
                  </w:tcBorders>
                  <w:vAlign w:val="bottom"/>
                </w:tcPr>
                <w:p w14:paraId="76734A90" w14:textId="77777777" w:rsidR="00F76607" w:rsidRPr="007D27AA" w:rsidRDefault="001863F0">
                  <w:pPr>
                    <w:jc w:val="right"/>
                    <w:rPr>
                      <w:rFonts w:ascii="Times New Roman" w:hAnsi="Times New Roman"/>
                      <w:color w:val="000000"/>
                      <w:sz w:val="18"/>
                      <w:szCs w:val="18"/>
                      <w:lang w:val="en-GB"/>
                    </w:rPr>
                  </w:pPr>
                  <w:r w:rsidRPr="007D27AA">
                    <w:rPr>
                      <w:rFonts w:ascii="Times New Roman" w:hAnsi="Times New Roman"/>
                      <w:color w:val="000000"/>
                      <w:sz w:val="18"/>
                      <w:szCs w:val="18"/>
                      <w:lang w:val="en-GB"/>
                    </w:rPr>
                    <w:t>1,883,575</w:t>
                  </w:r>
                </w:p>
              </w:tc>
              <w:tc>
                <w:tcPr>
                  <w:tcW w:w="2354" w:type="dxa"/>
                  <w:tcBorders>
                    <w:top w:val="nil"/>
                    <w:left w:val="nil"/>
                    <w:bottom w:val="single" w:sz="12" w:space="0" w:color="auto"/>
                    <w:right w:val="nil"/>
                  </w:tcBorders>
                  <w:vAlign w:val="bottom"/>
                </w:tcPr>
                <w:p w14:paraId="40005EB0" w14:textId="77777777" w:rsidR="00F76607" w:rsidRPr="007D27AA" w:rsidRDefault="001863F0">
                  <w:pPr>
                    <w:jc w:val="right"/>
                    <w:rPr>
                      <w:rFonts w:ascii="Times New Roman" w:hAnsi="Times New Roman"/>
                      <w:color w:val="000000"/>
                      <w:sz w:val="18"/>
                      <w:szCs w:val="18"/>
                      <w:lang w:val="en-GB"/>
                    </w:rPr>
                  </w:pPr>
                  <w:r w:rsidRPr="007D27AA">
                    <w:rPr>
                      <w:rFonts w:ascii="Times New Roman" w:hAnsi="Times New Roman"/>
                      <w:color w:val="000000"/>
                      <w:sz w:val="18"/>
                      <w:szCs w:val="18"/>
                      <w:lang w:val="en-GB"/>
                    </w:rPr>
                    <w:t>10.14%</w:t>
                  </w:r>
                </w:p>
              </w:tc>
            </w:tr>
            <w:tr w:rsidR="00F76607" w14:paraId="1E273834" w14:textId="77777777">
              <w:tc>
                <w:tcPr>
                  <w:tcW w:w="3278" w:type="dxa"/>
                  <w:tcBorders>
                    <w:top w:val="nil"/>
                    <w:left w:val="nil"/>
                    <w:right w:val="nil"/>
                  </w:tcBorders>
                </w:tcPr>
                <w:p w14:paraId="72B86527" w14:textId="77777777" w:rsidR="00F76607" w:rsidRPr="007D27AA" w:rsidRDefault="001863F0">
                  <w:pPr>
                    <w:keepNext/>
                    <w:spacing w:line="256" w:lineRule="auto"/>
                    <w:rPr>
                      <w:rFonts w:ascii="Times New Roman" w:hAnsi="Times New Roman"/>
                      <w:b/>
                      <w:sz w:val="18"/>
                      <w:szCs w:val="18"/>
                      <w:lang w:val="en-GB"/>
                    </w:rPr>
                  </w:pPr>
                  <w:r w:rsidRPr="007D27AA">
                    <w:rPr>
                      <w:rFonts w:ascii="Times New Roman" w:hAnsi="Times New Roman"/>
                      <w:b/>
                      <w:sz w:val="18"/>
                      <w:szCs w:val="18"/>
                      <w:lang w:val="en-GB"/>
                    </w:rPr>
                    <w:t>Total</w:t>
                  </w:r>
                </w:p>
              </w:tc>
              <w:tc>
                <w:tcPr>
                  <w:tcW w:w="2689" w:type="dxa"/>
                  <w:tcBorders>
                    <w:top w:val="single" w:sz="12" w:space="0" w:color="auto"/>
                    <w:left w:val="nil"/>
                    <w:right w:val="nil"/>
                  </w:tcBorders>
                  <w:vAlign w:val="bottom"/>
                </w:tcPr>
                <w:p w14:paraId="270D7597" w14:textId="77777777" w:rsidR="00F76607" w:rsidRPr="007D27AA" w:rsidRDefault="001863F0">
                  <w:pPr>
                    <w:jc w:val="right"/>
                    <w:rPr>
                      <w:rFonts w:ascii="Times New Roman" w:hAnsi="Times New Roman"/>
                      <w:b/>
                      <w:color w:val="000000"/>
                      <w:sz w:val="18"/>
                      <w:szCs w:val="18"/>
                      <w:lang w:val="en-GB"/>
                    </w:rPr>
                  </w:pPr>
                  <w:r w:rsidRPr="007D27AA">
                    <w:rPr>
                      <w:rFonts w:ascii="Times New Roman" w:hAnsi="Times New Roman"/>
                      <w:color w:val="000000"/>
                      <w:sz w:val="18"/>
                      <w:szCs w:val="18"/>
                      <w:lang w:val="en-GB"/>
                    </w:rPr>
                    <w:t>18,583,050</w:t>
                  </w:r>
                </w:p>
              </w:tc>
              <w:tc>
                <w:tcPr>
                  <w:tcW w:w="2354" w:type="dxa"/>
                  <w:tcBorders>
                    <w:top w:val="single" w:sz="12" w:space="0" w:color="auto"/>
                    <w:left w:val="nil"/>
                    <w:right w:val="nil"/>
                  </w:tcBorders>
                  <w:vAlign w:val="bottom"/>
                </w:tcPr>
                <w:p w14:paraId="4A64F566" w14:textId="77777777" w:rsidR="00F76607" w:rsidRPr="007D27AA" w:rsidRDefault="001863F0">
                  <w:pPr>
                    <w:jc w:val="right"/>
                    <w:rPr>
                      <w:rFonts w:ascii="Times New Roman" w:hAnsi="Times New Roman"/>
                      <w:b/>
                      <w:color w:val="000000"/>
                      <w:sz w:val="18"/>
                      <w:szCs w:val="18"/>
                      <w:lang w:val="en-GB"/>
                    </w:rPr>
                  </w:pPr>
                  <w:r w:rsidRPr="007D27AA">
                    <w:rPr>
                      <w:rFonts w:ascii="Times New Roman" w:hAnsi="Times New Roman"/>
                      <w:color w:val="000000"/>
                      <w:sz w:val="18"/>
                      <w:szCs w:val="18"/>
                      <w:lang w:val="en-GB"/>
                    </w:rPr>
                    <w:t>100.00%</w:t>
                  </w:r>
                </w:p>
              </w:tc>
            </w:tr>
          </w:tbl>
          <w:p w14:paraId="61A3D6D0" w14:textId="77777777" w:rsidR="00F76607" w:rsidRDefault="00F76607">
            <w:pPr>
              <w:rPr>
                <w:bCs/>
                <w:sz w:val="18"/>
                <w:szCs w:val="18"/>
              </w:rPr>
            </w:pPr>
          </w:p>
          <w:p w14:paraId="6574E50B" w14:textId="118034CA" w:rsidR="00F76607" w:rsidRDefault="001863F0">
            <w:pPr>
              <w:rPr>
                <w:sz w:val="18"/>
                <w:szCs w:val="18"/>
              </w:rPr>
            </w:pPr>
            <w:r>
              <w:rPr>
                <w:bCs/>
                <w:sz w:val="18"/>
                <w:szCs w:val="18"/>
              </w:rPr>
              <w:t>None of these major shareholders have different voting rights. The Company is not directly or indirect</w:t>
            </w:r>
            <w:r w:rsidR="00F43B88">
              <w:rPr>
                <w:bCs/>
                <w:sz w:val="18"/>
                <w:szCs w:val="18"/>
              </w:rPr>
              <w:t>ly owned or controlled by any of its shareholders</w:t>
            </w:r>
            <w:r>
              <w:rPr>
                <w:bCs/>
                <w:sz w:val="18"/>
                <w:szCs w:val="18"/>
              </w:rPr>
              <w:t>.</w:t>
            </w:r>
          </w:p>
        </w:tc>
      </w:tr>
      <w:tr w:rsidR="00F76607" w14:paraId="57C00377" w14:textId="77777777" w:rsidTr="00207559">
        <w:trPr>
          <w:cantSplit/>
          <w:jc w:val="center"/>
        </w:trPr>
        <w:tc>
          <w:tcPr>
            <w:tcW w:w="754" w:type="dxa"/>
            <w:tcMar>
              <w:top w:w="0" w:type="dxa"/>
              <w:left w:w="144" w:type="dxa"/>
              <w:bottom w:w="0" w:type="dxa"/>
              <w:right w:w="0" w:type="dxa"/>
            </w:tcMar>
            <w:hideMark/>
          </w:tcPr>
          <w:p w14:paraId="691DBCA7" w14:textId="77777777" w:rsidR="00F76607" w:rsidRDefault="001863F0">
            <w:pPr>
              <w:pStyle w:val="la2"/>
              <w:rPr>
                <w:rFonts w:eastAsiaTheme="minorEastAsia"/>
                <w:sz w:val="16"/>
                <w:szCs w:val="16"/>
              </w:rPr>
            </w:pPr>
            <w:r>
              <w:rPr>
                <w:sz w:val="16"/>
                <w:szCs w:val="16"/>
              </w:rPr>
              <w:t> </w:t>
            </w:r>
          </w:p>
        </w:tc>
        <w:tc>
          <w:tcPr>
            <w:tcW w:w="8999" w:type="dxa"/>
          </w:tcPr>
          <w:p w14:paraId="34DB2FA8" w14:textId="77777777" w:rsidR="00F76607" w:rsidRDefault="00F76607">
            <w:pPr>
              <w:pStyle w:val="NormalWeb"/>
              <w:spacing w:after="20"/>
              <w:rPr>
                <w:rFonts w:eastAsiaTheme="minorEastAsia"/>
                <w:sz w:val="16"/>
                <w:szCs w:val="16"/>
              </w:rPr>
            </w:pPr>
          </w:p>
        </w:tc>
      </w:tr>
      <w:tr w:rsidR="00F76607" w14:paraId="6153DD8E" w14:textId="77777777" w:rsidTr="0072661D">
        <w:trPr>
          <w:cantSplit/>
          <w:trHeight w:val="284"/>
          <w:jc w:val="center"/>
        </w:trPr>
        <w:tc>
          <w:tcPr>
            <w:tcW w:w="754" w:type="dxa"/>
            <w:hideMark/>
          </w:tcPr>
          <w:p w14:paraId="7C51D859" w14:textId="77777777" w:rsidR="00F76607" w:rsidRDefault="001863F0">
            <w:pPr>
              <w:rPr>
                <w:sz w:val="18"/>
                <w:szCs w:val="18"/>
              </w:rPr>
            </w:pPr>
            <w:r>
              <w:rPr>
                <w:b/>
                <w:bCs/>
                <w:sz w:val="18"/>
                <w:szCs w:val="18"/>
              </w:rPr>
              <w:lastRenderedPageBreak/>
              <w:t>B.7</w:t>
            </w:r>
          </w:p>
        </w:tc>
        <w:tc>
          <w:tcPr>
            <w:tcW w:w="8999" w:type="dxa"/>
            <w:hideMark/>
          </w:tcPr>
          <w:p w14:paraId="6AE5D2A7" w14:textId="34B56E32" w:rsidR="00F76607" w:rsidRDefault="001863F0">
            <w:pPr>
              <w:pStyle w:val="NormalWeb"/>
              <w:keepNext/>
              <w:spacing w:before="0" w:beforeAutospacing="0" w:after="0" w:afterAutospacing="0"/>
              <w:rPr>
                <w:b/>
                <w:sz w:val="18"/>
                <w:szCs w:val="18"/>
              </w:rPr>
            </w:pPr>
            <w:r>
              <w:rPr>
                <w:b/>
                <w:bCs/>
                <w:sz w:val="18"/>
                <w:szCs w:val="18"/>
              </w:rPr>
              <w:t xml:space="preserve">Consolidated Income Statement </w:t>
            </w:r>
            <w:r>
              <w:rPr>
                <w:b/>
                <w:sz w:val="18"/>
                <w:szCs w:val="18"/>
              </w:rPr>
              <w:t>Information</w:t>
            </w:r>
          </w:p>
          <w:p w14:paraId="2F51538D" w14:textId="45CF5B77" w:rsidR="003F4AAB" w:rsidRDefault="003F4AAB">
            <w:pPr>
              <w:pStyle w:val="NormalWeb"/>
              <w:keepNext/>
              <w:spacing w:before="0" w:beforeAutospacing="0" w:after="0" w:afterAutospacing="0"/>
              <w:rPr>
                <w:b/>
                <w:sz w:val="18"/>
                <w:szCs w:val="1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428"/>
              <w:gridCol w:w="619"/>
              <w:gridCol w:w="1036"/>
              <w:gridCol w:w="998"/>
              <w:gridCol w:w="840"/>
              <w:gridCol w:w="989"/>
              <w:gridCol w:w="139"/>
            </w:tblGrid>
            <w:tr w:rsidR="00207559" w14:paraId="4808B34C" w14:textId="77777777" w:rsidTr="00D11DE1">
              <w:trPr>
                <w:cantSplit/>
                <w:tblHeader/>
                <w:jc w:val="center"/>
              </w:trPr>
              <w:tc>
                <w:tcPr>
                  <w:tcW w:w="4378" w:type="dxa"/>
                  <w:tcBorders>
                    <w:left w:val="single" w:sz="4" w:space="0" w:color="auto"/>
                  </w:tcBorders>
                  <w:tcMar>
                    <w:top w:w="0" w:type="dxa"/>
                    <w:left w:w="144" w:type="dxa"/>
                    <w:bottom w:w="0" w:type="dxa"/>
                    <w:right w:w="0" w:type="dxa"/>
                  </w:tcMar>
                  <w:hideMark/>
                </w:tcPr>
                <w:p w14:paraId="2DFD066E" w14:textId="77777777" w:rsidR="00207559" w:rsidRDefault="00207559" w:rsidP="00207559">
                  <w:pPr>
                    <w:pStyle w:val="la2"/>
                    <w:keepNext/>
                    <w:jc w:val="right"/>
                    <w:rPr>
                      <w:rFonts w:eastAsiaTheme="minorEastAsia"/>
                      <w:sz w:val="16"/>
                      <w:szCs w:val="16"/>
                    </w:rPr>
                  </w:pPr>
                  <w:r>
                    <w:rPr>
                      <w:sz w:val="16"/>
                      <w:szCs w:val="16"/>
                    </w:rPr>
                    <w:t> </w:t>
                  </w:r>
                </w:p>
              </w:tc>
              <w:tc>
                <w:tcPr>
                  <w:tcW w:w="1642" w:type="dxa"/>
                  <w:gridSpan w:val="2"/>
                </w:tcPr>
                <w:p w14:paraId="5EEC800D" w14:textId="77777777" w:rsidR="00207559" w:rsidRDefault="00207559" w:rsidP="00207559">
                  <w:pPr>
                    <w:jc w:val="center"/>
                    <w:rPr>
                      <w:rFonts w:eastAsiaTheme="minorEastAsia"/>
                      <w:sz w:val="16"/>
                      <w:szCs w:val="16"/>
                    </w:rPr>
                  </w:pPr>
                  <w:r>
                    <w:rPr>
                      <w:b/>
                      <w:bCs/>
                      <w:sz w:val="16"/>
                      <w:szCs w:val="16"/>
                    </w:rPr>
                    <w:t>For the six months ended 30-Jun</w:t>
                  </w:r>
                </w:p>
              </w:tc>
              <w:tc>
                <w:tcPr>
                  <w:tcW w:w="2947" w:type="dxa"/>
                  <w:gridSpan w:val="4"/>
                  <w:tcMar>
                    <w:top w:w="0" w:type="dxa"/>
                    <w:left w:w="144" w:type="dxa"/>
                    <w:bottom w:w="0" w:type="dxa"/>
                    <w:right w:w="0" w:type="dxa"/>
                  </w:tcMar>
                  <w:hideMark/>
                </w:tcPr>
                <w:p w14:paraId="31F9679D" w14:textId="77777777" w:rsidR="00207559" w:rsidRDefault="00207559" w:rsidP="00207559">
                  <w:pPr>
                    <w:jc w:val="center"/>
                    <w:rPr>
                      <w:rFonts w:eastAsiaTheme="minorEastAsia"/>
                      <w:sz w:val="16"/>
                      <w:szCs w:val="16"/>
                    </w:rPr>
                  </w:pPr>
                  <w:r>
                    <w:rPr>
                      <w:b/>
                      <w:bCs/>
                      <w:sz w:val="16"/>
                      <w:szCs w:val="16"/>
                    </w:rPr>
                    <w:t>For the year ended 31-Dec</w:t>
                  </w:r>
                </w:p>
              </w:tc>
            </w:tr>
            <w:tr w:rsidR="00207559" w14:paraId="0BC3E1E6" w14:textId="77777777" w:rsidTr="00D11DE1">
              <w:trPr>
                <w:cantSplit/>
                <w:tblHeader/>
                <w:jc w:val="center"/>
              </w:trPr>
              <w:tc>
                <w:tcPr>
                  <w:tcW w:w="4378" w:type="dxa"/>
                  <w:tcBorders>
                    <w:left w:val="single" w:sz="4" w:space="0" w:color="auto"/>
                  </w:tcBorders>
                  <w:tcMar>
                    <w:top w:w="0" w:type="dxa"/>
                    <w:left w:w="144" w:type="dxa"/>
                    <w:bottom w:w="0" w:type="dxa"/>
                    <w:right w:w="0" w:type="dxa"/>
                  </w:tcMar>
                  <w:hideMark/>
                </w:tcPr>
                <w:p w14:paraId="10D34C78" w14:textId="77777777" w:rsidR="00207559" w:rsidRDefault="00207559" w:rsidP="00207559">
                  <w:pPr>
                    <w:pStyle w:val="la2"/>
                    <w:keepNext/>
                    <w:jc w:val="right"/>
                    <w:rPr>
                      <w:rFonts w:eastAsiaTheme="minorEastAsia"/>
                      <w:sz w:val="16"/>
                      <w:szCs w:val="16"/>
                    </w:rPr>
                  </w:pPr>
                  <w:r>
                    <w:rPr>
                      <w:sz w:val="16"/>
                      <w:szCs w:val="16"/>
                    </w:rPr>
                    <w:t> </w:t>
                  </w:r>
                </w:p>
              </w:tc>
              <w:tc>
                <w:tcPr>
                  <w:tcW w:w="612" w:type="dxa"/>
                </w:tcPr>
                <w:p w14:paraId="1529539D" w14:textId="77777777" w:rsidR="00207559" w:rsidRDefault="00207559" w:rsidP="00207559">
                  <w:pPr>
                    <w:jc w:val="center"/>
                    <w:rPr>
                      <w:rFonts w:eastAsiaTheme="minorEastAsia"/>
                      <w:sz w:val="16"/>
                      <w:szCs w:val="16"/>
                    </w:rPr>
                  </w:pPr>
                  <w:r>
                    <w:rPr>
                      <w:b/>
                      <w:bCs/>
                      <w:sz w:val="16"/>
                      <w:szCs w:val="16"/>
                    </w:rPr>
                    <w:t>2017</w:t>
                  </w:r>
                </w:p>
              </w:tc>
              <w:tc>
                <w:tcPr>
                  <w:tcW w:w="1030" w:type="dxa"/>
                  <w:tcMar>
                    <w:top w:w="0" w:type="dxa"/>
                    <w:left w:w="144" w:type="dxa"/>
                    <w:bottom w:w="0" w:type="dxa"/>
                    <w:right w:w="0" w:type="dxa"/>
                  </w:tcMar>
                </w:tcPr>
                <w:p w14:paraId="6D797477" w14:textId="77777777" w:rsidR="00207559" w:rsidRDefault="00207559" w:rsidP="00207559">
                  <w:pPr>
                    <w:jc w:val="center"/>
                    <w:rPr>
                      <w:rFonts w:eastAsiaTheme="minorEastAsia"/>
                      <w:sz w:val="16"/>
                      <w:szCs w:val="16"/>
                    </w:rPr>
                  </w:pPr>
                  <w:r>
                    <w:rPr>
                      <w:b/>
                      <w:bCs/>
                      <w:sz w:val="16"/>
                      <w:szCs w:val="16"/>
                    </w:rPr>
                    <w:t>2016</w:t>
                  </w:r>
                </w:p>
              </w:tc>
              <w:tc>
                <w:tcPr>
                  <w:tcW w:w="992" w:type="dxa"/>
                  <w:tcMar>
                    <w:top w:w="0" w:type="dxa"/>
                    <w:left w:w="144" w:type="dxa"/>
                    <w:bottom w:w="0" w:type="dxa"/>
                    <w:right w:w="0" w:type="dxa"/>
                  </w:tcMar>
                  <w:hideMark/>
                </w:tcPr>
                <w:p w14:paraId="6775EF8A" w14:textId="77777777" w:rsidR="00207559" w:rsidRDefault="00207559" w:rsidP="00207559">
                  <w:pPr>
                    <w:jc w:val="center"/>
                    <w:rPr>
                      <w:rFonts w:eastAsiaTheme="minorEastAsia"/>
                      <w:sz w:val="16"/>
                      <w:szCs w:val="16"/>
                    </w:rPr>
                  </w:pPr>
                  <w:r>
                    <w:rPr>
                      <w:b/>
                      <w:bCs/>
                      <w:sz w:val="16"/>
                      <w:szCs w:val="16"/>
                    </w:rPr>
                    <w:t>2016</w:t>
                  </w:r>
                </w:p>
              </w:tc>
              <w:tc>
                <w:tcPr>
                  <w:tcW w:w="833" w:type="dxa"/>
                  <w:tcMar>
                    <w:top w:w="0" w:type="dxa"/>
                    <w:left w:w="144" w:type="dxa"/>
                    <w:bottom w:w="0" w:type="dxa"/>
                    <w:right w:w="0" w:type="dxa"/>
                  </w:tcMar>
                  <w:hideMark/>
                </w:tcPr>
                <w:p w14:paraId="32737A25" w14:textId="77777777" w:rsidR="00207559" w:rsidRDefault="00207559" w:rsidP="00207559">
                  <w:pPr>
                    <w:jc w:val="center"/>
                    <w:rPr>
                      <w:rFonts w:eastAsiaTheme="minorEastAsia"/>
                      <w:sz w:val="16"/>
                      <w:szCs w:val="16"/>
                    </w:rPr>
                  </w:pPr>
                  <w:r>
                    <w:rPr>
                      <w:b/>
                      <w:bCs/>
                      <w:sz w:val="16"/>
                      <w:szCs w:val="16"/>
                    </w:rPr>
                    <w:t>2015</w:t>
                  </w:r>
                </w:p>
              </w:tc>
              <w:tc>
                <w:tcPr>
                  <w:tcW w:w="1122" w:type="dxa"/>
                  <w:gridSpan w:val="2"/>
                  <w:tcMar>
                    <w:top w:w="0" w:type="dxa"/>
                    <w:left w:w="144" w:type="dxa"/>
                    <w:bottom w:w="0" w:type="dxa"/>
                    <w:right w:w="0" w:type="dxa"/>
                  </w:tcMar>
                  <w:hideMark/>
                </w:tcPr>
                <w:p w14:paraId="13219E55" w14:textId="77777777" w:rsidR="00207559" w:rsidRDefault="00207559" w:rsidP="00207559">
                  <w:pPr>
                    <w:jc w:val="center"/>
                    <w:rPr>
                      <w:rFonts w:eastAsiaTheme="minorEastAsia"/>
                      <w:sz w:val="16"/>
                      <w:szCs w:val="16"/>
                    </w:rPr>
                  </w:pPr>
                  <w:r>
                    <w:rPr>
                      <w:b/>
                      <w:bCs/>
                      <w:sz w:val="16"/>
                      <w:szCs w:val="16"/>
                    </w:rPr>
                    <w:t>2014</w:t>
                  </w:r>
                </w:p>
              </w:tc>
            </w:tr>
            <w:tr w:rsidR="00207559" w14:paraId="7D60C2AD" w14:textId="77777777" w:rsidTr="00D11DE1">
              <w:trPr>
                <w:cantSplit/>
                <w:tblHeader/>
                <w:jc w:val="center"/>
              </w:trPr>
              <w:tc>
                <w:tcPr>
                  <w:tcW w:w="4378" w:type="dxa"/>
                  <w:tcBorders>
                    <w:left w:val="single" w:sz="4" w:space="0" w:color="auto"/>
                  </w:tcBorders>
                  <w:tcMar>
                    <w:top w:w="0" w:type="dxa"/>
                    <w:left w:w="144" w:type="dxa"/>
                    <w:bottom w:w="0" w:type="dxa"/>
                    <w:right w:w="0" w:type="dxa"/>
                  </w:tcMar>
                  <w:hideMark/>
                </w:tcPr>
                <w:p w14:paraId="74BDDED0" w14:textId="77777777" w:rsidR="00207559" w:rsidRDefault="00207559" w:rsidP="00207559">
                  <w:pPr>
                    <w:pStyle w:val="la2"/>
                    <w:keepNext/>
                    <w:jc w:val="right"/>
                    <w:rPr>
                      <w:rFonts w:eastAsiaTheme="minorEastAsia"/>
                      <w:sz w:val="16"/>
                      <w:szCs w:val="16"/>
                    </w:rPr>
                  </w:pPr>
                  <w:r>
                    <w:rPr>
                      <w:sz w:val="16"/>
                      <w:szCs w:val="16"/>
                    </w:rPr>
                    <w:t> </w:t>
                  </w:r>
                </w:p>
              </w:tc>
              <w:tc>
                <w:tcPr>
                  <w:tcW w:w="4589" w:type="dxa"/>
                  <w:gridSpan w:val="6"/>
                </w:tcPr>
                <w:p w14:paraId="3319BC7C" w14:textId="77777777" w:rsidR="00207559" w:rsidRDefault="00207559" w:rsidP="00207559">
                  <w:pPr>
                    <w:jc w:val="center"/>
                    <w:rPr>
                      <w:i/>
                      <w:sz w:val="16"/>
                      <w:szCs w:val="16"/>
                    </w:rPr>
                  </w:pPr>
                  <w:r>
                    <w:rPr>
                      <w:bCs/>
                      <w:i/>
                      <w:sz w:val="16"/>
                      <w:szCs w:val="16"/>
                    </w:rPr>
                    <w:t>(€ thousands)</w:t>
                  </w:r>
                </w:p>
              </w:tc>
            </w:tr>
            <w:tr w:rsidR="00207559" w14:paraId="583654D7" w14:textId="77777777" w:rsidTr="00D11DE1">
              <w:trPr>
                <w:cantSplit/>
                <w:jc w:val="center"/>
              </w:trPr>
              <w:tc>
                <w:tcPr>
                  <w:tcW w:w="4378" w:type="dxa"/>
                  <w:hideMark/>
                </w:tcPr>
                <w:p w14:paraId="04195AB1" w14:textId="77777777" w:rsidR="00207559" w:rsidRDefault="00207559" w:rsidP="00207559">
                  <w:pPr>
                    <w:pStyle w:val="NormalWeb"/>
                    <w:keepNext/>
                    <w:tabs>
                      <w:tab w:val="right" w:leader="dot" w:pos="4620"/>
                    </w:tabs>
                    <w:spacing w:before="0" w:beforeAutospacing="0" w:after="0" w:afterAutospacing="0"/>
                    <w:ind w:left="240" w:hanging="240"/>
                    <w:jc w:val="right"/>
                    <w:rPr>
                      <w:rFonts w:eastAsiaTheme="minorEastAsia"/>
                      <w:sz w:val="18"/>
                      <w:szCs w:val="18"/>
                    </w:rPr>
                  </w:pPr>
                  <w:r>
                    <w:rPr>
                      <w:sz w:val="18"/>
                      <w:szCs w:val="18"/>
                    </w:rPr>
                    <w:t>Revenue</w:t>
                  </w:r>
                  <w:r>
                    <w:rPr>
                      <w:sz w:val="18"/>
                      <w:szCs w:val="18"/>
                    </w:rPr>
                    <w:tab/>
                  </w:r>
                </w:p>
              </w:tc>
              <w:tc>
                <w:tcPr>
                  <w:tcW w:w="612" w:type="dxa"/>
                </w:tcPr>
                <w:p w14:paraId="5BB8E4E2"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14,296</w:t>
                  </w:r>
                </w:p>
              </w:tc>
              <w:tc>
                <w:tcPr>
                  <w:tcW w:w="1030" w:type="dxa"/>
                  <w:noWrap/>
                  <w:tcMar>
                    <w:top w:w="0" w:type="dxa"/>
                    <w:left w:w="144" w:type="dxa"/>
                    <w:bottom w:w="0" w:type="dxa"/>
                    <w:right w:w="0" w:type="dxa"/>
                  </w:tcMar>
                  <w:hideMark/>
                </w:tcPr>
                <w:p w14:paraId="5F318ED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17,004</w:t>
                  </w:r>
                </w:p>
              </w:tc>
              <w:tc>
                <w:tcPr>
                  <w:tcW w:w="992" w:type="dxa"/>
                  <w:noWrap/>
                  <w:tcMar>
                    <w:top w:w="0" w:type="dxa"/>
                    <w:left w:w="144" w:type="dxa"/>
                    <w:bottom w:w="0" w:type="dxa"/>
                    <w:right w:w="0" w:type="dxa"/>
                  </w:tcMar>
                  <w:hideMark/>
                </w:tcPr>
                <w:p w14:paraId="0B42892F"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24,739</w:t>
                  </w:r>
                </w:p>
              </w:tc>
              <w:tc>
                <w:tcPr>
                  <w:tcW w:w="833" w:type="dxa"/>
                  <w:noWrap/>
                  <w:tcMar>
                    <w:top w:w="0" w:type="dxa"/>
                    <w:left w:w="144" w:type="dxa"/>
                    <w:bottom w:w="0" w:type="dxa"/>
                    <w:right w:w="0" w:type="dxa"/>
                  </w:tcMar>
                  <w:hideMark/>
                </w:tcPr>
                <w:p w14:paraId="12957BD6"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23,118</w:t>
                  </w:r>
                </w:p>
              </w:tc>
              <w:tc>
                <w:tcPr>
                  <w:tcW w:w="1122" w:type="dxa"/>
                  <w:gridSpan w:val="2"/>
                  <w:noWrap/>
                  <w:tcMar>
                    <w:top w:w="0" w:type="dxa"/>
                    <w:left w:w="144" w:type="dxa"/>
                    <w:bottom w:w="0" w:type="dxa"/>
                    <w:right w:w="0" w:type="dxa"/>
                  </w:tcMar>
                  <w:hideMark/>
                </w:tcPr>
                <w:p w14:paraId="0BBC7738"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15,113</w:t>
                  </w:r>
                </w:p>
              </w:tc>
            </w:tr>
            <w:tr w:rsidR="00207559" w14:paraId="2C27D757" w14:textId="77777777" w:rsidTr="00D11DE1">
              <w:trPr>
                <w:cantSplit/>
                <w:jc w:val="center"/>
              </w:trPr>
              <w:tc>
                <w:tcPr>
                  <w:tcW w:w="4378" w:type="dxa"/>
                  <w:hideMark/>
                </w:tcPr>
                <w:p w14:paraId="3761B078" w14:textId="77777777" w:rsidR="00207559" w:rsidRDefault="00207559" w:rsidP="00207559">
                  <w:pPr>
                    <w:pStyle w:val="NormalWeb"/>
                    <w:keepNext/>
                    <w:tabs>
                      <w:tab w:val="right" w:leader="dot" w:pos="4620"/>
                    </w:tabs>
                    <w:spacing w:before="0" w:beforeAutospacing="0" w:after="0" w:afterAutospacing="0"/>
                    <w:ind w:left="240" w:hanging="240"/>
                    <w:jc w:val="right"/>
                    <w:rPr>
                      <w:rFonts w:eastAsiaTheme="minorEastAsia"/>
                      <w:sz w:val="18"/>
                      <w:szCs w:val="18"/>
                    </w:rPr>
                  </w:pPr>
                  <w:r>
                    <w:rPr>
                      <w:sz w:val="18"/>
                      <w:szCs w:val="18"/>
                    </w:rPr>
                    <w:t>Gross rental income</w:t>
                  </w:r>
                  <w:r>
                    <w:rPr>
                      <w:sz w:val="18"/>
                      <w:szCs w:val="18"/>
                    </w:rPr>
                    <w:tab/>
                  </w:r>
                </w:p>
              </w:tc>
              <w:tc>
                <w:tcPr>
                  <w:tcW w:w="612" w:type="dxa"/>
                </w:tcPr>
                <w:p w14:paraId="39BBC8CE"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9,111</w:t>
                  </w:r>
                </w:p>
              </w:tc>
              <w:tc>
                <w:tcPr>
                  <w:tcW w:w="1030" w:type="dxa"/>
                  <w:noWrap/>
                  <w:tcMar>
                    <w:top w:w="0" w:type="dxa"/>
                    <w:left w:w="144" w:type="dxa"/>
                    <w:bottom w:w="0" w:type="dxa"/>
                    <w:right w:w="0" w:type="dxa"/>
                  </w:tcMar>
                  <w:hideMark/>
                </w:tcPr>
                <w:p w14:paraId="74135F2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13,085</w:t>
                  </w:r>
                </w:p>
              </w:tc>
              <w:tc>
                <w:tcPr>
                  <w:tcW w:w="992" w:type="dxa"/>
                  <w:noWrap/>
                  <w:tcMar>
                    <w:top w:w="0" w:type="dxa"/>
                    <w:left w:w="144" w:type="dxa"/>
                    <w:bottom w:w="0" w:type="dxa"/>
                    <w:right w:w="0" w:type="dxa"/>
                  </w:tcMar>
                  <w:hideMark/>
                </w:tcPr>
                <w:p w14:paraId="2637211C"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16,806</w:t>
                  </w:r>
                </w:p>
              </w:tc>
              <w:tc>
                <w:tcPr>
                  <w:tcW w:w="833" w:type="dxa"/>
                  <w:noWrap/>
                  <w:tcMar>
                    <w:top w:w="0" w:type="dxa"/>
                    <w:left w:w="144" w:type="dxa"/>
                    <w:bottom w:w="0" w:type="dxa"/>
                    <w:right w:w="0" w:type="dxa"/>
                  </w:tcMar>
                  <w:hideMark/>
                </w:tcPr>
                <w:p w14:paraId="2BFDE80B"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17,073</w:t>
                  </w:r>
                </w:p>
              </w:tc>
              <w:tc>
                <w:tcPr>
                  <w:tcW w:w="1122" w:type="dxa"/>
                  <w:gridSpan w:val="2"/>
                  <w:noWrap/>
                  <w:tcMar>
                    <w:top w:w="0" w:type="dxa"/>
                    <w:left w:w="144" w:type="dxa"/>
                    <w:bottom w:w="0" w:type="dxa"/>
                    <w:right w:w="0" w:type="dxa"/>
                  </w:tcMar>
                  <w:hideMark/>
                </w:tcPr>
                <w:p w14:paraId="46BBC2AA"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9,596</w:t>
                  </w:r>
                </w:p>
              </w:tc>
            </w:tr>
            <w:tr w:rsidR="00207559" w14:paraId="2D1C11F6" w14:textId="77777777" w:rsidTr="00D11DE1">
              <w:trPr>
                <w:cantSplit/>
                <w:jc w:val="center"/>
              </w:trPr>
              <w:tc>
                <w:tcPr>
                  <w:tcW w:w="4378" w:type="dxa"/>
                  <w:hideMark/>
                </w:tcPr>
                <w:p w14:paraId="0F7CE772" w14:textId="77777777" w:rsidR="00207559" w:rsidRDefault="00207559" w:rsidP="00207559">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Service charge income</w:t>
                  </w:r>
                  <w:r>
                    <w:rPr>
                      <w:sz w:val="18"/>
                      <w:szCs w:val="18"/>
                    </w:rPr>
                    <w:tab/>
                  </w:r>
                </w:p>
              </w:tc>
              <w:tc>
                <w:tcPr>
                  <w:tcW w:w="612" w:type="dxa"/>
                </w:tcPr>
                <w:p w14:paraId="45C7B4CA"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1,409</w:t>
                  </w:r>
                </w:p>
              </w:tc>
              <w:tc>
                <w:tcPr>
                  <w:tcW w:w="1030" w:type="dxa"/>
                  <w:noWrap/>
                  <w:tcMar>
                    <w:top w:w="0" w:type="dxa"/>
                    <w:left w:w="144" w:type="dxa"/>
                    <w:bottom w:w="0" w:type="dxa"/>
                    <w:right w:w="0" w:type="dxa"/>
                  </w:tcMar>
                  <w:hideMark/>
                </w:tcPr>
                <w:p w14:paraId="196F81F3"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3,042</w:t>
                  </w:r>
                </w:p>
              </w:tc>
              <w:tc>
                <w:tcPr>
                  <w:tcW w:w="992" w:type="dxa"/>
                  <w:noWrap/>
                  <w:tcMar>
                    <w:top w:w="0" w:type="dxa"/>
                    <w:left w:w="144" w:type="dxa"/>
                    <w:bottom w:w="0" w:type="dxa"/>
                    <w:right w:w="0" w:type="dxa"/>
                  </w:tcMar>
                  <w:hideMark/>
                </w:tcPr>
                <w:p w14:paraId="65D91593"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4,108</w:t>
                  </w:r>
                </w:p>
              </w:tc>
              <w:tc>
                <w:tcPr>
                  <w:tcW w:w="833" w:type="dxa"/>
                  <w:noWrap/>
                  <w:tcMar>
                    <w:top w:w="0" w:type="dxa"/>
                    <w:left w:w="144" w:type="dxa"/>
                    <w:bottom w:w="0" w:type="dxa"/>
                    <w:right w:w="0" w:type="dxa"/>
                  </w:tcMar>
                  <w:hideMark/>
                </w:tcPr>
                <w:p w14:paraId="541DA17C"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3,498</w:t>
                  </w:r>
                </w:p>
              </w:tc>
              <w:tc>
                <w:tcPr>
                  <w:tcW w:w="1122" w:type="dxa"/>
                  <w:gridSpan w:val="2"/>
                  <w:noWrap/>
                  <w:tcMar>
                    <w:top w:w="0" w:type="dxa"/>
                    <w:left w:w="144" w:type="dxa"/>
                    <w:bottom w:w="0" w:type="dxa"/>
                    <w:right w:w="0" w:type="dxa"/>
                  </w:tcMar>
                  <w:hideMark/>
                </w:tcPr>
                <w:p w14:paraId="0FC90045"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2,110</w:t>
                  </w:r>
                </w:p>
              </w:tc>
            </w:tr>
            <w:tr w:rsidR="00207559" w14:paraId="4410AF11" w14:textId="77777777" w:rsidTr="00D11DE1">
              <w:trPr>
                <w:cantSplit/>
                <w:jc w:val="center"/>
              </w:trPr>
              <w:tc>
                <w:tcPr>
                  <w:tcW w:w="4378" w:type="dxa"/>
                  <w:hideMark/>
                </w:tcPr>
                <w:p w14:paraId="28E9DB5E" w14:textId="77777777" w:rsidR="00207559" w:rsidRDefault="00207559" w:rsidP="00207559">
                  <w:pPr>
                    <w:pStyle w:val="NormalWeb"/>
                    <w:tabs>
                      <w:tab w:val="right" w:leader="dot" w:pos="4620"/>
                    </w:tabs>
                    <w:spacing w:before="0" w:beforeAutospacing="0" w:after="0" w:afterAutospacing="0"/>
                    <w:jc w:val="right"/>
                    <w:rPr>
                      <w:rFonts w:eastAsiaTheme="minorEastAsia"/>
                      <w:sz w:val="18"/>
                      <w:szCs w:val="18"/>
                    </w:rPr>
                  </w:pPr>
                  <w:r>
                    <w:rPr>
                      <w:sz w:val="18"/>
                      <w:szCs w:val="18"/>
                    </w:rPr>
                    <w:t>Service charge expenses</w:t>
                  </w:r>
                  <w:r>
                    <w:rPr>
                      <w:sz w:val="18"/>
                      <w:szCs w:val="18"/>
                    </w:rPr>
                    <w:tab/>
                  </w:r>
                </w:p>
              </w:tc>
              <w:tc>
                <w:tcPr>
                  <w:tcW w:w="612" w:type="dxa"/>
                </w:tcPr>
                <w:p w14:paraId="2E916630"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(1,267)</w:t>
                  </w:r>
                </w:p>
              </w:tc>
              <w:tc>
                <w:tcPr>
                  <w:tcW w:w="1030" w:type="dxa"/>
                  <w:noWrap/>
                  <w:tcMar>
                    <w:top w:w="0" w:type="dxa"/>
                    <w:left w:w="144" w:type="dxa"/>
                    <w:bottom w:w="0" w:type="dxa"/>
                    <w:right w:w="0" w:type="dxa"/>
                  </w:tcMar>
                  <w:hideMark/>
                </w:tcPr>
                <w:p w14:paraId="1B0A0C6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(2,447)</w:t>
                  </w:r>
                </w:p>
              </w:tc>
              <w:tc>
                <w:tcPr>
                  <w:tcW w:w="992" w:type="dxa"/>
                  <w:noWrap/>
                  <w:tcMar>
                    <w:top w:w="0" w:type="dxa"/>
                    <w:left w:w="144" w:type="dxa"/>
                    <w:bottom w:w="0" w:type="dxa"/>
                    <w:right w:w="0" w:type="dxa"/>
                  </w:tcMar>
                  <w:hideMark/>
                </w:tcPr>
                <w:p w14:paraId="6B8A20B5"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(3,073)</w:t>
                  </w:r>
                </w:p>
              </w:tc>
              <w:tc>
                <w:tcPr>
                  <w:tcW w:w="833" w:type="dxa"/>
                  <w:noWrap/>
                  <w:tcMar>
                    <w:top w:w="0" w:type="dxa"/>
                    <w:left w:w="144" w:type="dxa"/>
                    <w:bottom w:w="0" w:type="dxa"/>
                    <w:right w:w="0" w:type="dxa"/>
                  </w:tcMar>
                  <w:hideMark/>
                </w:tcPr>
                <w:p w14:paraId="2D15AB6D"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(3,076)</w:t>
                  </w:r>
                </w:p>
              </w:tc>
              <w:tc>
                <w:tcPr>
                  <w:tcW w:w="1122" w:type="dxa"/>
                  <w:gridSpan w:val="2"/>
                  <w:noWrap/>
                  <w:tcMar>
                    <w:top w:w="0" w:type="dxa"/>
                    <w:left w:w="144" w:type="dxa"/>
                    <w:bottom w:w="0" w:type="dxa"/>
                    <w:right w:w="0" w:type="dxa"/>
                  </w:tcMar>
                  <w:hideMark/>
                </w:tcPr>
                <w:p w14:paraId="335E4F30"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(1,679)</w:t>
                  </w:r>
                </w:p>
              </w:tc>
            </w:tr>
            <w:tr w:rsidR="00207559" w14:paraId="171992D8" w14:textId="77777777" w:rsidTr="00D11DE1">
              <w:trPr>
                <w:cantSplit/>
                <w:jc w:val="center"/>
              </w:trPr>
              <w:tc>
                <w:tcPr>
                  <w:tcW w:w="4378" w:type="dxa"/>
                  <w:hideMark/>
                </w:tcPr>
                <w:p w14:paraId="4F18F5B8" w14:textId="77777777" w:rsidR="00207559" w:rsidRDefault="00207559" w:rsidP="00207559">
                  <w:pPr>
                    <w:pStyle w:val="NormalWeb"/>
                    <w:tabs>
                      <w:tab w:val="right" w:leader="dot" w:pos="4620"/>
                    </w:tabs>
                    <w:spacing w:before="0" w:beforeAutospacing="0" w:after="0" w:afterAutospacing="0"/>
                    <w:jc w:val="right"/>
                    <w:rPr>
                      <w:rFonts w:eastAsiaTheme="minorEastAsia"/>
                      <w:sz w:val="18"/>
                      <w:szCs w:val="18"/>
                    </w:rPr>
                  </w:pPr>
                  <w:r>
                    <w:rPr>
                      <w:sz w:val="18"/>
                      <w:szCs w:val="18"/>
                    </w:rPr>
                    <w:t>Property operating expenses</w:t>
                  </w:r>
                  <w:r>
                    <w:rPr>
                      <w:sz w:val="18"/>
                      <w:szCs w:val="18"/>
                    </w:rPr>
                    <w:tab/>
                  </w:r>
                </w:p>
              </w:tc>
              <w:tc>
                <w:tcPr>
                  <w:tcW w:w="612" w:type="dxa"/>
                </w:tcPr>
                <w:p w14:paraId="0B9765D2"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(655)</w:t>
                  </w:r>
                </w:p>
              </w:tc>
              <w:tc>
                <w:tcPr>
                  <w:tcW w:w="1030" w:type="dxa"/>
                  <w:noWrap/>
                  <w:tcMar>
                    <w:top w:w="0" w:type="dxa"/>
                    <w:left w:w="144" w:type="dxa"/>
                    <w:bottom w:w="0" w:type="dxa"/>
                    <w:right w:w="0" w:type="dxa"/>
                  </w:tcMar>
                  <w:hideMark/>
                </w:tcPr>
                <w:p w14:paraId="4A29D1D3"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(1,099)</w:t>
                  </w:r>
                </w:p>
              </w:tc>
              <w:tc>
                <w:tcPr>
                  <w:tcW w:w="992" w:type="dxa"/>
                  <w:noWrap/>
                  <w:tcMar>
                    <w:top w:w="0" w:type="dxa"/>
                    <w:left w:w="144" w:type="dxa"/>
                    <w:bottom w:w="0" w:type="dxa"/>
                    <w:right w:w="0" w:type="dxa"/>
                  </w:tcMar>
                  <w:hideMark/>
                </w:tcPr>
                <w:p w14:paraId="41636FC2"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(1,703)</w:t>
                  </w:r>
                </w:p>
              </w:tc>
              <w:tc>
                <w:tcPr>
                  <w:tcW w:w="833" w:type="dxa"/>
                  <w:noWrap/>
                  <w:tcMar>
                    <w:top w:w="0" w:type="dxa"/>
                    <w:left w:w="144" w:type="dxa"/>
                    <w:bottom w:w="0" w:type="dxa"/>
                    <w:right w:w="0" w:type="dxa"/>
                  </w:tcMar>
                  <w:hideMark/>
                </w:tcPr>
                <w:p w14:paraId="1EC332BB"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(972)</w:t>
                  </w:r>
                </w:p>
              </w:tc>
              <w:tc>
                <w:tcPr>
                  <w:tcW w:w="1122" w:type="dxa"/>
                  <w:gridSpan w:val="2"/>
                  <w:noWrap/>
                  <w:tcMar>
                    <w:top w:w="0" w:type="dxa"/>
                    <w:left w:w="144" w:type="dxa"/>
                    <w:bottom w:w="0" w:type="dxa"/>
                    <w:right w:w="0" w:type="dxa"/>
                  </w:tcMar>
                  <w:hideMark/>
                </w:tcPr>
                <w:p w14:paraId="417DEDD3"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(1,513)</w:t>
                  </w:r>
                </w:p>
              </w:tc>
            </w:tr>
            <w:tr w:rsidR="00207559" w14:paraId="5709276E" w14:textId="77777777" w:rsidTr="00D11DE1">
              <w:trPr>
                <w:cantSplit/>
                <w:jc w:val="center"/>
              </w:trPr>
              <w:tc>
                <w:tcPr>
                  <w:tcW w:w="4378" w:type="dxa"/>
                  <w:hideMark/>
                </w:tcPr>
                <w:p w14:paraId="4B231E1E" w14:textId="77777777" w:rsidR="00207559" w:rsidRDefault="00207559" w:rsidP="00207559">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Net rental income</w:t>
                  </w:r>
                  <w:r>
                    <w:rPr>
                      <w:b/>
                      <w:bCs/>
                      <w:sz w:val="18"/>
                      <w:szCs w:val="18"/>
                    </w:rPr>
                    <w:tab/>
                  </w:r>
                </w:p>
              </w:tc>
              <w:tc>
                <w:tcPr>
                  <w:tcW w:w="612" w:type="dxa"/>
                </w:tcPr>
                <w:p w14:paraId="1D4740D7" w14:textId="77777777" w:rsidR="00207559" w:rsidRDefault="00207559" w:rsidP="00207559">
                  <w:pPr>
                    <w:pStyle w:val="NormalWeb"/>
                    <w:tabs>
                      <w:tab w:val="right" w:pos="900"/>
                      <w:tab w:val="decimal" w:pos="940"/>
                    </w:tabs>
                    <w:spacing w:before="0" w:beforeAutospacing="0" w:after="20" w:afterAutospacing="0"/>
                    <w:jc w:val="right"/>
                    <w:rPr>
                      <w:b/>
                      <w:bCs/>
                      <w:sz w:val="18"/>
                      <w:szCs w:val="18"/>
                    </w:rPr>
                  </w:pPr>
                  <w:r>
                    <w:rPr>
                      <w:b/>
                      <w:bCs/>
                      <w:sz w:val="18"/>
                      <w:szCs w:val="18"/>
                    </w:rPr>
                    <w:t>8,598</w:t>
                  </w:r>
                </w:p>
              </w:tc>
              <w:tc>
                <w:tcPr>
                  <w:tcW w:w="1030" w:type="dxa"/>
                  <w:noWrap/>
                  <w:tcMar>
                    <w:top w:w="0" w:type="dxa"/>
                    <w:left w:w="144" w:type="dxa"/>
                    <w:bottom w:w="0" w:type="dxa"/>
                    <w:right w:w="0" w:type="dxa"/>
                  </w:tcMar>
                  <w:hideMark/>
                </w:tcPr>
                <w:p w14:paraId="518F26B6"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b/>
                      <w:bCs/>
                      <w:sz w:val="18"/>
                      <w:szCs w:val="18"/>
                    </w:rPr>
                    <w:t>12,581</w:t>
                  </w:r>
                </w:p>
              </w:tc>
              <w:tc>
                <w:tcPr>
                  <w:tcW w:w="992" w:type="dxa"/>
                  <w:noWrap/>
                  <w:tcMar>
                    <w:top w:w="0" w:type="dxa"/>
                    <w:left w:w="144" w:type="dxa"/>
                    <w:bottom w:w="0" w:type="dxa"/>
                    <w:right w:w="0" w:type="dxa"/>
                  </w:tcMar>
                  <w:hideMark/>
                </w:tcPr>
                <w:p w14:paraId="7BCCED3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
                      <w:bCs/>
                      <w:sz w:val="18"/>
                      <w:szCs w:val="18"/>
                    </w:rPr>
                    <w:t>16,138</w:t>
                  </w:r>
                </w:p>
              </w:tc>
              <w:tc>
                <w:tcPr>
                  <w:tcW w:w="833" w:type="dxa"/>
                  <w:noWrap/>
                  <w:tcMar>
                    <w:top w:w="0" w:type="dxa"/>
                    <w:left w:w="144" w:type="dxa"/>
                    <w:bottom w:w="0" w:type="dxa"/>
                    <w:right w:w="0" w:type="dxa"/>
                  </w:tcMar>
                  <w:hideMark/>
                </w:tcPr>
                <w:p w14:paraId="7FB4E2F7"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16,523</w:t>
                  </w:r>
                </w:p>
              </w:tc>
              <w:tc>
                <w:tcPr>
                  <w:tcW w:w="1122" w:type="dxa"/>
                  <w:gridSpan w:val="2"/>
                  <w:noWrap/>
                  <w:tcMar>
                    <w:top w:w="0" w:type="dxa"/>
                    <w:left w:w="144" w:type="dxa"/>
                    <w:bottom w:w="0" w:type="dxa"/>
                    <w:right w:w="0" w:type="dxa"/>
                  </w:tcMar>
                  <w:hideMark/>
                </w:tcPr>
                <w:p w14:paraId="5974205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8,514</w:t>
                  </w:r>
                </w:p>
              </w:tc>
            </w:tr>
            <w:tr w:rsidR="00207559" w14:paraId="5916A643" w14:textId="77777777" w:rsidTr="00D11DE1">
              <w:trPr>
                <w:cantSplit/>
                <w:jc w:val="center"/>
              </w:trPr>
              <w:tc>
                <w:tcPr>
                  <w:tcW w:w="4378" w:type="dxa"/>
                  <w:hideMark/>
                </w:tcPr>
                <w:p w14:paraId="153A9CE7" w14:textId="77777777" w:rsidR="00207559" w:rsidRDefault="00207559" w:rsidP="00207559">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Property and development management income</w:t>
                  </w:r>
                  <w:r>
                    <w:rPr>
                      <w:sz w:val="18"/>
                      <w:szCs w:val="18"/>
                    </w:rPr>
                    <w:tab/>
                  </w:r>
                </w:p>
              </w:tc>
              <w:tc>
                <w:tcPr>
                  <w:tcW w:w="612" w:type="dxa"/>
                </w:tcPr>
                <w:p w14:paraId="04A1F9A7"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3,495</w:t>
                  </w:r>
                </w:p>
              </w:tc>
              <w:tc>
                <w:tcPr>
                  <w:tcW w:w="1030" w:type="dxa"/>
                  <w:noWrap/>
                  <w:tcMar>
                    <w:top w:w="0" w:type="dxa"/>
                    <w:left w:w="144" w:type="dxa"/>
                    <w:bottom w:w="0" w:type="dxa"/>
                    <w:right w:w="0" w:type="dxa"/>
                  </w:tcMar>
                </w:tcPr>
                <w:p w14:paraId="54F323D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638</w:t>
                  </w:r>
                </w:p>
              </w:tc>
              <w:tc>
                <w:tcPr>
                  <w:tcW w:w="992" w:type="dxa"/>
                  <w:noWrap/>
                  <w:tcMar>
                    <w:top w:w="0" w:type="dxa"/>
                    <w:left w:w="144" w:type="dxa"/>
                    <w:bottom w:w="0" w:type="dxa"/>
                    <w:right w:w="0" w:type="dxa"/>
                  </w:tcMar>
                  <w:hideMark/>
                </w:tcPr>
                <w:p w14:paraId="0EB263A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3,141</w:t>
                  </w:r>
                </w:p>
              </w:tc>
              <w:tc>
                <w:tcPr>
                  <w:tcW w:w="833" w:type="dxa"/>
                  <w:noWrap/>
                  <w:tcMar>
                    <w:top w:w="0" w:type="dxa"/>
                    <w:left w:w="144" w:type="dxa"/>
                    <w:bottom w:w="0" w:type="dxa"/>
                    <w:right w:w="0" w:type="dxa"/>
                  </w:tcMar>
                  <w:hideMark/>
                </w:tcPr>
                <w:p w14:paraId="6CA56C6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1,433</w:t>
                  </w:r>
                </w:p>
              </w:tc>
              <w:tc>
                <w:tcPr>
                  <w:tcW w:w="1122" w:type="dxa"/>
                  <w:gridSpan w:val="2"/>
                  <w:noWrap/>
                  <w:tcMar>
                    <w:top w:w="0" w:type="dxa"/>
                    <w:left w:w="144" w:type="dxa"/>
                    <w:bottom w:w="0" w:type="dxa"/>
                    <w:right w:w="0" w:type="dxa"/>
                  </w:tcMar>
                  <w:hideMark/>
                </w:tcPr>
                <w:p w14:paraId="213DC0B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2,175</w:t>
                  </w:r>
                </w:p>
              </w:tc>
            </w:tr>
            <w:tr w:rsidR="00207559" w14:paraId="2A4708B7" w14:textId="77777777" w:rsidTr="00D11DE1">
              <w:trPr>
                <w:cantSplit/>
                <w:jc w:val="center"/>
              </w:trPr>
              <w:tc>
                <w:tcPr>
                  <w:tcW w:w="4378" w:type="dxa"/>
                  <w:hideMark/>
                </w:tcPr>
                <w:p w14:paraId="54F52F41" w14:textId="77777777" w:rsidR="00207559" w:rsidRDefault="00207559" w:rsidP="00207559">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Facility management income</w:t>
                  </w:r>
                  <w:r>
                    <w:rPr>
                      <w:sz w:val="18"/>
                      <w:szCs w:val="18"/>
                    </w:rPr>
                    <w:tab/>
                  </w:r>
                </w:p>
              </w:tc>
              <w:tc>
                <w:tcPr>
                  <w:tcW w:w="612" w:type="dxa"/>
                </w:tcPr>
                <w:p w14:paraId="5D22C56D"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281</w:t>
                  </w:r>
                </w:p>
              </w:tc>
              <w:tc>
                <w:tcPr>
                  <w:tcW w:w="1030" w:type="dxa"/>
                  <w:noWrap/>
                  <w:tcMar>
                    <w:top w:w="0" w:type="dxa"/>
                    <w:left w:w="144" w:type="dxa"/>
                    <w:bottom w:w="0" w:type="dxa"/>
                    <w:right w:w="0" w:type="dxa"/>
                  </w:tcMar>
                </w:tcPr>
                <w:p w14:paraId="19FCC742"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239</w:t>
                  </w:r>
                </w:p>
              </w:tc>
              <w:tc>
                <w:tcPr>
                  <w:tcW w:w="992" w:type="dxa"/>
                  <w:noWrap/>
                  <w:tcMar>
                    <w:top w:w="0" w:type="dxa"/>
                    <w:left w:w="144" w:type="dxa"/>
                    <w:bottom w:w="0" w:type="dxa"/>
                    <w:right w:w="0" w:type="dxa"/>
                  </w:tcMar>
                  <w:hideMark/>
                </w:tcPr>
                <w:p w14:paraId="1174EE9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684</w:t>
                  </w:r>
                </w:p>
              </w:tc>
              <w:tc>
                <w:tcPr>
                  <w:tcW w:w="833" w:type="dxa"/>
                  <w:noWrap/>
                  <w:tcMar>
                    <w:top w:w="0" w:type="dxa"/>
                    <w:left w:w="144" w:type="dxa"/>
                    <w:bottom w:w="0" w:type="dxa"/>
                    <w:right w:w="0" w:type="dxa"/>
                  </w:tcMar>
                  <w:hideMark/>
                </w:tcPr>
                <w:p w14:paraId="4DF1F8D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1,114</w:t>
                  </w:r>
                </w:p>
              </w:tc>
              <w:tc>
                <w:tcPr>
                  <w:tcW w:w="1122" w:type="dxa"/>
                  <w:gridSpan w:val="2"/>
                  <w:noWrap/>
                  <w:tcMar>
                    <w:top w:w="0" w:type="dxa"/>
                    <w:left w:w="144" w:type="dxa"/>
                    <w:bottom w:w="0" w:type="dxa"/>
                    <w:right w:w="0" w:type="dxa"/>
                  </w:tcMar>
                  <w:hideMark/>
                </w:tcPr>
                <w:p w14:paraId="56E5003D"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1,233</w:t>
                  </w:r>
                </w:p>
              </w:tc>
            </w:tr>
            <w:tr w:rsidR="00207559" w14:paraId="22A6D7ED" w14:textId="77777777" w:rsidTr="00D11DE1">
              <w:trPr>
                <w:cantSplit/>
                <w:jc w:val="center"/>
              </w:trPr>
              <w:tc>
                <w:tcPr>
                  <w:tcW w:w="4378" w:type="dxa"/>
                  <w:hideMark/>
                </w:tcPr>
                <w:p w14:paraId="0226252F" w14:textId="77777777" w:rsidR="00207559" w:rsidRDefault="00207559" w:rsidP="00207559">
                  <w:pPr>
                    <w:pStyle w:val="NormalWeb"/>
                    <w:tabs>
                      <w:tab w:val="right" w:leader="dot" w:pos="4620"/>
                    </w:tabs>
                    <w:spacing w:before="0" w:beforeAutospacing="0" w:after="0" w:afterAutospacing="0"/>
                    <w:ind w:left="240" w:hanging="240"/>
                    <w:rPr>
                      <w:rFonts w:eastAsiaTheme="minorEastAsia"/>
                      <w:sz w:val="18"/>
                      <w:szCs w:val="18"/>
                    </w:rPr>
                  </w:pPr>
                  <w:r>
                    <w:rPr>
                      <w:sz w:val="18"/>
                      <w:szCs w:val="18"/>
                    </w:rPr>
                    <w:t>Net valuation gains/(losses) on investment properties</w:t>
                  </w:r>
                  <w:r>
                    <w:rPr>
                      <w:sz w:val="18"/>
                      <w:szCs w:val="18"/>
                    </w:rPr>
                    <w:tab/>
                  </w:r>
                </w:p>
              </w:tc>
              <w:tc>
                <w:tcPr>
                  <w:tcW w:w="612" w:type="dxa"/>
                </w:tcPr>
                <w:p w14:paraId="0C6D213E"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59,864</w:t>
                  </w:r>
                </w:p>
              </w:tc>
              <w:tc>
                <w:tcPr>
                  <w:tcW w:w="1030" w:type="dxa"/>
                  <w:noWrap/>
                  <w:tcMar>
                    <w:top w:w="0" w:type="dxa"/>
                    <w:left w:w="144" w:type="dxa"/>
                    <w:bottom w:w="0" w:type="dxa"/>
                    <w:right w:w="0" w:type="dxa"/>
                  </w:tcMar>
                </w:tcPr>
                <w:p w14:paraId="51A0FE9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65,127</w:t>
                  </w:r>
                </w:p>
              </w:tc>
              <w:tc>
                <w:tcPr>
                  <w:tcW w:w="992" w:type="dxa"/>
                  <w:noWrap/>
                  <w:tcMar>
                    <w:top w:w="0" w:type="dxa"/>
                    <w:left w:w="144" w:type="dxa"/>
                    <w:bottom w:w="0" w:type="dxa"/>
                    <w:right w:w="0" w:type="dxa"/>
                  </w:tcMar>
                  <w:hideMark/>
                </w:tcPr>
                <w:p w14:paraId="28541176"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118,900</w:t>
                  </w:r>
                </w:p>
              </w:tc>
              <w:tc>
                <w:tcPr>
                  <w:tcW w:w="833" w:type="dxa"/>
                  <w:noWrap/>
                  <w:tcMar>
                    <w:top w:w="0" w:type="dxa"/>
                    <w:left w:w="144" w:type="dxa"/>
                    <w:bottom w:w="0" w:type="dxa"/>
                    <w:right w:w="0" w:type="dxa"/>
                  </w:tcMar>
                  <w:hideMark/>
                </w:tcPr>
                <w:p w14:paraId="3C2E96E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103,981</w:t>
                  </w:r>
                </w:p>
              </w:tc>
              <w:tc>
                <w:tcPr>
                  <w:tcW w:w="1122" w:type="dxa"/>
                  <w:gridSpan w:val="2"/>
                  <w:noWrap/>
                  <w:tcMar>
                    <w:top w:w="0" w:type="dxa"/>
                    <w:left w:w="144" w:type="dxa"/>
                    <w:bottom w:w="0" w:type="dxa"/>
                    <w:right w:w="0" w:type="dxa"/>
                  </w:tcMar>
                  <w:hideMark/>
                </w:tcPr>
                <w:p w14:paraId="6260479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53,920</w:t>
                  </w:r>
                </w:p>
              </w:tc>
            </w:tr>
            <w:tr w:rsidR="00207559" w14:paraId="21C28EDE" w14:textId="77777777" w:rsidTr="00D11DE1">
              <w:trPr>
                <w:cantSplit/>
                <w:jc w:val="center"/>
              </w:trPr>
              <w:tc>
                <w:tcPr>
                  <w:tcW w:w="4378" w:type="dxa"/>
                  <w:hideMark/>
                </w:tcPr>
                <w:p w14:paraId="75B66CCC" w14:textId="77777777" w:rsidR="00207559" w:rsidRDefault="00207559" w:rsidP="00207559">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Administration expenses</w:t>
                  </w:r>
                  <w:r>
                    <w:rPr>
                      <w:sz w:val="18"/>
                      <w:szCs w:val="18"/>
                    </w:rPr>
                    <w:tab/>
                  </w:r>
                </w:p>
              </w:tc>
              <w:tc>
                <w:tcPr>
                  <w:tcW w:w="612" w:type="dxa"/>
                </w:tcPr>
                <w:p w14:paraId="7278B5C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(9,660)</w:t>
                  </w:r>
                </w:p>
              </w:tc>
              <w:tc>
                <w:tcPr>
                  <w:tcW w:w="1030" w:type="dxa"/>
                  <w:noWrap/>
                  <w:tcMar>
                    <w:top w:w="0" w:type="dxa"/>
                    <w:left w:w="144" w:type="dxa"/>
                    <w:bottom w:w="0" w:type="dxa"/>
                    <w:right w:w="0" w:type="dxa"/>
                  </w:tcMar>
                </w:tcPr>
                <w:p w14:paraId="1BE3AF07"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(4,904)</w:t>
                  </w:r>
                </w:p>
              </w:tc>
              <w:tc>
                <w:tcPr>
                  <w:tcW w:w="992" w:type="dxa"/>
                  <w:noWrap/>
                  <w:tcMar>
                    <w:top w:w="0" w:type="dxa"/>
                    <w:left w:w="144" w:type="dxa"/>
                    <w:bottom w:w="0" w:type="dxa"/>
                    <w:right w:w="0" w:type="dxa"/>
                  </w:tcMar>
                  <w:hideMark/>
                </w:tcPr>
                <w:p w14:paraId="08BE578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(15,446)</w:t>
                  </w:r>
                </w:p>
              </w:tc>
              <w:tc>
                <w:tcPr>
                  <w:tcW w:w="833" w:type="dxa"/>
                  <w:noWrap/>
                  <w:tcMar>
                    <w:top w:w="0" w:type="dxa"/>
                    <w:left w:w="144" w:type="dxa"/>
                    <w:bottom w:w="0" w:type="dxa"/>
                    <w:right w:w="0" w:type="dxa"/>
                  </w:tcMar>
                  <w:hideMark/>
                </w:tcPr>
                <w:p w14:paraId="093030BB"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(13,451)</w:t>
                  </w:r>
                </w:p>
              </w:tc>
              <w:tc>
                <w:tcPr>
                  <w:tcW w:w="1122" w:type="dxa"/>
                  <w:gridSpan w:val="2"/>
                  <w:noWrap/>
                  <w:tcMar>
                    <w:top w:w="0" w:type="dxa"/>
                    <w:left w:w="144" w:type="dxa"/>
                    <w:bottom w:w="0" w:type="dxa"/>
                    <w:right w:w="0" w:type="dxa"/>
                  </w:tcMar>
                  <w:hideMark/>
                </w:tcPr>
                <w:p w14:paraId="18CA3E3E"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(6,556)</w:t>
                  </w:r>
                </w:p>
              </w:tc>
            </w:tr>
            <w:tr w:rsidR="00207559" w14:paraId="2981F342" w14:textId="77777777" w:rsidTr="00D11DE1">
              <w:trPr>
                <w:cantSplit/>
                <w:jc w:val="center"/>
              </w:trPr>
              <w:tc>
                <w:tcPr>
                  <w:tcW w:w="4378" w:type="dxa"/>
                  <w:hideMark/>
                </w:tcPr>
                <w:p w14:paraId="3FEF92EB" w14:textId="77777777" w:rsidR="00207559" w:rsidRDefault="00207559" w:rsidP="00207559">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income</w:t>
                  </w:r>
                  <w:r>
                    <w:rPr>
                      <w:sz w:val="18"/>
                      <w:szCs w:val="18"/>
                    </w:rPr>
                    <w:tab/>
                  </w:r>
                </w:p>
              </w:tc>
              <w:tc>
                <w:tcPr>
                  <w:tcW w:w="612" w:type="dxa"/>
                </w:tcPr>
                <w:p w14:paraId="64E42B0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370</w:t>
                  </w:r>
                </w:p>
              </w:tc>
              <w:tc>
                <w:tcPr>
                  <w:tcW w:w="1030" w:type="dxa"/>
                  <w:noWrap/>
                  <w:tcMar>
                    <w:top w:w="0" w:type="dxa"/>
                    <w:left w:w="144" w:type="dxa"/>
                    <w:bottom w:w="0" w:type="dxa"/>
                    <w:right w:w="0" w:type="dxa"/>
                  </w:tcMar>
                </w:tcPr>
                <w:p w14:paraId="20533D0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233</w:t>
                  </w:r>
                </w:p>
              </w:tc>
              <w:tc>
                <w:tcPr>
                  <w:tcW w:w="992" w:type="dxa"/>
                  <w:noWrap/>
                  <w:tcMar>
                    <w:top w:w="0" w:type="dxa"/>
                    <w:left w:w="144" w:type="dxa"/>
                    <w:bottom w:w="0" w:type="dxa"/>
                    <w:right w:w="0" w:type="dxa"/>
                  </w:tcMar>
                  <w:hideMark/>
                </w:tcPr>
                <w:p w14:paraId="34580F3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483</w:t>
                  </w:r>
                </w:p>
              </w:tc>
              <w:tc>
                <w:tcPr>
                  <w:tcW w:w="833" w:type="dxa"/>
                  <w:noWrap/>
                  <w:tcMar>
                    <w:top w:w="0" w:type="dxa"/>
                    <w:left w:w="144" w:type="dxa"/>
                    <w:bottom w:w="0" w:type="dxa"/>
                    <w:right w:w="0" w:type="dxa"/>
                  </w:tcMar>
                  <w:hideMark/>
                </w:tcPr>
                <w:p w14:paraId="314C0E7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487</w:t>
                  </w:r>
                </w:p>
              </w:tc>
              <w:tc>
                <w:tcPr>
                  <w:tcW w:w="1122" w:type="dxa"/>
                  <w:gridSpan w:val="2"/>
                  <w:noWrap/>
                  <w:tcMar>
                    <w:top w:w="0" w:type="dxa"/>
                    <w:left w:w="144" w:type="dxa"/>
                    <w:bottom w:w="0" w:type="dxa"/>
                    <w:right w:w="0" w:type="dxa"/>
                  </w:tcMar>
                  <w:hideMark/>
                </w:tcPr>
                <w:p w14:paraId="4DD2C2A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348</w:t>
                  </w:r>
                </w:p>
              </w:tc>
            </w:tr>
            <w:tr w:rsidR="00207559" w14:paraId="675C932F" w14:textId="77777777" w:rsidTr="00D11DE1">
              <w:trPr>
                <w:cantSplit/>
                <w:jc w:val="center"/>
              </w:trPr>
              <w:tc>
                <w:tcPr>
                  <w:tcW w:w="4378" w:type="dxa"/>
                  <w:hideMark/>
                </w:tcPr>
                <w:p w14:paraId="795DF11B" w14:textId="77777777" w:rsidR="00207559" w:rsidRDefault="00207559" w:rsidP="00207559">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expenses</w:t>
                  </w:r>
                  <w:r>
                    <w:rPr>
                      <w:sz w:val="18"/>
                      <w:szCs w:val="18"/>
                    </w:rPr>
                    <w:tab/>
                  </w:r>
                </w:p>
              </w:tc>
              <w:tc>
                <w:tcPr>
                  <w:tcW w:w="612" w:type="dxa"/>
                </w:tcPr>
                <w:p w14:paraId="23F7999D"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(439)</w:t>
                  </w:r>
                </w:p>
              </w:tc>
              <w:tc>
                <w:tcPr>
                  <w:tcW w:w="1030" w:type="dxa"/>
                  <w:noWrap/>
                  <w:tcMar>
                    <w:top w:w="0" w:type="dxa"/>
                    <w:left w:w="144" w:type="dxa"/>
                    <w:bottom w:w="0" w:type="dxa"/>
                    <w:right w:w="0" w:type="dxa"/>
                  </w:tcMar>
                </w:tcPr>
                <w:p w14:paraId="6CCCD8CD"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(587)</w:t>
                  </w:r>
                </w:p>
              </w:tc>
              <w:tc>
                <w:tcPr>
                  <w:tcW w:w="992" w:type="dxa"/>
                  <w:noWrap/>
                  <w:tcMar>
                    <w:top w:w="0" w:type="dxa"/>
                    <w:left w:w="144" w:type="dxa"/>
                    <w:bottom w:w="0" w:type="dxa"/>
                    <w:right w:w="0" w:type="dxa"/>
                  </w:tcMar>
                  <w:hideMark/>
                </w:tcPr>
                <w:p w14:paraId="09A6163B"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(1,815)</w:t>
                  </w:r>
                </w:p>
              </w:tc>
              <w:tc>
                <w:tcPr>
                  <w:tcW w:w="833" w:type="dxa"/>
                  <w:noWrap/>
                  <w:tcMar>
                    <w:top w:w="0" w:type="dxa"/>
                    <w:left w:w="144" w:type="dxa"/>
                    <w:bottom w:w="0" w:type="dxa"/>
                    <w:right w:w="0" w:type="dxa"/>
                  </w:tcMar>
                  <w:hideMark/>
                </w:tcPr>
                <w:p w14:paraId="43AF7C52"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(1,034)</w:t>
                  </w:r>
                </w:p>
              </w:tc>
              <w:tc>
                <w:tcPr>
                  <w:tcW w:w="1122" w:type="dxa"/>
                  <w:gridSpan w:val="2"/>
                  <w:noWrap/>
                  <w:tcMar>
                    <w:top w:w="0" w:type="dxa"/>
                    <w:left w:w="144" w:type="dxa"/>
                    <w:bottom w:w="0" w:type="dxa"/>
                    <w:right w:w="0" w:type="dxa"/>
                  </w:tcMar>
                  <w:hideMark/>
                </w:tcPr>
                <w:p w14:paraId="3E413A0B"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(881)</w:t>
                  </w:r>
                </w:p>
              </w:tc>
            </w:tr>
            <w:tr w:rsidR="00207559" w14:paraId="5DA35693" w14:textId="77777777" w:rsidTr="00D11DE1">
              <w:trPr>
                <w:cantSplit/>
                <w:jc w:val="center"/>
              </w:trPr>
              <w:tc>
                <w:tcPr>
                  <w:tcW w:w="4378" w:type="dxa"/>
                </w:tcPr>
                <w:p w14:paraId="65874E16" w14:textId="77777777" w:rsidR="00207559" w:rsidRDefault="00207559" w:rsidP="00207559">
                  <w:pPr>
                    <w:pStyle w:val="NormalWeb"/>
                    <w:tabs>
                      <w:tab w:val="right" w:leader="dot" w:pos="4620"/>
                    </w:tabs>
                    <w:spacing w:before="0" w:beforeAutospacing="0" w:after="0" w:afterAutospacing="0"/>
                    <w:ind w:left="240" w:hanging="240"/>
                    <w:jc w:val="right"/>
                    <w:rPr>
                      <w:sz w:val="18"/>
                      <w:szCs w:val="18"/>
                    </w:rPr>
                  </w:pPr>
                  <w:r>
                    <w:rPr>
                      <w:sz w:val="18"/>
                      <w:szCs w:val="18"/>
                    </w:rPr>
                    <w:t>Share in result of joint venture and associates</w:t>
                  </w:r>
                  <w:r>
                    <w:rPr>
                      <w:sz w:val="18"/>
                      <w:szCs w:val="18"/>
                    </w:rPr>
                    <w:tab/>
                  </w:r>
                </w:p>
              </w:tc>
              <w:tc>
                <w:tcPr>
                  <w:tcW w:w="612" w:type="dxa"/>
                </w:tcPr>
                <w:p w14:paraId="12CB7DE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15,167</w:t>
                  </w:r>
                </w:p>
              </w:tc>
              <w:tc>
                <w:tcPr>
                  <w:tcW w:w="1030" w:type="dxa"/>
                  <w:noWrap/>
                  <w:tcMar>
                    <w:top w:w="0" w:type="dxa"/>
                    <w:left w:w="144" w:type="dxa"/>
                    <w:bottom w:w="0" w:type="dxa"/>
                    <w:right w:w="0" w:type="dxa"/>
                  </w:tcMar>
                </w:tcPr>
                <w:p w14:paraId="23AAE86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(3,279)</w:t>
                  </w:r>
                </w:p>
              </w:tc>
              <w:tc>
                <w:tcPr>
                  <w:tcW w:w="992" w:type="dxa"/>
                  <w:noWrap/>
                  <w:tcMar>
                    <w:top w:w="0" w:type="dxa"/>
                    <w:left w:w="144" w:type="dxa"/>
                    <w:bottom w:w="0" w:type="dxa"/>
                    <w:right w:w="0" w:type="dxa"/>
                  </w:tcMar>
                </w:tcPr>
                <w:p w14:paraId="6EA39D0C"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7,897</w:t>
                  </w:r>
                </w:p>
              </w:tc>
              <w:tc>
                <w:tcPr>
                  <w:tcW w:w="833" w:type="dxa"/>
                  <w:noWrap/>
                  <w:tcMar>
                    <w:top w:w="0" w:type="dxa"/>
                    <w:left w:w="144" w:type="dxa"/>
                    <w:bottom w:w="0" w:type="dxa"/>
                    <w:right w:w="0" w:type="dxa"/>
                  </w:tcMar>
                </w:tcPr>
                <w:p w14:paraId="15CCD47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191</w:t>
                  </w:r>
                </w:p>
              </w:tc>
              <w:tc>
                <w:tcPr>
                  <w:tcW w:w="1122" w:type="dxa"/>
                  <w:gridSpan w:val="2"/>
                  <w:noWrap/>
                  <w:tcMar>
                    <w:top w:w="0" w:type="dxa"/>
                    <w:left w:w="144" w:type="dxa"/>
                    <w:bottom w:w="0" w:type="dxa"/>
                    <w:right w:w="0" w:type="dxa"/>
                  </w:tcMar>
                </w:tcPr>
                <w:p w14:paraId="6DFEA8E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14,473</w:t>
                  </w:r>
                </w:p>
              </w:tc>
            </w:tr>
            <w:tr w:rsidR="00207559" w14:paraId="3AB4F15F" w14:textId="77777777" w:rsidTr="00D11DE1">
              <w:trPr>
                <w:cantSplit/>
                <w:jc w:val="center"/>
              </w:trPr>
              <w:tc>
                <w:tcPr>
                  <w:tcW w:w="4378" w:type="dxa"/>
                  <w:hideMark/>
                </w:tcPr>
                <w:p w14:paraId="5E3D3485" w14:textId="77777777" w:rsidR="00207559" w:rsidRDefault="00207559" w:rsidP="00207559">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Operating profit</w:t>
                  </w:r>
                  <w:r>
                    <w:rPr>
                      <w:b/>
                      <w:bCs/>
                      <w:sz w:val="18"/>
                      <w:szCs w:val="18"/>
                    </w:rPr>
                    <w:tab/>
                  </w:r>
                </w:p>
              </w:tc>
              <w:tc>
                <w:tcPr>
                  <w:tcW w:w="612" w:type="dxa"/>
                </w:tcPr>
                <w:p w14:paraId="6D14BA77"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b/>
                      <w:sz w:val="18"/>
                      <w:szCs w:val="18"/>
                    </w:rPr>
                    <w:t>77,676</w:t>
                  </w:r>
                </w:p>
              </w:tc>
              <w:tc>
                <w:tcPr>
                  <w:tcW w:w="1030" w:type="dxa"/>
                  <w:noWrap/>
                  <w:tcMar>
                    <w:top w:w="0" w:type="dxa"/>
                    <w:left w:w="144" w:type="dxa"/>
                    <w:bottom w:w="0" w:type="dxa"/>
                    <w:right w:w="0" w:type="dxa"/>
                  </w:tcMar>
                </w:tcPr>
                <w:p w14:paraId="4F425380"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b/>
                      <w:sz w:val="18"/>
                      <w:szCs w:val="18"/>
                    </w:rPr>
                    <w:t>70,048</w:t>
                  </w:r>
                </w:p>
              </w:tc>
              <w:tc>
                <w:tcPr>
                  <w:tcW w:w="992" w:type="dxa"/>
                  <w:noWrap/>
                  <w:tcMar>
                    <w:top w:w="0" w:type="dxa"/>
                    <w:left w:w="144" w:type="dxa"/>
                    <w:bottom w:w="0" w:type="dxa"/>
                    <w:right w:w="0" w:type="dxa"/>
                  </w:tcMar>
                  <w:hideMark/>
                </w:tcPr>
                <w:p w14:paraId="3E8A417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129,982</w:t>
                  </w:r>
                </w:p>
              </w:tc>
              <w:tc>
                <w:tcPr>
                  <w:tcW w:w="833" w:type="dxa"/>
                  <w:noWrap/>
                  <w:tcMar>
                    <w:top w:w="0" w:type="dxa"/>
                    <w:left w:w="144" w:type="dxa"/>
                    <w:bottom w:w="0" w:type="dxa"/>
                    <w:right w:w="0" w:type="dxa"/>
                  </w:tcMar>
                  <w:hideMark/>
                </w:tcPr>
                <w:p w14:paraId="58FE8EFB"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109,244</w:t>
                  </w:r>
                </w:p>
              </w:tc>
              <w:tc>
                <w:tcPr>
                  <w:tcW w:w="1122" w:type="dxa"/>
                  <w:gridSpan w:val="2"/>
                  <w:noWrap/>
                  <w:tcMar>
                    <w:top w:w="0" w:type="dxa"/>
                    <w:left w:w="144" w:type="dxa"/>
                    <w:bottom w:w="0" w:type="dxa"/>
                    <w:right w:w="0" w:type="dxa"/>
                  </w:tcMar>
                  <w:hideMark/>
                </w:tcPr>
                <w:p w14:paraId="38C00CB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73,225</w:t>
                  </w:r>
                </w:p>
              </w:tc>
            </w:tr>
            <w:tr w:rsidR="00207559" w14:paraId="0CBEBE36" w14:textId="77777777" w:rsidTr="00D11DE1">
              <w:trPr>
                <w:cantSplit/>
                <w:jc w:val="center"/>
              </w:trPr>
              <w:tc>
                <w:tcPr>
                  <w:tcW w:w="4378" w:type="dxa"/>
                  <w:hideMark/>
                </w:tcPr>
                <w:p w14:paraId="4A9C8D06" w14:textId="77777777" w:rsidR="00207559" w:rsidRDefault="00207559" w:rsidP="00207559">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Financial income</w:t>
                  </w:r>
                  <w:r>
                    <w:rPr>
                      <w:sz w:val="18"/>
                      <w:szCs w:val="18"/>
                    </w:rPr>
                    <w:tab/>
                  </w:r>
                </w:p>
              </w:tc>
              <w:tc>
                <w:tcPr>
                  <w:tcW w:w="612" w:type="dxa"/>
                </w:tcPr>
                <w:p w14:paraId="72DAEBE7"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4,208</w:t>
                  </w:r>
                </w:p>
              </w:tc>
              <w:tc>
                <w:tcPr>
                  <w:tcW w:w="1030" w:type="dxa"/>
                  <w:noWrap/>
                  <w:tcMar>
                    <w:top w:w="0" w:type="dxa"/>
                    <w:left w:w="144" w:type="dxa"/>
                    <w:bottom w:w="0" w:type="dxa"/>
                    <w:right w:w="0" w:type="dxa"/>
                  </w:tcMar>
                </w:tcPr>
                <w:p w14:paraId="5398FD1F"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558</w:t>
                  </w:r>
                </w:p>
              </w:tc>
              <w:tc>
                <w:tcPr>
                  <w:tcW w:w="992" w:type="dxa"/>
                  <w:noWrap/>
                  <w:tcMar>
                    <w:top w:w="0" w:type="dxa"/>
                    <w:left w:w="144" w:type="dxa"/>
                    <w:bottom w:w="0" w:type="dxa"/>
                    <w:right w:w="0" w:type="dxa"/>
                  </w:tcMar>
                  <w:hideMark/>
                </w:tcPr>
                <w:p w14:paraId="2F336003"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2,814</w:t>
                  </w:r>
                </w:p>
              </w:tc>
              <w:tc>
                <w:tcPr>
                  <w:tcW w:w="833" w:type="dxa"/>
                  <w:noWrap/>
                  <w:tcMar>
                    <w:top w:w="0" w:type="dxa"/>
                    <w:left w:w="144" w:type="dxa"/>
                    <w:bottom w:w="0" w:type="dxa"/>
                    <w:right w:w="0" w:type="dxa"/>
                  </w:tcMar>
                  <w:hideMark/>
                </w:tcPr>
                <w:p w14:paraId="60F70D1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466</w:t>
                  </w:r>
                </w:p>
              </w:tc>
              <w:tc>
                <w:tcPr>
                  <w:tcW w:w="1122" w:type="dxa"/>
                  <w:gridSpan w:val="2"/>
                  <w:noWrap/>
                  <w:tcMar>
                    <w:top w:w="0" w:type="dxa"/>
                    <w:left w:w="144" w:type="dxa"/>
                    <w:bottom w:w="0" w:type="dxa"/>
                    <w:right w:w="0" w:type="dxa"/>
                  </w:tcMar>
                  <w:hideMark/>
                </w:tcPr>
                <w:p w14:paraId="00BDCF1A"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2,880</w:t>
                  </w:r>
                </w:p>
              </w:tc>
            </w:tr>
            <w:tr w:rsidR="00207559" w14:paraId="00C471ED" w14:textId="77777777" w:rsidTr="00D11DE1">
              <w:trPr>
                <w:cantSplit/>
                <w:jc w:val="center"/>
              </w:trPr>
              <w:tc>
                <w:tcPr>
                  <w:tcW w:w="4378" w:type="dxa"/>
                </w:tcPr>
                <w:p w14:paraId="0C93E614" w14:textId="77777777" w:rsidR="00207559" w:rsidRDefault="00207559" w:rsidP="00207559">
                  <w:pPr>
                    <w:pStyle w:val="NormalWeb"/>
                    <w:tabs>
                      <w:tab w:val="right" w:leader="dot" w:pos="4620"/>
                    </w:tabs>
                    <w:spacing w:before="0" w:beforeAutospacing="0" w:after="0" w:afterAutospacing="0"/>
                    <w:ind w:left="240" w:hanging="240"/>
                    <w:jc w:val="right"/>
                    <w:rPr>
                      <w:sz w:val="18"/>
                      <w:szCs w:val="18"/>
                    </w:rPr>
                  </w:pPr>
                  <w:r>
                    <w:rPr>
                      <w:sz w:val="18"/>
                      <w:szCs w:val="18"/>
                    </w:rPr>
                    <w:t>Financial expenses</w:t>
                  </w:r>
                  <w:r>
                    <w:rPr>
                      <w:sz w:val="18"/>
                      <w:szCs w:val="18"/>
                    </w:rPr>
                    <w:tab/>
                  </w:r>
                </w:p>
              </w:tc>
              <w:tc>
                <w:tcPr>
                  <w:tcW w:w="612" w:type="dxa"/>
                </w:tcPr>
                <w:p w14:paraId="20EE3EAF"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(9,184)</w:t>
                  </w:r>
                </w:p>
              </w:tc>
              <w:tc>
                <w:tcPr>
                  <w:tcW w:w="1030" w:type="dxa"/>
                  <w:noWrap/>
                  <w:tcMar>
                    <w:top w:w="0" w:type="dxa"/>
                    <w:left w:w="144" w:type="dxa"/>
                    <w:bottom w:w="0" w:type="dxa"/>
                    <w:right w:w="0" w:type="dxa"/>
                  </w:tcMar>
                </w:tcPr>
                <w:p w14:paraId="6EE77E40"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sz w:val="18"/>
                      <w:szCs w:val="18"/>
                    </w:rPr>
                    <w:t>(15,156)</w:t>
                  </w:r>
                </w:p>
              </w:tc>
              <w:tc>
                <w:tcPr>
                  <w:tcW w:w="992" w:type="dxa"/>
                  <w:noWrap/>
                  <w:tcMar>
                    <w:top w:w="0" w:type="dxa"/>
                    <w:left w:w="144" w:type="dxa"/>
                    <w:bottom w:w="0" w:type="dxa"/>
                    <w:right w:w="0" w:type="dxa"/>
                  </w:tcMar>
                </w:tcPr>
                <w:p w14:paraId="41E3480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(19,720)</w:t>
                  </w:r>
                </w:p>
              </w:tc>
              <w:tc>
                <w:tcPr>
                  <w:tcW w:w="833" w:type="dxa"/>
                  <w:noWrap/>
                  <w:tcMar>
                    <w:top w:w="0" w:type="dxa"/>
                    <w:left w:w="144" w:type="dxa"/>
                    <w:bottom w:w="0" w:type="dxa"/>
                    <w:right w:w="0" w:type="dxa"/>
                  </w:tcMar>
                </w:tcPr>
                <w:p w14:paraId="475051C6"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(10,620)</w:t>
                  </w:r>
                </w:p>
              </w:tc>
              <w:tc>
                <w:tcPr>
                  <w:tcW w:w="1122" w:type="dxa"/>
                  <w:gridSpan w:val="2"/>
                  <w:noWrap/>
                  <w:tcMar>
                    <w:top w:w="0" w:type="dxa"/>
                    <w:left w:w="144" w:type="dxa"/>
                    <w:bottom w:w="0" w:type="dxa"/>
                    <w:right w:w="0" w:type="dxa"/>
                  </w:tcMar>
                </w:tcPr>
                <w:p w14:paraId="6F5DE91A"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(10,555)</w:t>
                  </w:r>
                </w:p>
              </w:tc>
            </w:tr>
            <w:tr w:rsidR="00207559" w14:paraId="2C29C1B2" w14:textId="77777777" w:rsidTr="00D11DE1">
              <w:trPr>
                <w:cantSplit/>
                <w:jc w:val="center"/>
              </w:trPr>
              <w:tc>
                <w:tcPr>
                  <w:tcW w:w="4378" w:type="dxa"/>
                  <w:hideMark/>
                </w:tcPr>
                <w:p w14:paraId="0B533EBC" w14:textId="77777777" w:rsidR="00207559" w:rsidRDefault="00207559" w:rsidP="00207559">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Net financial result</w:t>
                  </w:r>
                  <w:r>
                    <w:rPr>
                      <w:b/>
                      <w:bCs/>
                      <w:sz w:val="18"/>
                      <w:szCs w:val="18"/>
                    </w:rPr>
                    <w:tab/>
                  </w:r>
                </w:p>
              </w:tc>
              <w:tc>
                <w:tcPr>
                  <w:tcW w:w="612" w:type="dxa"/>
                </w:tcPr>
                <w:p w14:paraId="139A572A" w14:textId="77777777" w:rsidR="00207559" w:rsidRDefault="00207559" w:rsidP="00207559">
                  <w:pPr>
                    <w:pStyle w:val="NormalWeb"/>
                    <w:tabs>
                      <w:tab w:val="right" w:pos="900"/>
                      <w:tab w:val="decimal" w:pos="940"/>
                    </w:tabs>
                    <w:spacing w:before="0" w:beforeAutospacing="0" w:after="20" w:afterAutospacing="0"/>
                    <w:jc w:val="right"/>
                    <w:rPr>
                      <w:b/>
                      <w:sz w:val="18"/>
                      <w:szCs w:val="18"/>
                    </w:rPr>
                  </w:pPr>
                  <w:r>
                    <w:rPr>
                      <w:b/>
                      <w:sz w:val="18"/>
                      <w:szCs w:val="18"/>
                    </w:rPr>
                    <w:t>(4,976)</w:t>
                  </w:r>
                </w:p>
              </w:tc>
              <w:tc>
                <w:tcPr>
                  <w:tcW w:w="1030" w:type="dxa"/>
                  <w:noWrap/>
                  <w:tcMar>
                    <w:top w:w="0" w:type="dxa"/>
                    <w:left w:w="144" w:type="dxa"/>
                    <w:bottom w:w="0" w:type="dxa"/>
                    <w:right w:w="0" w:type="dxa"/>
                  </w:tcMar>
                </w:tcPr>
                <w:p w14:paraId="230EB353" w14:textId="77777777" w:rsidR="00207559" w:rsidRDefault="00207559" w:rsidP="00207559">
                  <w:pPr>
                    <w:pStyle w:val="NormalWeb"/>
                    <w:tabs>
                      <w:tab w:val="right" w:pos="900"/>
                      <w:tab w:val="decimal" w:pos="940"/>
                    </w:tabs>
                    <w:spacing w:before="0" w:beforeAutospacing="0" w:after="20" w:afterAutospacing="0"/>
                    <w:jc w:val="right"/>
                    <w:rPr>
                      <w:b/>
                      <w:sz w:val="18"/>
                      <w:szCs w:val="18"/>
                    </w:rPr>
                  </w:pPr>
                  <w:r>
                    <w:rPr>
                      <w:b/>
                      <w:sz w:val="18"/>
                      <w:szCs w:val="18"/>
                    </w:rPr>
                    <w:t>(14,598)</w:t>
                  </w:r>
                </w:p>
              </w:tc>
              <w:tc>
                <w:tcPr>
                  <w:tcW w:w="992" w:type="dxa"/>
                  <w:noWrap/>
                  <w:tcMar>
                    <w:top w:w="0" w:type="dxa"/>
                    <w:left w:w="144" w:type="dxa"/>
                    <w:bottom w:w="0" w:type="dxa"/>
                    <w:right w:w="0" w:type="dxa"/>
                  </w:tcMar>
                  <w:hideMark/>
                </w:tcPr>
                <w:p w14:paraId="060236C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(16,906)</w:t>
                  </w:r>
                </w:p>
              </w:tc>
              <w:tc>
                <w:tcPr>
                  <w:tcW w:w="833" w:type="dxa"/>
                  <w:noWrap/>
                  <w:tcMar>
                    <w:top w:w="0" w:type="dxa"/>
                    <w:left w:w="144" w:type="dxa"/>
                    <w:bottom w:w="0" w:type="dxa"/>
                    <w:right w:w="0" w:type="dxa"/>
                  </w:tcMar>
                  <w:hideMark/>
                </w:tcPr>
                <w:p w14:paraId="1DFD4F26"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(10,154)</w:t>
                  </w:r>
                </w:p>
              </w:tc>
              <w:tc>
                <w:tcPr>
                  <w:tcW w:w="1122" w:type="dxa"/>
                  <w:gridSpan w:val="2"/>
                  <w:noWrap/>
                  <w:tcMar>
                    <w:top w:w="0" w:type="dxa"/>
                    <w:left w:w="144" w:type="dxa"/>
                    <w:bottom w:w="0" w:type="dxa"/>
                    <w:right w:w="0" w:type="dxa"/>
                  </w:tcMar>
                  <w:hideMark/>
                </w:tcPr>
                <w:p w14:paraId="19D2198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(7,675)</w:t>
                  </w:r>
                </w:p>
              </w:tc>
            </w:tr>
            <w:tr w:rsidR="00207559" w14:paraId="2DFE1C0D" w14:textId="77777777" w:rsidTr="00D11DE1">
              <w:trPr>
                <w:cantSplit/>
                <w:jc w:val="center"/>
              </w:trPr>
              <w:tc>
                <w:tcPr>
                  <w:tcW w:w="4378" w:type="dxa"/>
                  <w:hideMark/>
                </w:tcPr>
                <w:p w14:paraId="58F8989A" w14:textId="77777777" w:rsidR="00207559" w:rsidRDefault="00207559" w:rsidP="00207559">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Profit before taxes</w:t>
                  </w:r>
                  <w:r>
                    <w:rPr>
                      <w:b/>
                      <w:bCs/>
                      <w:sz w:val="18"/>
                      <w:szCs w:val="18"/>
                    </w:rPr>
                    <w:tab/>
                  </w:r>
                </w:p>
              </w:tc>
              <w:tc>
                <w:tcPr>
                  <w:tcW w:w="612" w:type="dxa"/>
                </w:tcPr>
                <w:p w14:paraId="5403205A" w14:textId="77777777" w:rsidR="00207559" w:rsidRDefault="00207559" w:rsidP="00207559">
                  <w:pPr>
                    <w:pStyle w:val="NormalWeb"/>
                    <w:tabs>
                      <w:tab w:val="right" w:pos="900"/>
                      <w:tab w:val="decimal" w:pos="940"/>
                    </w:tabs>
                    <w:spacing w:before="0" w:beforeAutospacing="0" w:after="20" w:afterAutospacing="0"/>
                    <w:jc w:val="right"/>
                    <w:rPr>
                      <w:b/>
                      <w:sz w:val="18"/>
                      <w:szCs w:val="18"/>
                    </w:rPr>
                  </w:pPr>
                  <w:r>
                    <w:rPr>
                      <w:b/>
                      <w:sz w:val="18"/>
                      <w:szCs w:val="18"/>
                    </w:rPr>
                    <w:t>72,700</w:t>
                  </w:r>
                </w:p>
              </w:tc>
              <w:tc>
                <w:tcPr>
                  <w:tcW w:w="1030" w:type="dxa"/>
                  <w:noWrap/>
                  <w:tcMar>
                    <w:top w:w="0" w:type="dxa"/>
                    <w:left w:w="144" w:type="dxa"/>
                    <w:bottom w:w="0" w:type="dxa"/>
                    <w:right w:w="0" w:type="dxa"/>
                  </w:tcMar>
                </w:tcPr>
                <w:p w14:paraId="16FCFB1C" w14:textId="77777777" w:rsidR="00207559" w:rsidRDefault="00207559" w:rsidP="00207559">
                  <w:pPr>
                    <w:pStyle w:val="NormalWeb"/>
                    <w:tabs>
                      <w:tab w:val="right" w:pos="900"/>
                      <w:tab w:val="decimal" w:pos="940"/>
                    </w:tabs>
                    <w:spacing w:before="0" w:beforeAutospacing="0" w:after="20" w:afterAutospacing="0"/>
                    <w:jc w:val="right"/>
                    <w:rPr>
                      <w:b/>
                      <w:sz w:val="18"/>
                      <w:szCs w:val="18"/>
                    </w:rPr>
                  </w:pPr>
                  <w:r>
                    <w:rPr>
                      <w:b/>
                      <w:sz w:val="18"/>
                      <w:szCs w:val="18"/>
                    </w:rPr>
                    <w:t>55,450</w:t>
                  </w:r>
                </w:p>
              </w:tc>
              <w:tc>
                <w:tcPr>
                  <w:tcW w:w="992" w:type="dxa"/>
                  <w:noWrap/>
                  <w:tcMar>
                    <w:top w:w="0" w:type="dxa"/>
                    <w:left w:w="144" w:type="dxa"/>
                    <w:bottom w:w="0" w:type="dxa"/>
                    <w:right w:w="0" w:type="dxa"/>
                  </w:tcMar>
                  <w:hideMark/>
                </w:tcPr>
                <w:p w14:paraId="023A0F8E" w14:textId="787FE40C"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
                      <w:bCs/>
                      <w:sz w:val="18"/>
                      <w:szCs w:val="18"/>
                    </w:rPr>
                    <w:t>113,076</w:t>
                  </w:r>
                </w:p>
              </w:tc>
              <w:tc>
                <w:tcPr>
                  <w:tcW w:w="833" w:type="dxa"/>
                  <w:noWrap/>
                  <w:tcMar>
                    <w:top w:w="0" w:type="dxa"/>
                    <w:left w:w="144" w:type="dxa"/>
                    <w:bottom w:w="0" w:type="dxa"/>
                    <w:right w:w="0" w:type="dxa"/>
                  </w:tcMar>
                  <w:hideMark/>
                </w:tcPr>
                <w:p w14:paraId="08737EC6"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99,090</w:t>
                  </w:r>
                </w:p>
              </w:tc>
              <w:tc>
                <w:tcPr>
                  <w:tcW w:w="1122" w:type="dxa"/>
                  <w:gridSpan w:val="2"/>
                  <w:noWrap/>
                  <w:tcMar>
                    <w:top w:w="0" w:type="dxa"/>
                    <w:left w:w="144" w:type="dxa"/>
                    <w:bottom w:w="0" w:type="dxa"/>
                    <w:right w:w="0" w:type="dxa"/>
                  </w:tcMar>
                  <w:hideMark/>
                </w:tcPr>
                <w:p w14:paraId="51D330A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65,550</w:t>
                  </w:r>
                </w:p>
              </w:tc>
            </w:tr>
            <w:tr w:rsidR="00207559" w14:paraId="073E523A" w14:textId="77777777" w:rsidTr="00D11DE1">
              <w:trPr>
                <w:cantSplit/>
                <w:jc w:val="center"/>
              </w:trPr>
              <w:tc>
                <w:tcPr>
                  <w:tcW w:w="4378" w:type="dxa"/>
                  <w:hideMark/>
                </w:tcPr>
                <w:p w14:paraId="0886DB6B" w14:textId="77777777" w:rsidR="00207559" w:rsidRDefault="00207559" w:rsidP="00207559">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Taxes</w:t>
                  </w:r>
                  <w:r>
                    <w:rPr>
                      <w:sz w:val="18"/>
                      <w:szCs w:val="18"/>
                    </w:rPr>
                    <w:tab/>
                  </w:r>
                </w:p>
              </w:tc>
              <w:tc>
                <w:tcPr>
                  <w:tcW w:w="612" w:type="dxa"/>
                </w:tcPr>
                <w:p w14:paraId="389C504B"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(10,243)</w:t>
                  </w:r>
                </w:p>
              </w:tc>
              <w:tc>
                <w:tcPr>
                  <w:tcW w:w="1030" w:type="dxa"/>
                  <w:noWrap/>
                  <w:tcMar>
                    <w:top w:w="0" w:type="dxa"/>
                    <w:left w:w="144" w:type="dxa"/>
                    <w:bottom w:w="0" w:type="dxa"/>
                    <w:right w:w="0" w:type="dxa"/>
                  </w:tcMar>
                </w:tcPr>
                <w:p w14:paraId="5FC11E77"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(12,712)</w:t>
                  </w:r>
                </w:p>
              </w:tc>
              <w:tc>
                <w:tcPr>
                  <w:tcW w:w="992" w:type="dxa"/>
                  <w:noWrap/>
                  <w:tcMar>
                    <w:top w:w="0" w:type="dxa"/>
                    <w:left w:w="144" w:type="dxa"/>
                    <w:bottom w:w="0" w:type="dxa"/>
                    <w:right w:w="0" w:type="dxa"/>
                  </w:tcMar>
                  <w:hideMark/>
                </w:tcPr>
                <w:p w14:paraId="0EBAB78A"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(21,790)</w:t>
                  </w:r>
                </w:p>
              </w:tc>
              <w:tc>
                <w:tcPr>
                  <w:tcW w:w="833" w:type="dxa"/>
                  <w:noWrap/>
                  <w:tcMar>
                    <w:top w:w="0" w:type="dxa"/>
                    <w:left w:w="144" w:type="dxa"/>
                    <w:bottom w:w="0" w:type="dxa"/>
                    <w:right w:w="0" w:type="dxa"/>
                  </w:tcMar>
                  <w:hideMark/>
                </w:tcPr>
                <w:p w14:paraId="2C1FE9B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(12,529)</w:t>
                  </w:r>
                </w:p>
              </w:tc>
              <w:tc>
                <w:tcPr>
                  <w:tcW w:w="1122" w:type="dxa"/>
                  <w:gridSpan w:val="2"/>
                  <w:noWrap/>
                  <w:tcMar>
                    <w:top w:w="0" w:type="dxa"/>
                    <w:left w:w="144" w:type="dxa"/>
                    <w:bottom w:w="0" w:type="dxa"/>
                    <w:right w:w="0" w:type="dxa"/>
                  </w:tcMar>
                  <w:hideMark/>
                </w:tcPr>
                <w:p w14:paraId="5F5627B6"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(16,191)</w:t>
                  </w:r>
                </w:p>
              </w:tc>
            </w:tr>
            <w:tr w:rsidR="00207559" w14:paraId="001CF0CF" w14:textId="77777777" w:rsidTr="00D11DE1">
              <w:trPr>
                <w:cantSplit/>
                <w:trHeight w:val="279"/>
                <w:jc w:val="center"/>
              </w:trPr>
              <w:tc>
                <w:tcPr>
                  <w:tcW w:w="4378" w:type="dxa"/>
                </w:tcPr>
                <w:p w14:paraId="7CE53E21" w14:textId="77777777" w:rsidR="00207559" w:rsidRDefault="00207559" w:rsidP="00207559">
                  <w:pPr>
                    <w:pStyle w:val="NormalWeb"/>
                    <w:tabs>
                      <w:tab w:val="right" w:leader="dot" w:pos="4620"/>
                    </w:tabs>
                    <w:spacing w:before="0" w:beforeAutospacing="0" w:after="0" w:afterAutospacing="0"/>
                    <w:ind w:left="240" w:hanging="240"/>
                    <w:jc w:val="right"/>
                    <w:rPr>
                      <w:b/>
                      <w:sz w:val="18"/>
                      <w:szCs w:val="18"/>
                    </w:rPr>
                  </w:pPr>
                  <w:r>
                    <w:rPr>
                      <w:b/>
                      <w:bCs/>
                      <w:sz w:val="18"/>
                      <w:szCs w:val="18"/>
                    </w:rPr>
                    <w:t>Profit for the period</w:t>
                  </w:r>
                  <w:r>
                    <w:rPr>
                      <w:b/>
                      <w:bCs/>
                      <w:sz w:val="18"/>
                      <w:szCs w:val="18"/>
                    </w:rPr>
                    <w:tab/>
                  </w:r>
                </w:p>
              </w:tc>
              <w:tc>
                <w:tcPr>
                  <w:tcW w:w="612" w:type="dxa"/>
                </w:tcPr>
                <w:p w14:paraId="018D67A3" w14:textId="77777777" w:rsidR="00207559" w:rsidRDefault="00207559" w:rsidP="00207559">
                  <w:pPr>
                    <w:pStyle w:val="NormalWeb"/>
                    <w:tabs>
                      <w:tab w:val="right" w:pos="900"/>
                      <w:tab w:val="decimal" w:pos="940"/>
                    </w:tabs>
                    <w:spacing w:before="0" w:beforeAutospacing="0" w:after="20" w:afterAutospacing="0"/>
                    <w:jc w:val="right"/>
                    <w:rPr>
                      <w:b/>
                      <w:sz w:val="18"/>
                      <w:szCs w:val="18"/>
                    </w:rPr>
                  </w:pPr>
                  <w:r>
                    <w:rPr>
                      <w:b/>
                      <w:sz w:val="18"/>
                      <w:szCs w:val="18"/>
                    </w:rPr>
                    <w:t>62,457</w:t>
                  </w:r>
                </w:p>
              </w:tc>
              <w:tc>
                <w:tcPr>
                  <w:tcW w:w="1030" w:type="dxa"/>
                  <w:noWrap/>
                  <w:tcMar>
                    <w:top w:w="0" w:type="dxa"/>
                    <w:left w:w="144" w:type="dxa"/>
                    <w:bottom w:w="0" w:type="dxa"/>
                    <w:right w:w="0" w:type="dxa"/>
                  </w:tcMar>
                </w:tcPr>
                <w:p w14:paraId="28CD7E3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42,738</w:t>
                  </w:r>
                </w:p>
              </w:tc>
              <w:tc>
                <w:tcPr>
                  <w:tcW w:w="992" w:type="dxa"/>
                  <w:noWrap/>
                  <w:tcMar>
                    <w:top w:w="0" w:type="dxa"/>
                    <w:left w:w="144" w:type="dxa"/>
                    <w:bottom w:w="0" w:type="dxa"/>
                    <w:right w:w="0" w:type="dxa"/>
                  </w:tcMar>
                </w:tcPr>
                <w:p w14:paraId="6E6F6E40" w14:textId="544D25D8" w:rsidR="00207559" w:rsidRDefault="00207559" w:rsidP="00207559">
                  <w:pPr>
                    <w:pStyle w:val="NormalWeb"/>
                    <w:tabs>
                      <w:tab w:val="right" w:pos="900"/>
                      <w:tab w:val="decimal" w:pos="940"/>
                    </w:tabs>
                    <w:spacing w:before="0" w:beforeAutospacing="0" w:after="20" w:afterAutospacing="0"/>
                    <w:jc w:val="right"/>
                    <w:rPr>
                      <w:sz w:val="18"/>
                      <w:szCs w:val="18"/>
                    </w:rPr>
                  </w:pPr>
                  <w:r>
                    <w:rPr>
                      <w:b/>
                      <w:bCs/>
                      <w:sz w:val="18"/>
                      <w:szCs w:val="18"/>
                    </w:rPr>
                    <w:t>91,286</w:t>
                  </w:r>
                </w:p>
              </w:tc>
              <w:tc>
                <w:tcPr>
                  <w:tcW w:w="833" w:type="dxa"/>
                  <w:noWrap/>
                  <w:tcMar>
                    <w:top w:w="0" w:type="dxa"/>
                    <w:left w:w="144" w:type="dxa"/>
                    <w:bottom w:w="0" w:type="dxa"/>
                    <w:right w:w="0" w:type="dxa"/>
                  </w:tcMar>
                </w:tcPr>
                <w:p w14:paraId="43E57F07"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rFonts w:eastAsiaTheme="minorEastAsia"/>
                      <w:b/>
                      <w:sz w:val="18"/>
                      <w:szCs w:val="18"/>
                    </w:rPr>
                    <w:t>86,561</w:t>
                  </w:r>
                </w:p>
              </w:tc>
              <w:tc>
                <w:tcPr>
                  <w:tcW w:w="1122" w:type="dxa"/>
                  <w:gridSpan w:val="2"/>
                  <w:noWrap/>
                  <w:tcMar>
                    <w:top w:w="0" w:type="dxa"/>
                    <w:left w:w="144" w:type="dxa"/>
                    <w:bottom w:w="0" w:type="dxa"/>
                    <w:right w:w="0" w:type="dxa"/>
                  </w:tcMar>
                </w:tcPr>
                <w:p w14:paraId="564715D2" w14:textId="77777777" w:rsidR="00207559" w:rsidRDefault="00207559" w:rsidP="00207559">
                  <w:pPr>
                    <w:pStyle w:val="NormalWeb"/>
                    <w:tabs>
                      <w:tab w:val="right" w:pos="900"/>
                      <w:tab w:val="decimal" w:pos="940"/>
                    </w:tabs>
                    <w:spacing w:before="0" w:beforeAutospacing="0" w:after="20" w:afterAutospacing="0"/>
                    <w:jc w:val="right"/>
                    <w:rPr>
                      <w:sz w:val="18"/>
                      <w:szCs w:val="18"/>
                    </w:rPr>
                  </w:pPr>
                  <w:r>
                    <w:rPr>
                      <w:rFonts w:eastAsiaTheme="minorEastAsia"/>
                      <w:b/>
                      <w:sz w:val="18"/>
                      <w:szCs w:val="18"/>
                    </w:rPr>
                    <w:t>49,359</w:t>
                  </w:r>
                </w:p>
              </w:tc>
            </w:tr>
            <w:tr w:rsidR="00207559" w14:paraId="5058C25F" w14:textId="77777777" w:rsidTr="00D11DE1">
              <w:trPr>
                <w:cantSplit/>
                <w:jc w:val="center"/>
              </w:trPr>
              <w:tc>
                <w:tcPr>
                  <w:tcW w:w="4378" w:type="dxa"/>
                </w:tcPr>
                <w:p w14:paraId="714EEEAB" w14:textId="77777777" w:rsidR="00207559" w:rsidRDefault="00207559" w:rsidP="00207559">
                  <w:pPr>
                    <w:pStyle w:val="NormalWeb"/>
                    <w:tabs>
                      <w:tab w:val="right" w:pos="900"/>
                      <w:tab w:val="decimal" w:pos="940"/>
                    </w:tabs>
                    <w:spacing w:before="0" w:beforeAutospacing="0" w:after="20" w:afterAutospacing="0"/>
                    <w:rPr>
                      <w:rFonts w:eastAsiaTheme="minorEastAsia"/>
                      <w:i/>
                      <w:sz w:val="18"/>
                      <w:szCs w:val="18"/>
                    </w:rPr>
                  </w:pPr>
                  <w:r>
                    <w:rPr>
                      <w:i/>
                      <w:sz w:val="18"/>
                      <w:szCs w:val="18"/>
                    </w:rPr>
                    <w:t>Attributable to:</w:t>
                  </w:r>
                </w:p>
              </w:tc>
              <w:tc>
                <w:tcPr>
                  <w:tcW w:w="612" w:type="dxa"/>
                </w:tcPr>
                <w:p w14:paraId="7C26FC2C" w14:textId="77777777" w:rsidR="00207559" w:rsidRDefault="00207559" w:rsidP="00207559">
                  <w:pPr>
                    <w:jc w:val="right"/>
                    <w:rPr>
                      <w:rFonts w:eastAsiaTheme="minorEastAsia"/>
                      <w:sz w:val="18"/>
                      <w:szCs w:val="18"/>
                    </w:rPr>
                  </w:pPr>
                </w:p>
              </w:tc>
              <w:tc>
                <w:tcPr>
                  <w:tcW w:w="1030" w:type="dxa"/>
                </w:tcPr>
                <w:p w14:paraId="7EA51B57" w14:textId="77777777" w:rsidR="00207559" w:rsidRDefault="00207559" w:rsidP="00207559">
                  <w:pPr>
                    <w:jc w:val="right"/>
                    <w:rPr>
                      <w:rFonts w:eastAsiaTheme="minorEastAsia"/>
                      <w:sz w:val="18"/>
                      <w:szCs w:val="18"/>
                    </w:rPr>
                  </w:pPr>
                </w:p>
              </w:tc>
              <w:tc>
                <w:tcPr>
                  <w:tcW w:w="2799" w:type="dxa"/>
                  <w:gridSpan w:val="3"/>
                </w:tcPr>
                <w:p w14:paraId="1F16E672"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i/>
                      <w:sz w:val="18"/>
                      <w:szCs w:val="18"/>
                    </w:rPr>
                  </w:pPr>
                </w:p>
              </w:tc>
              <w:tc>
                <w:tcPr>
                  <w:tcW w:w="148" w:type="dxa"/>
                </w:tcPr>
                <w:p w14:paraId="4C93776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i/>
                      <w:sz w:val="18"/>
                      <w:szCs w:val="18"/>
                    </w:rPr>
                  </w:pPr>
                </w:p>
              </w:tc>
            </w:tr>
            <w:tr w:rsidR="00207559" w14:paraId="14080CD0" w14:textId="77777777" w:rsidTr="00D11DE1">
              <w:trPr>
                <w:cantSplit/>
                <w:jc w:val="center"/>
              </w:trPr>
              <w:tc>
                <w:tcPr>
                  <w:tcW w:w="4378" w:type="dxa"/>
                </w:tcPr>
                <w:p w14:paraId="78259E6F" w14:textId="77777777" w:rsidR="00207559" w:rsidRDefault="00207559" w:rsidP="00207559">
                  <w:pPr>
                    <w:pStyle w:val="NormalWeb"/>
                    <w:tabs>
                      <w:tab w:val="right" w:leader="dot" w:pos="4620"/>
                    </w:tabs>
                    <w:spacing w:before="0" w:beforeAutospacing="0" w:after="0" w:afterAutospacing="0"/>
                    <w:rPr>
                      <w:sz w:val="18"/>
                      <w:szCs w:val="18"/>
                    </w:rPr>
                  </w:pPr>
                  <w:r>
                    <w:rPr>
                      <w:sz w:val="18"/>
                      <w:szCs w:val="18"/>
                    </w:rPr>
                    <w:t>Shareholders of VGP NV</w:t>
                  </w:r>
                  <w:r>
                    <w:rPr>
                      <w:sz w:val="18"/>
                      <w:szCs w:val="18"/>
                    </w:rPr>
                    <w:tab/>
                  </w:r>
                </w:p>
              </w:tc>
              <w:tc>
                <w:tcPr>
                  <w:tcW w:w="612" w:type="dxa"/>
                </w:tcPr>
                <w:p w14:paraId="563C060E" w14:textId="77777777" w:rsidR="00207559" w:rsidRDefault="00207559" w:rsidP="00207559">
                  <w:pPr>
                    <w:jc w:val="right"/>
                    <w:rPr>
                      <w:rFonts w:eastAsiaTheme="minorEastAsia"/>
                      <w:sz w:val="18"/>
                      <w:szCs w:val="18"/>
                    </w:rPr>
                  </w:pPr>
                  <w:r>
                    <w:rPr>
                      <w:rFonts w:eastAsiaTheme="minorEastAsia"/>
                      <w:sz w:val="18"/>
                      <w:szCs w:val="18"/>
                    </w:rPr>
                    <w:t>62,457</w:t>
                  </w:r>
                </w:p>
              </w:tc>
              <w:tc>
                <w:tcPr>
                  <w:tcW w:w="1030" w:type="dxa"/>
                </w:tcPr>
                <w:p w14:paraId="57C11922" w14:textId="77777777" w:rsidR="00207559" w:rsidRDefault="00207559" w:rsidP="00207559">
                  <w:pPr>
                    <w:jc w:val="right"/>
                    <w:rPr>
                      <w:rFonts w:eastAsiaTheme="minorEastAsia"/>
                      <w:sz w:val="18"/>
                      <w:szCs w:val="18"/>
                    </w:rPr>
                  </w:pPr>
                  <w:r>
                    <w:rPr>
                      <w:rFonts w:eastAsiaTheme="minorEastAsia"/>
                      <w:sz w:val="18"/>
                      <w:szCs w:val="18"/>
                    </w:rPr>
                    <w:t>42,738</w:t>
                  </w:r>
                </w:p>
              </w:tc>
              <w:tc>
                <w:tcPr>
                  <w:tcW w:w="992" w:type="dxa"/>
                  <w:noWrap/>
                  <w:tcMar>
                    <w:top w:w="0" w:type="dxa"/>
                    <w:left w:w="144" w:type="dxa"/>
                    <w:bottom w:w="0" w:type="dxa"/>
                    <w:right w:w="0" w:type="dxa"/>
                  </w:tcMar>
                </w:tcPr>
                <w:p w14:paraId="25EE033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91,286</w:t>
                  </w:r>
                </w:p>
              </w:tc>
              <w:tc>
                <w:tcPr>
                  <w:tcW w:w="833" w:type="dxa"/>
                  <w:noWrap/>
                  <w:tcMar>
                    <w:top w:w="0" w:type="dxa"/>
                    <w:left w:w="144" w:type="dxa"/>
                    <w:bottom w:w="0" w:type="dxa"/>
                    <w:right w:w="0" w:type="dxa"/>
                  </w:tcMar>
                </w:tcPr>
                <w:p w14:paraId="36FE5B5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86,561</w:t>
                  </w:r>
                </w:p>
              </w:tc>
              <w:tc>
                <w:tcPr>
                  <w:tcW w:w="1122" w:type="dxa"/>
                  <w:gridSpan w:val="2"/>
                  <w:noWrap/>
                  <w:tcMar>
                    <w:top w:w="0" w:type="dxa"/>
                    <w:left w:w="144" w:type="dxa"/>
                    <w:bottom w:w="0" w:type="dxa"/>
                    <w:right w:w="0" w:type="dxa"/>
                  </w:tcMar>
                </w:tcPr>
                <w:p w14:paraId="5702732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49,359</w:t>
                  </w:r>
                </w:p>
              </w:tc>
            </w:tr>
            <w:tr w:rsidR="00207559" w14:paraId="0A8E539D" w14:textId="77777777" w:rsidTr="00D11DE1">
              <w:trPr>
                <w:cantSplit/>
                <w:jc w:val="center"/>
              </w:trPr>
              <w:tc>
                <w:tcPr>
                  <w:tcW w:w="4378" w:type="dxa"/>
                </w:tcPr>
                <w:p w14:paraId="13E04E26" w14:textId="77777777" w:rsidR="00207559" w:rsidRDefault="00207559" w:rsidP="00207559">
                  <w:pPr>
                    <w:pStyle w:val="NormalWeb"/>
                    <w:tabs>
                      <w:tab w:val="right" w:leader="dot" w:pos="4620"/>
                    </w:tabs>
                    <w:spacing w:before="0" w:beforeAutospacing="0" w:after="0" w:afterAutospacing="0"/>
                    <w:rPr>
                      <w:sz w:val="18"/>
                      <w:szCs w:val="18"/>
                    </w:rPr>
                  </w:pPr>
                  <w:r>
                    <w:rPr>
                      <w:sz w:val="18"/>
                      <w:szCs w:val="18"/>
                    </w:rPr>
                    <w:t>Non-controlling interests</w:t>
                  </w:r>
                  <w:r>
                    <w:rPr>
                      <w:sz w:val="18"/>
                      <w:szCs w:val="18"/>
                    </w:rPr>
                    <w:tab/>
                  </w:r>
                </w:p>
              </w:tc>
              <w:tc>
                <w:tcPr>
                  <w:tcW w:w="612" w:type="dxa"/>
                </w:tcPr>
                <w:p w14:paraId="1F22BF54" w14:textId="77777777" w:rsidR="00207559" w:rsidRDefault="00207559" w:rsidP="00207559">
                  <w:pPr>
                    <w:jc w:val="right"/>
                    <w:rPr>
                      <w:rFonts w:eastAsiaTheme="minorEastAsia"/>
                      <w:sz w:val="18"/>
                      <w:szCs w:val="18"/>
                    </w:rPr>
                  </w:pPr>
                  <w:r>
                    <w:rPr>
                      <w:rFonts w:eastAsiaTheme="minorEastAsia"/>
                      <w:sz w:val="18"/>
                      <w:szCs w:val="18"/>
                    </w:rPr>
                    <w:t>—</w:t>
                  </w:r>
                </w:p>
              </w:tc>
              <w:tc>
                <w:tcPr>
                  <w:tcW w:w="1030" w:type="dxa"/>
                </w:tcPr>
                <w:p w14:paraId="1312C3D9" w14:textId="77777777" w:rsidR="00207559" w:rsidRDefault="00207559" w:rsidP="00207559">
                  <w:pPr>
                    <w:jc w:val="right"/>
                    <w:rPr>
                      <w:rFonts w:eastAsiaTheme="minorEastAsia"/>
                      <w:sz w:val="18"/>
                      <w:szCs w:val="18"/>
                    </w:rPr>
                  </w:pPr>
                  <w:r>
                    <w:rPr>
                      <w:rFonts w:eastAsiaTheme="minorEastAsia"/>
                      <w:sz w:val="18"/>
                      <w:szCs w:val="18"/>
                    </w:rPr>
                    <w:t>—</w:t>
                  </w:r>
                </w:p>
              </w:tc>
              <w:tc>
                <w:tcPr>
                  <w:tcW w:w="992" w:type="dxa"/>
                  <w:noWrap/>
                  <w:tcMar>
                    <w:top w:w="0" w:type="dxa"/>
                    <w:left w:w="144" w:type="dxa"/>
                    <w:bottom w:w="0" w:type="dxa"/>
                    <w:right w:w="0" w:type="dxa"/>
                  </w:tcMar>
                </w:tcPr>
                <w:p w14:paraId="51F01680" w14:textId="77777777" w:rsidR="00207559" w:rsidRDefault="00207559" w:rsidP="00207559">
                  <w:pPr>
                    <w:jc w:val="right"/>
                    <w:rPr>
                      <w:sz w:val="18"/>
                      <w:szCs w:val="18"/>
                    </w:rPr>
                  </w:pPr>
                  <w:r>
                    <w:rPr>
                      <w:sz w:val="18"/>
                      <w:szCs w:val="18"/>
                    </w:rPr>
                    <w:t>—</w:t>
                  </w:r>
                </w:p>
              </w:tc>
              <w:tc>
                <w:tcPr>
                  <w:tcW w:w="833" w:type="dxa"/>
                  <w:noWrap/>
                  <w:tcMar>
                    <w:top w:w="0" w:type="dxa"/>
                    <w:left w:w="144" w:type="dxa"/>
                    <w:bottom w:w="0" w:type="dxa"/>
                    <w:right w:w="0" w:type="dxa"/>
                  </w:tcMar>
                </w:tcPr>
                <w:p w14:paraId="029C0EF6" w14:textId="77777777" w:rsidR="00207559" w:rsidRDefault="00207559" w:rsidP="00207559">
                  <w:pPr>
                    <w:jc w:val="right"/>
                  </w:pPr>
                  <w:r>
                    <w:rPr>
                      <w:sz w:val="18"/>
                      <w:szCs w:val="18"/>
                    </w:rPr>
                    <w:t>—</w:t>
                  </w:r>
                </w:p>
              </w:tc>
              <w:tc>
                <w:tcPr>
                  <w:tcW w:w="1122" w:type="dxa"/>
                  <w:gridSpan w:val="2"/>
                  <w:noWrap/>
                  <w:tcMar>
                    <w:top w:w="0" w:type="dxa"/>
                    <w:left w:w="144" w:type="dxa"/>
                    <w:bottom w:w="0" w:type="dxa"/>
                    <w:right w:w="0" w:type="dxa"/>
                  </w:tcMar>
                </w:tcPr>
                <w:p w14:paraId="37F69A6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p>
              </w:tc>
            </w:tr>
            <w:tr w:rsidR="00207559" w14:paraId="33AD5F53" w14:textId="77777777" w:rsidTr="00D11DE1">
              <w:trPr>
                <w:cantSplit/>
                <w:jc w:val="center"/>
              </w:trPr>
              <w:tc>
                <w:tcPr>
                  <w:tcW w:w="4378" w:type="dxa"/>
                  <w:hideMark/>
                </w:tcPr>
                <w:p w14:paraId="112A71A0" w14:textId="77777777" w:rsidR="00207559" w:rsidRDefault="00207559" w:rsidP="00207559">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Profit for the period</w:t>
                  </w:r>
                  <w:r>
                    <w:rPr>
                      <w:b/>
                      <w:bCs/>
                      <w:sz w:val="18"/>
                      <w:szCs w:val="18"/>
                    </w:rPr>
                    <w:tab/>
                  </w:r>
                </w:p>
              </w:tc>
              <w:tc>
                <w:tcPr>
                  <w:tcW w:w="612" w:type="dxa"/>
                </w:tcPr>
                <w:p w14:paraId="2455B475" w14:textId="77777777" w:rsidR="00207559" w:rsidRDefault="00207559" w:rsidP="00207559">
                  <w:pPr>
                    <w:pStyle w:val="NormalWeb"/>
                    <w:tabs>
                      <w:tab w:val="right" w:pos="900"/>
                      <w:tab w:val="decimal" w:pos="940"/>
                    </w:tabs>
                    <w:spacing w:before="0" w:beforeAutospacing="0" w:after="20" w:afterAutospacing="0"/>
                    <w:jc w:val="right"/>
                    <w:rPr>
                      <w:b/>
                      <w:sz w:val="18"/>
                      <w:szCs w:val="18"/>
                    </w:rPr>
                  </w:pPr>
                  <w:r>
                    <w:rPr>
                      <w:b/>
                      <w:sz w:val="18"/>
                      <w:szCs w:val="18"/>
                    </w:rPr>
                    <w:t>62,457</w:t>
                  </w:r>
                </w:p>
              </w:tc>
              <w:tc>
                <w:tcPr>
                  <w:tcW w:w="1030" w:type="dxa"/>
                </w:tcPr>
                <w:p w14:paraId="06F8C23A"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42,738</w:t>
                  </w:r>
                </w:p>
              </w:tc>
              <w:tc>
                <w:tcPr>
                  <w:tcW w:w="992" w:type="dxa"/>
                  <w:noWrap/>
                  <w:tcMar>
                    <w:top w:w="0" w:type="dxa"/>
                    <w:left w:w="144" w:type="dxa"/>
                    <w:bottom w:w="0" w:type="dxa"/>
                    <w:right w:w="0" w:type="dxa"/>
                  </w:tcMar>
                  <w:hideMark/>
                </w:tcPr>
                <w:p w14:paraId="103FD6C2"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91,286</w:t>
                  </w:r>
                </w:p>
              </w:tc>
              <w:tc>
                <w:tcPr>
                  <w:tcW w:w="833" w:type="dxa"/>
                  <w:noWrap/>
                  <w:tcMar>
                    <w:top w:w="0" w:type="dxa"/>
                    <w:left w:w="144" w:type="dxa"/>
                    <w:bottom w:w="0" w:type="dxa"/>
                    <w:right w:w="0" w:type="dxa"/>
                  </w:tcMar>
                  <w:hideMark/>
                </w:tcPr>
                <w:p w14:paraId="7C1E7FFA"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86,561</w:t>
                  </w:r>
                </w:p>
              </w:tc>
              <w:tc>
                <w:tcPr>
                  <w:tcW w:w="1122" w:type="dxa"/>
                  <w:gridSpan w:val="2"/>
                  <w:noWrap/>
                  <w:tcMar>
                    <w:top w:w="0" w:type="dxa"/>
                    <w:left w:w="144" w:type="dxa"/>
                    <w:bottom w:w="0" w:type="dxa"/>
                    <w:right w:w="0" w:type="dxa"/>
                  </w:tcMar>
                  <w:hideMark/>
                </w:tcPr>
                <w:p w14:paraId="3920A02B"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49,359</w:t>
                  </w:r>
                </w:p>
              </w:tc>
            </w:tr>
            <w:tr w:rsidR="00207559" w14:paraId="3C67FA8B" w14:textId="77777777" w:rsidTr="00D11DE1">
              <w:trPr>
                <w:cantSplit/>
                <w:jc w:val="center"/>
              </w:trPr>
              <w:tc>
                <w:tcPr>
                  <w:tcW w:w="4378" w:type="dxa"/>
                </w:tcPr>
                <w:p w14:paraId="1D2EB47E" w14:textId="77777777" w:rsidR="00207559" w:rsidRDefault="00207559" w:rsidP="00207559">
                  <w:pPr>
                    <w:pStyle w:val="NormalWeb"/>
                    <w:tabs>
                      <w:tab w:val="right" w:leader="dot" w:pos="4620"/>
                    </w:tabs>
                    <w:spacing w:before="0" w:beforeAutospacing="0" w:after="0" w:afterAutospacing="0"/>
                    <w:rPr>
                      <w:sz w:val="18"/>
                      <w:szCs w:val="18"/>
                    </w:rPr>
                  </w:pPr>
                  <w:r>
                    <w:rPr>
                      <w:sz w:val="18"/>
                      <w:szCs w:val="18"/>
                    </w:rPr>
                    <w:t>Other comprehensive income to be reclassified to profit or loss in subsequent periods</w:t>
                  </w:r>
                </w:p>
              </w:tc>
              <w:tc>
                <w:tcPr>
                  <w:tcW w:w="612" w:type="dxa"/>
                </w:tcPr>
                <w:p w14:paraId="23CF083D"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w:t>
                  </w:r>
                </w:p>
              </w:tc>
              <w:tc>
                <w:tcPr>
                  <w:tcW w:w="1030" w:type="dxa"/>
                </w:tcPr>
                <w:p w14:paraId="587BC40E"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w:t>
                  </w:r>
                </w:p>
              </w:tc>
              <w:tc>
                <w:tcPr>
                  <w:tcW w:w="992" w:type="dxa"/>
                  <w:noWrap/>
                  <w:tcMar>
                    <w:top w:w="0" w:type="dxa"/>
                    <w:left w:w="144" w:type="dxa"/>
                    <w:bottom w:w="0" w:type="dxa"/>
                    <w:right w:w="0" w:type="dxa"/>
                  </w:tcMar>
                </w:tcPr>
                <w:p w14:paraId="1F1D3A42" w14:textId="77777777" w:rsidR="00207559" w:rsidRDefault="00207559" w:rsidP="00207559">
                  <w:pPr>
                    <w:jc w:val="right"/>
                    <w:rPr>
                      <w:sz w:val="18"/>
                      <w:szCs w:val="18"/>
                    </w:rPr>
                  </w:pPr>
                  <w:r>
                    <w:rPr>
                      <w:sz w:val="18"/>
                      <w:szCs w:val="18"/>
                    </w:rPr>
                    <w:t>—</w:t>
                  </w:r>
                </w:p>
              </w:tc>
              <w:tc>
                <w:tcPr>
                  <w:tcW w:w="833" w:type="dxa"/>
                  <w:noWrap/>
                  <w:tcMar>
                    <w:top w:w="0" w:type="dxa"/>
                    <w:left w:w="144" w:type="dxa"/>
                    <w:bottom w:w="0" w:type="dxa"/>
                    <w:right w:w="0" w:type="dxa"/>
                  </w:tcMar>
                </w:tcPr>
                <w:p w14:paraId="3F50C267" w14:textId="77777777" w:rsidR="00207559" w:rsidRDefault="00207559" w:rsidP="00207559">
                  <w:pPr>
                    <w:jc w:val="right"/>
                  </w:pPr>
                  <w:r>
                    <w:rPr>
                      <w:sz w:val="18"/>
                      <w:szCs w:val="18"/>
                    </w:rPr>
                    <w:t>—</w:t>
                  </w:r>
                </w:p>
              </w:tc>
              <w:tc>
                <w:tcPr>
                  <w:tcW w:w="1122" w:type="dxa"/>
                  <w:gridSpan w:val="2"/>
                  <w:noWrap/>
                  <w:tcMar>
                    <w:top w:w="0" w:type="dxa"/>
                    <w:left w:w="144" w:type="dxa"/>
                    <w:bottom w:w="0" w:type="dxa"/>
                    <w:right w:w="0" w:type="dxa"/>
                  </w:tcMar>
                </w:tcPr>
                <w:p w14:paraId="183ECDC0" w14:textId="77777777" w:rsidR="00207559" w:rsidRDefault="00207559" w:rsidP="00207559">
                  <w:pPr>
                    <w:jc w:val="right"/>
                  </w:pPr>
                  <w:r>
                    <w:rPr>
                      <w:sz w:val="18"/>
                      <w:szCs w:val="18"/>
                    </w:rPr>
                    <w:t>—</w:t>
                  </w:r>
                </w:p>
              </w:tc>
            </w:tr>
            <w:tr w:rsidR="00207559" w14:paraId="5505CC7F" w14:textId="77777777" w:rsidTr="00D11DE1">
              <w:trPr>
                <w:cantSplit/>
                <w:jc w:val="center"/>
              </w:trPr>
              <w:tc>
                <w:tcPr>
                  <w:tcW w:w="4378" w:type="dxa"/>
                </w:tcPr>
                <w:p w14:paraId="7C037E62" w14:textId="77777777" w:rsidR="00207559" w:rsidRDefault="00207559" w:rsidP="00207559">
                  <w:pPr>
                    <w:pStyle w:val="NormalWeb"/>
                    <w:tabs>
                      <w:tab w:val="right" w:leader="dot" w:pos="4620"/>
                    </w:tabs>
                    <w:spacing w:before="0" w:beforeAutospacing="0" w:after="0" w:afterAutospacing="0"/>
                    <w:rPr>
                      <w:sz w:val="18"/>
                      <w:szCs w:val="18"/>
                    </w:rPr>
                  </w:pPr>
                  <w:r>
                    <w:rPr>
                      <w:sz w:val="18"/>
                      <w:szCs w:val="18"/>
                    </w:rPr>
                    <w:t>Other comprehensive income not to be reclassified to profit or loss in subsequent periods</w:t>
                  </w:r>
                </w:p>
              </w:tc>
              <w:tc>
                <w:tcPr>
                  <w:tcW w:w="612" w:type="dxa"/>
                </w:tcPr>
                <w:p w14:paraId="2D147847"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w:t>
                  </w:r>
                </w:p>
              </w:tc>
              <w:tc>
                <w:tcPr>
                  <w:tcW w:w="1030" w:type="dxa"/>
                </w:tcPr>
                <w:p w14:paraId="05570D3E"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w:t>
                  </w:r>
                </w:p>
              </w:tc>
              <w:tc>
                <w:tcPr>
                  <w:tcW w:w="992" w:type="dxa"/>
                  <w:noWrap/>
                  <w:tcMar>
                    <w:top w:w="0" w:type="dxa"/>
                    <w:left w:w="144" w:type="dxa"/>
                    <w:bottom w:w="0" w:type="dxa"/>
                    <w:right w:w="0" w:type="dxa"/>
                  </w:tcMar>
                </w:tcPr>
                <w:p w14:paraId="77A3C801" w14:textId="77777777" w:rsidR="00207559" w:rsidRDefault="00207559" w:rsidP="00207559">
                  <w:pPr>
                    <w:jc w:val="right"/>
                    <w:rPr>
                      <w:sz w:val="18"/>
                      <w:szCs w:val="18"/>
                    </w:rPr>
                  </w:pPr>
                  <w:r>
                    <w:rPr>
                      <w:sz w:val="18"/>
                      <w:szCs w:val="18"/>
                    </w:rPr>
                    <w:t>—</w:t>
                  </w:r>
                </w:p>
              </w:tc>
              <w:tc>
                <w:tcPr>
                  <w:tcW w:w="833" w:type="dxa"/>
                  <w:noWrap/>
                  <w:tcMar>
                    <w:top w:w="0" w:type="dxa"/>
                    <w:left w:w="144" w:type="dxa"/>
                    <w:bottom w:w="0" w:type="dxa"/>
                    <w:right w:w="0" w:type="dxa"/>
                  </w:tcMar>
                </w:tcPr>
                <w:p w14:paraId="613CCF50" w14:textId="77777777" w:rsidR="00207559" w:rsidRDefault="00207559" w:rsidP="00207559">
                  <w:pPr>
                    <w:jc w:val="right"/>
                  </w:pPr>
                  <w:r>
                    <w:rPr>
                      <w:sz w:val="18"/>
                      <w:szCs w:val="18"/>
                    </w:rPr>
                    <w:t>—</w:t>
                  </w:r>
                </w:p>
              </w:tc>
              <w:tc>
                <w:tcPr>
                  <w:tcW w:w="1122" w:type="dxa"/>
                  <w:gridSpan w:val="2"/>
                  <w:noWrap/>
                  <w:tcMar>
                    <w:top w:w="0" w:type="dxa"/>
                    <w:left w:w="144" w:type="dxa"/>
                    <w:bottom w:w="0" w:type="dxa"/>
                    <w:right w:w="0" w:type="dxa"/>
                  </w:tcMar>
                </w:tcPr>
                <w:p w14:paraId="74EA2120" w14:textId="77777777" w:rsidR="00207559" w:rsidRDefault="00207559" w:rsidP="00207559">
                  <w:pPr>
                    <w:jc w:val="right"/>
                  </w:pPr>
                  <w:r>
                    <w:rPr>
                      <w:sz w:val="18"/>
                      <w:szCs w:val="18"/>
                    </w:rPr>
                    <w:t>—</w:t>
                  </w:r>
                </w:p>
              </w:tc>
            </w:tr>
            <w:tr w:rsidR="00207559" w14:paraId="5BAF7C3B" w14:textId="77777777" w:rsidTr="00D11DE1">
              <w:trPr>
                <w:cantSplit/>
                <w:jc w:val="center"/>
              </w:trPr>
              <w:tc>
                <w:tcPr>
                  <w:tcW w:w="4378" w:type="dxa"/>
                </w:tcPr>
                <w:p w14:paraId="5A831859" w14:textId="77777777" w:rsidR="00207559" w:rsidRDefault="00207559" w:rsidP="00207559">
                  <w:pPr>
                    <w:pStyle w:val="NormalWeb"/>
                    <w:tabs>
                      <w:tab w:val="right" w:leader="dot" w:pos="4620"/>
                    </w:tabs>
                    <w:spacing w:before="0" w:beforeAutospacing="0" w:after="0" w:afterAutospacing="0"/>
                    <w:rPr>
                      <w:sz w:val="18"/>
                      <w:szCs w:val="18"/>
                    </w:rPr>
                  </w:pPr>
                  <w:r>
                    <w:rPr>
                      <w:sz w:val="18"/>
                      <w:szCs w:val="18"/>
                    </w:rPr>
                    <w:t>Other comprehensive income for the period</w:t>
                  </w:r>
                </w:p>
              </w:tc>
              <w:tc>
                <w:tcPr>
                  <w:tcW w:w="612" w:type="dxa"/>
                </w:tcPr>
                <w:p w14:paraId="724A03F7" w14:textId="77777777" w:rsidR="00207559" w:rsidRDefault="00207559" w:rsidP="00207559">
                  <w:pPr>
                    <w:jc w:val="right"/>
                  </w:pPr>
                  <w:r>
                    <w:rPr>
                      <w:sz w:val="18"/>
                      <w:szCs w:val="18"/>
                    </w:rPr>
                    <w:t>—</w:t>
                  </w:r>
                </w:p>
              </w:tc>
              <w:tc>
                <w:tcPr>
                  <w:tcW w:w="1030" w:type="dxa"/>
                  <w:noWrap/>
                  <w:tcMar>
                    <w:top w:w="0" w:type="dxa"/>
                    <w:left w:w="144" w:type="dxa"/>
                    <w:bottom w:w="0" w:type="dxa"/>
                    <w:right w:w="0" w:type="dxa"/>
                  </w:tcMar>
                </w:tcPr>
                <w:p w14:paraId="1C8721AE" w14:textId="77777777" w:rsidR="00207559" w:rsidRDefault="00207559" w:rsidP="00207559">
                  <w:pPr>
                    <w:jc w:val="right"/>
                  </w:pPr>
                  <w:r>
                    <w:rPr>
                      <w:sz w:val="18"/>
                      <w:szCs w:val="18"/>
                    </w:rPr>
                    <w:t>—</w:t>
                  </w:r>
                </w:p>
              </w:tc>
              <w:tc>
                <w:tcPr>
                  <w:tcW w:w="992" w:type="dxa"/>
                  <w:noWrap/>
                  <w:tcMar>
                    <w:top w:w="0" w:type="dxa"/>
                    <w:left w:w="144" w:type="dxa"/>
                    <w:bottom w:w="0" w:type="dxa"/>
                    <w:right w:w="0" w:type="dxa"/>
                  </w:tcMar>
                </w:tcPr>
                <w:p w14:paraId="0723C8EF" w14:textId="77777777" w:rsidR="00207559" w:rsidRDefault="00207559" w:rsidP="00207559">
                  <w:pPr>
                    <w:jc w:val="right"/>
                    <w:rPr>
                      <w:sz w:val="18"/>
                      <w:szCs w:val="18"/>
                    </w:rPr>
                  </w:pPr>
                  <w:r>
                    <w:rPr>
                      <w:sz w:val="18"/>
                      <w:szCs w:val="18"/>
                    </w:rPr>
                    <w:t>—</w:t>
                  </w:r>
                </w:p>
              </w:tc>
              <w:tc>
                <w:tcPr>
                  <w:tcW w:w="833" w:type="dxa"/>
                  <w:noWrap/>
                  <w:tcMar>
                    <w:top w:w="0" w:type="dxa"/>
                    <w:left w:w="144" w:type="dxa"/>
                    <w:bottom w:w="0" w:type="dxa"/>
                    <w:right w:w="0" w:type="dxa"/>
                  </w:tcMar>
                </w:tcPr>
                <w:p w14:paraId="02E03F90" w14:textId="77777777" w:rsidR="00207559" w:rsidRDefault="00207559" w:rsidP="00207559">
                  <w:pPr>
                    <w:jc w:val="right"/>
                  </w:pPr>
                  <w:r>
                    <w:rPr>
                      <w:sz w:val="18"/>
                      <w:szCs w:val="18"/>
                    </w:rPr>
                    <w:t>—</w:t>
                  </w:r>
                </w:p>
              </w:tc>
              <w:tc>
                <w:tcPr>
                  <w:tcW w:w="1122" w:type="dxa"/>
                  <w:gridSpan w:val="2"/>
                  <w:noWrap/>
                  <w:tcMar>
                    <w:top w:w="0" w:type="dxa"/>
                    <w:left w:w="144" w:type="dxa"/>
                    <w:bottom w:w="0" w:type="dxa"/>
                    <w:right w:w="0" w:type="dxa"/>
                  </w:tcMar>
                </w:tcPr>
                <w:p w14:paraId="6FF31668" w14:textId="77777777" w:rsidR="00207559" w:rsidRDefault="00207559" w:rsidP="00207559">
                  <w:pPr>
                    <w:jc w:val="right"/>
                  </w:pPr>
                  <w:r>
                    <w:rPr>
                      <w:sz w:val="18"/>
                      <w:szCs w:val="18"/>
                    </w:rPr>
                    <w:t>—</w:t>
                  </w:r>
                </w:p>
              </w:tc>
            </w:tr>
            <w:tr w:rsidR="00207559" w14:paraId="0A9303E7" w14:textId="77777777" w:rsidTr="00D11DE1">
              <w:trPr>
                <w:cantSplit/>
                <w:jc w:val="center"/>
              </w:trPr>
              <w:tc>
                <w:tcPr>
                  <w:tcW w:w="4378" w:type="dxa"/>
                  <w:hideMark/>
                </w:tcPr>
                <w:p w14:paraId="763DDC4A" w14:textId="77777777" w:rsidR="00207559" w:rsidRDefault="00207559" w:rsidP="00207559">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Total comprehensive income / (loss) of the period</w:t>
                  </w:r>
                  <w:r>
                    <w:rPr>
                      <w:b/>
                      <w:bCs/>
                      <w:sz w:val="18"/>
                      <w:szCs w:val="18"/>
                    </w:rPr>
                    <w:tab/>
                  </w:r>
                </w:p>
              </w:tc>
              <w:tc>
                <w:tcPr>
                  <w:tcW w:w="612" w:type="dxa"/>
                </w:tcPr>
                <w:p w14:paraId="3E390290" w14:textId="77777777" w:rsidR="00207559" w:rsidRDefault="00207559" w:rsidP="00207559">
                  <w:pPr>
                    <w:pStyle w:val="NormalWeb"/>
                    <w:tabs>
                      <w:tab w:val="right" w:pos="900"/>
                      <w:tab w:val="decimal" w:pos="940"/>
                    </w:tabs>
                    <w:spacing w:before="0" w:beforeAutospacing="0" w:after="20" w:afterAutospacing="0"/>
                    <w:jc w:val="right"/>
                    <w:rPr>
                      <w:b/>
                      <w:sz w:val="18"/>
                      <w:szCs w:val="18"/>
                    </w:rPr>
                  </w:pPr>
                  <w:r>
                    <w:rPr>
                      <w:b/>
                      <w:sz w:val="18"/>
                      <w:szCs w:val="18"/>
                    </w:rPr>
                    <w:t>62,457</w:t>
                  </w:r>
                </w:p>
              </w:tc>
              <w:tc>
                <w:tcPr>
                  <w:tcW w:w="1030" w:type="dxa"/>
                </w:tcPr>
                <w:p w14:paraId="2C241592"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42,738</w:t>
                  </w:r>
                </w:p>
              </w:tc>
              <w:tc>
                <w:tcPr>
                  <w:tcW w:w="992" w:type="dxa"/>
                  <w:noWrap/>
                  <w:tcMar>
                    <w:top w:w="0" w:type="dxa"/>
                    <w:left w:w="144" w:type="dxa"/>
                    <w:bottom w:w="0" w:type="dxa"/>
                    <w:right w:w="0" w:type="dxa"/>
                  </w:tcMar>
                  <w:hideMark/>
                </w:tcPr>
                <w:p w14:paraId="7F5C51E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91,286</w:t>
                  </w:r>
                </w:p>
              </w:tc>
              <w:tc>
                <w:tcPr>
                  <w:tcW w:w="833" w:type="dxa"/>
                  <w:noWrap/>
                  <w:tcMar>
                    <w:top w:w="0" w:type="dxa"/>
                    <w:left w:w="144" w:type="dxa"/>
                    <w:bottom w:w="0" w:type="dxa"/>
                    <w:right w:w="0" w:type="dxa"/>
                  </w:tcMar>
                  <w:hideMark/>
                </w:tcPr>
                <w:p w14:paraId="13BF499D"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86,561</w:t>
                  </w:r>
                </w:p>
              </w:tc>
              <w:tc>
                <w:tcPr>
                  <w:tcW w:w="1122" w:type="dxa"/>
                  <w:gridSpan w:val="2"/>
                  <w:noWrap/>
                  <w:tcMar>
                    <w:top w:w="0" w:type="dxa"/>
                    <w:left w:w="144" w:type="dxa"/>
                    <w:bottom w:w="0" w:type="dxa"/>
                    <w:right w:w="0" w:type="dxa"/>
                  </w:tcMar>
                  <w:hideMark/>
                </w:tcPr>
                <w:p w14:paraId="2C77CA27"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49,359</w:t>
                  </w:r>
                </w:p>
              </w:tc>
            </w:tr>
            <w:tr w:rsidR="00207559" w14:paraId="64033540" w14:textId="77777777" w:rsidTr="00D11DE1">
              <w:trPr>
                <w:cantSplit/>
                <w:jc w:val="center"/>
              </w:trPr>
              <w:tc>
                <w:tcPr>
                  <w:tcW w:w="4378" w:type="dxa"/>
                </w:tcPr>
                <w:p w14:paraId="45095E34" w14:textId="77777777" w:rsidR="00207559" w:rsidRDefault="00207559" w:rsidP="00207559">
                  <w:pPr>
                    <w:pStyle w:val="NormalWeb"/>
                    <w:tabs>
                      <w:tab w:val="right" w:pos="900"/>
                      <w:tab w:val="decimal" w:pos="940"/>
                    </w:tabs>
                    <w:spacing w:before="0" w:beforeAutospacing="0" w:after="20" w:afterAutospacing="0"/>
                    <w:rPr>
                      <w:i/>
                      <w:sz w:val="18"/>
                      <w:szCs w:val="18"/>
                    </w:rPr>
                  </w:pPr>
                  <w:r>
                    <w:rPr>
                      <w:i/>
                      <w:sz w:val="18"/>
                      <w:szCs w:val="18"/>
                    </w:rPr>
                    <w:t>Attributable to:</w:t>
                  </w:r>
                </w:p>
              </w:tc>
              <w:tc>
                <w:tcPr>
                  <w:tcW w:w="612" w:type="dxa"/>
                </w:tcPr>
                <w:p w14:paraId="136FCDF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i/>
                      <w:sz w:val="18"/>
                      <w:szCs w:val="18"/>
                    </w:rPr>
                  </w:pPr>
                  <w:r>
                    <w:rPr>
                      <w:sz w:val="18"/>
                      <w:szCs w:val="18"/>
                    </w:rPr>
                    <w:t>—</w:t>
                  </w:r>
                </w:p>
              </w:tc>
              <w:tc>
                <w:tcPr>
                  <w:tcW w:w="1030" w:type="dxa"/>
                </w:tcPr>
                <w:p w14:paraId="433CD40B"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i/>
                      <w:sz w:val="18"/>
                      <w:szCs w:val="18"/>
                    </w:rPr>
                  </w:pPr>
                  <w:r>
                    <w:rPr>
                      <w:sz w:val="18"/>
                      <w:szCs w:val="18"/>
                    </w:rPr>
                    <w:t>—</w:t>
                  </w:r>
                </w:p>
              </w:tc>
              <w:tc>
                <w:tcPr>
                  <w:tcW w:w="992" w:type="dxa"/>
                </w:tcPr>
                <w:p w14:paraId="0F9F9200"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i/>
                      <w:sz w:val="18"/>
                      <w:szCs w:val="18"/>
                    </w:rPr>
                  </w:pPr>
                </w:p>
              </w:tc>
              <w:tc>
                <w:tcPr>
                  <w:tcW w:w="1807" w:type="dxa"/>
                  <w:gridSpan w:val="2"/>
                </w:tcPr>
                <w:p w14:paraId="77B0C1F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i/>
                      <w:sz w:val="18"/>
                      <w:szCs w:val="18"/>
                    </w:rPr>
                  </w:pPr>
                </w:p>
              </w:tc>
              <w:tc>
                <w:tcPr>
                  <w:tcW w:w="148" w:type="dxa"/>
                </w:tcPr>
                <w:p w14:paraId="530E3B3B"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i/>
                      <w:sz w:val="18"/>
                      <w:szCs w:val="18"/>
                    </w:rPr>
                  </w:pPr>
                </w:p>
              </w:tc>
            </w:tr>
            <w:tr w:rsidR="00207559" w14:paraId="774C8F9D" w14:textId="77777777" w:rsidTr="00D11DE1">
              <w:trPr>
                <w:cantSplit/>
                <w:jc w:val="center"/>
              </w:trPr>
              <w:tc>
                <w:tcPr>
                  <w:tcW w:w="4378" w:type="dxa"/>
                </w:tcPr>
                <w:p w14:paraId="6A1ECAE3" w14:textId="77777777" w:rsidR="00207559" w:rsidRDefault="00207559" w:rsidP="00207559">
                  <w:pPr>
                    <w:pStyle w:val="NormalWeb"/>
                    <w:tabs>
                      <w:tab w:val="right" w:leader="dot" w:pos="4620"/>
                    </w:tabs>
                    <w:spacing w:before="0" w:beforeAutospacing="0" w:after="0" w:afterAutospacing="0"/>
                    <w:ind w:left="960" w:hanging="240"/>
                    <w:rPr>
                      <w:sz w:val="18"/>
                      <w:szCs w:val="18"/>
                    </w:rPr>
                  </w:pPr>
                  <w:r>
                    <w:rPr>
                      <w:sz w:val="18"/>
                      <w:szCs w:val="18"/>
                    </w:rPr>
                    <w:t>Shareholders of VGP NV</w:t>
                  </w:r>
                  <w:r>
                    <w:rPr>
                      <w:sz w:val="18"/>
                      <w:szCs w:val="18"/>
                    </w:rPr>
                    <w:tab/>
                  </w:r>
                </w:p>
              </w:tc>
              <w:tc>
                <w:tcPr>
                  <w:tcW w:w="612" w:type="dxa"/>
                </w:tcPr>
                <w:p w14:paraId="3A5A6339" w14:textId="77777777" w:rsidR="00207559" w:rsidRDefault="00207559" w:rsidP="00207559">
                  <w:pPr>
                    <w:pStyle w:val="NormalWeb"/>
                    <w:tabs>
                      <w:tab w:val="right" w:pos="900"/>
                      <w:tab w:val="decimal" w:pos="940"/>
                    </w:tabs>
                    <w:spacing w:before="0" w:beforeAutospacing="0" w:after="20" w:afterAutospacing="0"/>
                    <w:jc w:val="right"/>
                    <w:rPr>
                      <w:b/>
                      <w:sz w:val="18"/>
                      <w:szCs w:val="18"/>
                    </w:rPr>
                  </w:pPr>
                  <w:r>
                    <w:rPr>
                      <w:b/>
                      <w:sz w:val="18"/>
                      <w:szCs w:val="18"/>
                    </w:rPr>
                    <w:t>62,457</w:t>
                  </w:r>
                </w:p>
              </w:tc>
              <w:tc>
                <w:tcPr>
                  <w:tcW w:w="1030" w:type="dxa"/>
                  <w:noWrap/>
                  <w:tcMar>
                    <w:top w:w="0" w:type="dxa"/>
                    <w:left w:w="144" w:type="dxa"/>
                    <w:bottom w:w="0" w:type="dxa"/>
                    <w:right w:w="0" w:type="dxa"/>
                  </w:tcMar>
                </w:tcPr>
                <w:p w14:paraId="389D45BE"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42,738</w:t>
                  </w:r>
                </w:p>
              </w:tc>
              <w:tc>
                <w:tcPr>
                  <w:tcW w:w="992" w:type="dxa"/>
                  <w:noWrap/>
                  <w:tcMar>
                    <w:top w:w="0" w:type="dxa"/>
                    <w:left w:w="144" w:type="dxa"/>
                    <w:bottom w:w="0" w:type="dxa"/>
                    <w:right w:w="0" w:type="dxa"/>
                  </w:tcMar>
                </w:tcPr>
                <w:p w14:paraId="0489612B" w14:textId="77777777" w:rsidR="00207559" w:rsidRDefault="00207559" w:rsidP="00207559">
                  <w:pPr>
                    <w:jc w:val="right"/>
                    <w:rPr>
                      <w:sz w:val="18"/>
                      <w:szCs w:val="18"/>
                    </w:rPr>
                  </w:pPr>
                  <w:r>
                    <w:rPr>
                      <w:sz w:val="18"/>
                      <w:szCs w:val="18"/>
                    </w:rPr>
                    <w:t>91,286</w:t>
                  </w:r>
                </w:p>
              </w:tc>
              <w:tc>
                <w:tcPr>
                  <w:tcW w:w="833" w:type="dxa"/>
                  <w:noWrap/>
                  <w:tcMar>
                    <w:top w:w="0" w:type="dxa"/>
                    <w:left w:w="144" w:type="dxa"/>
                    <w:bottom w:w="0" w:type="dxa"/>
                    <w:right w:w="0" w:type="dxa"/>
                  </w:tcMar>
                </w:tcPr>
                <w:p w14:paraId="25616B9D" w14:textId="77777777" w:rsidR="00207559" w:rsidRDefault="00207559" w:rsidP="00207559">
                  <w:pPr>
                    <w:jc w:val="right"/>
                    <w:rPr>
                      <w:sz w:val="18"/>
                      <w:szCs w:val="18"/>
                    </w:rPr>
                  </w:pPr>
                  <w:r>
                    <w:rPr>
                      <w:sz w:val="18"/>
                      <w:szCs w:val="18"/>
                    </w:rPr>
                    <w:t>86,561</w:t>
                  </w:r>
                </w:p>
              </w:tc>
              <w:tc>
                <w:tcPr>
                  <w:tcW w:w="1122" w:type="dxa"/>
                  <w:gridSpan w:val="2"/>
                  <w:noWrap/>
                  <w:tcMar>
                    <w:top w:w="0" w:type="dxa"/>
                    <w:left w:w="144" w:type="dxa"/>
                    <w:bottom w:w="0" w:type="dxa"/>
                    <w:right w:w="0" w:type="dxa"/>
                  </w:tcMar>
                </w:tcPr>
                <w:p w14:paraId="256A3A5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49,359</w:t>
                  </w:r>
                </w:p>
              </w:tc>
            </w:tr>
            <w:tr w:rsidR="00207559" w14:paraId="1C74300F" w14:textId="77777777" w:rsidTr="00D11DE1">
              <w:trPr>
                <w:cantSplit/>
                <w:jc w:val="center"/>
              </w:trPr>
              <w:tc>
                <w:tcPr>
                  <w:tcW w:w="4378" w:type="dxa"/>
                </w:tcPr>
                <w:p w14:paraId="4F2E77D7" w14:textId="77777777" w:rsidR="00207559" w:rsidRDefault="00207559" w:rsidP="00207559">
                  <w:pPr>
                    <w:pStyle w:val="NormalWeb"/>
                    <w:tabs>
                      <w:tab w:val="right" w:leader="dot" w:pos="4620"/>
                    </w:tabs>
                    <w:spacing w:before="0" w:beforeAutospacing="0" w:after="0" w:afterAutospacing="0"/>
                    <w:ind w:left="960" w:hanging="240"/>
                    <w:rPr>
                      <w:sz w:val="18"/>
                      <w:szCs w:val="18"/>
                    </w:rPr>
                  </w:pPr>
                  <w:r>
                    <w:rPr>
                      <w:sz w:val="18"/>
                      <w:szCs w:val="18"/>
                    </w:rPr>
                    <w:t>Non-controlling interests</w:t>
                  </w:r>
                  <w:r>
                    <w:rPr>
                      <w:sz w:val="18"/>
                      <w:szCs w:val="18"/>
                    </w:rPr>
                    <w:tab/>
                  </w:r>
                </w:p>
              </w:tc>
              <w:tc>
                <w:tcPr>
                  <w:tcW w:w="612" w:type="dxa"/>
                </w:tcPr>
                <w:p w14:paraId="44B84C0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w:t>
                  </w:r>
                </w:p>
              </w:tc>
              <w:tc>
                <w:tcPr>
                  <w:tcW w:w="1030" w:type="dxa"/>
                  <w:noWrap/>
                  <w:tcMar>
                    <w:top w:w="0" w:type="dxa"/>
                    <w:left w:w="144" w:type="dxa"/>
                    <w:bottom w:w="0" w:type="dxa"/>
                    <w:right w:w="0" w:type="dxa"/>
                  </w:tcMar>
                </w:tcPr>
                <w:p w14:paraId="6D4A3323"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w:t>
                  </w:r>
                </w:p>
              </w:tc>
              <w:tc>
                <w:tcPr>
                  <w:tcW w:w="992" w:type="dxa"/>
                  <w:noWrap/>
                  <w:tcMar>
                    <w:top w:w="0" w:type="dxa"/>
                    <w:left w:w="144" w:type="dxa"/>
                    <w:bottom w:w="0" w:type="dxa"/>
                    <w:right w:w="0" w:type="dxa"/>
                  </w:tcMar>
                </w:tcPr>
                <w:p w14:paraId="5298AA31" w14:textId="77777777" w:rsidR="00207559" w:rsidRDefault="00207559" w:rsidP="00207559">
                  <w:pPr>
                    <w:jc w:val="right"/>
                    <w:rPr>
                      <w:sz w:val="18"/>
                      <w:szCs w:val="18"/>
                    </w:rPr>
                  </w:pPr>
                  <w:r>
                    <w:rPr>
                      <w:sz w:val="18"/>
                      <w:szCs w:val="18"/>
                    </w:rPr>
                    <w:t>—</w:t>
                  </w:r>
                </w:p>
              </w:tc>
              <w:tc>
                <w:tcPr>
                  <w:tcW w:w="833" w:type="dxa"/>
                  <w:noWrap/>
                  <w:tcMar>
                    <w:top w:w="0" w:type="dxa"/>
                    <w:left w:w="144" w:type="dxa"/>
                    <w:bottom w:w="0" w:type="dxa"/>
                    <w:right w:w="0" w:type="dxa"/>
                  </w:tcMar>
                </w:tcPr>
                <w:p w14:paraId="45C609F8" w14:textId="77777777" w:rsidR="00207559" w:rsidRDefault="00207559" w:rsidP="00207559">
                  <w:pPr>
                    <w:jc w:val="right"/>
                  </w:pPr>
                  <w:r>
                    <w:rPr>
                      <w:sz w:val="18"/>
                      <w:szCs w:val="18"/>
                    </w:rPr>
                    <w:t>—</w:t>
                  </w:r>
                </w:p>
              </w:tc>
              <w:tc>
                <w:tcPr>
                  <w:tcW w:w="1122" w:type="dxa"/>
                  <w:gridSpan w:val="2"/>
                  <w:noWrap/>
                  <w:tcMar>
                    <w:top w:w="0" w:type="dxa"/>
                    <w:left w:w="144" w:type="dxa"/>
                    <w:bottom w:w="0" w:type="dxa"/>
                    <w:right w:w="0" w:type="dxa"/>
                  </w:tcMar>
                </w:tcPr>
                <w:p w14:paraId="597945B6" w14:textId="77777777" w:rsidR="00207559" w:rsidRDefault="00207559" w:rsidP="00207559">
                  <w:pPr>
                    <w:jc w:val="right"/>
                  </w:pPr>
                  <w:r>
                    <w:rPr>
                      <w:sz w:val="18"/>
                      <w:szCs w:val="18"/>
                    </w:rPr>
                    <w:t>—</w:t>
                  </w:r>
                </w:p>
              </w:tc>
            </w:tr>
          </w:tbl>
          <w:p w14:paraId="3EF4B215" w14:textId="2AE4BAD7" w:rsidR="003F4AAB" w:rsidRDefault="003F4AAB">
            <w:pPr>
              <w:pStyle w:val="NormalWeb"/>
              <w:keepNext/>
              <w:spacing w:before="0" w:beforeAutospacing="0" w:after="0" w:afterAutospacing="0"/>
              <w:rPr>
                <w:b/>
                <w:sz w:val="18"/>
                <w:szCs w:val="18"/>
              </w:rPr>
            </w:pPr>
          </w:p>
          <w:p w14:paraId="51A9B9CC" w14:textId="4B5980A1" w:rsidR="00F76607" w:rsidRDefault="00207559" w:rsidP="00207559">
            <w:pPr>
              <w:pStyle w:val="NormalWeb"/>
              <w:keepNext/>
              <w:spacing w:before="0" w:beforeAutospacing="0" w:after="0" w:afterAutospacing="0"/>
              <w:rPr>
                <w:b/>
                <w:bCs/>
                <w:sz w:val="18"/>
                <w:szCs w:val="18"/>
              </w:rPr>
            </w:pPr>
            <w:r w:rsidRPr="00207559">
              <w:rPr>
                <w:b/>
                <w:bCs/>
                <w:sz w:val="18"/>
                <w:szCs w:val="18"/>
              </w:rPr>
              <w:t xml:space="preserve">Consolidated </w:t>
            </w:r>
            <w:r>
              <w:rPr>
                <w:b/>
                <w:bCs/>
                <w:sz w:val="18"/>
                <w:szCs w:val="18"/>
              </w:rPr>
              <w:t>Balance Sheet</w:t>
            </w:r>
            <w:r w:rsidRPr="00207559">
              <w:rPr>
                <w:b/>
                <w:bCs/>
                <w:sz w:val="18"/>
                <w:szCs w:val="18"/>
              </w:rPr>
              <w:t xml:space="preserve"> </w:t>
            </w:r>
            <w:r>
              <w:rPr>
                <w:b/>
                <w:bCs/>
                <w:sz w:val="18"/>
                <w:szCs w:val="18"/>
              </w:rPr>
              <w:t>Information</w:t>
            </w:r>
          </w:p>
          <w:p w14:paraId="574AB618" w14:textId="77777777" w:rsidR="00207559" w:rsidRPr="00207559" w:rsidRDefault="00207559" w:rsidP="00207559">
            <w:pPr>
              <w:pStyle w:val="NormalWeb"/>
              <w:keepNext/>
              <w:spacing w:before="0" w:beforeAutospacing="0" w:after="0" w:afterAutospacing="0"/>
              <w:rPr>
                <w:b/>
                <w:bCs/>
                <w:sz w:val="18"/>
                <w:szCs w:val="18"/>
              </w:rPr>
            </w:pPr>
          </w:p>
          <w:tbl>
            <w:tblPr>
              <w:tblW w:w="89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090"/>
              <w:gridCol w:w="1458"/>
              <w:gridCol w:w="1269"/>
              <w:gridCol w:w="1148"/>
              <w:gridCol w:w="1086"/>
            </w:tblGrid>
            <w:tr w:rsidR="00207559" w14:paraId="5DF2B1AE" w14:textId="77777777" w:rsidTr="00046D29">
              <w:trPr>
                <w:cantSplit/>
                <w:trHeight w:val="246"/>
                <w:tblHeader/>
                <w:jc w:val="center"/>
              </w:trPr>
              <w:tc>
                <w:tcPr>
                  <w:tcW w:w="3917" w:type="dxa"/>
                  <w:tcMar>
                    <w:top w:w="0" w:type="dxa"/>
                    <w:left w:w="144" w:type="dxa"/>
                    <w:bottom w:w="0" w:type="dxa"/>
                    <w:right w:w="0" w:type="dxa"/>
                  </w:tcMar>
                  <w:vAlign w:val="bottom"/>
                  <w:hideMark/>
                </w:tcPr>
                <w:p w14:paraId="5174BDEC" w14:textId="77777777" w:rsidR="00207559" w:rsidRDefault="00207559" w:rsidP="00207559">
                  <w:pPr>
                    <w:pStyle w:val="la2"/>
                    <w:keepNext/>
                    <w:rPr>
                      <w:rFonts w:eastAsiaTheme="minorEastAsia"/>
                      <w:sz w:val="16"/>
                      <w:szCs w:val="16"/>
                    </w:rPr>
                  </w:pPr>
                  <w:r>
                    <w:rPr>
                      <w:sz w:val="16"/>
                      <w:szCs w:val="16"/>
                    </w:rPr>
                    <w:t> </w:t>
                  </w:r>
                </w:p>
              </w:tc>
              <w:tc>
                <w:tcPr>
                  <w:tcW w:w="1482" w:type="dxa"/>
                  <w:tcMar>
                    <w:top w:w="0" w:type="dxa"/>
                    <w:left w:w="144" w:type="dxa"/>
                    <w:bottom w:w="0" w:type="dxa"/>
                    <w:right w:w="0" w:type="dxa"/>
                  </w:tcMar>
                  <w:vAlign w:val="bottom"/>
                  <w:hideMark/>
                </w:tcPr>
                <w:p w14:paraId="06A6FA5A" w14:textId="77777777" w:rsidR="00207559" w:rsidRDefault="00207559" w:rsidP="00207559">
                  <w:pPr>
                    <w:jc w:val="center"/>
                    <w:rPr>
                      <w:rFonts w:eastAsiaTheme="minorEastAsia"/>
                      <w:sz w:val="16"/>
                      <w:szCs w:val="16"/>
                    </w:rPr>
                  </w:pPr>
                  <w:r>
                    <w:rPr>
                      <w:b/>
                      <w:bCs/>
                      <w:sz w:val="16"/>
                      <w:szCs w:val="16"/>
                    </w:rPr>
                    <w:t xml:space="preserve">As of 30-Jun </w:t>
                  </w:r>
                  <w:r>
                    <w:rPr>
                      <w:sz w:val="16"/>
                      <w:szCs w:val="16"/>
                    </w:rPr>
                    <w:t> </w:t>
                  </w:r>
                </w:p>
              </w:tc>
              <w:tc>
                <w:tcPr>
                  <w:tcW w:w="3553" w:type="dxa"/>
                  <w:gridSpan w:val="3"/>
                  <w:tcMar>
                    <w:top w:w="0" w:type="dxa"/>
                    <w:left w:w="144" w:type="dxa"/>
                    <w:bottom w:w="0" w:type="dxa"/>
                    <w:right w:w="0" w:type="dxa"/>
                  </w:tcMar>
                  <w:vAlign w:val="bottom"/>
                  <w:hideMark/>
                </w:tcPr>
                <w:p w14:paraId="4EDF0C96" w14:textId="77777777" w:rsidR="00207559" w:rsidRDefault="00207559" w:rsidP="00207559">
                  <w:pPr>
                    <w:jc w:val="center"/>
                    <w:rPr>
                      <w:rFonts w:eastAsiaTheme="minorEastAsia"/>
                      <w:sz w:val="16"/>
                      <w:szCs w:val="16"/>
                    </w:rPr>
                  </w:pPr>
                  <w:r>
                    <w:rPr>
                      <w:b/>
                      <w:bCs/>
                      <w:sz w:val="16"/>
                      <w:szCs w:val="16"/>
                    </w:rPr>
                    <w:t>As of 31-Dec</w:t>
                  </w:r>
                </w:p>
              </w:tc>
            </w:tr>
            <w:tr w:rsidR="00207559" w14:paraId="0769D355" w14:textId="77777777" w:rsidTr="00046D29">
              <w:trPr>
                <w:cantSplit/>
                <w:trHeight w:val="255"/>
                <w:tblHeader/>
                <w:jc w:val="center"/>
              </w:trPr>
              <w:tc>
                <w:tcPr>
                  <w:tcW w:w="3917" w:type="dxa"/>
                  <w:tcMar>
                    <w:top w:w="0" w:type="dxa"/>
                    <w:left w:w="144" w:type="dxa"/>
                    <w:bottom w:w="0" w:type="dxa"/>
                    <w:right w:w="0" w:type="dxa"/>
                  </w:tcMar>
                  <w:vAlign w:val="bottom"/>
                  <w:hideMark/>
                </w:tcPr>
                <w:p w14:paraId="42973C39" w14:textId="77777777" w:rsidR="00207559" w:rsidRDefault="00207559" w:rsidP="00207559">
                  <w:pPr>
                    <w:pStyle w:val="la2"/>
                    <w:keepNext/>
                    <w:rPr>
                      <w:rFonts w:eastAsiaTheme="minorEastAsia"/>
                      <w:sz w:val="16"/>
                      <w:szCs w:val="16"/>
                    </w:rPr>
                  </w:pPr>
                  <w:r>
                    <w:rPr>
                      <w:sz w:val="16"/>
                      <w:szCs w:val="16"/>
                    </w:rPr>
                    <w:t> </w:t>
                  </w:r>
                </w:p>
              </w:tc>
              <w:tc>
                <w:tcPr>
                  <w:tcW w:w="1482" w:type="dxa"/>
                  <w:tcMar>
                    <w:top w:w="0" w:type="dxa"/>
                    <w:left w:w="144" w:type="dxa"/>
                    <w:bottom w:w="0" w:type="dxa"/>
                    <w:right w:w="0" w:type="dxa"/>
                  </w:tcMar>
                  <w:vAlign w:val="bottom"/>
                  <w:hideMark/>
                </w:tcPr>
                <w:p w14:paraId="3EEE32A5" w14:textId="77777777" w:rsidR="00207559" w:rsidRDefault="00207559" w:rsidP="00207559">
                  <w:pPr>
                    <w:jc w:val="center"/>
                    <w:rPr>
                      <w:rFonts w:eastAsiaTheme="minorEastAsia"/>
                      <w:sz w:val="16"/>
                      <w:szCs w:val="16"/>
                    </w:rPr>
                  </w:pPr>
                  <w:r>
                    <w:rPr>
                      <w:b/>
                      <w:bCs/>
                      <w:sz w:val="16"/>
                      <w:szCs w:val="16"/>
                    </w:rPr>
                    <w:t>2017</w:t>
                  </w:r>
                  <w:r>
                    <w:rPr>
                      <w:sz w:val="16"/>
                      <w:szCs w:val="16"/>
                    </w:rPr>
                    <w:t xml:space="preserve">  </w:t>
                  </w:r>
                </w:p>
              </w:tc>
              <w:tc>
                <w:tcPr>
                  <w:tcW w:w="1288" w:type="dxa"/>
                  <w:tcMar>
                    <w:top w:w="0" w:type="dxa"/>
                    <w:left w:w="144" w:type="dxa"/>
                    <w:bottom w:w="0" w:type="dxa"/>
                    <w:right w:w="0" w:type="dxa"/>
                  </w:tcMar>
                  <w:vAlign w:val="bottom"/>
                  <w:hideMark/>
                </w:tcPr>
                <w:p w14:paraId="5319B8E9" w14:textId="77777777" w:rsidR="00207559" w:rsidRDefault="00207559" w:rsidP="00207559">
                  <w:pPr>
                    <w:jc w:val="center"/>
                    <w:rPr>
                      <w:rFonts w:eastAsiaTheme="minorEastAsia"/>
                      <w:sz w:val="16"/>
                      <w:szCs w:val="16"/>
                    </w:rPr>
                  </w:pPr>
                  <w:r>
                    <w:rPr>
                      <w:b/>
                      <w:bCs/>
                      <w:sz w:val="16"/>
                      <w:szCs w:val="16"/>
                    </w:rPr>
                    <w:t>2016</w:t>
                  </w:r>
                  <w:r>
                    <w:rPr>
                      <w:sz w:val="16"/>
                      <w:szCs w:val="16"/>
                    </w:rPr>
                    <w:t xml:space="preserve"> </w:t>
                  </w:r>
                </w:p>
              </w:tc>
              <w:tc>
                <w:tcPr>
                  <w:tcW w:w="1164" w:type="dxa"/>
                  <w:tcMar>
                    <w:top w:w="0" w:type="dxa"/>
                    <w:left w:w="144" w:type="dxa"/>
                    <w:bottom w:w="0" w:type="dxa"/>
                    <w:right w:w="0" w:type="dxa"/>
                  </w:tcMar>
                  <w:vAlign w:val="bottom"/>
                  <w:hideMark/>
                </w:tcPr>
                <w:p w14:paraId="1CD79BBD" w14:textId="77777777" w:rsidR="00207559" w:rsidRDefault="00207559" w:rsidP="00207559">
                  <w:pPr>
                    <w:jc w:val="center"/>
                    <w:rPr>
                      <w:rFonts w:eastAsiaTheme="minorEastAsia"/>
                      <w:sz w:val="16"/>
                      <w:szCs w:val="16"/>
                    </w:rPr>
                  </w:pPr>
                  <w:r>
                    <w:rPr>
                      <w:b/>
                      <w:bCs/>
                      <w:sz w:val="16"/>
                      <w:szCs w:val="16"/>
                    </w:rPr>
                    <w:t>2015</w:t>
                  </w:r>
                </w:p>
              </w:tc>
              <w:tc>
                <w:tcPr>
                  <w:tcW w:w="1101" w:type="dxa"/>
                  <w:tcMar>
                    <w:top w:w="0" w:type="dxa"/>
                    <w:left w:w="144" w:type="dxa"/>
                    <w:bottom w:w="0" w:type="dxa"/>
                    <w:right w:w="0" w:type="dxa"/>
                  </w:tcMar>
                  <w:vAlign w:val="bottom"/>
                  <w:hideMark/>
                </w:tcPr>
                <w:p w14:paraId="167E5404" w14:textId="77777777" w:rsidR="00207559" w:rsidRDefault="00207559" w:rsidP="00207559">
                  <w:pPr>
                    <w:jc w:val="center"/>
                    <w:rPr>
                      <w:rFonts w:eastAsiaTheme="minorEastAsia"/>
                      <w:sz w:val="16"/>
                      <w:szCs w:val="16"/>
                    </w:rPr>
                  </w:pPr>
                  <w:r>
                    <w:rPr>
                      <w:b/>
                      <w:bCs/>
                      <w:sz w:val="16"/>
                      <w:szCs w:val="16"/>
                    </w:rPr>
                    <w:t>2014</w:t>
                  </w:r>
                  <w:r>
                    <w:rPr>
                      <w:sz w:val="16"/>
                      <w:szCs w:val="16"/>
                    </w:rPr>
                    <w:t xml:space="preserve"> </w:t>
                  </w:r>
                </w:p>
              </w:tc>
            </w:tr>
            <w:tr w:rsidR="00207559" w14:paraId="6C2C46BD" w14:textId="77777777" w:rsidTr="00046D29">
              <w:trPr>
                <w:cantSplit/>
                <w:trHeight w:val="183"/>
                <w:tblHeader/>
                <w:jc w:val="center"/>
              </w:trPr>
              <w:tc>
                <w:tcPr>
                  <w:tcW w:w="3917" w:type="dxa"/>
                  <w:tcMar>
                    <w:top w:w="0" w:type="dxa"/>
                    <w:left w:w="144" w:type="dxa"/>
                    <w:bottom w:w="0" w:type="dxa"/>
                    <w:right w:w="0" w:type="dxa"/>
                  </w:tcMar>
                  <w:vAlign w:val="bottom"/>
                  <w:hideMark/>
                </w:tcPr>
                <w:p w14:paraId="01DD0800" w14:textId="77777777" w:rsidR="00207559" w:rsidRDefault="00207559" w:rsidP="00207559">
                  <w:pPr>
                    <w:pStyle w:val="la2"/>
                    <w:keepNext/>
                    <w:rPr>
                      <w:rFonts w:eastAsiaTheme="minorEastAsia"/>
                      <w:sz w:val="16"/>
                      <w:szCs w:val="16"/>
                    </w:rPr>
                  </w:pPr>
                  <w:r>
                    <w:rPr>
                      <w:sz w:val="16"/>
                      <w:szCs w:val="16"/>
                    </w:rPr>
                    <w:t> </w:t>
                  </w:r>
                </w:p>
              </w:tc>
              <w:tc>
                <w:tcPr>
                  <w:tcW w:w="5035" w:type="dxa"/>
                  <w:gridSpan w:val="4"/>
                  <w:tcMar>
                    <w:top w:w="0" w:type="dxa"/>
                    <w:left w:w="144" w:type="dxa"/>
                    <w:bottom w:w="0" w:type="dxa"/>
                    <w:right w:w="0" w:type="dxa"/>
                  </w:tcMar>
                  <w:vAlign w:val="bottom"/>
                  <w:hideMark/>
                </w:tcPr>
                <w:p w14:paraId="17888A3F" w14:textId="77777777" w:rsidR="00207559" w:rsidRDefault="00207559" w:rsidP="00207559">
                  <w:pPr>
                    <w:jc w:val="center"/>
                    <w:rPr>
                      <w:i/>
                      <w:sz w:val="16"/>
                      <w:szCs w:val="16"/>
                    </w:rPr>
                  </w:pPr>
                  <w:r>
                    <w:rPr>
                      <w:bCs/>
                      <w:i/>
                      <w:sz w:val="16"/>
                      <w:szCs w:val="16"/>
                    </w:rPr>
                    <w:t>(€ thousands)</w:t>
                  </w:r>
                </w:p>
              </w:tc>
            </w:tr>
            <w:tr w:rsidR="00207559" w14:paraId="339E90AE" w14:textId="77777777" w:rsidTr="00046D29">
              <w:trPr>
                <w:cantSplit/>
                <w:trHeight w:val="228"/>
                <w:jc w:val="center"/>
              </w:trPr>
              <w:tc>
                <w:tcPr>
                  <w:tcW w:w="3917" w:type="dxa"/>
                </w:tcPr>
                <w:p w14:paraId="79A2A5CF" w14:textId="77777777" w:rsidR="00207559" w:rsidRDefault="00207559" w:rsidP="00207559">
                  <w:pPr>
                    <w:pStyle w:val="NormalWeb"/>
                    <w:keepNext/>
                    <w:tabs>
                      <w:tab w:val="right" w:leader="dot" w:pos="4620"/>
                    </w:tabs>
                    <w:spacing w:before="0" w:beforeAutospacing="0" w:after="0" w:afterAutospacing="0"/>
                    <w:ind w:left="240" w:hanging="240"/>
                    <w:rPr>
                      <w:i/>
                      <w:sz w:val="18"/>
                      <w:szCs w:val="18"/>
                    </w:rPr>
                  </w:pPr>
                  <w:r>
                    <w:rPr>
                      <w:i/>
                      <w:sz w:val="18"/>
                      <w:szCs w:val="18"/>
                    </w:rPr>
                    <w:t>Assets:</w:t>
                  </w:r>
                </w:p>
              </w:tc>
              <w:tc>
                <w:tcPr>
                  <w:tcW w:w="5035" w:type="dxa"/>
                  <w:gridSpan w:val="4"/>
                  <w:noWrap/>
                  <w:tcMar>
                    <w:top w:w="0" w:type="dxa"/>
                    <w:left w:w="144" w:type="dxa"/>
                    <w:bottom w:w="0" w:type="dxa"/>
                    <w:right w:w="0" w:type="dxa"/>
                  </w:tcMar>
                  <w:vAlign w:val="bottom"/>
                </w:tcPr>
                <w:p w14:paraId="6FBFFECA"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p>
              </w:tc>
            </w:tr>
            <w:tr w:rsidR="00207559" w14:paraId="0E8FD74F" w14:textId="77777777" w:rsidTr="00046D29">
              <w:trPr>
                <w:cantSplit/>
                <w:trHeight w:val="228"/>
                <w:jc w:val="center"/>
              </w:trPr>
              <w:tc>
                <w:tcPr>
                  <w:tcW w:w="3917" w:type="dxa"/>
                  <w:hideMark/>
                </w:tcPr>
                <w:p w14:paraId="65214271" w14:textId="77777777" w:rsidR="00207559" w:rsidRDefault="00207559" w:rsidP="00207559">
                  <w:pPr>
                    <w:pStyle w:val="NormalWeb"/>
                    <w:keepNext/>
                    <w:tabs>
                      <w:tab w:val="right" w:leader="dot" w:pos="4620"/>
                    </w:tabs>
                    <w:spacing w:before="0" w:beforeAutospacing="0" w:after="0" w:afterAutospacing="0"/>
                    <w:ind w:left="240" w:hanging="240"/>
                    <w:rPr>
                      <w:rFonts w:eastAsiaTheme="minorEastAsia"/>
                      <w:sz w:val="18"/>
                      <w:szCs w:val="18"/>
                    </w:rPr>
                  </w:pPr>
                  <w:r>
                    <w:rPr>
                      <w:sz w:val="18"/>
                      <w:szCs w:val="18"/>
                    </w:rPr>
                    <w:t>Goodwill</w:t>
                  </w:r>
                  <w:r>
                    <w:rPr>
                      <w:sz w:val="18"/>
                      <w:szCs w:val="18"/>
                    </w:rPr>
                    <w:tab/>
                  </w:r>
                </w:p>
              </w:tc>
              <w:tc>
                <w:tcPr>
                  <w:tcW w:w="1482" w:type="dxa"/>
                  <w:noWrap/>
                  <w:tcMar>
                    <w:top w:w="0" w:type="dxa"/>
                    <w:left w:w="144" w:type="dxa"/>
                    <w:bottom w:w="0" w:type="dxa"/>
                    <w:right w:w="0" w:type="dxa"/>
                  </w:tcMar>
                  <w:hideMark/>
                </w:tcPr>
                <w:p w14:paraId="47FEE415" w14:textId="77777777" w:rsidR="00207559" w:rsidRDefault="00207559" w:rsidP="00207559">
                  <w:pPr>
                    <w:jc w:val="right"/>
                    <w:rPr>
                      <w:sz w:val="18"/>
                      <w:szCs w:val="18"/>
                    </w:rPr>
                  </w:pPr>
                  <w:r>
                    <w:rPr>
                      <w:sz w:val="18"/>
                      <w:szCs w:val="18"/>
                    </w:rPr>
                    <w:t>—</w:t>
                  </w:r>
                </w:p>
              </w:tc>
              <w:tc>
                <w:tcPr>
                  <w:tcW w:w="1288" w:type="dxa"/>
                  <w:noWrap/>
                  <w:tcMar>
                    <w:top w:w="0" w:type="dxa"/>
                    <w:left w:w="144" w:type="dxa"/>
                    <w:bottom w:w="0" w:type="dxa"/>
                    <w:right w:w="0" w:type="dxa"/>
                  </w:tcMar>
                  <w:hideMark/>
                </w:tcPr>
                <w:p w14:paraId="1880DD36" w14:textId="77777777" w:rsidR="00207559" w:rsidRDefault="00207559" w:rsidP="00207559">
                  <w:pPr>
                    <w:jc w:val="right"/>
                    <w:rPr>
                      <w:sz w:val="18"/>
                      <w:szCs w:val="18"/>
                    </w:rPr>
                  </w:pPr>
                  <w:r>
                    <w:rPr>
                      <w:sz w:val="18"/>
                      <w:szCs w:val="18"/>
                    </w:rPr>
                    <w:t>—</w:t>
                  </w:r>
                </w:p>
              </w:tc>
              <w:tc>
                <w:tcPr>
                  <w:tcW w:w="1164" w:type="dxa"/>
                  <w:noWrap/>
                  <w:tcMar>
                    <w:top w:w="0" w:type="dxa"/>
                    <w:left w:w="144" w:type="dxa"/>
                    <w:bottom w:w="0" w:type="dxa"/>
                    <w:right w:w="0" w:type="dxa"/>
                  </w:tcMar>
                  <w:vAlign w:val="bottom"/>
                  <w:hideMark/>
                </w:tcPr>
                <w:p w14:paraId="22B3237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631</w:t>
                  </w:r>
                </w:p>
              </w:tc>
              <w:tc>
                <w:tcPr>
                  <w:tcW w:w="1101" w:type="dxa"/>
                  <w:noWrap/>
                  <w:tcMar>
                    <w:top w:w="0" w:type="dxa"/>
                    <w:left w:w="144" w:type="dxa"/>
                    <w:bottom w:w="0" w:type="dxa"/>
                    <w:right w:w="0" w:type="dxa"/>
                  </w:tcMar>
                  <w:vAlign w:val="bottom"/>
                  <w:hideMark/>
                </w:tcPr>
                <w:p w14:paraId="4D63F3E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631</w:t>
                  </w:r>
                </w:p>
              </w:tc>
            </w:tr>
            <w:tr w:rsidR="00207559" w14:paraId="405AAC13" w14:textId="77777777" w:rsidTr="00046D29">
              <w:trPr>
                <w:cantSplit/>
                <w:trHeight w:val="219"/>
                <w:jc w:val="center"/>
              </w:trPr>
              <w:tc>
                <w:tcPr>
                  <w:tcW w:w="3917" w:type="dxa"/>
                  <w:hideMark/>
                </w:tcPr>
                <w:p w14:paraId="3F4399A3" w14:textId="77777777" w:rsidR="00207559" w:rsidRDefault="00207559" w:rsidP="00207559">
                  <w:pPr>
                    <w:pStyle w:val="NormalWeb"/>
                    <w:keepNext/>
                    <w:tabs>
                      <w:tab w:val="right" w:leader="dot" w:pos="4620"/>
                    </w:tabs>
                    <w:spacing w:before="0" w:beforeAutospacing="0" w:after="0" w:afterAutospacing="0"/>
                    <w:ind w:left="240" w:hanging="240"/>
                    <w:rPr>
                      <w:rFonts w:eastAsiaTheme="minorEastAsia"/>
                      <w:sz w:val="18"/>
                      <w:szCs w:val="18"/>
                    </w:rPr>
                  </w:pPr>
                  <w:r>
                    <w:rPr>
                      <w:sz w:val="18"/>
                      <w:szCs w:val="18"/>
                    </w:rPr>
                    <w:t>Intangible assets</w:t>
                  </w:r>
                  <w:r>
                    <w:rPr>
                      <w:sz w:val="18"/>
                      <w:szCs w:val="18"/>
                    </w:rPr>
                    <w:tab/>
                  </w:r>
                </w:p>
              </w:tc>
              <w:tc>
                <w:tcPr>
                  <w:tcW w:w="1482" w:type="dxa"/>
                  <w:noWrap/>
                  <w:tcMar>
                    <w:top w:w="0" w:type="dxa"/>
                    <w:left w:w="144" w:type="dxa"/>
                    <w:bottom w:w="0" w:type="dxa"/>
                    <w:right w:w="0" w:type="dxa"/>
                  </w:tcMar>
                  <w:vAlign w:val="bottom"/>
                  <w:hideMark/>
                </w:tcPr>
                <w:p w14:paraId="1F69D4F0"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30</w:t>
                  </w:r>
                </w:p>
              </w:tc>
              <w:tc>
                <w:tcPr>
                  <w:tcW w:w="1288" w:type="dxa"/>
                  <w:noWrap/>
                  <w:tcMar>
                    <w:top w:w="0" w:type="dxa"/>
                    <w:left w:w="144" w:type="dxa"/>
                    <w:bottom w:w="0" w:type="dxa"/>
                    <w:right w:w="0" w:type="dxa"/>
                  </w:tcMar>
                  <w:vAlign w:val="bottom"/>
                  <w:hideMark/>
                </w:tcPr>
                <w:p w14:paraId="3A1AC30B"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14</w:t>
                  </w:r>
                </w:p>
              </w:tc>
              <w:tc>
                <w:tcPr>
                  <w:tcW w:w="1164" w:type="dxa"/>
                  <w:noWrap/>
                  <w:tcMar>
                    <w:top w:w="0" w:type="dxa"/>
                    <w:left w:w="144" w:type="dxa"/>
                    <w:bottom w:w="0" w:type="dxa"/>
                    <w:right w:w="0" w:type="dxa"/>
                  </w:tcMar>
                  <w:vAlign w:val="bottom"/>
                  <w:hideMark/>
                </w:tcPr>
                <w:p w14:paraId="2FB95E4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12</w:t>
                  </w:r>
                </w:p>
              </w:tc>
              <w:tc>
                <w:tcPr>
                  <w:tcW w:w="1101" w:type="dxa"/>
                  <w:noWrap/>
                  <w:tcMar>
                    <w:top w:w="0" w:type="dxa"/>
                    <w:left w:w="144" w:type="dxa"/>
                    <w:bottom w:w="0" w:type="dxa"/>
                    <w:right w:w="0" w:type="dxa"/>
                  </w:tcMar>
                  <w:vAlign w:val="bottom"/>
                  <w:hideMark/>
                </w:tcPr>
                <w:p w14:paraId="7561B49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57</w:t>
                  </w:r>
                </w:p>
              </w:tc>
            </w:tr>
            <w:tr w:rsidR="00207559" w14:paraId="5FCA8667" w14:textId="77777777" w:rsidTr="00046D29">
              <w:trPr>
                <w:cantSplit/>
                <w:trHeight w:val="219"/>
                <w:jc w:val="center"/>
              </w:trPr>
              <w:tc>
                <w:tcPr>
                  <w:tcW w:w="3917" w:type="dxa"/>
                </w:tcPr>
                <w:p w14:paraId="718821DA"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Investment properties</w:t>
                  </w:r>
                  <w:r>
                    <w:rPr>
                      <w:sz w:val="18"/>
                      <w:szCs w:val="18"/>
                    </w:rPr>
                    <w:tab/>
                  </w:r>
                </w:p>
              </w:tc>
              <w:tc>
                <w:tcPr>
                  <w:tcW w:w="1482" w:type="dxa"/>
                  <w:noWrap/>
                  <w:tcMar>
                    <w:top w:w="0" w:type="dxa"/>
                    <w:left w:w="144" w:type="dxa"/>
                    <w:bottom w:w="0" w:type="dxa"/>
                    <w:right w:w="0" w:type="dxa"/>
                  </w:tcMar>
                  <w:vAlign w:val="bottom"/>
                </w:tcPr>
                <w:p w14:paraId="0E8796F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500,186</w:t>
                  </w:r>
                </w:p>
              </w:tc>
              <w:tc>
                <w:tcPr>
                  <w:tcW w:w="1288" w:type="dxa"/>
                  <w:noWrap/>
                  <w:tcMar>
                    <w:top w:w="0" w:type="dxa"/>
                    <w:left w:w="144" w:type="dxa"/>
                    <w:bottom w:w="0" w:type="dxa"/>
                    <w:right w:w="0" w:type="dxa"/>
                  </w:tcMar>
                  <w:vAlign w:val="bottom"/>
                </w:tcPr>
                <w:p w14:paraId="02B66103"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550,262</w:t>
                  </w:r>
                </w:p>
              </w:tc>
              <w:tc>
                <w:tcPr>
                  <w:tcW w:w="1164" w:type="dxa"/>
                  <w:noWrap/>
                  <w:tcMar>
                    <w:top w:w="0" w:type="dxa"/>
                    <w:left w:w="144" w:type="dxa"/>
                    <w:bottom w:w="0" w:type="dxa"/>
                    <w:right w:w="0" w:type="dxa"/>
                  </w:tcMar>
                  <w:vAlign w:val="bottom"/>
                </w:tcPr>
                <w:p w14:paraId="29B4722E"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173,972</w:t>
                  </w:r>
                </w:p>
              </w:tc>
              <w:tc>
                <w:tcPr>
                  <w:tcW w:w="1101" w:type="dxa"/>
                  <w:noWrap/>
                  <w:tcMar>
                    <w:top w:w="0" w:type="dxa"/>
                    <w:left w:w="144" w:type="dxa"/>
                    <w:bottom w:w="0" w:type="dxa"/>
                    <w:right w:w="0" w:type="dxa"/>
                  </w:tcMar>
                  <w:vAlign w:val="bottom"/>
                </w:tcPr>
                <w:p w14:paraId="0A8D0A23"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416,089</w:t>
                  </w:r>
                </w:p>
              </w:tc>
            </w:tr>
            <w:tr w:rsidR="00207559" w14:paraId="34DA84D0" w14:textId="77777777" w:rsidTr="00046D29">
              <w:trPr>
                <w:cantSplit/>
                <w:trHeight w:val="219"/>
                <w:jc w:val="center"/>
              </w:trPr>
              <w:tc>
                <w:tcPr>
                  <w:tcW w:w="3917" w:type="dxa"/>
                </w:tcPr>
                <w:p w14:paraId="77930544"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Property, plant and equipment</w:t>
                  </w:r>
                  <w:r>
                    <w:rPr>
                      <w:sz w:val="18"/>
                      <w:szCs w:val="18"/>
                    </w:rPr>
                    <w:tab/>
                  </w:r>
                </w:p>
              </w:tc>
              <w:tc>
                <w:tcPr>
                  <w:tcW w:w="1482" w:type="dxa"/>
                  <w:noWrap/>
                  <w:tcMar>
                    <w:top w:w="0" w:type="dxa"/>
                    <w:left w:w="144" w:type="dxa"/>
                    <w:bottom w:w="0" w:type="dxa"/>
                    <w:right w:w="0" w:type="dxa"/>
                  </w:tcMar>
                  <w:vAlign w:val="bottom"/>
                </w:tcPr>
                <w:p w14:paraId="5E3DF877"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530</w:t>
                  </w:r>
                </w:p>
              </w:tc>
              <w:tc>
                <w:tcPr>
                  <w:tcW w:w="1288" w:type="dxa"/>
                  <w:noWrap/>
                  <w:tcMar>
                    <w:top w:w="0" w:type="dxa"/>
                    <w:left w:w="144" w:type="dxa"/>
                    <w:bottom w:w="0" w:type="dxa"/>
                    <w:right w:w="0" w:type="dxa"/>
                  </w:tcMar>
                  <w:vAlign w:val="bottom"/>
                </w:tcPr>
                <w:p w14:paraId="0A71C35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517</w:t>
                  </w:r>
                </w:p>
              </w:tc>
              <w:tc>
                <w:tcPr>
                  <w:tcW w:w="1164" w:type="dxa"/>
                  <w:noWrap/>
                  <w:tcMar>
                    <w:top w:w="0" w:type="dxa"/>
                    <w:left w:w="144" w:type="dxa"/>
                    <w:bottom w:w="0" w:type="dxa"/>
                    <w:right w:w="0" w:type="dxa"/>
                  </w:tcMar>
                  <w:vAlign w:val="bottom"/>
                </w:tcPr>
                <w:p w14:paraId="495F15AD"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378</w:t>
                  </w:r>
                </w:p>
              </w:tc>
              <w:tc>
                <w:tcPr>
                  <w:tcW w:w="1101" w:type="dxa"/>
                  <w:noWrap/>
                  <w:tcMar>
                    <w:top w:w="0" w:type="dxa"/>
                    <w:left w:w="144" w:type="dxa"/>
                    <w:bottom w:w="0" w:type="dxa"/>
                    <w:right w:w="0" w:type="dxa"/>
                  </w:tcMar>
                  <w:vAlign w:val="bottom"/>
                </w:tcPr>
                <w:p w14:paraId="5FCF757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370</w:t>
                  </w:r>
                </w:p>
              </w:tc>
            </w:tr>
            <w:tr w:rsidR="00207559" w14:paraId="323748B2" w14:textId="77777777" w:rsidTr="00046D29">
              <w:trPr>
                <w:cantSplit/>
                <w:trHeight w:val="219"/>
                <w:jc w:val="center"/>
              </w:trPr>
              <w:tc>
                <w:tcPr>
                  <w:tcW w:w="3917" w:type="dxa"/>
                </w:tcPr>
                <w:p w14:paraId="3E2601F2"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Non-current financial assets</w:t>
                  </w:r>
                  <w:r>
                    <w:rPr>
                      <w:sz w:val="18"/>
                      <w:szCs w:val="18"/>
                    </w:rPr>
                    <w:tab/>
                  </w:r>
                </w:p>
              </w:tc>
              <w:tc>
                <w:tcPr>
                  <w:tcW w:w="1482" w:type="dxa"/>
                  <w:noWrap/>
                  <w:tcMar>
                    <w:top w:w="0" w:type="dxa"/>
                    <w:left w:w="144" w:type="dxa"/>
                    <w:bottom w:w="0" w:type="dxa"/>
                    <w:right w:w="0" w:type="dxa"/>
                  </w:tcMar>
                  <w:vAlign w:val="bottom"/>
                </w:tcPr>
                <w:p w14:paraId="5325675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782</w:t>
                  </w:r>
                </w:p>
              </w:tc>
              <w:tc>
                <w:tcPr>
                  <w:tcW w:w="1288" w:type="dxa"/>
                  <w:noWrap/>
                  <w:tcMar>
                    <w:top w:w="0" w:type="dxa"/>
                    <w:left w:w="144" w:type="dxa"/>
                    <w:bottom w:w="0" w:type="dxa"/>
                    <w:right w:w="0" w:type="dxa"/>
                  </w:tcMar>
                  <w:vAlign w:val="bottom"/>
                </w:tcPr>
                <w:p w14:paraId="5CFA9147"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w:t>
                  </w:r>
                </w:p>
              </w:tc>
              <w:tc>
                <w:tcPr>
                  <w:tcW w:w="1164" w:type="dxa"/>
                  <w:noWrap/>
                  <w:tcMar>
                    <w:top w:w="0" w:type="dxa"/>
                    <w:left w:w="144" w:type="dxa"/>
                    <w:bottom w:w="0" w:type="dxa"/>
                    <w:right w:w="0" w:type="dxa"/>
                  </w:tcMar>
                  <w:vAlign w:val="bottom"/>
                </w:tcPr>
                <w:p w14:paraId="13A449BB"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216</w:t>
                  </w:r>
                </w:p>
              </w:tc>
              <w:tc>
                <w:tcPr>
                  <w:tcW w:w="1101" w:type="dxa"/>
                  <w:noWrap/>
                  <w:tcMar>
                    <w:top w:w="0" w:type="dxa"/>
                    <w:left w:w="144" w:type="dxa"/>
                    <w:bottom w:w="0" w:type="dxa"/>
                    <w:right w:w="0" w:type="dxa"/>
                  </w:tcMar>
                  <w:vAlign w:val="bottom"/>
                </w:tcPr>
                <w:p w14:paraId="20AD44DB"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w:t>
                  </w:r>
                </w:p>
              </w:tc>
            </w:tr>
            <w:tr w:rsidR="00207559" w14:paraId="3B2CCA68" w14:textId="77777777" w:rsidTr="00046D29">
              <w:trPr>
                <w:cantSplit/>
                <w:trHeight w:val="219"/>
                <w:jc w:val="center"/>
              </w:trPr>
              <w:tc>
                <w:tcPr>
                  <w:tcW w:w="3917" w:type="dxa"/>
                </w:tcPr>
                <w:p w14:paraId="0DECA4EA"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Investments in joint venture and associates</w:t>
                  </w:r>
                  <w:r>
                    <w:rPr>
                      <w:sz w:val="18"/>
                      <w:szCs w:val="18"/>
                    </w:rPr>
                    <w:tab/>
                  </w:r>
                </w:p>
              </w:tc>
              <w:tc>
                <w:tcPr>
                  <w:tcW w:w="1482" w:type="dxa"/>
                  <w:noWrap/>
                  <w:tcMar>
                    <w:top w:w="0" w:type="dxa"/>
                    <w:left w:w="144" w:type="dxa"/>
                    <w:bottom w:w="0" w:type="dxa"/>
                    <w:right w:w="0" w:type="dxa"/>
                  </w:tcMar>
                  <w:vAlign w:val="bottom"/>
                </w:tcPr>
                <w:p w14:paraId="4A7F6D17"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130,254</w:t>
                  </w:r>
                </w:p>
              </w:tc>
              <w:tc>
                <w:tcPr>
                  <w:tcW w:w="1288" w:type="dxa"/>
                  <w:noWrap/>
                  <w:tcMar>
                    <w:top w:w="0" w:type="dxa"/>
                    <w:left w:w="144" w:type="dxa"/>
                    <w:bottom w:w="0" w:type="dxa"/>
                    <w:right w:w="0" w:type="dxa"/>
                  </w:tcMar>
                  <w:vAlign w:val="bottom"/>
                </w:tcPr>
                <w:p w14:paraId="1588DB2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89,194</w:t>
                  </w:r>
                </w:p>
              </w:tc>
              <w:tc>
                <w:tcPr>
                  <w:tcW w:w="1164" w:type="dxa"/>
                  <w:noWrap/>
                  <w:tcMar>
                    <w:top w:w="0" w:type="dxa"/>
                    <w:left w:w="144" w:type="dxa"/>
                    <w:bottom w:w="0" w:type="dxa"/>
                    <w:right w:w="0" w:type="dxa"/>
                  </w:tcMar>
                  <w:vAlign w:val="bottom"/>
                </w:tcPr>
                <w:p w14:paraId="3E4C522A"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(103)</w:t>
                  </w:r>
                </w:p>
              </w:tc>
              <w:tc>
                <w:tcPr>
                  <w:tcW w:w="1101" w:type="dxa"/>
                  <w:noWrap/>
                  <w:tcMar>
                    <w:top w:w="0" w:type="dxa"/>
                    <w:left w:w="144" w:type="dxa"/>
                    <w:bottom w:w="0" w:type="dxa"/>
                    <w:right w:w="0" w:type="dxa"/>
                  </w:tcMar>
                  <w:vAlign w:val="bottom"/>
                </w:tcPr>
                <w:p w14:paraId="10F8FDC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17</w:t>
                  </w:r>
                </w:p>
              </w:tc>
            </w:tr>
            <w:tr w:rsidR="00207559" w14:paraId="15AAA621" w14:textId="77777777" w:rsidTr="00046D29">
              <w:trPr>
                <w:cantSplit/>
                <w:trHeight w:val="219"/>
                <w:jc w:val="center"/>
              </w:trPr>
              <w:tc>
                <w:tcPr>
                  <w:tcW w:w="3917" w:type="dxa"/>
                </w:tcPr>
                <w:p w14:paraId="405DCF13"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Other non-current receivables</w:t>
                  </w:r>
                  <w:r>
                    <w:rPr>
                      <w:sz w:val="18"/>
                      <w:szCs w:val="18"/>
                    </w:rPr>
                    <w:tab/>
                  </w:r>
                </w:p>
              </w:tc>
              <w:tc>
                <w:tcPr>
                  <w:tcW w:w="1482" w:type="dxa"/>
                  <w:noWrap/>
                  <w:tcMar>
                    <w:top w:w="0" w:type="dxa"/>
                    <w:left w:w="144" w:type="dxa"/>
                    <w:bottom w:w="0" w:type="dxa"/>
                    <w:right w:w="0" w:type="dxa"/>
                  </w:tcMar>
                  <w:vAlign w:val="bottom"/>
                </w:tcPr>
                <w:p w14:paraId="69DDD6D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16,232</w:t>
                  </w:r>
                </w:p>
              </w:tc>
              <w:tc>
                <w:tcPr>
                  <w:tcW w:w="1288" w:type="dxa"/>
                  <w:noWrap/>
                  <w:tcMar>
                    <w:top w:w="0" w:type="dxa"/>
                    <w:left w:w="144" w:type="dxa"/>
                    <w:bottom w:w="0" w:type="dxa"/>
                    <w:right w:w="0" w:type="dxa"/>
                  </w:tcMar>
                  <w:vAlign w:val="bottom"/>
                </w:tcPr>
                <w:p w14:paraId="7E87756D"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8,315</w:t>
                  </w:r>
                </w:p>
              </w:tc>
              <w:tc>
                <w:tcPr>
                  <w:tcW w:w="1164" w:type="dxa"/>
                  <w:noWrap/>
                  <w:tcMar>
                    <w:top w:w="0" w:type="dxa"/>
                    <w:left w:w="144" w:type="dxa"/>
                    <w:bottom w:w="0" w:type="dxa"/>
                    <w:right w:w="0" w:type="dxa"/>
                  </w:tcMar>
                </w:tcPr>
                <w:p w14:paraId="2DB0E4D0" w14:textId="77777777" w:rsidR="00207559" w:rsidRDefault="00207559" w:rsidP="00207559">
                  <w:pPr>
                    <w:jc w:val="right"/>
                    <w:rPr>
                      <w:sz w:val="18"/>
                      <w:szCs w:val="18"/>
                    </w:rPr>
                  </w:pPr>
                  <w:r>
                    <w:rPr>
                      <w:sz w:val="18"/>
                      <w:szCs w:val="18"/>
                    </w:rPr>
                    <w:t>—</w:t>
                  </w:r>
                </w:p>
              </w:tc>
              <w:tc>
                <w:tcPr>
                  <w:tcW w:w="1101" w:type="dxa"/>
                  <w:noWrap/>
                  <w:tcMar>
                    <w:top w:w="0" w:type="dxa"/>
                    <w:left w:w="144" w:type="dxa"/>
                    <w:bottom w:w="0" w:type="dxa"/>
                    <w:right w:w="0" w:type="dxa"/>
                  </w:tcMar>
                  <w:vAlign w:val="bottom"/>
                </w:tcPr>
                <w:p w14:paraId="7646D01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w:t>
                  </w:r>
                </w:p>
              </w:tc>
            </w:tr>
            <w:tr w:rsidR="00207559" w14:paraId="528B8F34" w14:textId="77777777" w:rsidTr="00046D29">
              <w:trPr>
                <w:cantSplit/>
                <w:trHeight w:val="219"/>
                <w:jc w:val="center"/>
              </w:trPr>
              <w:tc>
                <w:tcPr>
                  <w:tcW w:w="3917" w:type="dxa"/>
                </w:tcPr>
                <w:p w14:paraId="4EB3FF74"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Deferred tax assets</w:t>
                  </w:r>
                  <w:r>
                    <w:rPr>
                      <w:sz w:val="18"/>
                      <w:szCs w:val="18"/>
                    </w:rPr>
                    <w:tab/>
                  </w:r>
                </w:p>
              </w:tc>
              <w:tc>
                <w:tcPr>
                  <w:tcW w:w="1482" w:type="dxa"/>
                  <w:noWrap/>
                  <w:tcMar>
                    <w:top w:w="0" w:type="dxa"/>
                    <w:left w:w="144" w:type="dxa"/>
                    <w:bottom w:w="0" w:type="dxa"/>
                    <w:right w:w="0" w:type="dxa"/>
                  </w:tcMar>
                  <w:vAlign w:val="bottom"/>
                </w:tcPr>
                <w:p w14:paraId="6A5BD93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440</w:t>
                  </w:r>
                </w:p>
              </w:tc>
              <w:tc>
                <w:tcPr>
                  <w:tcW w:w="1288" w:type="dxa"/>
                  <w:noWrap/>
                  <w:tcMar>
                    <w:top w:w="0" w:type="dxa"/>
                    <w:left w:w="144" w:type="dxa"/>
                    <w:bottom w:w="0" w:type="dxa"/>
                    <w:right w:w="0" w:type="dxa"/>
                  </w:tcMar>
                  <w:vAlign w:val="bottom"/>
                </w:tcPr>
                <w:p w14:paraId="60A8BED0"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w:t>
                  </w:r>
                </w:p>
              </w:tc>
              <w:tc>
                <w:tcPr>
                  <w:tcW w:w="1164" w:type="dxa"/>
                  <w:noWrap/>
                  <w:tcMar>
                    <w:top w:w="0" w:type="dxa"/>
                    <w:left w:w="144" w:type="dxa"/>
                    <w:bottom w:w="0" w:type="dxa"/>
                    <w:right w:w="0" w:type="dxa"/>
                  </w:tcMar>
                  <w:vAlign w:val="bottom"/>
                </w:tcPr>
                <w:p w14:paraId="44AD155E"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89</w:t>
                  </w:r>
                </w:p>
              </w:tc>
              <w:tc>
                <w:tcPr>
                  <w:tcW w:w="1101" w:type="dxa"/>
                  <w:noWrap/>
                  <w:tcMar>
                    <w:top w:w="0" w:type="dxa"/>
                    <w:left w:w="144" w:type="dxa"/>
                    <w:bottom w:w="0" w:type="dxa"/>
                    <w:right w:w="0" w:type="dxa"/>
                  </w:tcMar>
                  <w:vAlign w:val="bottom"/>
                </w:tcPr>
                <w:p w14:paraId="3F198EE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258</w:t>
                  </w:r>
                </w:p>
              </w:tc>
            </w:tr>
            <w:tr w:rsidR="00207559" w14:paraId="38903B63" w14:textId="77777777" w:rsidTr="00046D29">
              <w:trPr>
                <w:cantSplit/>
                <w:trHeight w:val="266"/>
                <w:jc w:val="center"/>
              </w:trPr>
              <w:tc>
                <w:tcPr>
                  <w:tcW w:w="3917" w:type="dxa"/>
                  <w:hideMark/>
                </w:tcPr>
                <w:p w14:paraId="4F019794" w14:textId="77777777" w:rsidR="00207559" w:rsidRDefault="00207559" w:rsidP="00207559">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Total non-current assets</w:t>
                  </w:r>
                  <w:r>
                    <w:rPr>
                      <w:b/>
                      <w:bCs/>
                      <w:sz w:val="18"/>
                      <w:szCs w:val="18"/>
                    </w:rPr>
                    <w:tab/>
                  </w:r>
                </w:p>
              </w:tc>
              <w:tc>
                <w:tcPr>
                  <w:tcW w:w="1482" w:type="dxa"/>
                  <w:noWrap/>
                  <w:tcMar>
                    <w:top w:w="0" w:type="dxa"/>
                    <w:left w:w="144" w:type="dxa"/>
                    <w:bottom w:w="0" w:type="dxa"/>
                    <w:right w:w="0" w:type="dxa"/>
                  </w:tcMar>
                  <w:vAlign w:val="bottom"/>
                </w:tcPr>
                <w:p w14:paraId="0B20F2DE"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648,454</w:t>
                  </w:r>
                </w:p>
              </w:tc>
              <w:tc>
                <w:tcPr>
                  <w:tcW w:w="1288" w:type="dxa"/>
                  <w:noWrap/>
                  <w:tcMar>
                    <w:top w:w="0" w:type="dxa"/>
                    <w:left w:w="144" w:type="dxa"/>
                    <w:bottom w:w="0" w:type="dxa"/>
                    <w:right w:w="0" w:type="dxa"/>
                  </w:tcMar>
                  <w:vAlign w:val="bottom"/>
                  <w:hideMark/>
                </w:tcPr>
                <w:p w14:paraId="0A11E9E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648,310</w:t>
                  </w:r>
                </w:p>
              </w:tc>
              <w:tc>
                <w:tcPr>
                  <w:tcW w:w="1164" w:type="dxa"/>
                  <w:noWrap/>
                  <w:tcMar>
                    <w:top w:w="0" w:type="dxa"/>
                    <w:left w:w="144" w:type="dxa"/>
                    <w:bottom w:w="0" w:type="dxa"/>
                    <w:right w:w="0" w:type="dxa"/>
                  </w:tcMar>
                  <w:vAlign w:val="bottom"/>
                  <w:hideMark/>
                </w:tcPr>
                <w:p w14:paraId="6C47A9D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175,195</w:t>
                  </w:r>
                </w:p>
              </w:tc>
              <w:tc>
                <w:tcPr>
                  <w:tcW w:w="1101" w:type="dxa"/>
                  <w:noWrap/>
                  <w:tcMar>
                    <w:top w:w="0" w:type="dxa"/>
                    <w:left w:w="144" w:type="dxa"/>
                    <w:bottom w:w="0" w:type="dxa"/>
                    <w:right w:w="0" w:type="dxa"/>
                  </w:tcMar>
                  <w:vAlign w:val="bottom"/>
                  <w:hideMark/>
                </w:tcPr>
                <w:p w14:paraId="144BBCA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417,422</w:t>
                  </w:r>
                </w:p>
              </w:tc>
            </w:tr>
            <w:tr w:rsidR="00207559" w14:paraId="0F6963AF" w14:textId="77777777" w:rsidTr="00046D29">
              <w:trPr>
                <w:cantSplit/>
                <w:trHeight w:val="279"/>
                <w:jc w:val="center"/>
              </w:trPr>
              <w:tc>
                <w:tcPr>
                  <w:tcW w:w="3917" w:type="dxa"/>
                  <w:hideMark/>
                </w:tcPr>
                <w:p w14:paraId="10432913" w14:textId="77777777" w:rsidR="00207559" w:rsidRDefault="00207559" w:rsidP="00207559">
                  <w:pPr>
                    <w:pStyle w:val="NormalWeb"/>
                    <w:tabs>
                      <w:tab w:val="right" w:leader="dot" w:pos="4620"/>
                    </w:tabs>
                    <w:spacing w:before="0" w:beforeAutospacing="0" w:after="0" w:afterAutospacing="0"/>
                    <w:ind w:left="240" w:hanging="240"/>
                    <w:rPr>
                      <w:rFonts w:eastAsiaTheme="minorEastAsia"/>
                      <w:sz w:val="18"/>
                      <w:szCs w:val="18"/>
                    </w:rPr>
                  </w:pPr>
                  <w:r>
                    <w:rPr>
                      <w:bCs/>
                      <w:sz w:val="18"/>
                      <w:szCs w:val="18"/>
                    </w:rPr>
                    <w:t>Trade and other receivables</w:t>
                  </w:r>
                  <w:r>
                    <w:rPr>
                      <w:bCs/>
                      <w:sz w:val="18"/>
                      <w:szCs w:val="18"/>
                    </w:rPr>
                    <w:tab/>
                  </w:r>
                </w:p>
              </w:tc>
              <w:tc>
                <w:tcPr>
                  <w:tcW w:w="1482" w:type="dxa"/>
                  <w:noWrap/>
                  <w:tcMar>
                    <w:top w:w="0" w:type="dxa"/>
                    <w:left w:w="144" w:type="dxa"/>
                    <w:bottom w:w="0" w:type="dxa"/>
                    <w:right w:w="0" w:type="dxa"/>
                  </w:tcMar>
                  <w:vAlign w:val="bottom"/>
                </w:tcPr>
                <w:p w14:paraId="7B8B64C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42,209</w:t>
                  </w:r>
                </w:p>
              </w:tc>
              <w:tc>
                <w:tcPr>
                  <w:tcW w:w="1288" w:type="dxa"/>
                  <w:noWrap/>
                  <w:tcMar>
                    <w:top w:w="0" w:type="dxa"/>
                    <w:left w:w="144" w:type="dxa"/>
                    <w:bottom w:w="0" w:type="dxa"/>
                    <w:right w:w="0" w:type="dxa"/>
                  </w:tcMar>
                  <w:vAlign w:val="bottom"/>
                  <w:hideMark/>
                </w:tcPr>
                <w:p w14:paraId="2DA67DA3"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19,426</w:t>
                  </w:r>
                </w:p>
              </w:tc>
              <w:tc>
                <w:tcPr>
                  <w:tcW w:w="1164" w:type="dxa"/>
                  <w:noWrap/>
                  <w:tcMar>
                    <w:top w:w="0" w:type="dxa"/>
                    <w:left w:w="144" w:type="dxa"/>
                    <w:bottom w:w="0" w:type="dxa"/>
                    <w:right w:w="0" w:type="dxa"/>
                  </w:tcMar>
                  <w:vAlign w:val="bottom"/>
                  <w:hideMark/>
                </w:tcPr>
                <w:p w14:paraId="672EB18D"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4,927</w:t>
                  </w:r>
                </w:p>
              </w:tc>
              <w:tc>
                <w:tcPr>
                  <w:tcW w:w="1101" w:type="dxa"/>
                  <w:noWrap/>
                  <w:tcMar>
                    <w:top w:w="0" w:type="dxa"/>
                    <w:left w:w="144" w:type="dxa"/>
                    <w:bottom w:w="0" w:type="dxa"/>
                    <w:right w:w="0" w:type="dxa"/>
                  </w:tcMar>
                  <w:vAlign w:val="bottom"/>
                  <w:hideMark/>
                </w:tcPr>
                <w:p w14:paraId="055E582D"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6,822</w:t>
                  </w:r>
                </w:p>
              </w:tc>
            </w:tr>
            <w:tr w:rsidR="00207559" w14:paraId="05134131" w14:textId="77777777" w:rsidTr="00046D29">
              <w:trPr>
                <w:cantSplit/>
                <w:trHeight w:val="261"/>
                <w:jc w:val="center"/>
              </w:trPr>
              <w:tc>
                <w:tcPr>
                  <w:tcW w:w="3917" w:type="dxa"/>
                  <w:hideMark/>
                </w:tcPr>
                <w:p w14:paraId="5921DFED" w14:textId="77777777" w:rsidR="00207559" w:rsidRDefault="00207559" w:rsidP="00207559">
                  <w:pPr>
                    <w:pStyle w:val="NormalWeb"/>
                    <w:tabs>
                      <w:tab w:val="right" w:leader="dot" w:pos="4620"/>
                    </w:tabs>
                    <w:spacing w:before="0" w:beforeAutospacing="0" w:after="0" w:afterAutospacing="0"/>
                    <w:ind w:left="240" w:hanging="240"/>
                    <w:rPr>
                      <w:rFonts w:eastAsiaTheme="minorEastAsia"/>
                      <w:sz w:val="18"/>
                      <w:szCs w:val="18"/>
                    </w:rPr>
                  </w:pPr>
                  <w:r>
                    <w:rPr>
                      <w:sz w:val="18"/>
                      <w:szCs w:val="18"/>
                    </w:rPr>
                    <w:t>Cash and cash equivalents</w:t>
                  </w:r>
                  <w:r>
                    <w:rPr>
                      <w:sz w:val="18"/>
                      <w:szCs w:val="18"/>
                    </w:rPr>
                    <w:tab/>
                  </w:r>
                </w:p>
              </w:tc>
              <w:tc>
                <w:tcPr>
                  <w:tcW w:w="1482" w:type="dxa"/>
                  <w:noWrap/>
                  <w:tcMar>
                    <w:top w:w="0" w:type="dxa"/>
                    <w:left w:w="144" w:type="dxa"/>
                    <w:bottom w:w="0" w:type="dxa"/>
                    <w:right w:w="0" w:type="dxa"/>
                  </w:tcMar>
                  <w:vAlign w:val="bottom"/>
                </w:tcPr>
                <w:p w14:paraId="03987F83"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141,545</w:t>
                  </w:r>
                </w:p>
              </w:tc>
              <w:tc>
                <w:tcPr>
                  <w:tcW w:w="1288" w:type="dxa"/>
                  <w:noWrap/>
                  <w:tcMar>
                    <w:top w:w="0" w:type="dxa"/>
                    <w:left w:w="144" w:type="dxa"/>
                    <w:bottom w:w="0" w:type="dxa"/>
                    <w:right w:w="0" w:type="dxa"/>
                  </w:tcMar>
                  <w:vAlign w:val="bottom"/>
                  <w:hideMark/>
                </w:tcPr>
                <w:p w14:paraId="0C60741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71,595</w:t>
                  </w:r>
                </w:p>
              </w:tc>
              <w:tc>
                <w:tcPr>
                  <w:tcW w:w="1164" w:type="dxa"/>
                  <w:noWrap/>
                  <w:tcMar>
                    <w:top w:w="0" w:type="dxa"/>
                    <w:left w:w="144" w:type="dxa"/>
                    <w:bottom w:w="0" w:type="dxa"/>
                    <w:right w:w="0" w:type="dxa"/>
                  </w:tcMar>
                  <w:vAlign w:val="bottom"/>
                  <w:hideMark/>
                </w:tcPr>
                <w:p w14:paraId="6B529CB3"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9,825</w:t>
                  </w:r>
                </w:p>
              </w:tc>
              <w:tc>
                <w:tcPr>
                  <w:tcW w:w="1101" w:type="dxa"/>
                  <w:noWrap/>
                  <w:tcMar>
                    <w:top w:w="0" w:type="dxa"/>
                    <w:left w:w="144" w:type="dxa"/>
                    <w:bottom w:w="0" w:type="dxa"/>
                    <w:right w:w="0" w:type="dxa"/>
                  </w:tcMar>
                  <w:vAlign w:val="bottom"/>
                  <w:hideMark/>
                </w:tcPr>
                <w:p w14:paraId="5B52730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43,595</w:t>
                  </w:r>
                </w:p>
              </w:tc>
            </w:tr>
            <w:tr w:rsidR="00207559" w14:paraId="127CB7C8" w14:textId="77777777" w:rsidTr="00046D29">
              <w:trPr>
                <w:cantSplit/>
                <w:trHeight w:val="270"/>
                <w:jc w:val="center"/>
              </w:trPr>
              <w:tc>
                <w:tcPr>
                  <w:tcW w:w="3917" w:type="dxa"/>
                  <w:hideMark/>
                </w:tcPr>
                <w:p w14:paraId="4EB89505" w14:textId="77777777" w:rsidR="00207559" w:rsidRDefault="00207559" w:rsidP="00207559">
                  <w:pPr>
                    <w:pStyle w:val="NormalWeb"/>
                    <w:tabs>
                      <w:tab w:val="right" w:leader="dot" w:pos="4620"/>
                    </w:tabs>
                    <w:spacing w:before="0" w:beforeAutospacing="0" w:after="0" w:afterAutospacing="0"/>
                    <w:ind w:left="240" w:hanging="240"/>
                    <w:rPr>
                      <w:rFonts w:eastAsiaTheme="minorEastAsia"/>
                      <w:sz w:val="18"/>
                      <w:szCs w:val="18"/>
                    </w:rPr>
                  </w:pPr>
                  <w:r>
                    <w:rPr>
                      <w:sz w:val="18"/>
                      <w:szCs w:val="18"/>
                    </w:rPr>
                    <w:t>Disposal group held for sale</w:t>
                  </w:r>
                  <w:r>
                    <w:rPr>
                      <w:sz w:val="18"/>
                      <w:szCs w:val="18"/>
                    </w:rPr>
                    <w:tab/>
                  </w:r>
                </w:p>
              </w:tc>
              <w:tc>
                <w:tcPr>
                  <w:tcW w:w="1482" w:type="dxa"/>
                  <w:noWrap/>
                  <w:tcMar>
                    <w:top w:w="0" w:type="dxa"/>
                    <w:left w:w="144" w:type="dxa"/>
                    <w:bottom w:w="0" w:type="dxa"/>
                    <w:right w:w="0" w:type="dxa"/>
                  </w:tcMar>
                  <w:vAlign w:val="bottom"/>
                </w:tcPr>
                <w:p w14:paraId="1A39BEB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190,227</w:t>
                  </w:r>
                </w:p>
              </w:tc>
              <w:tc>
                <w:tcPr>
                  <w:tcW w:w="1288" w:type="dxa"/>
                  <w:noWrap/>
                  <w:tcMar>
                    <w:top w:w="0" w:type="dxa"/>
                    <w:left w:w="144" w:type="dxa"/>
                    <w:bottom w:w="0" w:type="dxa"/>
                    <w:right w:w="0" w:type="dxa"/>
                  </w:tcMar>
                  <w:vAlign w:val="bottom"/>
                  <w:hideMark/>
                </w:tcPr>
                <w:p w14:paraId="3455C9B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132,263</w:t>
                  </w:r>
                </w:p>
              </w:tc>
              <w:tc>
                <w:tcPr>
                  <w:tcW w:w="1164" w:type="dxa"/>
                  <w:noWrap/>
                  <w:tcMar>
                    <w:top w:w="0" w:type="dxa"/>
                    <w:left w:w="144" w:type="dxa"/>
                    <w:bottom w:w="0" w:type="dxa"/>
                    <w:right w:w="0" w:type="dxa"/>
                  </w:tcMar>
                  <w:vAlign w:val="bottom"/>
                  <w:hideMark/>
                </w:tcPr>
                <w:p w14:paraId="5A2878E0"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527,361</w:t>
                  </w:r>
                </w:p>
              </w:tc>
              <w:tc>
                <w:tcPr>
                  <w:tcW w:w="1101" w:type="dxa"/>
                  <w:noWrap/>
                  <w:tcMar>
                    <w:top w:w="0" w:type="dxa"/>
                    <w:left w:w="144" w:type="dxa"/>
                    <w:bottom w:w="0" w:type="dxa"/>
                    <w:right w:w="0" w:type="dxa"/>
                  </w:tcMar>
                  <w:vAlign w:val="bottom"/>
                  <w:hideMark/>
                </w:tcPr>
                <w:p w14:paraId="5DB20BD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w:t>
                  </w:r>
                </w:p>
              </w:tc>
            </w:tr>
            <w:tr w:rsidR="00207559" w14:paraId="779FEBDB" w14:textId="77777777" w:rsidTr="00046D29">
              <w:trPr>
                <w:cantSplit/>
                <w:trHeight w:val="189"/>
                <w:jc w:val="center"/>
              </w:trPr>
              <w:tc>
                <w:tcPr>
                  <w:tcW w:w="3917" w:type="dxa"/>
                  <w:hideMark/>
                </w:tcPr>
                <w:p w14:paraId="55A33F7C" w14:textId="77777777" w:rsidR="00207559" w:rsidRDefault="00207559" w:rsidP="00207559">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Total current assets</w:t>
                  </w:r>
                  <w:r>
                    <w:rPr>
                      <w:b/>
                      <w:bCs/>
                      <w:sz w:val="18"/>
                      <w:szCs w:val="18"/>
                    </w:rPr>
                    <w:tab/>
                  </w:r>
                </w:p>
              </w:tc>
              <w:tc>
                <w:tcPr>
                  <w:tcW w:w="1482" w:type="dxa"/>
                  <w:noWrap/>
                  <w:tcMar>
                    <w:top w:w="0" w:type="dxa"/>
                    <w:left w:w="144" w:type="dxa"/>
                    <w:bottom w:w="0" w:type="dxa"/>
                    <w:right w:w="0" w:type="dxa"/>
                  </w:tcMar>
                  <w:vAlign w:val="bottom"/>
                  <w:hideMark/>
                </w:tcPr>
                <w:p w14:paraId="72C74AFD"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b/>
                      <w:bCs/>
                      <w:sz w:val="18"/>
                      <w:szCs w:val="18"/>
                    </w:rPr>
                    <w:t>373,981</w:t>
                  </w:r>
                </w:p>
              </w:tc>
              <w:tc>
                <w:tcPr>
                  <w:tcW w:w="1288" w:type="dxa"/>
                  <w:noWrap/>
                  <w:tcMar>
                    <w:top w:w="0" w:type="dxa"/>
                    <w:left w:w="144" w:type="dxa"/>
                    <w:bottom w:w="0" w:type="dxa"/>
                    <w:right w:w="0" w:type="dxa"/>
                  </w:tcMar>
                  <w:vAlign w:val="bottom"/>
                  <w:hideMark/>
                </w:tcPr>
                <w:p w14:paraId="6294CF0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223,284</w:t>
                  </w:r>
                </w:p>
              </w:tc>
              <w:tc>
                <w:tcPr>
                  <w:tcW w:w="1164" w:type="dxa"/>
                  <w:noWrap/>
                  <w:tcMar>
                    <w:top w:w="0" w:type="dxa"/>
                    <w:left w:w="144" w:type="dxa"/>
                    <w:bottom w:w="0" w:type="dxa"/>
                    <w:right w:w="0" w:type="dxa"/>
                  </w:tcMar>
                  <w:vAlign w:val="bottom"/>
                  <w:hideMark/>
                </w:tcPr>
                <w:p w14:paraId="01D7615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542,113</w:t>
                  </w:r>
                </w:p>
              </w:tc>
              <w:tc>
                <w:tcPr>
                  <w:tcW w:w="1101" w:type="dxa"/>
                  <w:noWrap/>
                  <w:tcMar>
                    <w:top w:w="0" w:type="dxa"/>
                    <w:left w:w="144" w:type="dxa"/>
                    <w:bottom w:w="0" w:type="dxa"/>
                    <w:right w:w="0" w:type="dxa"/>
                  </w:tcMar>
                  <w:vAlign w:val="bottom"/>
                  <w:hideMark/>
                </w:tcPr>
                <w:p w14:paraId="3EBD1A1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50,417</w:t>
                  </w:r>
                </w:p>
              </w:tc>
            </w:tr>
            <w:tr w:rsidR="00207559" w14:paraId="7A6F3C9E" w14:textId="77777777" w:rsidTr="00046D29">
              <w:trPr>
                <w:cantSplit/>
                <w:trHeight w:val="243"/>
                <w:jc w:val="center"/>
              </w:trPr>
              <w:tc>
                <w:tcPr>
                  <w:tcW w:w="3917" w:type="dxa"/>
                  <w:hideMark/>
                </w:tcPr>
                <w:p w14:paraId="4D28242C" w14:textId="77777777" w:rsidR="00207559" w:rsidRDefault="00207559" w:rsidP="00207559">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Total assets</w:t>
                  </w:r>
                  <w:r>
                    <w:rPr>
                      <w:b/>
                      <w:bCs/>
                      <w:sz w:val="18"/>
                      <w:szCs w:val="18"/>
                    </w:rPr>
                    <w:tab/>
                  </w:r>
                </w:p>
              </w:tc>
              <w:tc>
                <w:tcPr>
                  <w:tcW w:w="1482" w:type="dxa"/>
                  <w:noWrap/>
                  <w:tcMar>
                    <w:top w:w="0" w:type="dxa"/>
                    <w:left w:w="144" w:type="dxa"/>
                    <w:bottom w:w="0" w:type="dxa"/>
                    <w:right w:w="0" w:type="dxa"/>
                  </w:tcMar>
                  <w:vAlign w:val="bottom"/>
                </w:tcPr>
                <w:p w14:paraId="1800905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1,022,435</w:t>
                  </w:r>
                </w:p>
              </w:tc>
              <w:tc>
                <w:tcPr>
                  <w:tcW w:w="1288" w:type="dxa"/>
                  <w:noWrap/>
                  <w:tcMar>
                    <w:top w:w="0" w:type="dxa"/>
                    <w:left w:w="144" w:type="dxa"/>
                    <w:bottom w:w="0" w:type="dxa"/>
                    <w:right w:w="0" w:type="dxa"/>
                  </w:tcMar>
                  <w:vAlign w:val="bottom"/>
                  <w:hideMark/>
                </w:tcPr>
                <w:p w14:paraId="68AD2F37"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871,594</w:t>
                  </w:r>
                </w:p>
              </w:tc>
              <w:tc>
                <w:tcPr>
                  <w:tcW w:w="1164" w:type="dxa"/>
                  <w:noWrap/>
                  <w:tcMar>
                    <w:top w:w="0" w:type="dxa"/>
                    <w:left w:w="144" w:type="dxa"/>
                    <w:bottom w:w="0" w:type="dxa"/>
                    <w:right w:w="0" w:type="dxa"/>
                  </w:tcMar>
                  <w:vAlign w:val="bottom"/>
                  <w:hideMark/>
                </w:tcPr>
                <w:p w14:paraId="56F94F3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717,308</w:t>
                  </w:r>
                </w:p>
              </w:tc>
              <w:tc>
                <w:tcPr>
                  <w:tcW w:w="1101" w:type="dxa"/>
                  <w:noWrap/>
                  <w:tcMar>
                    <w:top w:w="0" w:type="dxa"/>
                    <w:left w:w="144" w:type="dxa"/>
                    <w:bottom w:w="0" w:type="dxa"/>
                    <w:right w:w="0" w:type="dxa"/>
                  </w:tcMar>
                  <w:vAlign w:val="bottom"/>
                  <w:hideMark/>
                </w:tcPr>
                <w:p w14:paraId="35618D1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467,839</w:t>
                  </w:r>
                </w:p>
              </w:tc>
            </w:tr>
            <w:tr w:rsidR="00207559" w14:paraId="3C5F95B1" w14:textId="77777777" w:rsidTr="00046D29">
              <w:trPr>
                <w:cantSplit/>
                <w:trHeight w:val="261"/>
                <w:jc w:val="center"/>
              </w:trPr>
              <w:tc>
                <w:tcPr>
                  <w:tcW w:w="3917" w:type="dxa"/>
                  <w:hideMark/>
                </w:tcPr>
                <w:p w14:paraId="18756440" w14:textId="77777777" w:rsidR="00207559" w:rsidRDefault="00207559" w:rsidP="00207559">
                  <w:pPr>
                    <w:pStyle w:val="NormalWeb"/>
                    <w:tabs>
                      <w:tab w:val="right" w:leader="dot" w:pos="4620"/>
                    </w:tabs>
                    <w:spacing w:before="0" w:beforeAutospacing="0" w:after="0" w:afterAutospacing="0"/>
                    <w:ind w:left="240" w:hanging="240"/>
                    <w:rPr>
                      <w:rFonts w:eastAsiaTheme="minorEastAsia"/>
                      <w:i/>
                      <w:sz w:val="18"/>
                      <w:szCs w:val="18"/>
                    </w:rPr>
                  </w:pPr>
                  <w:r>
                    <w:rPr>
                      <w:i/>
                      <w:sz w:val="18"/>
                      <w:szCs w:val="18"/>
                    </w:rPr>
                    <w:t>Shareholders' equity and liabilities:</w:t>
                  </w:r>
                </w:p>
              </w:tc>
              <w:tc>
                <w:tcPr>
                  <w:tcW w:w="5035" w:type="dxa"/>
                  <w:gridSpan w:val="4"/>
                  <w:noWrap/>
                  <w:tcMar>
                    <w:top w:w="0" w:type="dxa"/>
                    <w:left w:w="144" w:type="dxa"/>
                    <w:bottom w:w="0" w:type="dxa"/>
                    <w:right w:w="0" w:type="dxa"/>
                  </w:tcMar>
                  <w:vAlign w:val="bottom"/>
                  <w:hideMark/>
                </w:tcPr>
                <w:p w14:paraId="6A939F9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p>
              </w:tc>
            </w:tr>
            <w:tr w:rsidR="00207559" w14:paraId="400CFD94" w14:textId="77777777" w:rsidTr="00046D29">
              <w:trPr>
                <w:cantSplit/>
                <w:trHeight w:val="261"/>
                <w:jc w:val="center"/>
              </w:trPr>
              <w:tc>
                <w:tcPr>
                  <w:tcW w:w="3917" w:type="dxa"/>
                </w:tcPr>
                <w:p w14:paraId="39FE759A" w14:textId="77777777" w:rsidR="00207559" w:rsidRDefault="00207559" w:rsidP="00207559">
                  <w:pPr>
                    <w:pStyle w:val="NormalWeb"/>
                    <w:tabs>
                      <w:tab w:val="right" w:leader="dot" w:pos="4620"/>
                    </w:tabs>
                    <w:spacing w:before="0" w:beforeAutospacing="0" w:after="0" w:afterAutospacing="0"/>
                    <w:ind w:left="240" w:hanging="240"/>
                    <w:rPr>
                      <w:sz w:val="18"/>
                      <w:szCs w:val="18"/>
                    </w:rPr>
                  </w:pPr>
                  <w:r>
                    <w:rPr>
                      <w:sz w:val="18"/>
                      <w:szCs w:val="18"/>
                    </w:rPr>
                    <w:t>Share capital</w:t>
                  </w:r>
                  <w:r>
                    <w:rPr>
                      <w:sz w:val="18"/>
                      <w:szCs w:val="18"/>
                    </w:rPr>
                    <w:tab/>
                  </w:r>
                </w:p>
              </w:tc>
              <w:tc>
                <w:tcPr>
                  <w:tcW w:w="1482" w:type="dxa"/>
                  <w:noWrap/>
                  <w:tcMar>
                    <w:top w:w="0" w:type="dxa"/>
                    <w:left w:w="144" w:type="dxa"/>
                    <w:bottom w:w="0" w:type="dxa"/>
                    <w:right w:w="0" w:type="dxa"/>
                  </w:tcMar>
                  <w:vAlign w:val="bottom"/>
                </w:tcPr>
                <w:p w14:paraId="71F267AA"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62,251</w:t>
                  </w:r>
                </w:p>
              </w:tc>
              <w:tc>
                <w:tcPr>
                  <w:tcW w:w="1288" w:type="dxa"/>
                  <w:noWrap/>
                  <w:tcMar>
                    <w:top w:w="0" w:type="dxa"/>
                    <w:left w:w="144" w:type="dxa"/>
                    <w:bottom w:w="0" w:type="dxa"/>
                    <w:right w:w="0" w:type="dxa"/>
                  </w:tcMar>
                  <w:vAlign w:val="bottom"/>
                </w:tcPr>
                <w:p w14:paraId="7B7FD2F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62,251</w:t>
                  </w:r>
                </w:p>
              </w:tc>
              <w:tc>
                <w:tcPr>
                  <w:tcW w:w="1164" w:type="dxa"/>
                  <w:noWrap/>
                  <w:tcMar>
                    <w:top w:w="0" w:type="dxa"/>
                    <w:left w:w="144" w:type="dxa"/>
                    <w:bottom w:w="0" w:type="dxa"/>
                    <w:right w:w="0" w:type="dxa"/>
                  </w:tcMar>
                  <w:vAlign w:val="bottom"/>
                </w:tcPr>
                <w:p w14:paraId="71CDA226"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62,251</w:t>
                  </w:r>
                </w:p>
              </w:tc>
              <w:tc>
                <w:tcPr>
                  <w:tcW w:w="1101" w:type="dxa"/>
                  <w:noWrap/>
                  <w:tcMar>
                    <w:top w:w="0" w:type="dxa"/>
                    <w:left w:w="144" w:type="dxa"/>
                    <w:bottom w:w="0" w:type="dxa"/>
                    <w:right w:w="0" w:type="dxa"/>
                  </w:tcMar>
                  <w:vAlign w:val="bottom"/>
                </w:tcPr>
                <w:p w14:paraId="78D28A3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62,251</w:t>
                  </w:r>
                </w:p>
              </w:tc>
            </w:tr>
            <w:tr w:rsidR="00207559" w14:paraId="496D147A" w14:textId="77777777" w:rsidTr="00046D29">
              <w:trPr>
                <w:cantSplit/>
                <w:trHeight w:val="261"/>
                <w:jc w:val="center"/>
              </w:trPr>
              <w:tc>
                <w:tcPr>
                  <w:tcW w:w="3917" w:type="dxa"/>
                </w:tcPr>
                <w:p w14:paraId="4D68E703" w14:textId="77777777" w:rsidR="00207559" w:rsidRDefault="00207559" w:rsidP="00207559">
                  <w:pPr>
                    <w:pStyle w:val="NormalWeb"/>
                    <w:tabs>
                      <w:tab w:val="right" w:leader="dot" w:pos="4620"/>
                    </w:tabs>
                    <w:spacing w:before="0" w:beforeAutospacing="0" w:after="0" w:afterAutospacing="0"/>
                    <w:ind w:left="240" w:hanging="240"/>
                    <w:rPr>
                      <w:sz w:val="18"/>
                      <w:szCs w:val="18"/>
                    </w:rPr>
                  </w:pPr>
                  <w:r>
                    <w:rPr>
                      <w:sz w:val="18"/>
                      <w:szCs w:val="18"/>
                    </w:rPr>
                    <w:lastRenderedPageBreak/>
                    <w:t>Retained Earnings</w:t>
                  </w:r>
                  <w:r>
                    <w:rPr>
                      <w:sz w:val="18"/>
                      <w:szCs w:val="18"/>
                    </w:rPr>
                    <w:tab/>
                  </w:r>
                </w:p>
              </w:tc>
              <w:tc>
                <w:tcPr>
                  <w:tcW w:w="1482" w:type="dxa"/>
                  <w:noWrap/>
                  <w:tcMar>
                    <w:top w:w="0" w:type="dxa"/>
                    <w:left w:w="144" w:type="dxa"/>
                    <w:bottom w:w="0" w:type="dxa"/>
                    <w:right w:w="0" w:type="dxa"/>
                  </w:tcMar>
                  <w:vAlign w:val="bottom"/>
                </w:tcPr>
                <w:p w14:paraId="4C734C8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370,372</w:t>
                  </w:r>
                </w:p>
              </w:tc>
              <w:tc>
                <w:tcPr>
                  <w:tcW w:w="1288" w:type="dxa"/>
                  <w:noWrap/>
                  <w:tcMar>
                    <w:top w:w="0" w:type="dxa"/>
                    <w:left w:w="144" w:type="dxa"/>
                    <w:bottom w:w="0" w:type="dxa"/>
                    <w:right w:w="0" w:type="dxa"/>
                  </w:tcMar>
                  <w:vAlign w:val="bottom"/>
                </w:tcPr>
                <w:p w14:paraId="7E4BF39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327,985</w:t>
                  </w:r>
                </w:p>
              </w:tc>
              <w:tc>
                <w:tcPr>
                  <w:tcW w:w="1164" w:type="dxa"/>
                  <w:noWrap/>
                  <w:tcMar>
                    <w:top w:w="0" w:type="dxa"/>
                    <w:left w:w="144" w:type="dxa"/>
                    <w:bottom w:w="0" w:type="dxa"/>
                    <w:right w:w="0" w:type="dxa"/>
                  </w:tcMar>
                  <w:vAlign w:val="bottom"/>
                </w:tcPr>
                <w:p w14:paraId="42CBECA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239,658</w:t>
                  </w:r>
                </w:p>
              </w:tc>
              <w:tc>
                <w:tcPr>
                  <w:tcW w:w="1101" w:type="dxa"/>
                  <w:noWrap/>
                  <w:tcMar>
                    <w:top w:w="0" w:type="dxa"/>
                    <w:left w:w="144" w:type="dxa"/>
                    <w:bottom w:w="0" w:type="dxa"/>
                    <w:right w:w="0" w:type="dxa"/>
                  </w:tcMar>
                  <w:vAlign w:val="bottom"/>
                </w:tcPr>
                <w:p w14:paraId="24436B03"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153,097</w:t>
                  </w:r>
                </w:p>
              </w:tc>
            </w:tr>
            <w:tr w:rsidR="00207559" w14:paraId="0974C225" w14:textId="77777777" w:rsidTr="00046D29">
              <w:trPr>
                <w:cantSplit/>
                <w:trHeight w:val="261"/>
                <w:jc w:val="center"/>
              </w:trPr>
              <w:tc>
                <w:tcPr>
                  <w:tcW w:w="3917" w:type="dxa"/>
                </w:tcPr>
                <w:p w14:paraId="78B7639C" w14:textId="77777777" w:rsidR="00207559" w:rsidRDefault="00207559" w:rsidP="00207559">
                  <w:pPr>
                    <w:pStyle w:val="NormalWeb"/>
                    <w:tabs>
                      <w:tab w:val="right" w:leader="dot" w:pos="4620"/>
                    </w:tabs>
                    <w:spacing w:before="0" w:beforeAutospacing="0" w:after="0" w:afterAutospacing="0"/>
                    <w:ind w:left="240" w:hanging="240"/>
                    <w:rPr>
                      <w:sz w:val="18"/>
                      <w:szCs w:val="18"/>
                    </w:rPr>
                  </w:pPr>
                  <w:r>
                    <w:rPr>
                      <w:sz w:val="18"/>
                      <w:szCs w:val="18"/>
                    </w:rPr>
                    <w:t>Other reserves</w:t>
                  </w:r>
                  <w:r>
                    <w:rPr>
                      <w:sz w:val="18"/>
                      <w:szCs w:val="18"/>
                    </w:rPr>
                    <w:tab/>
                  </w:r>
                </w:p>
              </w:tc>
              <w:tc>
                <w:tcPr>
                  <w:tcW w:w="1482" w:type="dxa"/>
                  <w:noWrap/>
                  <w:tcMar>
                    <w:top w:w="0" w:type="dxa"/>
                    <w:left w:w="144" w:type="dxa"/>
                    <w:bottom w:w="0" w:type="dxa"/>
                    <w:right w:w="0" w:type="dxa"/>
                  </w:tcMar>
                  <w:vAlign w:val="bottom"/>
                </w:tcPr>
                <w:p w14:paraId="2E7548F7"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69</w:t>
                  </w:r>
                </w:p>
              </w:tc>
              <w:tc>
                <w:tcPr>
                  <w:tcW w:w="1288" w:type="dxa"/>
                  <w:noWrap/>
                  <w:tcMar>
                    <w:top w:w="0" w:type="dxa"/>
                    <w:left w:w="144" w:type="dxa"/>
                    <w:bottom w:w="0" w:type="dxa"/>
                    <w:right w:w="0" w:type="dxa"/>
                  </w:tcMar>
                  <w:vAlign w:val="bottom"/>
                </w:tcPr>
                <w:p w14:paraId="647CF7C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69</w:t>
                  </w:r>
                </w:p>
              </w:tc>
              <w:tc>
                <w:tcPr>
                  <w:tcW w:w="1164" w:type="dxa"/>
                  <w:noWrap/>
                  <w:tcMar>
                    <w:top w:w="0" w:type="dxa"/>
                    <w:left w:w="144" w:type="dxa"/>
                    <w:bottom w:w="0" w:type="dxa"/>
                    <w:right w:w="0" w:type="dxa"/>
                  </w:tcMar>
                  <w:vAlign w:val="bottom"/>
                </w:tcPr>
                <w:p w14:paraId="293A9B82"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69</w:t>
                  </w:r>
                </w:p>
              </w:tc>
              <w:tc>
                <w:tcPr>
                  <w:tcW w:w="1101" w:type="dxa"/>
                  <w:noWrap/>
                  <w:tcMar>
                    <w:top w:w="0" w:type="dxa"/>
                    <w:left w:w="144" w:type="dxa"/>
                    <w:bottom w:w="0" w:type="dxa"/>
                    <w:right w:w="0" w:type="dxa"/>
                  </w:tcMar>
                  <w:vAlign w:val="bottom"/>
                </w:tcPr>
                <w:p w14:paraId="486C9AA0"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69</w:t>
                  </w:r>
                </w:p>
              </w:tc>
            </w:tr>
            <w:tr w:rsidR="00207559" w14:paraId="2143C57E" w14:textId="77777777" w:rsidTr="00046D29">
              <w:trPr>
                <w:cantSplit/>
                <w:trHeight w:val="261"/>
                <w:jc w:val="center"/>
              </w:trPr>
              <w:tc>
                <w:tcPr>
                  <w:tcW w:w="3917" w:type="dxa"/>
                </w:tcPr>
                <w:p w14:paraId="5F48CCFF" w14:textId="77777777" w:rsidR="00207559" w:rsidRDefault="00207559" w:rsidP="00207559">
                  <w:pPr>
                    <w:pStyle w:val="NormalWeb"/>
                    <w:tabs>
                      <w:tab w:val="right" w:leader="dot" w:pos="4620"/>
                    </w:tabs>
                    <w:spacing w:before="0" w:beforeAutospacing="0" w:after="0" w:afterAutospacing="0"/>
                    <w:ind w:left="240" w:hanging="240"/>
                    <w:rPr>
                      <w:sz w:val="18"/>
                      <w:szCs w:val="18"/>
                    </w:rPr>
                  </w:pPr>
                  <w:r>
                    <w:rPr>
                      <w:sz w:val="18"/>
                      <w:szCs w:val="18"/>
                    </w:rPr>
                    <w:t>Other equity</w:t>
                  </w:r>
                  <w:r>
                    <w:rPr>
                      <w:sz w:val="18"/>
                      <w:szCs w:val="18"/>
                    </w:rPr>
                    <w:tab/>
                  </w:r>
                </w:p>
              </w:tc>
              <w:tc>
                <w:tcPr>
                  <w:tcW w:w="1482" w:type="dxa"/>
                  <w:noWrap/>
                  <w:tcMar>
                    <w:top w:w="0" w:type="dxa"/>
                    <w:left w:w="144" w:type="dxa"/>
                    <w:bottom w:w="0" w:type="dxa"/>
                    <w:right w:w="0" w:type="dxa"/>
                  </w:tcMar>
                </w:tcPr>
                <w:p w14:paraId="06ED3E63" w14:textId="77777777" w:rsidR="00207559" w:rsidRDefault="00207559" w:rsidP="00207559">
                  <w:pPr>
                    <w:jc w:val="right"/>
                    <w:rPr>
                      <w:sz w:val="18"/>
                      <w:szCs w:val="18"/>
                    </w:rPr>
                  </w:pPr>
                  <w:r>
                    <w:rPr>
                      <w:sz w:val="18"/>
                      <w:szCs w:val="18"/>
                    </w:rPr>
                    <w:t>—</w:t>
                  </w:r>
                </w:p>
              </w:tc>
              <w:tc>
                <w:tcPr>
                  <w:tcW w:w="1288" w:type="dxa"/>
                  <w:noWrap/>
                  <w:tcMar>
                    <w:top w:w="0" w:type="dxa"/>
                    <w:left w:w="144" w:type="dxa"/>
                    <w:bottom w:w="0" w:type="dxa"/>
                    <w:right w:w="0" w:type="dxa"/>
                  </w:tcMar>
                </w:tcPr>
                <w:p w14:paraId="567F1715" w14:textId="77777777" w:rsidR="00207559" w:rsidRDefault="00207559" w:rsidP="00207559">
                  <w:pPr>
                    <w:jc w:val="right"/>
                    <w:rPr>
                      <w:sz w:val="18"/>
                      <w:szCs w:val="18"/>
                    </w:rPr>
                  </w:pPr>
                  <w:r>
                    <w:rPr>
                      <w:sz w:val="18"/>
                      <w:szCs w:val="18"/>
                    </w:rPr>
                    <w:t>—</w:t>
                  </w:r>
                </w:p>
              </w:tc>
              <w:tc>
                <w:tcPr>
                  <w:tcW w:w="1164" w:type="dxa"/>
                  <w:noWrap/>
                  <w:tcMar>
                    <w:top w:w="0" w:type="dxa"/>
                    <w:left w:w="144" w:type="dxa"/>
                    <w:bottom w:w="0" w:type="dxa"/>
                    <w:right w:w="0" w:type="dxa"/>
                  </w:tcMar>
                  <w:vAlign w:val="bottom"/>
                </w:tcPr>
                <w:p w14:paraId="64A5668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60,000</w:t>
                  </w:r>
                </w:p>
              </w:tc>
              <w:tc>
                <w:tcPr>
                  <w:tcW w:w="1101" w:type="dxa"/>
                  <w:noWrap/>
                  <w:tcMar>
                    <w:top w:w="0" w:type="dxa"/>
                    <w:left w:w="144" w:type="dxa"/>
                    <w:bottom w:w="0" w:type="dxa"/>
                    <w:right w:w="0" w:type="dxa"/>
                  </w:tcMar>
                  <w:vAlign w:val="bottom"/>
                </w:tcPr>
                <w:p w14:paraId="385B4A72"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w:t>
                  </w:r>
                </w:p>
              </w:tc>
            </w:tr>
            <w:tr w:rsidR="00207559" w14:paraId="0C882F17" w14:textId="77777777" w:rsidTr="00046D29">
              <w:trPr>
                <w:cantSplit/>
                <w:trHeight w:val="261"/>
                <w:jc w:val="center"/>
              </w:trPr>
              <w:tc>
                <w:tcPr>
                  <w:tcW w:w="3917" w:type="dxa"/>
                </w:tcPr>
                <w:p w14:paraId="3FFC3097" w14:textId="77777777" w:rsidR="00207559" w:rsidRDefault="00207559" w:rsidP="00207559">
                  <w:pPr>
                    <w:pStyle w:val="NormalWeb"/>
                    <w:tabs>
                      <w:tab w:val="right" w:leader="dot" w:pos="4620"/>
                    </w:tabs>
                    <w:spacing w:before="0" w:beforeAutospacing="0" w:after="0" w:afterAutospacing="0"/>
                    <w:ind w:left="240" w:hanging="240"/>
                    <w:rPr>
                      <w:b/>
                      <w:sz w:val="18"/>
                      <w:szCs w:val="18"/>
                    </w:rPr>
                  </w:pPr>
                  <w:r>
                    <w:rPr>
                      <w:b/>
                      <w:sz w:val="18"/>
                      <w:szCs w:val="18"/>
                    </w:rPr>
                    <w:t>Shareholders' equity</w:t>
                  </w:r>
                  <w:r>
                    <w:rPr>
                      <w:b/>
                      <w:sz w:val="18"/>
                      <w:szCs w:val="18"/>
                    </w:rPr>
                    <w:tab/>
                  </w:r>
                </w:p>
              </w:tc>
              <w:tc>
                <w:tcPr>
                  <w:tcW w:w="1482" w:type="dxa"/>
                  <w:noWrap/>
                  <w:tcMar>
                    <w:top w:w="0" w:type="dxa"/>
                    <w:left w:w="144" w:type="dxa"/>
                    <w:bottom w:w="0" w:type="dxa"/>
                    <w:right w:w="0" w:type="dxa"/>
                  </w:tcMar>
                  <w:vAlign w:val="bottom"/>
                </w:tcPr>
                <w:p w14:paraId="48E0E513" w14:textId="77777777" w:rsidR="00207559" w:rsidRDefault="00207559" w:rsidP="00207559">
                  <w:pPr>
                    <w:pStyle w:val="NormalWeb"/>
                    <w:tabs>
                      <w:tab w:val="right" w:pos="900"/>
                      <w:tab w:val="decimal" w:pos="940"/>
                    </w:tabs>
                    <w:spacing w:before="0" w:beforeAutospacing="0" w:after="20" w:afterAutospacing="0"/>
                    <w:jc w:val="right"/>
                    <w:rPr>
                      <w:b/>
                      <w:sz w:val="18"/>
                      <w:szCs w:val="18"/>
                    </w:rPr>
                  </w:pPr>
                  <w:r>
                    <w:rPr>
                      <w:b/>
                      <w:sz w:val="18"/>
                      <w:szCs w:val="18"/>
                    </w:rPr>
                    <w:t>432,692</w:t>
                  </w:r>
                </w:p>
              </w:tc>
              <w:tc>
                <w:tcPr>
                  <w:tcW w:w="1288" w:type="dxa"/>
                  <w:noWrap/>
                  <w:tcMar>
                    <w:top w:w="0" w:type="dxa"/>
                    <w:left w:w="144" w:type="dxa"/>
                    <w:bottom w:w="0" w:type="dxa"/>
                    <w:right w:w="0" w:type="dxa"/>
                  </w:tcMar>
                  <w:vAlign w:val="bottom"/>
                </w:tcPr>
                <w:p w14:paraId="76C0EA0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390,305</w:t>
                  </w:r>
                </w:p>
              </w:tc>
              <w:tc>
                <w:tcPr>
                  <w:tcW w:w="1164" w:type="dxa"/>
                  <w:noWrap/>
                  <w:tcMar>
                    <w:top w:w="0" w:type="dxa"/>
                    <w:left w:w="144" w:type="dxa"/>
                    <w:bottom w:w="0" w:type="dxa"/>
                    <w:right w:w="0" w:type="dxa"/>
                  </w:tcMar>
                  <w:vAlign w:val="bottom"/>
                </w:tcPr>
                <w:p w14:paraId="61DF36D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361,978</w:t>
                  </w:r>
                </w:p>
              </w:tc>
              <w:tc>
                <w:tcPr>
                  <w:tcW w:w="1101" w:type="dxa"/>
                  <w:noWrap/>
                  <w:tcMar>
                    <w:top w:w="0" w:type="dxa"/>
                    <w:left w:w="144" w:type="dxa"/>
                    <w:bottom w:w="0" w:type="dxa"/>
                    <w:right w:w="0" w:type="dxa"/>
                  </w:tcMar>
                  <w:vAlign w:val="bottom"/>
                </w:tcPr>
                <w:p w14:paraId="4B47620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215,417</w:t>
                  </w:r>
                </w:p>
              </w:tc>
            </w:tr>
            <w:tr w:rsidR="00207559" w14:paraId="716ECA3A" w14:textId="77777777" w:rsidTr="00046D29">
              <w:trPr>
                <w:cantSplit/>
                <w:trHeight w:val="261"/>
                <w:jc w:val="center"/>
              </w:trPr>
              <w:tc>
                <w:tcPr>
                  <w:tcW w:w="3917" w:type="dxa"/>
                </w:tcPr>
                <w:p w14:paraId="5F832D97" w14:textId="77777777" w:rsidR="00207559" w:rsidRDefault="00207559" w:rsidP="00207559">
                  <w:pPr>
                    <w:pStyle w:val="NormalWeb"/>
                    <w:tabs>
                      <w:tab w:val="right" w:leader="dot" w:pos="4620"/>
                    </w:tabs>
                    <w:spacing w:before="0" w:beforeAutospacing="0" w:after="0" w:afterAutospacing="0"/>
                    <w:ind w:left="240" w:hanging="240"/>
                    <w:rPr>
                      <w:sz w:val="18"/>
                      <w:szCs w:val="18"/>
                    </w:rPr>
                  </w:pPr>
                  <w:r>
                    <w:rPr>
                      <w:sz w:val="18"/>
                      <w:szCs w:val="18"/>
                    </w:rPr>
                    <w:t>Non-current financial debt</w:t>
                  </w:r>
                  <w:r>
                    <w:rPr>
                      <w:sz w:val="18"/>
                      <w:szCs w:val="18"/>
                    </w:rPr>
                    <w:tab/>
                  </w:r>
                </w:p>
              </w:tc>
              <w:tc>
                <w:tcPr>
                  <w:tcW w:w="1482" w:type="dxa"/>
                  <w:noWrap/>
                  <w:tcMar>
                    <w:top w:w="0" w:type="dxa"/>
                    <w:left w:w="144" w:type="dxa"/>
                    <w:bottom w:w="0" w:type="dxa"/>
                    <w:right w:w="0" w:type="dxa"/>
                  </w:tcMar>
                  <w:vAlign w:val="bottom"/>
                </w:tcPr>
                <w:p w14:paraId="4678E873"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386,882</w:t>
                  </w:r>
                </w:p>
              </w:tc>
              <w:tc>
                <w:tcPr>
                  <w:tcW w:w="1288" w:type="dxa"/>
                  <w:noWrap/>
                  <w:tcMar>
                    <w:top w:w="0" w:type="dxa"/>
                    <w:left w:w="144" w:type="dxa"/>
                    <w:bottom w:w="0" w:type="dxa"/>
                    <w:right w:w="0" w:type="dxa"/>
                  </w:tcMar>
                  <w:vAlign w:val="bottom"/>
                </w:tcPr>
                <w:p w14:paraId="277A618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327,923</w:t>
                  </w:r>
                </w:p>
              </w:tc>
              <w:tc>
                <w:tcPr>
                  <w:tcW w:w="1164" w:type="dxa"/>
                  <w:noWrap/>
                  <w:tcMar>
                    <w:top w:w="0" w:type="dxa"/>
                    <w:left w:w="144" w:type="dxa"/>
                    <w:bottom w:w="0" w:type="dxa"/>
                    <w:right w:w="0" w:type="dxa"/>
                  </w:tcMar>
                  <w:vAlign w:val="bottom"/>
                </w:tcPr>
                <w:p w14:paraId="1CFBC15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170,800</w:t>
                  </w:r>
                </w:p>
              </w:tc>
              <w:tc>
                <w:tcPr>
                  <w:tcW w:w="1101" w:type="dxa"/>
                  <w:noWrap/>
                  <w:tcMar>
                    <w:top w:w="0" w:type="dxa"/>
                    <w:left w:w="144" w:type="dxa"/>
                    <w:bottom w:w="0" w:type="dxa"/>
                    <w:right w:w="0" w:type="dxa"/>
                  </w:tcMar>
                  <w:vAlign w:val="bottom"/>
                </w:tcPr>
                <w:p w14:paraId="0135363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193,034</w:t>
                  </w:r>
                </w:p>
              </w:tc>
            </w:tr>
            <w:tr w:rsidR="00207559" w14:paraId="52C8A9AF" w14:textId="77777777" w:rsidTr="00046D29">
              <w:trPr>
                <w:cantSplit/>
                <w:trHeight w:val="261"/>
                <w:jc w:val="center"/>
              </w:trPr>
              <w:tc>
                <w:tcPr>
                  <w:tcW w:w="3917" w:type="dxa"/>
                </w:tcPr>
                <w:p w14:paraId="42510DE1" w14:textId="77777777" w:rsidR="00207559" w:rsidRDefault="00207559" w:rsidP="00207559">
                  <w:pPr>
                    <w:pStyle w:val="NormalWeb"/>
                    <w:tabs>
                      <w:tab w:val="right" w:leader="dot" w:pos="4620"/>
                    </w:tabs>
                    <w:spacing w:before="0" w:beforeAutospacing="0" w:after="0" w:afterAutospacing="0"/>
                    <w:ind w:left="240" w:hanging="240"/>
                    <w:rPr>
                      <w:sz w:val="18"/>
                      <w:szCs w:val="18"/>
                    </w:rPr>
                  </w:pPr>
                  <w:r>
                    <w:rPr>
                      <w:sz w:val="18"/>
                      <w:szCs w:val="18"/>
                    </w:rPr>
                    <w:t>Other non-current financial liabilities</w:t>
                  </w:r>
                  <w:r>
                    <w:rPr>
                      <w:sz w:val="18"/>
                      <w:szCs w:val="18"/>
                    </w:rPr>
                    <w:tab/>
                  </w:r>
                </w:p>
              </w:tc>
              <w:tc>
                <w:tcPr>
                  <w:tcW w:w="1482" w:type="dxa"/>
                  <w:noWrap/>
                  <w:tcMar>
                    <w:top w:w="0" w:type="dxa"/>
                    <w:left w:w="144" w:type="dxa"/>
                    <w:bottom w:w="0" w:type="dxa"/>
                    <w:right w:w="0" w:type="dxa"/>
                  </w:tcMar>
                  <w:vAlign w:val="bottom"/>
                </w:tcPr>
                <w:p w14:paraId="3A8E4B07"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1,689</w:t>
                  </w:r>
                </w:p>
              </w:tc>
              <w:tc>
                <w:tcPr>
                  <w:tcW w:w="1288" w:type="dxa"/>
                  <w:noWrap/>
                  <w:tcMar>
                    <w:top w:w="0" w:type="dxa"/>
                    <w:left w:w="144" w:type="dxa"/>
                    <w:bottom w:w="0" w:type="dxa"/>
                    <w:right w:w="0" w:type="dxa"/>
                  </w:tcMar>
                  <w:vAlign w:val="bottom"/>
                </w:tcPr>
                <w:p w14:paraId="7FE120A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5,348</w:t>
                  </w:r>
                </w:p>
              </w:tc>
              <w:tc>
                <w:tcPr>
                  <w:tcW w:w="1164" w:type="dxa"/>
                  <w:noWrap/>
                  <w:tcMar>
                    <w:top w:w="0" w:type="dxa"/>
                    <w:left w:w="144" w:type="dxa"/>
                    <w:bottom w:w="0" w:type="dxa"/>
                    <w:right w:w="0" w:type="dxa"/>
                  </w:tcMar>
                  <w:vAlign w:val="bottom"/>
                </w:tcPr>
                <w:p w14:paraId="7AAEDA6B"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967</w:t>
                  </w:r>
                </w:p>
              </w:tc>
              <w:tc>
                <w:tcPr>
                  <w:tcW w:w="1101" w:type="dxa"/>
                  <w:noWrap/>
                  <w:tcMar>
                    <w:top w:w="0" w:type="dxa"/>
                    <w:left w:w="144" w:type="dxa"/>
                    <w:bottom w:w="0" w:type="dxa"/>
                    <w:right w:w="0" w:type="dxa"/>
                  </w:tcMar>
                  <w:vAlign w:val="bottom"/>
                </w:tcPr>
                <w:p w14:paraId="20FE31C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1,656</w:t>
                  </w:r>
                </w:p>
              </w:tc>
            </w:tr>
            <w:tr w:rsidR="00207559" w14:paraId="3DC1A927" w14:textId="77777777" w:rsidTr="00046D29">
              <w:trPr>
                <w:cantSplit/>
                <w:trHeight w:val="261"/>
                <w:jc w:val="center"/>
              </w:trPr>
              <w:tc>
                <w:tcPr>
                  <w:tcW w:w="3917" w:type="dxa"/>
                </w:tcPr>
                <w:p w14:paraId="77228B38" w14:textId="77777777" w:rsidR="00207559" w:rsidRDefault="00207559" w:rsidP="00207559">
                  <w:pPr>
                    <w:pStyle w:val="NormalWeb"/>
                    <w:tabs>
                      <w:tab w:val="right" w:leader="dot" w:pos="4620"/>
                    </w:tabs>
                    <w:spacing w:before="0" w:beforeAutospacing="0" w:after="0" w:afterAutospacing="0"/>
                    <w:ind w:left="240" w:hanging="240"/>
                    <w:rPr>
                      <w:sz w:val="18"/>
                      <w:szCs w:val="18"/>
                    </w:rPr>
                  </w:pPr>
                  <w:r>
                    <w:rPr>
                      <w:sz w:val="18"/>
                      <w:szCs w:val="18"/>
                    </w:rPr>
                    <w:t>Other non-current liabilities</w:t>
                  </w:r>
                  <w:r>
                    <w:rPr>
                      <w:sz w:val="18"/>
                      <w:szCs w:val="18"/>
                    </w:rPr>
                    <w:tab/>
                  </w:r>
                </w:p>
              </w:tc>
              <w:tc>
                <w:tcPr>
                  <w:tcW w:w="1482" w:type="dxa"/>
                  <w:noWrap/>
                  <w:tcMar>
                    <w:top w:w="0" w:type="dxa"/>
                    <w:left w:w="144" w:type="dxa"/>
                    <w:bottom w:w="0" w:type="dxa"/>
                    <w:right w:w="0" w:type="dxa"/>
                  </w:tcMar>
                  <w:vAlign w:val="bottom"/>
                </w:tcPr>
                <w:p w14:paraId="0343CBB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2,534</w:t>
                  </w:r>
                </w:p>
              </w:tc>
              <w:tc>
                <w:tcPr>
                  <w:tcW w:w="1288" w:type="dxa"/>
                  <w:noWrap/>
                  <w:tcMar>
                    <w:top w:w="0" w:type="dxa"/>
                    <w:left w:w="144" w:type="dxa"/>
                    <w:bottom w:w="0" w:type="dxa"/>
                    <w:right w:w="0" w:type="dxa"/>
                  </w:tcMar>
                  <w:vAlign w:val="bottom"/>
                </w:tcPr>
                <w:p w14:paraId="5AEB2CBB"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2,432</w:t>
                  </w:r>
                </w:p>
              </w:tc>
              <w:tc>
                <w:tcPr>
                  <w:tcW w:w="1164" w:type="dxa"/>
                  <w:noWrap/>
                  <w:tcMar>
                    <w:top w:w="0" w:type="dxa"/>
                    <w:left w:w="144" w:type="dxa"/>
                    <w:bottom w:w="0" w:type="dxa"/>
                    <w:right w:w="0" w:type="dxa"/>
                  </w:tcMar>
                  <w:vAlign w:val="bottom"/>
                </w:tcPr>
                <w:p w14:paraId="0B1FE87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405</w:t>
                  </w:r>
                </w:p>
              </w:tc>
              <w:tc>
                <w:tcPr>
                  <w:tcW w:w="1101" w:type="dxa"/>
                  <w:noWrap/>
                  <w:tcMar>
                    <w:top w:w="0" w:type="dxa"/>
                    <w:left w:w="144" w:type="dxa"/>
                    <w:bottom w:w="0" w:type="dxa"/>
                    <w:right w:w="0" w:type="dxa"/>
                  </w:tcMar>
                  <w:vAlign w:val="bottom"/>
                </w:tcPr>
                <w:p w14:paraId="6224EDB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1,122</w:t>
                  </w:r>
                </w:p>
              </w:tc>
            </w:tr>
            <w:tr w:rsidR="00207559" w14:paraId="497BFF0B" w14:textId="77777777" w:rsidTr="00046D29">
              <w:trPr>
                <w:cantSplit/>
                <w:trHeight w:val="261"/>
                <w:jc w:val="center"/>
              </w:trPr>
              <w:tc>
                <w:tcPr>
                  <w:tcW w:w="3917" w:type="dxa"/>
                </w:tcPr>
                <w:p w14:paraId="4983252B" w14:textId="77777777" w:rsidR="00207559" w:rsidRDefault="00207559" w:rsidP="00207559">
                  <w:pPr>
                    <w:pStyle w:val="NormalWeb"/>
                    <w:tabs>
                      <w:tab w:val="right" w:leader="dot" w:pos="4620"/>
                    </w:tabs>
                    <w:spacing w:before="0" w:beforeAutospacing="0" w:after="0" w:afterAutospacing="0"/>
                    <w:ind w:left="240" w:hanging="240"/>
                    <w:rPr>
                      <w:sz w:val="18"/>
                      <w:szCs w:val="18"/>
                    </w:rPr>
                  </w:pPr>
                  <w:r>
                    <w:rPr>
                      <w:sz w:val="18"/>
                      <w:szCs w:val="18"/>
                    </w:rPr>
                    <w:t>Deferred tax liabilities</w:t>
                  </w:r>
                  <w:r>
                    <w:rPr>
                      <w:sz w:val="18"/>
                      <w:szCs w:val="18"/>
                    </w:rPr>
                    <w:tab/>
                  </w:r>
                </w:p>
              </w:tc>
              <w:tc>
                <w:tcPr>
                  <w:tcW w:w="1482" w:type="dxa"/>
                  <w:noWrap/>
                  <w:tcMar>
                    <w:top w:w="0" w:type="dxa"/>
                    <w:left w:w="144" w:type="dxa"/>
                    <w:bottom w:w="0" w:type="dxa"/>
                    <w:right w:w="0" w:type="dxa"/>
                  </w:tcMar>
                  <w:vAlign w:val="bottom"/>
                </w:tcPr>
                <w:p w14:paraId="4735C0F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19,927</w:t>
                  </w:r>
                </w:p>
              </w:tc>
              <w:tc>
                <w:tcPr>
                  <w:tcW w:w="1288" w:type="dxa"/>
                  <w:noWrap/>
                  <w:tcMar>
                    <w:top w:w="0" w:type="dxa"/>
                    <w:left w:w="144" w:type="dxa"/>
                    <w:bottom w:w="0" w:type="dxa"/>
                    <w:right w:w="0" w:type="dxa"/>
                  </w:tcMar>
                  <w:vAlign w:val="bottom"/>
                </w:tcPr>
                <w:p w14:paraId="743844C7"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20,012</w:t>
                  </w:r>
                </w:p>
              </w:tc>
              <w:tc>
                <w:tcPr>
                  <w:tcW w:w="1164" w:type="dxa"/>
                  <w:noWrap/>
                  <w:tcMar>
                    <w:top w:w="0" w:type="dxa"/>
                    <w:left w:w="144" w:type="dxa"/>
                    <w:bottom w:w="0" w:type="dxa"/>
                    <w:right w:w="0" w:type="dxa"/>
                  </w:tcMar>
                  <w:vAlign w:val="bottom"/>
                </w:tcPr>
                <w:p w14:paraId="2DB374F7"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8,247</w:t>
                  </w:r>
                </w:p>
              </w:tc>
              <w:tc>
                <w:tcPr>
                  <w:tcW w:w="1101" w:type="dxa"/>
                  <w:noWrap/>
                  <w:tcMar>
                    <w:top w:w="0" w:type="dxa"/>
                    <w:left w:w="144" w:type="dxa"/>
                    <w:bottom w:w="0" w:type="dxa"/>
                    <w:right w:w="0" w:type="dxa"/>
                  </w:tcMar>
                  <w:vAlign w:val="bottom"/>
                </w:tcPr>
                <w:p w14:paraId="589AE62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27,329</w:t>
                  </w:r>
                </w:p>
              </w:tc>
            </w:tr>
            <w:tr w:rsidR="00207559" w14:paraId="4EBA2287" w14:textId="77777777" w:rsidTr="00046D29">
              <w:trPr>
                <w:cantSplit/>
                <w:trHeight w:val="261"/>
                <w:jc w:val="center"/>
              </w:trPr>
              <w:tc>
                <w:tcPr>
                  <w:tcW w:w="3917" w:type="dxa"/>
                </w:tcPr>
                <w:p w14:paraId="34F42E86" w14:textId="77777777" w:rsidR="00207559" w:rsidRDefault="00207559" w:rsidP="00207559">
                  <w:pPr>
                    <w:pStyle w:val="NormalWeb"/>
                    <w:tabs>
                      <w:tab w:val="right" w:leader="dot" w:pos="4620"/>
                    </w:tabs>
                    <w:spacing w:before="0" w:beforeAutospacing="0" w:after="0" w:afterAutospacing="0"/>
                    <w:ind w:left="240" w:hanging="240"/>
                    <w:rPr>
                      <w:b/>
                      <w:sz w:val="18"/>
                      <w:szCs w:val="18"/>
                    </w:rPr>
                  </w:pPr>
                  <w:r>
                    <w:rPr>
                      <w:b/>
                      <w:sz w:val="18"/>
                      <w:szCs w:val="18"/>
                    </w:rPr>
                    <w:t>Total non-current liabilities</w:t>
                  </w:r>
                  <w:r>
                    <w:rPr>
                      <w:b/>
                      <w:sz w:val="18"/>
                      <w:szCs w:val="18"/>
                    </w:rPr>
                    <w:tab/>
                  </w:r>
                </w:p>
              </w:tc>
              <w:tc>
                <w:tcPr>
                  <w:tcW w:w="1482" w:type="dxa"/>
                  <w:noWrap/>
                  <w:tcMar>
                    <w:top w:w="0" w:type="dxa"/>
                    <w:left w:w="144" w:type="dxa"/>
                    <w:bottom w:w="0" w:type="dxa"/>
                    <w:right w:w="0" w:type="dxa"/>
                  </w:tcMar>
                  <w:vAlign w:val="bottom"/>
                </w:tcPr>
                <w:p w14:paraId="16A9A93E" w14:textId="77777777" w:rsidR="00207559" w:rsidRDefault="00207559" w:rsidP="00207559">
                  <w:pPr>
                    <w:pStyle w:val="NormalWeb"/>
                    <w:tabs>
                      <w:tab w:val="right" w:pos="900"/>
                      <w:tab w:val="decimal" w:pos="940"/>
                    </w:tabs>
                    <w:spacing w:before="0" w:beforeAutospacing="0" w:after="20" w:afterAutospacing="0"/>
                    <w:jc w:val="right"/>
                    <w:rPr>
                      <w:b/>
                      <w:sz w:val="18"/>
                      <w:szCs w:val="18"/>
                    </w:rPr>
                  </w:pPr>
                  <w:r>
                    <w:rPr>
                      <w:b/>
                      <w:sz w:val="18"/>
                      <w:szCs w:val="18"/>
                    </w:rPr>
                    <w:t>411,032</w:t>
                  </w:r>
                </w:p>
              </w:tc>
              <w:tc>
                <w:tcPr>
                  <w:tcW w:w="1288" w:type="dxa"/>
                  <w:noWrap/>
                  <w:tcMar>
                    <w:top w:w="0" w:type="dxa"/>
                    <w:left w:w="144" w:type="dxa"/>
                    <w:bottom w:w="0" w:type="dxa"/>
                    <w:right w:w="0" w:type="dxa"/>
                  </w:tcMar>
                  <w:vAlign w:val="bottom"/>
                </w:tcPr>
                <w:p w14:paraId="05CE6BD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355,715</w:t>
                  </w:r>
                </w:p>
              </w:tc>
              <w:tc>
                <w:tcPr>
                  <w:tcW w:w="1164" w:type="dxa"/>
                  <w:noWrap/>
                  <w:tcMar>
                    <w:top w:w="0" w:type="dxa"/>
                    <w:left w:w="144" w:type="dxa"/>
                    <w:bottom w:w="0" w:type="dxa"/>
                    <w:right w:w="0" w:type="dxa"/>
                  </w:tcMar>
                  <w:vAlign w:val="bottom"/>
                </w:tcPr>
                <w:p w14:paraId="5B0BF96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180,419</w:t>
                  </w:r>
                </w:p>
              </w:tc>
              <w:tc>
                <w:tcPr>
                  <w:tcW w:w="1101" w:type="dxa"/>
                  <w:noWrap/>
                  <w:tcMar>
                    <w:top w:w="0" w:type="dxa"/>
                    <w:left w:w="144" w:type="dxa"/>
                    <w:bottom w:w="0" w:type="dxa"/>
                    <w:right w:w="0" w:type="dxa"/>
                  </w:tcMar>
                  <w:vAlign w:val="bottom"/>
                </w:tcPr>
                <w:p w14:paraId="756C16F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223,141</w:t>
                  </w:r>
                </w:p>
              </w:tc>
            </w:tr>
            <w:tr w:rsidR="00207559" w14:paraId="1612BB5A" w14:textId="77777777" w:rsidTr="00046D29">
              <w:trPr>
                <w:cantSplit/>
                <w:trHeight w:val="261"/>
                <w:jc w:val="center"/>
              </w:trPr>
              <w:tc>
                <w:tcPr>
                  <w:tcW w:w="3917" w:type="dxa"/>
                </w:tcPr>
                <w:p w14:paraId="55CB6763" w14:textId="77777777" w:rsidR="00207559" w:rsidRDefault="00207559" w:rsidP="00207559">
                  <w:pPr>
                    <w:pStyle w:val="NormalWeb"/>
                    <w:tabs>
                      <w:tab w:val="right" w:leader="dot" w:pos="4620"/>
                    </w:tabs>
                    <w:spacing w:before="0" w:beforeAutospacing="0" w:after="0" w:afterAutospacing="0"/>
                    <w:ind w:left="240" w:hanging="240"/>
                    <w:rPr>
                      <w:sz w:val="18"/>
                      <w:szCs w:val="18"/>
                    </w:rPr>
                  </w:pPr>
                  <w:r>
                    <w:rPr>
                      <w:sz w:val="18"/>
                      <w:szCs w:val="18"/>
                    </w:rPr>
                    <w:t>Current financial debt</w:t>
                  </w:r>
                  <w:r>
                    <w:rPr>
                      <w:sz w:val="18"/>
                      <w:szCs w:val="18"/>
                    </w:rPr>
                    <w:tab/>
                  </w:r>
                </w:p>
              </w:tc>
              <w:tc>
                <w:tcPr>
                  <w:tcW w:w="1482" w:type="dxa"/>
                  <w:noWrap/>
                  <w:tcMar>
                    <w:top w:w="0" w:type="dxa"/>
                    <w:left w:w="144" w:type="dxa"/>
                    <w:bottom w:w="0" w:type="dxa"/>
                    <w:right w:w="0" w:type="dxa"/>
                  </w:tcMar>
                </w:tcPr>
                <w:p w14:paraId="774A32B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89,087</w:t>
                  </w:r>
                </w:p>
              </w:tc>
              <w:tc>
                <w:tcPr>
                  <w:tcW w:w="1288" w:type="dxa"/>
                  <w:noWrap/>
                  <w:tcMar>
                    <w:top w:w="0" w:type="dxa"/>
                    <w:left w:w="144" w:type="dxa"/>
                    <w:bottom w:w="0" w:type="dxa"/>
                    <w:right w:w="0" w:type="dxa"/>
                  </w:tcMar>
                  <w:vAlign w:val="bottom"/>
                </w:tcPr>
                <w:p w14:paraId="74881940"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81,674</w:t>
                  </w:r>
                </w:p>
              </w:tc>
              <w:tc>
                <w:tcPr>
                  <w:tcW w:w="1164" w:type="dxa"/>
                  <w:noWrap/>
                  <w:tcMar>
                    <w:top w:w="0" w:type="dxa"/>
                    <w:left w:w="144" w:type="dxa"/>
                    <w:bottom w:w="0" w:type="dxa"/>
                    <w:right w:w="0" w:type="dxa"/>
                  </w:tcMar>
                  <w:vAlign w:val="bottom"/>
                </w:tcPr>
                <w:p w14:paraId="243DA1D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3,522</w:t>
                  </w:r>
                </w:p>
              </w:tc>
              <w:tc>
                <w:tcPr>
                  <w:tcW w:w="1101" w:type="dxa"/>
                  <w:noWrap/>
                  <w:tcMar>
                    <w:top w:w="0" w:type="dxa"/>
                    <w:left w:w="144" w:type="dxa"/>
                    <w:bottom w:w="0" w:type="dxa"/>
                    <w:right w:w="0" w:type="dxa"/>
                  </w:tcMar>
                  <w:vAlign w:val="bottom"/>
                </w:tcPr>
                <w:p w14:paraId="6B758240"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5,722</w:t>
                  </w:r>
                </w:p>
              </w:tc>
            </w:tr>
            <w:tr w:rsidR="00207559" w14:paraId="0A324F03" w14:textId="77777777" w:rsidTr="00046D29">
              <w:trPr>
                <w:cantSplit/>
                <w:trHeight w:val="261"/>
                <w:jc w:val="center"/>
              </w:trPr>
              <w:tc>
                <w:tcPr>
                  <w:tcW w:w="3917" w:type="dxa"/>
                </w:tcPr>
                <w:p w14:paraId="67AA26F6" w14:textId="77777777" w:rsidR="00207559" w:rsidRDefault="00207559" w:rsidP="00207559">
                  <w:pPr>
                    <w:pStyle w:val="NormalWeb"/>
                    <w:tabs>
                      <w:tab w:val="right" w:leader="dot" w:pos="4620"/>
                    </w:tabs>
                    <w:spacing w:before="0" w:beforeAutospacing="0" w:after="0" w:afterAutospacing="0"/>
                    <w:ind w:left="240" w:hanging="240"/>
                    <w:rPr>
                      <w:sz w:val="18"/>
                      <w:szCs w:val="18"/>
                    </w:rPr>
                  </w:pPr>
                  <w:r>
                    <w:rPr>
                      <w:sz w:val="18"/>
                      <w:szCs w:val="18"/>
                    </w:rPr>
                    <w:t>Other current financial liabilities</w:t>
                  </w:r>
                  <w:r>
                    <w:rPr>
                      <w:sz w:val="18"/>
                      <w:szCs w:val="18"/>
                    </w:rPr>
                    <w:tab/>
                  </w:r>
                </w:p>
              </w:tc>
              <w:tc>
                <w:tcPr>
                  <w:tcW w:w="1482" w:type="dxa"/>
                  <w:noWrap/>
                  <w:tcMar>
                    <w:top w:w="0" w:type="dxa"/>
                    <w:left w:w="144" w:type="dxa"/>
                    <w:bottom w:w="0" w:type="dxa"/>
                    <w:right w:w="0" w:type="dxa"/>
                  </w:tcMar>
                </w:tcPr>
                <w:p w14:paraId="05A59F36"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2,110</w:t>
                  </w:r>
                </w:p>
              </w:tc>
              <w:tc>
                <w:tcPr>
                  <w:tcW w:w="1288" w:type="dxa"/>
                  <w:noWrap/>
                  <w:tcMar>
                    <w:top w:w="0" w:type="dxa"/>
                    <w:left w:w="144" w:type="dxa"/>
                    <w:bottom w:w="0" w:type="dxa"/>
                    <w:right w:w="0" w:type="dxa"/>
                  </w:tcMar>
                  <w:vAlign w:val="bottom"/>
                </w:tcPr>
                <w:p w14:paraId="3DD9870D"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w:t>
                  </w:r>
                </w:p>
              </w:tc>
              <w:tc>
                <w:tcPr>
                  <w:tcW w:w="1164" w:type="dxa"/>
                  <w:noWrap/>
                  <w:tcMar>
                    <w:top w:w="0" w:type="dxa"/>
                    <w:left w:w="144" w:type="dxa"/>
                    <w:bottom w:w="0" w:type="dxa"/>
                    <w:right w:w="0" w:type="dxa"/>
                  </w:tcMar>
                  <w:vAlign w:val="bottom"/>
                </w:tcPr>
                <w:p w14:paraId="5D1ECC8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w:t>
                  </w:r>
                </w:p>
              </w:tc>
              <w:tc>
                <w:tcPr>
                  <w:tcW w:w="1101" w:type="dxa"/>
                  <w:noWrap/>
                  <w:tcMar>
                    <w:top w:w="0" w:type="dxa"/>
                    <w:left w:w="144" w:type="dxa"/>
                    <w:bottom w:w="0" w:type="dxa"/>
                    <w:right w:w="0" w:type="dxa"/>
                  </w:tcMar>
                  <w:vAlign w:val="bottom"/>
                </w:tcPr>
                <w:p w14:paraId="0199F400"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w:t>
                  </w:r>
                </w:p>
              </w:tc>
            </w:tr>
            <w:tr w:rsidR="00207559" w14:paraId="7C61B087" w14:textId="77777777" w:rsidTr="00046D29">
              <w:trPr>
                <w:cantSplit/>
                <w:trHeight w:val="261"/>
                <w:jc w:val="center"/>
              </w:trPr>
              <w:tc>
                <w:tcPr>
                  <w:tcW w:w="3917" w:type="dxa"/>
                </w:tcPr>
                <w:p w14:paraId="470DE39B" w14:textId="77777777" w:rsidR="00207559" w:rsidRDefault="00207559" w:rsidP="00207559">
                  <w:pPr>
                    <w:pStyle w:val="NormalWeb"/>
                    <w:tabs>
                      <w:tab w:val="right" w:leader="dot" w:pos="4620"/>
                    </w:tabs>
                    <w:spacing w:before="0" w:beforeAutospacing="0" w:after="0" w:afterAutospacing="0"/>
                    <w:ind w:left="240" w:hanging="240"/>
                    <w:rPr>
                      <w:sz w:val="18"/>
                      <w:szCs w:val="18"/>
                    </w:rPr>
                  </w:pPr>
                  <w:r>
                    <w:rPr>
                      <w:sz w:val="18"/>
                      <w:szCs w:val="18"/>
                    </w:rPr>
                    <w:t>Trade debts and other current liabilities</w:t>
                  </w:r>
                  <w:r>
                    <w:rPr>
                      <w:sz w:val="18"/>
                      <w:szCs w:val="18"/>
                    </w:rPr>
                    <w:tab/>
                  </w:r>
                </w:p>
              </w:tc>
              <w:tc>
                <w:tcPr>
                  <w:tcW w:w="1482" w:type="dxa"/>
                  <w:noWrap/>
                  <w:tcMar>
                    <w:top w:w="0" w:type="dxa"/>
                    <w:left w:w="144" w:type="dxa"/>
                    <w:bottom w:w="0" w:type="dxa"/>
                    <w:right w:w="0" w:type="dxa"/>
                  </w:tcMar>
                </w:tcPr>
                <w:p w14:paraId="7AE19B8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58,862</w:t>
                  </w:r>
                </w:p>
              </w:tc>
              <w:tc>
                <w:tcPr>
                  <w:tcW w:w="1288" w:type="dxa"/>
                  <w:noWrap/>
                  <w:tcMar>
                    <w:top w:w="0" w:type="dxa"/>
                    <w:left w:w="144" w:type="dxa"/>
                    <w:bottom w:w="0" w:type="dxa"/>
                    <w:right w:w="0" w:type="dxa"/>
                  </w:tcMar>
                  <w:vAlign w:val="bottom"/>
                </w:tcPr>
                <w:p w14:paraId="3C18162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35,496</w:t>
                  </w:r>
                </w:p>
              </w:tc>
              <w:tc>
                <w:tcPr>
                  <w:tcW w:w="1164" w:type="dxa"/>
                  <w:noWrap/>
                  <w:tcMar>
                    <w:top w:w="0" w:type="dxa"/>
                    <w:left w:w="144" w:type="dxa"/>
                    <w:bottom w:w="0" w:type="dxa"/>
                    <w:right w:w="0" w:type="dxa"/>
                  </w:tcMar>
                  <w:vAlign w:val="bottom"/>
                </w:tcPr>
                <w:p w14:paraId="0317CD0A"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10,342</w:t>
                  </w:r>
                </w:p>
              </w:tc>
              <w:tc>
                <w:tcPr>
                  <w:tcW w:w="1101" w:type="dxa"/>
                  <w:noWrap/>
                  <w:tcMar>
                    <w:top w:w="0" w:type="dxa"/>
                    <w:left w:w="144" w:type="dxa"/>
                    <w:bottom w:w="0" w:type="dxa"/>
                    <w:right w:w="0" w:type="dxa"/>
                  </w:tcMar>
                  <w:vAlign w:val="bottom"/>
                </w:tcPr>
                <w:p w14:paraId="4321A27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23,559</w:t>
                  </w:r>
                </w:p>
              </w:tc>
            </w:tr>
            <w:tr w:rsidR="00207559" w14:paraId="2CB9B40D" w14:textId="77777777" w:rsidTr="00046D29">
              <w:trPr>
                <w:cantSplit/>
                <w:trHeight w:val="261"/>
                <w:jc w:val="center"/>
              </w:trPr>
              <w:tc>
                <w:tcPr>
                  <w:tcW w:w="3917" w:type="dxa"/>
                </w:tcPr>
                <w:p w14:paraId="4ABE15F7" w14:textId="77777777" w:rsidR="00207559" w:rsidRDefault="00207559" w:rsidP="00207559">
                  <w:pPr>
                    <w:pStyle w:val="NormalWeb"/>
                    <w:tabs>
                      <w:tab w:val="right" w:leader="dot" w:pos="4620"/>
                    </w:tabs>
                    <w:spacing w:before="0" w:beforeAutospacing="0" w:after="0" w:afterAutospacing="0"/>
                    <w:ind w:left="240" w:hanging="240"/>
                    <w:rPr>
                      <w:sz w:val="18"/>
                      <w:szCs w:val="18"/>
                    </w:rPr>
                  </w:pPr>
                  <w:r>
                    <w:rPr>
                      <w:sz w:val="18"/>
                      <w:szCs w:val="18"/>
                    </w:rPr>
                    <w:t>Liabilities related to disposal group held for sale</w:t>
                  </w:r>
                  <w:r>
                    <w:rPr>
                      <w:sz w:val="18"/>
                      <w:szCs w:val="18"/>
                    </w:rPr>
                    <w:tab/>
                  </w:r>
                </w:p>
              </w:tc>
              <w:tc>
                <w:tcPr>
                  <w:tcW w:w="1482" w:type="dxa"/>
                  <w:noWrap/>
                  <w:tcMar>
                    <w:top w:w="0" w:type="dxa"/>
                    <w:left w:w="144" w:type="dxa"/>
                    <w:bottom w:w="0" w:type="dxa"/>
                    <w:right w:w="0" w:type="dxa"/>
                  </w:tcMar>
                </w:tcPr>
                <w:p w14:paraId="795D865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28,652</w:t>
                  </w:r>
                </w:p>
              </w:tc>
              <w:tc>
                <w:tcPr>
                  <w:tcW w:w="1288" w:type="dxa"/>
                  <w:noWrap/>
                  <w:tcMar>
                    <w:top w:w="0" w:type="dxa"/>
                    <w:left w:w="144" w:type="dxa"/>
                    <w:bottom w:w="0" w:type="dxa"/>
                    <w:right w:w="0" w:type="dxa"/>
                  </w:tcMar>
                  <w:vAlign w:val="bottom"/>
                </w:tcPr>
                <w:p w14:paraId="13F86B4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8,404</w:t>
                  </w:r>
                </w:p>
              </w:tc>
              <w:tc>
                <w:tcPr>
                  <w:tcW w:w="1164" w:type="dxa"/>
                  <w:noWrap/>
                  <w:tcMar>
                    <w:top w:w="0" w:type="dxa"/>
                    <w:left w:w="144" w:type="dxa"/>
                    <w:bottom w:w="0" w:type="dxa"/>
                    <w:right w:w="0" w:type="dxa"/>
                  </w:tcMar>
                  <w:vAlign w:val="bottom"/>
                </w:tcPr>
                <w:p w14:paraId="3C37BC4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161,047</w:t>
                  </w:r>
                </w:p>
              </w:tc>
              <w:tc>
                <w:tcPr>
                  <w:tcW w:w="1101" w:type="dxa"/>
                  <w:noWrap/>
                  <w:tcMar>
                    <w:top w:w="0" w:type="dxa"/>
                    <w:left w:w="144" w:type="dxa"/>
                    <w:bottom w:w="0" w:type="dxa"/>
                    <w:right w:w="0" w:type="dxa"/>
                  </w:tcMar>
                  <w:vAlign w:val="bottom"/>
                </w:tcPr>
                <w:p w14:paraId="413F194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w:t>
                  </w:r>
                </w:p>
              </w:tc>
            </w:tr>
            <w:tr w:rsidR="00207559" w14:paraId="08B30F29" w14:textId="77777777" w:rsidTr="00046D29">
              <w:trPr>
                <w:cantSplit/>
                <w:trHeight w:val="261"/>
                <w:jc w:val="center"/>
              </w:trPr>
              <w:tc>
                <w:tcPr>
                  <w:tcW w:w="3917" w:type="dxa"/>
                </w:tcPr>
                <w:p w14:paraId="6B3D28D7" w14:textId="77777777" w:rsidR="00207559" w:rsidRDefault="00207559" w:rsidP="00207559">
                  <w:pPr>
                    <w:pStyle w:val="NormalWeb"/>
                    <w:tabs>
                      <w:tab w:val="right" w:leader="dot" w:pos="4620"/>
                    </w:tabs>
                    <w:spacing w:before="0" w:beforeAutospacing="0" w:after="0" w:afterAutospacing="0"/>
                    <w:ind w:left="240" w:hanging="240"/>
                    <w:rPr>
                      <w:b/>
                      <w:sz w:val="18"/>
                      <w:szCs w:val="18"/>
                    </w:rPr>
                  </w:pPr>
                  <w:r>
                    <w:rPr>
                      <w:b/>
                      <w:sz w:val="18"/>
                      <w:szCs w:val="18"/>
                    </w:rPr>
                    <w:t>Total current liabilities</w:t>
                  </w:r>
                  <w:r>
                    <w:rPr>
                      <w:b/>
                      <w:sz w:val="18"/>
                      <w:szCs w:val="18"/>
                    </w:rPr>
                    <w:tab/>
                  </w:r>
                </w:p>
              </w:tc>
              <w:tc>
                <w:tcPr>
                  <w:tcW w:w="1482" w:type="dxa"/>
                  <w:noWrap/>
                  <w:tcMar>
                    <w:top w:w="0" w:type="dxa"/>
                    <w:left w:w="144" w:type="dxa"/>
                    <w:bottom w:w="0" w:type="dxa"/>
                    <w:right w:w="0" w:type="dxa"/>
                  </w:tcMar>
                  <w:vAlign w:val="bottom"/>
                </w:tcPr>
                <w:p w14:paraId="2454C34F" w14:textId="77777777" w:rsidR="00207559" w:rsidRDefault="00207559" w:rsidP="00207559">
                  <w:pPr>
                    <w:pStyle w:val="NormalWeb"/>
                    <w:tabs>
                      <w:tab w:val="right" w:pos="900"/>
                      <w:tab w:val="decimal" w:pos="940"/>
                    </w:tabs>
                    <w:spacing w:before="0" w:beforeAutospacing="0" w:after="20" w:afterAutospacing="0"/>
                    <w:jc w:val="right"/>
                    <w:rPr>
                      <w:b/>
                      <w:sz w:val="18"/>
                      <w:szCs w:val="18"/>
                    </w:rPr>
                  </w:pPr>
                  <w:r>
                    <w:rPr>
                      <w:b/>
                      <w:sz w:val="18"/>
                      <w:szCs w:val="18"/>
                    </w:rPr>
                    <w:t>178,711</w:t>
                  </w:r>
                </w:p>
              </w:tc>
              <w:tc>
                <w:tcPr>
                  <w:tcW w:w="1288" w:type="dxa"/>
                  <w:noWrap/>
                  <w:tcMar>
                    <w:top w:w="0" w:type="dxa"/>
                    <w:left w:w="144" w:type="dxa"/>
                    <w:bottom w:w="0" w:type="dxa"/>
                    <w:right w:w="0" w:type="dxa"/>
                  </w:tcMar>
                  <w:vAlign w:val="bottom"/>
                </w:tcPr>
                <w:p w14:paraId="62D5634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125,574</w:t>
                  </w:r>
                </w:p>
              </w:tc>
              <w:tc>
                <w:tcPr>
                  <w:tcW w:w="1164" w:type="dxa"/>
                  <w:noWrap/>
                  <w:tcMar>
                    <w:top w:w="0" w:type="dxa"/>
                    <w:left w:w="144" w:type="dxa"/>
                    <w:bottom w:w="0" w:type="dxa"/>
                    <w:right w:w="0" w:type="dxa"/>
                  </w:tcMar>
                  <w:vAlign w:val="bottom"/>
                </w:tcPr>
                <w:p w14:paraId="2F4E4966"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174,911</w:t>
                  </w:r>
                </w:p>
              </w:tc>
              <w:tc>
                <w:tcPr>
                  <w:tcW w:w="1101" w:type="dxa"/>
                  <w:noWrap/>
                  <w:tcMar>
                    <w:top w:w="0" w:type="dxa"/>
                    <w:left w:w="144" w:type="dxa"/>
                    <w:bottom w:w="0" w:type="dxa"/>
                    <w:right w:w="0" w:type="dxa"/>
                  </w:tcMar>
                  <w:vAlign w:val="bottom"/>
                </w:tcPr>
                <w:p w14:paraId="6962A72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29,281</w:t>
                  </w:r>
                </w:p>
              </w:tc>
            </w:tr>
            <w:tr w:rsidR="00207559" w14:paraId="1001553D" w14:textId="77777777" w:rsidTr="00046D29">
              <w:trPr>
                <w:cantSplit/>
                <w:trHeight w:val="261"/>
                <w:jc w:val="center"/>
              </w:trPr>
              <w:tc>
                <w:tcPr>
                  <w:tcW w:w="3917" w:type="dxa"/>
                </w:tcPr>
                <w:p w14:paraId="58594DC4" w14:textId="77777777" w:rsidR="00207559" w:rsidRDefault="00207559" w:rsidP="00207559">
                  <w:pPr>
                    <w:pStyle w:val="NormalWeb"/>
                    <w:tabs>
                      <w:tab w:val="right" w:leader="dot" w:pos="4620"/>
                    </w:tabs>
                    <w:spacing w:before="0" w:beforeAutospacing="0" w:after="0" w:afterAutospacing="0"/>
                    <w:ind w:left="240" w:hanging="240"/>
                    <w:rPr>
                      <w:b/>
                      <w:sz w:val="18"/>
                      <w:szCs w:val="18"/>
                    </w:rPr>
                  </w:pPr>
                  <w:r>
                    <w:rPr>
                      <w:b/>
                      <w:sz w:val="18"/>
                      <w:szCs w:val="18"/>
                    </w:rPr>
                    <w:t>Total liabilities</w:t>
                  </w:r>
                  <w:r>
                    <w:rPr>
                      <w:b/>
                      <w:sz w:val="18"/>
                      <w:szCs w:val="18"/>
                    </w:rPr>
                    <w:tab/>
                  </w:r>
                </w:p>
              </w:tc>
              <w:tc>
                <w:tcPr>
                  <w:tcW w:w="1482" w:type="dxa"/>
                  <w:noWrap/>
                  <w:tcMar>
                    <w:top w:w="0" w:type="dxa"/>
                    <w:left w:w="144" w:type="dxa"/>
                    <w:bottom w:w="0" w:type="dxa"/>
                    <w:right w:w="0" w:type="dxa"/>
                  </w:tcMar>
                  <w:vAlign w:val="bottom"/>
                </w:tcPr>
                <w:p w14:paraId="7509490B" w14:textId="77777777" w:rsidR="00207559" w:rsidRDefault="00207559" w:rsidP="00207559">
                  <w:pPr>
                    <w:pStyle w:val="NormalWeb"/>
                    <w:tabs>
                      <w:tab w:val="right" w:pos="900"/>
                      <w:tab w:val="decimal" w:pos="940"/>
                    </w:tabs>
                    <w:spacing w:before="0" w:beforeAutospacing="0" w:after="20" w:afterAutospacing="0"/>
                    <w:jc w:val="right"/>
                    <w:rPr>
                      <w:b/>
                      <w:sz w:val="18"/>
                      <w:szCs w:val="18"/>
                    </w:rPr>
                  </w:pPr>
                  <w:r>
                    <w:rPr>
                      <w:b/>
                      <w:sz w:val="18"/>
                      <w:szCs w:val="18"/>
                    </w:rPr>
                    <w:t>589,743</w:t>
                  </w:r>
                </w:p>
              </w:tc>
              <w:tc>
                <w:tcPr>
                  <w:tcW w:w="1288" w:type="dxa"/>
                  <w:noWrap/>
                  <w:tcMar>
                    <w:top w:w="0" w:type="dxa"/>
                    <w:left w:w="144" w:type="dxa"/>
                    <w:bottom w:w="0" w:type="dxa"/>
                    <w:right w:w="0" w:type="dxa"/>
                  </w:tcMar>
                  <w:vAlign w:val="bottom"/>
                </w:tcPr>
                <w:p w14:paraId="004419F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481,289</w:t>
                  </w:r>
                </w:p>
              </w:tc>
              <w:tc>
                <w:tcPr>
                  <w:tcW w:w="1164" w:type="dxa"/>
                  <w:noWrap/>
                  <w:tcMar>
                    <w:top w:w="0" w:type="dxa"/>
                    <w:left w:w="144" w:type="dxa"/>
                    <w:bottom w:w="0" w:type="dxa"/>
                    <w:right w:w="0" w:type="dxa"/>
                  </w:tcMar>
                  <w:vAlign w:val="bottom"/>
                </w:tcPr>
                <w:p w14:paraId="4FA4F30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355,330</w:t>
                  </w:r>
                </w:p>
              </w:tc>
              <w:tc>
                <w:tcPr>
                  <w:tcW w:w="1101" w:type="dxa"/>
                  <w:noWrap/>
                  <w:tcMar>
                    <w:top w:w="0" w:type="dxa"/>
                    <w:left w:w="144" w:type="dxa"/>
                    <w:bottom w:w="0" w:type="dxa"/>
                    <w:right w:w="0" w:type="dxa"/>
                  </w:tcMar>
                  <w:vAlign w:val="bottom"/>
                </w:tcPr>
                <w:p w14:paraId="060BDBF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252,422</w:t>
                  </w:r>
                </w:p>
              </w:tc>
            </w:tr>
            <w:tr w:rsidR="00207559" w14:paraId="15F202B1" w14:textId="77777777" w:rsidTr="00046D29">
              <w:trPr>
                <w:cantSplit/>
                <w:trHeight w:val="261"/>
                <w:jc w:val="center"/>
              </w:trPr>
              <w:tc>
                <w:tcPr>
                  <w:tcW w:w="3917" w:type="dxa"/>
                </w:tcPr>
                <w:p w14:paraId="1E2FD0D7" w14:textId="77777777" w:rsidR="00207559" w:rsidRDefault="00207559" w:rsidP="00207559">
                  <w:pPr>
                    <w:pStyle w:val="NormalWeb"/>
                    <w:tabs>
                      <w:tab w:val="right" w:leader="dot" w:pos="4620"/>
                    </w:tabs>
                    <w:spacing w:before="0" w:beforeAutospacing="0" w:after="0" w:afterAutospacing="0"/>
                    <w:ind w:left="240" w:hanging="240"/>
                    <w:rPr>
                      <w:b/>
                      <w:sz w:val="18"/>
                      <w:szCs w:val="18"/>
                    </w:rPr>
                  </w:pPr>
                  <w:r>
                    <w:rPr>
                      <w:b/>
                      <w:sz w:val="18"/>
                      <w:szCs w:val="18"/>
                    </w:rPr>
                    <w:t>Total shareholders' equity and liabilities</w:t>
                  </w:r>
                  <w:r>
                    <w:rPr>
                      <w:b/>
                      <w:sz w:val="18"/>
                      <w:szCs w:val="18"/>
                    </w:rPr>
                    <w:tab/>
                  </w:r>
                </w:p>
              </w:tc>
              <w:tc>
                <w:tcPr>
                  <w:tcW w:w="1482" w:type="dxa"/>
                  <w:noWrap/>
                  <w:tcMar>
                    <w:top w:w="0" w:type="dxa"/>
                    <w:left w:w="144" w:type="dxa"/>
                    <w:bottom w:w="0" w:type="dxa"/>
                    <w:right w:w="0" w:type="dxa"/>
                  </w:tcMar>
                  <w:vAlign w:val="bottom"/>
                </w:tcPr>
                <w:p w14:paraId="2B6B8D1E" w14:textId="77777777" w:rsidR="00207559" w:rsidRDefault="00207559" w:rsidP="00207559">
                  <w:pPr>
                    <w:pStyle w:val="NormalWeb"/>
                    <w:tabs>
                      <w:tab w:val="right" w:pos="900"/>
                      <w:tab w:val="decimal" w:pos="940"/>
                    </w:tabs>
                    <w:spacing w:before="0" w:beforeAutospacing="0" w:after="20" w:afterAutospacing="0"/>
                    <w:jc w:val="right"/>
                    <w:rPr>
                      <w:b/>
                      <w:sz w:val="18"/>
                      <w:szCs w:val="18"/>
                    </w:rPr>
                  </w:pPr>
                  <w:r>
                    <w:rPr>
                      <w:b/>
                      <w:sz w:val="18"/>
                      <w:szCs w:val="18"/>
                    </w:rPr>
                    <w:t>1,022,435</w:t>
                  </w:r>
                </w:p>
              </w:tc>
              <w:tc>
                <w:tcPr>
                  <w:tcW w:w="1288" w:type="dxa"/>
                  <w:noWrap/>
                  <w:tcMar>
                    <w:top w:w="0" w:type="dxa"/>
                    <w:left w:w="144" w:type="dxa"/>
                    <w:bottom w:w="0" w:type="dxa"/>
                    <w:right w:w="0" w:type="dxa"/>
                  </w:tcMar>
                  <w:vAlign w:val="bottom"/>
                </w:tcPr>
                <w:p w14:paraId="5811768A"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871,594</w:t>
                  </w:r>
                </w:p>
              </w:tc>
              <w:tc>
                <w:tcPr>
                  <w:tcW w:w="1164" w:type="dxa"/>
                  <w:noWrap/>
                  <w:tcMar>
                    <w:top w:w="0" w:type="dxa"/>
                    <w:left w:w="144" w:type="dxa"/>
                    <w:bottom w:w="0" w:type="dxa"/>
                    <w:right w:w="0" w:type="dxa"/>
                  </w:tcMar>
                  <w:vAlign w:val="bottom"/>
                </w:tcPr>
                <w:p w14:paraId="30FD6047"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717,308</w:t>
                  </w:r>
                </w:p>
              </w:tc>
              <w:tc>
                <w:tcPr>
                  <w:tcW w:w="1101" w:type="dxa"/>
                  <w:noWrap/>
                  <w:tcMar>
                    <w:top w:w="0" w:type="dxa"/>
                    <w:left w:w="144" w:type="dxa"/>
                    <w:bottom w:w="0" w:type="dxa"/>
                    <w:right w:w="0" w:type="dxa"/>
                  </w:tcMar>
                  <w:vAlign w:val="bottom"/>
                </w:tcPr>
                <w:p w14:paraId="03635CF6"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467,839</w:t>
                  </w:r>
                </w:p>
              </w:tc>
            </w:tr>
          </w:tbl>
          <w:p w14:paraId="59940D65" w14:textId="74D80281" w:rsidR="00207559" w:rsidRDefault="00207559"/>
          <w:p w14:paraId="5A6C8D73" w14:textId="08056AE1" w:rsidR="00207559" w:rsidRPr="00207559" w:rsidRDefault="00207559" w:rsidP="00207559">
            <w:pPr>
              <w:rPr>
                <w:b/>
                <w:bCs/>
                <w:sz w:val="18"/>
                <w:szCs w:val="18"/>
              </w:rPr>
            </w:pPr>
            <w:r w:rsidRPr="00207559">
              <w:rPr>
                <w:b/>
                <w:bCs/>
                <w:sz w:val="18"/>
                <w:szCs w:val="18"/>
              </w:rPr>
              <w:t>Consolidated Statement of Cash Flow Information</w:t>
            </w:r>
          </w:p>
          <w:p w14:paraId="1DE4FF7C" w14:textId="48991F00" w:rsidR="00207559" w:rsidRDefault="00207559"/>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971"/>
              <w:gridCol w:w="790"/>
              <w:gridCol w:w="759"/>
              <w:gridCol w:w="854"/>
              <w:gridCol w:w="1205"/>
              <w:gridCol w:w="1472"/>
            </w:tblGrid>
            <w:tr w:rsidR="00207559" w14:paraId="648D3A95" w14:textId="77777777" w:rsidTr="00D11DE1">
              <w:trPr>
                <w:cantSplit/>
                <w:tblHeader/>
                <w:jc w:val="center"/>
              </w:trPr>
              <w:tc>
                <w:tcPr>
                  <w:tcW w:w="3953" w:type="dxa"/>
                  <w:tcMar>
                    <w:top w:w="0" w:type="dxa"/>
                    <w:left w:w="144" w:type="dxa"/>
                    <w:bottom w:w="0" w:type="dxa"/>
                    <w:right w:w="0" w:type="dxa"/>
                  </w:tcMar>
                  <w:hideMark/>
                </w:tcPr>
                <w:p w14:paraId="3E1B5A18" w14:textId="77777777" w:rsidR="00207559" w:rsidRDefault="00207559" w:rsidP="00207559">
                  <w:pPr>
                    <w:pStyle w:val="la2"/>
                    <w:keepNext/>
                    <w:rPr>
                      <w:rFonts w:eastAsiaTheme="minorEastAsia"/>
                      <w:sz w:val="16"/>
                      <w:szCs w:val="16"/>
                    </w:rPr>
                  </w:pPr>
                  <w:r>
                    <w:rPr>
                      <w:sz w:val="16"/>
                      <w:szCs w:val="16"/>
                    </w:rPr>
                    <w:t> </w:t>
                  </w:r>
                </w:p>
              </w:tc>
              <w:tc>
                <w:tcPr>
                  <w:tcW w:w="1509" w:type="dxa"/>
                  <w:gridSpan w:val="2"/>
                </w:tcPr>
                <w:p w14:paraId="3A5C1AAB" w14:textId="77777777" w:rsidR="00207559" w:rsidRDefault="00207559" w:rsidP="00207559">
                  <w:pPr>
                    <w:jc w:val="center"/>
                    <w:rPr>
                      <w:rFonts w:eastAsiaTheme="minorEastAsia"/>
                      <w:sz w:val="16"/>
                      <w:szCs w:val="16"/>
                    </w:rPr>
                  </w:pPr>
                  <w:r>
                    <w:rPr>
                      <w:b/>
                      <w:bCs/>
                      <w:sz w:val="16"/>
                      <w:szCs w:val="16"/>
                    </w:rPr>
                    <w:t>For the six</w:t>
                  </w:r>
                  <w:r>
                    <w:rPr>
                      <w:b/>
                      <w:bCs/>
                      <w:sz w:val="16"/>
                      <w:szCs w:val="16"/>
                    </w:rPr>
                    <w:br/>
                    <w:t>months ended 30-Jun</w:t>
                  </w:r>
                </w:p>
              </w:tc>
              <w:tc>
                <w:tcPr>
                  <w:tcW w:w="3507" w:type="dxa"/>
                  <w:gridSpan w:val="3"/>
                  <w:tcMar>
                    <w:top w:w="0" w:type="dxa"/>
                    <w:left w:w="144" w:type="dxa"/>
                    <w:bottom w:w="0" w:type="dxa"/>
                    <w:right w:w="0" w:type="dxa"/>
                  </w:tcMar>
                  <w:hideMark/>
                </w:tcPr>
                <w:p w14:paraId="7A77E4B0" w14:textId="77777777" w:rsidR="00207559" w:rsidRDefault="00207559" w:rsidP="00207559">
                  <w:pPr>
                    <w:jc w:val="center"/>
                    <w:rPr>
                      <w:rFonts w:eastAsiaTheme="minorEastAsia"/>
                      <w:sz w:val="16"/>
                      <w:szCs w:val="16"/>
                    </w:rPr>
                  </w:pPr>
                  <w:r>
                    <w:rPr>
                      <w:b/>
                      <w:bCs/>
                      <w:sz w:val="16"/>
                      <w:szCs w:val="16"/>
                    </w:rPr>
                    <w:t>For the year ended</w:t>
                  </w:r>
                  <w:r>
                    <w:rPr>
                      <w:b/>
                      <w:bCs/>
                      <w:sz w:val="16"/>
                      <w:szCs w:val="16"/>
                    </w:rPr>
                    <w:br/>
                    <w:t>31-Dec</w:t>
                  </w:r>
                </w:p>
              </w:tc>
            </w:tr>
            <w:tr w:rsidR="00207559" w14:paraId="34F567E7" w14:textId="77777777" w:rsidTr="00D11DE1">
              <w:trPr>
                <w:cantSplit/>
                <w:tblHeader/>
                <w:jc w:val="center"/>
              </w:trPr>
              <w:tc>
                <w:tcPr>
                  <w:tcW w:w="3953" w:type="dxa"/>
                  <w:tcMar>
                    <w:top w:w="0" w:type="dxa"/>
                    <w:left w:w="144" w:type="dxa"/>
                    <w:bottom w:w="0" w:type="dxa"/>
                    <w:right w:w="0" w:type="dxa"/>
                  </w:tcMar>
                  <w:hideMark/>
                </w:tcPr>
                <w:p w14:paraId="190D4FB5" w14:textId="77777777" w:rsidR="00207559" w:rsidRDefault="00207559" w:rsidP="00207559">
                  <w:pPr>
                    <w:pStyle w:val="la2"/>
                    <w:keepNext/>
                    <w:rPr>
                      <w:rFonts w:eastAsiaTheme="minorEastAsia"/>
                      <w:sz w:val="16"/>
                      <w:szCs w:val="16"/>
                    </w:rPr>
                  </w:pPr>
                  <w:r>
                    <w:rPr>
                      <w:sz w:val="16"/>
                      <w:szCs w:val="16"/>
                    </w:rPr>
                    <w:t> </w:t>
                  </w:r>
                </w:p>
              </w:tc>
              <w:tc>
                <w:tcPr>
                  <w:tcW w:w="793" w:type="dxa"/>
                </w:tcPr>
                <w:p w14:paraId="2EB7839C" w14:textId="77777777" w:rsidR="00207559" w:rsidRDefault="00207559" w:rsidP="00207559">
                  <w:pPr>
                    <w:jc w:val="center"/>
                    <w:rPr>
                      <w:rFonts w:eastAsiaTheme="minorEastAsia"/>
                      <w:sz w:val="16"/>
                      <w:szCs w:val="16"/>
                    </w:rPr>
                  </w:pPr>
                  <w:r>
                    <w:rPr>
                      <w:b/>
                      <w:bCs/>
                      <w:sz w:val="16"/>
                      <w:szCs w:val="16"/>
                    </w:rPr>
                    <w:t>2017</w:t>
                  </w:r>
                </w:p>
              </w:tc>
              <w:tc>
                <w:tcPr>
                  <w:tcW w:w="716" w:type="dxa"/>
                  <w:tcMar>
                    <w:top w:w="0" w:type="dxa"/>
                    <w:left w:w="144" w:type="dxa"/>
                    <w:bottom w:w="0" w:type="dxa"/>
                    <w:right w:w="0" w:type="dxa"/>
                  </w:tcMar>
                  <w:hideMark/>
                </w:tcPr>
                <w:p w14:paraId="5140BBA2" w14:textId="77777777" w:rsidR="00207559" w:rsidRDefault="00207559" w:rsidP="00207559">
                  <w:pPr>
                    <w:jc w:val="center"/>
                    <w:rPr>
                      <w:rFonts w:eastAsiaTheme="minorEastAsia"/>
                      <w:sz w:val="16"/>
                      <w:szCs w:val="16"/>
                    </w:rPr>
                  </w:pPr>
                  <w:r>
                    <w:rPr>
                      <w:b/>
                      <w:bCs/>
                      <w:sz w:val="16"/>
                      <w:szCs w:val="16"/>
                    </w:rPr>
                    <w:t>2016</w:t>
                  </w:r>
                </w:p>
              </w:tc>
              <w:tc>
                <w:tcPr>
                  <w:tcW w:w="846" w:type="dxa"/>
                  <w:tcMar>
                    <w:top w:w="0" w:type="dxa"/>
                    <w:left w:w="144" w:type="dxa"/>
                    <w:bottom w:w="0" w:type="dxa"/>
                    <w:right w:w="0" w:type="dxa"/>
                  </w:tcMar>
                  <w:hideMark/>
                </w:tcPr>
                <w:p w14:paraId="3B6B0607" w14:textId="77777777" w:rsidR="00207559" w:rsidRDefault="00207559" w:rsidP="00207559">
                  <w:pPr>
                    <w:jc w:val="center"/>
                    <w:rPr>
                      <w:rFonts w:eastAsiaTheme="minorEastAsia"/>
                      <w:sz w:val="16"/>
                      <w:szCs w:val="16"/>
                    </w:rPr>
                  </w:pPr>
                  <w:r>
                    <w:rPr>
                      <w:b/>
                      <w:bCs/>
                      <w:sz w:val="16"/>
                      <w:szCs w:val="16"/>
                    </w:rPr>
                    <w:t>2016</w:t>
                  </w:r>
                </w:p>
              </w:tc>
              <w:tc>
                <w:tcPr>
                  <w:tcW w:w="1197" w:type="dxa"/>
                  <w:tcMar>
                    <w:top w:w="0" w:type="dxa"/>
                    <w:left w:w="144" w:type="dxa"/>
                    <w:bottom w:w="0" w:type="dxa"/>
                    <w:right w:w="0" w:type="dxa"/>
                  </w:tcMar>
                  <w:hideMark/>
                </w:tcPr>
                <w:p w14:paraId="13D2FBA9" w14:textId="77777777" w:rsidR="00207559" w:rsidRDefault="00207559" w:rsidP="00207559">
                  <w:pPr>
                    <w:jc w:val="center"/>
                    <w:rPr>
                      <w:rFonts w:eastAsiaTheme="minorEastAsia"/>
                      <w:sz w:val="16"/>
                      <w:szCs w:val="16"/>
                    </w:rPr>
                  </w:pPr>
                  <w:r>
                    <w:rPr>
                      <w:b/>
                      <w:bCs/>
                      <w:sz w:val="16"/>
                      <w:szCs w:val="16"/>
                    </w:rPr>
                    <w:t>2015</w:t>
                  </w:r>
                </w:p>
              </w:tc>
              <w:tc>
                <w:tcPr>
                  <w:tcW w:w="1464" w:type="dxa"/>
                  <w:tcMar>
                    <w:top w:w="0" w:type="dxa"/>
                    <w:left w:w="144" w:type="dxa"/>
                    <w:bottom w:w="0" w:type="dxa"/>
                    <w:right w:w="0" w:type="dxa"/>
                  </w:tcMar>
                  <w:hideMark/>
                </w:tcPr>
                <w:p w14:paraId="200D2FF4" w14:textId="77777777" w:rsidR="00207559" w:rsidRDefault="00207559" w:rsidP="00207559">
                  <w:pPr>
                    <w:jc w:val="center"/>
                    <w:rPr>
                      <w:rFonts w:eastAsiaTheme="minorEastAsia"/>
                      <w:sz w:val="16"/>
                      <w:szCs w:val="16"/>
                    </w:rPr>
                  </w:pPr>
                  <w:r>
                    <w:rPr>
                      <w:b/>
                      <w:bCs/>
                      <w:sz w:val="16"/>
                      <w:szCs w:val="16"/>
                    </w:rPr>
                    <w:t>2014</w:t>
                  </w:r>
                </w:p>
              </w:tc>
            </w:tr>
            <w:tr w:rsidR="00207559" w14:paraId="23878C9C" w14:textId="77777777" w:rsidTr="00D11DE1">
              <w:trPr>
                <w:cantSplit/>
                <w:tblHeader/>
                <w:jc w:val="center"/>
              </w:trPr>
              <w:tc>
                <w:tcPr>
                  <w:tcW w:w="3953" w:type="dxa"/>
                  <w:tcMar>
                    <w:top w:w="0" w:type="dxa"/>
                    <w:left w:w="144" w:type="dxa"/>
                    <w:bottom w:w="0" w:type="dxa"/>
                    <w:right w:w="0" w:type="dxa"/>
                  </w:tcMar>
                  <w:hideMark/>
                </w:tcPr>
                <w:p w14:paraId="459FCE9A" w14:textId="77777777" w:rsidR="00207559" w:rsidRDefault="00207559" w:rsidP="00207559">
                  <w:pPr>
                    <w:pStyle w:val="la2"/>
                    <w:keepNext/>
                    <w:rPr>
                      <w:rFonts w:eastAsiaTheme="minorEastAsia"/>
                      <w:sz w:val="16"/>
                      <w:szCs w:val="16"/>
                    </w:rPr>
                  </w:pPr>
                  <w:r>
                    <w:rPr>
                      <w:sz w:val="16"/>
                      <w:szCs w:val="16"/>
                    </w:rPr>
                    <w:t> </w:t>
                  </w:r>
                </w:p>
              </w:tc>
              <w:tc>
                <w:tcPr>
                  <w:tcW w:w="5016" w:type="dxa"/>
                  <w:gridSpan w:val="5"/>
                </w:tcPr>
                <w:p w14:paraId="1EC5C0F0" w14:textId="77777777" w:rsidR="00207559" w:rsidRDefault="00207559" w:rsidP="00207559">
                  <w:pPr>
                    <w:jc w:val="center"/>
                    <w:rPr>
                      <w:i/>
                      <w:sz w:val="16"/>
                      <w:szCs w:val="16"/>
                    </w:rPr>
                  </w:pPr>
                  <w:r>
                    <w:rPr>
                      <w:bCs/>
                      <w:i/>
                      <w:sz w:val="16"/>
                      <w:szCs w:val="16"/>
                    </w:rPr>
                    <w:t>(€ thousands)</w:t>
                  </w:r>
                </w:p>
              </w:tc>
            </w:tr>
            <w:tr w:rsidR="00207559" w14:paraId="6FB64176" w14:textId="77777777" w:rsidTr="00D11DE1">
              <w:trPr>
                <w:cantSplit/>
                <w:jc w:val="center"/>
              </w:trPr>
              <w:tc>
                <w:tcPr>
                  <w:tcW w:w="3953" w:type="dxa"/>
                  <w:hideMark/>
                </w:tcPr>
                <w:p w14:paraId="2229F2D9" w14:textId="77777777" w:rsidR="00207559" w:rsidRDefault="00207559" w:rsidP="00207559">
                  <w:pPr>
                    <w:pStyle w:val="NormalWeb"/>
                    <w:tabs>
                      <w:tab w:val="right" w:pos="800"/>
                      <w:tab w:val="decimal" w:pos="840"/>
                    </w:tabs>
                    <w:spacing w:before="0" w:beforeAutospacing="0" w:after="20" w:afterAutospacing="0"/>
                    <w:rPr>
                      <w:rFonts w:eastAsiaTheme="minorEastAsia"/>
                      <w:sz w:val="18"/>
                      <w:szCs w:val="18"/>
                    </w:rPr>
                  </w:pPr>
                  <w:r>
                    <w:rPr>
                      <w:i/>
                      <w:sz w:val="18"/>
                      <w:szCs w:val="18"/>
                    </w:rPr>
                    <w:t>Cash flows from operating activities</w:t>
                  </w:r>
                  <w:r>
                    <w:rPr>
                      <w:rFonts w:eastAsiaTheme="minorEastAsia"/>
                      <w:sz w:val="18"/>
                      <w:szCs w:val="18"/>
                    </w:rPr>
                    <w:t>:</w:t>
                  </w:r>
                </w:p>
              </w:tc>
              <w:tc>
                <w:tcPr>
                  <w:tcW w:w="793" w:type="dxa"/>
                </w:tcPr>
                <w:p w14:paraId="3E562ED2" w14:textId="77777777" w:rsidR="00207559" w:rsidRDefault="00207559" w:rsidP="00207559">
                  <w:pPr>
                    <w:pStyle w:val="NormalWeb"/>
                    <w:tabs>
                      <w:tab w:val="right" w:pos="800"/>
                      <w:tab w:val="decimal" w:pos="840"/>
                    </w:tabs>
                    <w:spacing w:before="0" w:beforeAutospacing="0" w:after="20" w:afterAutospacing="0"/>
                    <w:jc w:val="center"/>
                    <w:rPr>
                      <w:rFonts w:eastAsiaTheme="minorEastAsia"/>
                      <w:sz w:val="18"/>
                      <w:szCs w:val="18"/>
                    </w:rPr>
                  </w:pPr>
                </w:p>
              </w:tc>
              <w:tc>
                <w:tcPr>
                  <w:tcW w:w="716" w:type="dxa"/>
                </w:tcPr>
                <w:p w14:paraId="0B4F0CC7" w14:textId="77777777" w:rsidR="00207559" w:rsidRDefault="00207559" w:rsidP="00207559">
                  <w:pPr>
                    <w:pStyle w:val="NormalWeb"/>
                    <w:tabs>
                      <w:tab w:val="right" w:pos="800"/>
                      <w:tab w:val="decimal" w:pos="840"/>
                    </w:tabs>
                    <w:spacing w:before="0" w:beforeAutospacing="0" w:after="20" w:afterAutospacing="0"/>
                    <w:jc w:val="center"/>
                    <w:rPr>
                      <w:rFonts w:eastAsiaTheme="minorEastAsia"/>
                      <w:sz w:val="18"/>
                      <w:szCs w:val="18"/>
                    </w:rPr>
                  </w:pPr>
                </w:p>
              </w:tc>
              <w:tc>
                <w:tcPr>
                  <w:tcW w:w="846" w:type="dxa"/>
                </w:tcPr>
                <w:p w14:paraId="72A9E3A4"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p>
              </w:tc>
              <w:tc>
                <w:tcPr>
                  <w:tcW w:w="1197" w:type="dxa"/>
                </w:tcPr>
                <w:p w14:paraId="7A8EF100"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p>
              </w:tc>
              <w:tc>
                <w:tcPr>
                  <w:tcW w:w="1464" w:type="dxa"/>
                </w:tcPr>
                <w:p w14:paraId="58C098E4"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p>
              </w:tc>
            </w:tr>
            <w:tr w:rsidR="00207559" w14:paraId="4DD3AD53" w14:textId="77777777" w:rsidTr="00D11DE1">
              <w:trPr>
                <w:cantSplit/>
                <w:jc w:val="center"/>
              </w:trPr>
              <w:tc>
                <w:tcPr>
                  <w:tcW w:w="3953" w:type="dxa"/>
                </w:tcPr>
                <w:p w14:paraId="3DFA3584" w14:textId="77777777" w:rsidR="00207559" w:rsidRDefault="00207559" w:rsidP="00207559">
                  <w:pPr>
                    <w:pStyle w:val="NormalWeb"/>
                    <w:keepNext/>
                    <w:tabs>
                      <w:tab w:val="right" w:leader="dot" w:pos="3794"/>
                    </w:tabs>
                    <w:spacing w:before="0" w:beforeAutospacing="0" w:after="0" w:afterAutospacing="0"/>
                    <w:ind w:left="240" w:hanging="240"/>
                    <w:rPr>
                      <w:sz w:val="18"/>
                      <w:szCs w:val="18"/>
                    </w:rPr>
                  </w:pPr>
                  <w:r>
                    <w:rPr>
                      <w:sz w:val="18"/>
                      <w:szCs w:val="18"/>
                    </w:rPr>
                    <w:t>Profit before taxes</w:t>
                  </w:r>
                  <w:r>
                    <w:rPr>
                      <w:sz w:val="18"/>
                      <w:szCs w:val="18"/>
                    </w:rPr>
                    <w:tab/>
                  </w:r>
                </w:p>
              </w:tc>
              <w:tc>
                <w:tcPr>
                  <w:tcW w:w="793" w:type="dxa"/>
                </w:tcPr>
                <w:p w14:paraId="42E3E74A"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72,700</w:t>
                  </w:r>
                </w:p>
              </w:tc>
              <w:tc>
                <w:tcPr>
                  <w:tcW w:w="716" w:type="dxa"/>
                  <w:noWrap/>
                  <w:tcMar>
                    <w:top w:w="0" w:type="dxa"/>
                    <w:left w:w="144" w:type="dxa"/>
                    <w:bottom w:w="0" w:type="dxa"/>
                    <w:right w:w="0" w:type="dxa"/>
                  </w:tcMar>
                </w:tcPr>
                <w:p w14:paraId="3C2CCFA9"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55,450</w:t>
                  </w:r>
                </w:p>
              </w:tc>
              <w:tc>
                <w:tcPr>
                  <w:tcW w:w="846" w:type="dxa"/>
                  <w:noWrap/>
                  <w:tcMar>
                    <w:top w:w="0" w:type="dxa"/>
                    <w:left w:w="144" w:type="dxa"/>
                    <w:bottom w:w="0" w:type="dxa"/>
                    <w:right w:w="0" w:type="dxa"/>
                  </w:tcMar>
                </w:tcPr>
                <w:p w14:paraId="1E274EB4"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113,076</w:t>
                  </w:r>
                </w:p>
              </w:tc>
              <w:tc>
                <w:tcPr>
                  <w:tcW w:w="1197" w:type="dxa"/>
                  <w:noWrap/>
                  <w:tcMar>
                    <w:top w:w="0" w:type="dxa"/>
                    <w:left w:w="144" w:type="dxa"/>
                    <w:bottom w:w="0" w:type="dxa"/>
                    <w:right w:w="0" w:type="dxa"/>
                  </w:tcMar>
                </w:tcPr>
                <w:p w14:paraId="65030DBB"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99,090</w:t>
                  </w:r>
                </w:p>
              </w:tc>
              <w:tc>
                <w:tcPr>
                  <w:tcW w:w="1464" w:type="dxa"/>
                  <w:noWrap/>
                  <w:tcMar>
                    <w:top w:w="0" w:type="dxa"/>
                    <w:left w:w="144" w:type="dxa"/>
                    <w:bottom w:w="0" w:type="dxa"/>
                    <w:right w:w="0" w:type="dxa"/>
                  </w:tcMar>
                </w:tcPr>
                <w:p w14:paraId="41329D91"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65,550</w:t>
                  </w:r>
                </w:p>
              </w:tc>
            </w:tr>
            <w:tr w:rsidR="00207559" w14:paraId="4DD35C02" w14:textId="77777777" w:rsidTr="00D11DE1">
              <w:trPr>
                <w:cantSplit/>
                <w:jc w:val="center"/>
              </w:trPr>
              <w:tc>
                <w:tcPr>
                  <w:tcW w:w="3953" w:type="dxa"/>
                </w:tcPr>
                <w:p w14:paraId="4CAD2756" w14:textId="77777777" w:rsidR="00207559" w:rsidRDefault="00207559" w:rsidP="00207559">
                  <w:pPr>
                    <w:pStyle w:val="NormalWeb"/>
                    <w:tabs>
                      <w:tab w:val="right" w:pos="800"/>
                      <w:tab w:val="decimal" w:pos="840"/>
                    </w:tabs>
                    <w:spacing w:before="0" w:beforeAutospacing="0" w:after="20" w:afterAutospacing="0"/>
                    <w:rPr>
                      <w:rFonts w:eastAsiaTheme="minorEastAsia"/>
                      <w:sz w:val="18"/>
                      <w:szCs w:val="18"/>
                    </w:rPr>
                  </w:pPr>
                  <w:r>
                    <w:rPr>
                      <w:i/>
                      <w:sz w:val="18"/>
                      <w:szCs w:val="18"/>
                    </w:rPr>
                    <w:t>Adjustments for:</w:t>
                  </w:r>
                </w:p>
              </w:tc>
              <w:tc>
                <w:tcPr>
                  <w:tcW w:w="793" w:type="dxa"/>
                </w:tcPr>
                <w:p w14:paraId="29CAF472"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p>
              </w:tc>
              <w:tc>
                <w:tcPr>
                  <w:tcW w:w="716" w:type="dxa"/>
                </w:tcPr>
                <w:p w14:paraId="6A1089F6"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p>
              </w:tc>
              <w:tc>
                <w:tcPr>
                  <w:tcW w:w="846" w:type="dxa"/>
                </w:tcPr>
                <w:p w14:paraId="17898653"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p>
              </w:tc>
              <w:tc>
                <w:tcPr>
                  <w:tcW w:w="1197" w:type="dxa"/>
                </w:tcPr>
                <w:p w14:paraId="11F2DD78"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p>
              </w:tc>
              <w:tc>
                <w:tcPr>
                  <w:tcW w:w="1464" w:type="dxa"/>
                </w:tcPr>
                <w:p w14:paraId="2D270ABA"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p>
              </w:tc>
            </w:tr>
            <w:tr w:rsidR="00207559" w14:paraId="53797B67" w14:textId="77777777" w:rsidTr="00D11DE1">
              <w:trPr>
                <w:cantSplit/>
                <w:jc w:val="center"/>
              </w:trPr>
              <w:tc>
                <w:tcPr>
                  <w:tcW w:w="3953" w:type="dxa"/>
                </w:tcPr>
                <w:p w14:paraId="407D9BC8"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 xml:space="preserve">Depreciation </w:t>
                  </w:r>
                  <w:r>
                    <w:rPr>
                      <w:sz w:val="18"/>
                      <w:szCs w:val="18"/>
                    </w:rPr>
                    <w:tab/>
                  </w:r>
                </w:p>
              </w:tc>
              <w:tc>
                <w:tcPr>
                  <w:tcW w:w="793" w:type="dxa"/>
                </w:tcPr>
                <w:p w14:paraId="2DCE2671"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89</w:t>
                  </w:r>
                </w:p>
              </w:tc>
              <w:tc>
                <w:tcPr>
                  <w:tcW w:w="716" w:type="dxa"/>
                  <w:noWrap/>
                  <w:tcMar>
                    <w:top w:w="0" w:type="dxa"/>
                    <w:left w:w="144" w:type="dxa"/>
                    <w:bottom w:w="0" w:type="dxa"/>
                    <w:right w:w="0" w:type="dxa"/>
                  </w:tcMar>
                </w:tcPr>
                <w:p w14:paraId="58A58E46"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258</w:t>
                  </w:r>
                </w:p>
              </w:tc>
              <w:tc>
                <w:tcPr>
                  <w:tcW w:w="846" w:type="dxa"/>
                  <w:noWrap/>
                  <w:tcMar>
                    <w:top w:w="0" w:type="dxa"/>
                    <w:left w:w="144" w:type="dxa"/>
                    <w:bottom w:w="0" w:type="dxa"/>
                    <w:right w:w="0" w:type="dxa"/>
                  </w:tcMar>
                </w:tcPr>
                <w:p w14:paraId="624FE95F"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897</w:t>
                  </w:r>
                </w:p>
              </w:tc>
              <w:tc>
                <w:tcPr>
                  <w:tcW w:w="1197" w:type="dxa"/>
                  <w:noWrap/>
                  <w:tcMar>
                    <w:top w:w="0" w:type="dxa"/>
                    <w:left w:w="144" w:type="dxa"/>
                    <w:bottom w:w="0" w:type="dxa"/>
                    <w:right w:w="0" w:type="dxa"/>
                  </w:tcMar>
                </w:tcPr>
                <w:p w14:paraId="2EB8C877"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734</w:t>
                  </w:r>
                </w:p>
              </w:tc>
              <w:tc>
                <w:tcPr>
                  <w:tcW w:w="1464" w:type="dxa"/>
                  <w:noWrap/>
                  <w:tcMar>
                    <w:top w:w="0" w:type="dxa"/>
                    <w:left w:w="144" w:type="dxa"/>
                    <w:bottom w:w="0" w:type="dxa"/>
                    <w:right w:w="0" w:type="dxa"/>
                  </w:tcMar>
                </w:tcPr>
                <w:p w14:paraId="01EF46BD"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178</w:t>
                  </w:r>
                </w:p>
              </w:tc>
            </w:tr>
            <w:tr w:rsidR="00207559" w14:paraId="24711A9E" w14:textId="77777777" w:rsidTr="00D11DE1">
              <w:trPr>
                <w:cantSplit/>
                <w:jc w:val="center"/>
              </w:trPr>
              <w:tc>
                <w:tcPr>
                  <w:tcW w:w="3953" w:type="dxa"/>
                </w:tcPr>
                <w:p w14:paraId="768007D7"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proofErr w:type="spellStart"/>
                  <w:r>
                    <w:rPr>
                      <w:sz w:val="18"/>
                      <w:szCs w:val="18"/>
                    </w:rPr>
                    <w:t>Unrealised</w:t>
                  </w:r>
                  <w:proofErr w:type="spellEnd"/>
                  <w:r>
                    <w:rPr>
                      <w:sz w:val="18"/>
                      <w:szCs w:val="18"/>
                    </w:rPr>
                    <w:t xml:space="preserve"> (gains) / losses on investment properties</w:t>
                  </w:r>
                  <w:r>
                    <w:rPr>
                      <w:sz w:val="18"/>
                      <w:szCs w:val="18"/>
                    </w:rPr>
                    <w:tab/>
                  </w:r>
                </w:p>
              </w:tc>
              <w:tc>
                <w:tcPr>
                  <w:tcW w:w="793" w:type="dxa"/>
                </w:tcPr>
                <w:p w14:paraId="28B9C9C1"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(59,522)</w:t>
                  </w:r>
                </w:p>
              </w:tc>
              <w:tc>
                <w:tcPr>
                  <w:tcW w:w="716" w:type="dxa"/>
                  <w:noWrap/>
                  <w:tcMar>
                    <w:top w:w="0" w:type="dxa"/>
                    <w:left w:w="144" w:type="dxa"/>
                    <w:bottom w:w="0" w:type="dxa"/>
                    <w:right w:w="0" w:type="dxa"/>
                  </w:tcMar>
                </w:tcPr>
                <w:p w14:paraId="7A7DB452"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(42,997)</w:t>
                  </w:r>
                </w:p>
              </w:tc>
              <w:tc>
                <w:tcPr>
                  <w:tcW w:w="846" w:type="dxa"/>
                  <w:noWrap/>
                  <w:tcMar>
                    <w:top w:w="0" w:type="dxa"/>
                    <w:left w:w="144" w:type="dxa"/>
                    <w:bottom w:w="0" w:type="dxa"/>
                    <w:right w:w="0" w:type="dxa"/>
                  </w:tcMar>
                </w:tcPr>
                <w:p w14:paraId="437BAB5E"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(97,696)</w:t>
                  </w:r>
                </w:p>
              </w:tc>
              <w:tc>
                <w:tcPr>
                  <w:tcW w:w="1197" w:type="dxa"/>
                  <w:noWrap/>
                  <w:tcMar>
                    <w:top w:w="0" w:type="dxa"/>
                    <w:left w:w="144" w:type="dxa"/>
                    <w:bottom w:w="0" w:type="dxa"/>
                    <w:right w:w="0" w:type="dxa"/>
                  </w:tcMar>
                </w:tcPr>
                <w:p w14:paraId="7A6A1F78"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(103,975)</w:t>
                  </w:r>
                </w:p>
              </w:tc>
              <w:tc>
                <w:tcPr>
                  <w:tcW w:w="1464" w:type="dxa"/>
                  <w:noWrap/>
                  <w:tcMar>
                    <w:top w:w="0" w:type="dxa"/>
                    <w:left w:w="144" w:type="dxa"/>
                    <w:bottom w:w="0" w:type="dxa"/>
                    <w:right w:w="0" w:type="dxa"/>
                  </w:tcMar>
                </w:tcPr>
                <w:p w14:paraId="54463521"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(58,160)</w:t>
                  </w:r>
                </w:p>
              </w:tc>
            </w:tr>
            <w:tr w:rsidR="00207559" w14:paraId="0B6FF0A7" w14:textId="77777777" w:rsidTr="00D11DE1">
              <w:trPr>
                <w:cantSplit/>
                <w:jc w:val="center"/>
              </w:trPr>
              <w:tc>
                <w:tcPr>
                  <w:tcW w:w="3953" w:type="dxa"/>
                </w:tcPr>
                <w:p w14:paraId="2216DAE5"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proofErr w:type="spellStart"/>
                  <w:r>
                    <w:rPr>
                      <w:sz w:val="18"/>
                      <w:szCs w:val="18"/>
                    </w:rPr>
                    <w:t>Realised</w:t>
                  </w:r>
                  <w:proofErr w:type="spellEnd"/>
                  <w:r>
                    <w:rPr>
                      <w:sz w:val="18"/>
                      <w:szCs w:val="18"/>
                    </w:rPr>
                    <w:t xml:space="preserve"> (gains) losses on disposal of subsidiaries and investment properties</w:t>
                  </w:r>
                  <w:r>
                    <w:rPr>
                      <w:sz w:val="18"/>
                      <w:szCs w:val="18"/>
                    </w:rPr>
                    <w:tab/>
                  </w:r>
                </w:p>
              </w:tc>
              <w:tc>
                <w:tcPr>
                  <w:tcW w:w="793" w:type="dxa"/>
                </w:tcPr>
                <w:p w14:paraId="61D83F35"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(342)</w:t>
                  </w:r>
                </w:p>
              </w:tc>
              <w:tc>
                <w:tcPr>
                  <w:tcW w:w="716" w:type="dxa"/>
                  <w:noWrap/>
                  <w:tcMar>
                    <w:top w:w="0" w:type="dxa"/>
                    <w:left w:w="144" w:type="dxa"/>
                    <w:bottom w:w="0" w:type="dxa"/>
                    <w:right w:w="0" w:type="dxa"/>
                  </w:tcMar>
                </w:tcPr>
                <w:p w14:paraId="3FFDC10D"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(22,131)</w:t>
                  </w:r>
                </w:p>
              </w:tc>
              <w:tc>
                <w:tcPr>
                  <w:tcW w:w="846" w:type="dxa"/>
                  <w:noWrap/>
                  <w:tcMar>
                    <w:top w:w="0" w:type="dxa"/>
                    <w:left w:w="144" w:type="dxa"/>
                    <w:bottom w:w="0" w:type="dxa"/>
                    <w:right w:w="0" w:type="dxa"/>
                  </w:tcMar>
                </w:tcPr>
                <w:p w14:paraId="04E3DFAD"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(21,204)</w:t>
                  </w:r>
                </w:p>
              </w:tc>
              <w:tc>
                <w:tcPr>
                  <w:tcW w:w="1197" w:type="dxa"/>
                  <w:noWrap/>
                  <w:tcMar>
                    <w:top w:w="0" w:type="dxa"/>
                    <w:left w:w="144" w:type="dxa"/>
                    <w:bottom w:w="0" w:type="dxa"/>
                    <w:right w:w="0" w:type="dxa"/>
                  </w:tcMar>
                </w:tcPr>
                <w:p w14:paraId="35089C0E"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(6)</w:t>
                  </w:r>
                </w:p>
              </w:tc>
              <w:tc>
                <w:tcPr>
                  <w:tcW w:w="1464" w:type="dxa"/>
                  <w:noWrap/>
                  <w:tcMar>
                    <w:top w:w="0" w:type="dxa"/>
                    <w:left w:w="144" w:type="dxa"/>
                    <w:bottom w:w="0" w:type="dxa"/>
                    <w:right w:w="0" w:type="dxa"/>
                  </w:tcMar>
                </w:tcPr>
                <w:p w14:paraId="2657A55F"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4,241</w:t>
                  </w:r>
                </w:p>
              </w:tc>
            </w:tr>
            <w:tr w:rsidR="00207559" w14:paraId="1BD7E217" w14:textId="77777777" w:rsidTr="00D11DE1">
              <w:trPr>
                <w:cantSplit/>
                <w:jc w:val="center"/>
              </w:trPr>
              <w:tc>
                <w:tcPr>
                  <w:tcW w:w="3953" w:type="dxa"/>
                </w:tcPr>
                <w:p w14:paraId="606FE08D"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proofErr w:type="spellStart"/>
                  <w:r>
                    <w:rPr>
                      <w:sz w:val="18"/>
                      <w:szCs w:val="18"/>
                    </w:rPr>
                    <w:t>Unrealised</w:t>
                  </w:r>
                  <w:proofErr w:type="spellEnd"/>
                  <w:r>
                    <w:rPr>
                      <w:sz w:val="18"/>
                      <w:szCs w:val="18"/>
                    </w:rPr>
                    <w:t xml:space="preserve"> (Gains) / losses on financial instruments and foreign exchange</w:t>
                  </w:r>
                  <w:r>
                    <w:rPr>
                      <w:sz w:val="18"/>
                      <w:szCs w:val="18"/>
                    </w:rPr>
                    <w:tab/>
                  </w:r>
                </w:p>
              </w:tc>
              <w:tc>
                <w:tcPr>
                  <w:tcW w:w="793" w:type="dxa"/>
                </w:tcPr>
                <w:p w14:paraId="3F066FAB"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(1,998)</w:t>
                  </w:r>
                </w:p>
              </w:tc>
              <w:tc>
                <w:tcPr>
                  <w:tcW w:w="716" w:type="dxa"/>
                  <w:noWrap/>
                  <w:tcMar>
                    <w:top w:w="0" w:type="dxa"/>
                    <w:left w:w="144" w:type="dxa"/>
                    <w:bottom w:w="0" w:type="dxa"/>
                    <w:right w:w="0" w:type="dxa"/>
                  </w:tcMar>
                </w:tcPr>
                <w:p w14:paraId="74F6C2EB"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6,462</w:t>
                  </w:r>
                </w:p>
              </w:tc>
              <w:tc>
                <w:tcPr>
                  <w:tcW w:w="846" w:type="dxa"/>
                  <w:noWrap/>
                  <w:tcMar>
                    <w:top w:w="0" w:type="dxa"/>
                    <w:left w:w="144" w:type="dxa"/>
                    <w:bottom w:w="0" w:type="dxa"/>
                    <w:right w:w="0" w:type="dxa"/>
                  </w:tcMar>
                </w:tcPr>
                <w:p w14:paraId="39A09C5F"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4,723</w:t>
                  </w:r>
                </w:p>
              </w:tc>
              <w:tc>
                <w:tcPr>
                  <w:tcW w:w="1197" w:type="dxa"/>
                  <w:noWrap/>
                  <w:tcMar>
                    <w:top w:w="0" w:type="dxa"/>
                    <w:left w:w="144" w:type="dxa"/>
                    <w:bottom w:w="0" w:type="dxa"/>
                    <w:right w:w="0" w:type="dxa"/>
                  </w:tcMar>
                </w:tcPr>
                <w:p w14:paraId="619BAAAC"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245</w:t>
                  </w:r>
                </w:p>
              </w:tc>
              <w:tc>
                <w:tcPr>
                  <w:tcW w:w="1464" w:type="dxa"/>
                  <w:noWrap/>
                  <w:tcMar>
                    <w:top w:w="0" w:type="dxa"/>
                    <w:left w:w="144" w:type="dxa"/>
                    <w:bottom w:w="0" w:type="dxa"/>
                    <w:right w:w="0" w:type="dxa"/>
                  </w:tcMar>
                </w:tcPr>
                <w:p w14:paraId="2BEF713C"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1,407</w:t>
                  </w:r>
                </w:p>
              </w:tc>
            </w:tr>
            <w:tr w:rsidR="00207559" w14:paraId="369F4464" w14:textId="77777777" w:rsidTr="00D11DE1">
              <w:trPr>
                <w:cantSplit/>
                <w:jc w:val="center"/>
              </w:trPr>
              <w:tc>
                <w:tcPr>
                  <w:tcW w:w="3953" w:type="dxa"/>
                </w:tcPr>
                <w:p w14:paraId="44095749"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 xml:space="preserve">Interest (received) </w:t>
                  </w:r>
                  <w:r>
                    <w:rPr>
                      <w:sz w:val="18"/>
                      <w:szCs w:val="18"/>
                    </w:rPr>
                    <w:tab/>
                  </w:r>
                </w:p>
              </w:tc>
              <w:tc>
                <w:tcPr>
                  <w:tcW w:w="793" w:type="dxa"/>
                </w:tcPr>
                <w:p w14:paraId="35665793"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(2,134)</w:t>
                  </w:r>
                </w:p>
              </w:tc>
              <w:tc>
                <w:tcPr>
                  <w:tcW w:w="716" w:type="dxa"/>
                  <w:noWrap/>
                  <w:tcMar>
                    <w:top w:w="0" w:type="dxa"/>
                    <w:left w:w="144" w:type="dxa"/>
                    <w:bottom w:w="0" w:type="dxa"/>
                    <w:right w:w="0" w:type="dxa"/>
                  </w:tcMar>
                </w:tcPr>
                <w:p w14:paraId="323A63E4"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(516)</w:t>
                  </w:r>
                </w:p>
              </w:tc>
              <w:tc>
                <w:tcPr>
                  <w:tcW w:w="846" w:type="dxa"/>
                  <w:noWrap/>
                  <w:tcMar>
                    <w:top w:w="0" w:type="dxa"/>
                    <w:left w:w="144" w:type="dxa"/>
                    <w:bottom w:w="0" w:type="dxa"/>
                    <w:right w:w="0" w:type="dxa"/>
                  </w:tcMar>
                </w:tcPr>
                <w:p w14:paraId="0516F23B"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(2,636)</w:t>
                  </w:r>
                </w:p>
              </w:tc>
              <w:tc>
                <w:tcPr>
                  <w:tcW w:w="1197" w:type="dxa"/>
                  <w:noWrap/>
                  <w:tcMar>
                    <w:top w:w="0" w:type="dxa"/>
                    <w:left w:w="144" w:type="dxa"/>
                    <w:bottom w:w="0" w:type="dxa"/>
                    <w:right w:w="0" w:type="dxa"/>
                  </w:tcMar>
                </w:tcPr>
                <w:p w14:paraId="5C577116"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(21)</w:t>
                  </w:r>
                </w:p>
              </w:tc>
              <w:tc>
                <w:tcPr>
                  <w:tcW w:w="1464" w:type="dxa"/>
                  <w:noWrap/>
                  <w:tcMar>
                    <w:top w:w="0" w:type="dxa"/>
                    <w:left w:w="144" w:type="dxa"/>
                    <w:bottom w:w="0" w:type="dxa"/>
                    <w:right w:w="0" w:type="dxa"/>
                  </w:tcMar>
                </w:tcPr>
                <w:p w14:paraId="219A46EA"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(2,880)</w:t>
                  </w:r>
                </w:p>
              </w:tc>
            </w:tr>
            <w:tr w:rsidR="00207559" w14:paraId="23360634" w14:textId="77777777" w:rsidTr="00D11DE1">
              <w:trPr>
                <w:cantSplit/>
                <w:jc w:val="center"/>
              </w:trPr>
              <w:tc>
                <w:tcPr>
                  <w:tcW w:w="3953" w:type="dxa"/>
                </w:tcPr>
                <w:p w14:paraId="170F91D0"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Interest paid</w:t>
                  </w:r>
                  <w:r>
                    <w:rPr>
                      <w:sz w:val="18"/>
                      <w:szCs w:val="18"/>
                    </w:rPr>
                    <w:tab/>
                  </w:r>
                </w:p>
              </w:tc>
              <w:tc>
                <w:tcPr>
                  <w:tcW w:w="793" w:type="dxa"/>
                </w:tcPr>
                <w:p w14:paraId="4B59981A"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9,108</w:t>
                  </w:r>
                </w:p>
              </w:tc>
              <w:tc>
                <w:tcPr>
                  <w:tcW w:w="716" w:type="dxa"/>
                  <w:noWrap/>
                  <w:tcMar>
                    <w:top w:w="0" w:type="dxa"/>
                    <w:left w:w="144" w:type="dxa"/>
                    <w:bottom w:w="0" w:type="dxa"/>
                    <w:right w:w="0" w:type="dxa"/>
                  </w:tcMar>
                </w:tcPr>
                <w:p w14:paraId="472CF87C"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8,653</w:t>
                  </w:r>
                </w:p>
              </w:tc>
              <w:tc>
                <w:tcPr>
                  <w:tcW w:w="846" w:type="dxa"/>
                  <w:noWrap/>
                  <w:tcMar>
                    <w:top w:w="0" w:type="dxa"/>
                    <w:left w:w="144" w:type="dxa"/>
                    <w:bottom w:w="0" w:type="dxa"/>
                    <w:right w:w="0" w:type="dxa"/>
                  </w:tcMar>
                </w:tcPr>
                <w:p w14:paraId="23457B20"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14,820</w:t>
                  </w:r>
                </w:p>
              </w:tc>
              <w:tc>
                <w:tcPr>
                  <w:tcW w:w="1197" w:type="dxa"/>
                  <w:noWrap/>
                  <w:tcMar>
                    <w:top w:w="0" w:type="dxa"/>
                    <w:left w:w="144" w:type="dxa"/>
                    <w:bottom w:w="0" w:type="dxa"/>
                    <w:right w:w="0" w:type="dxa"/>
                  </w:tcMar>
                </w:tcPr>
                <w:p w14:paraId="3B913871"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10,194</w:t>
                  </w:r>
                </w:p>
              </w:tc>
              <w:tc>
                <w:tcPr>
                  <w:tcW w:w="1464" w:type="dxa"/>
                  <w:noWrap/>
                  <w:tcMar>
                    <w:top w:w="0" w:type="dxa"/>
                    <w:left w:w="144" w:type="dxa"/>
                    <w:bottom w:w="0" w:type="dxa"/>
                    <w:right w:w="0" w:type="dxa"/>
                  </w:tcMar>
                </w:tcPr>
                <w:p w14:paraId="4D2F1B45"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9,093</w:t>
                  </w:r>
                </w:p>
              </w:tc>
            </w:tr>
            <w:tr w:rsidR="00207559" w14:paraId="248140B9" w14:textId="77777777" w:rsidTr="00D11DE1">
              <w:trPr>
                <w:cantSplit/>
                <w:jc w:val="center"/>
              </w:trPr>
              <w:tc>
                <w:tcPr>
                  <w:tcW w:w="3953" w:type="dxa"/>
                </w:tcPr>
                <w:p w14:paraId="6A98AE16"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Share in result of associates</w:t>
                  </w:r>
                  <w:r>
                    <w:rPr>
                      <w:sz w:val="18"/>
                      <w:szCs w:val="18"/>
                    </w:rPr>
                    <w:tab/>
                  </w:r>
                </w:p>
              </w:tc>
              <w:tc>
                <w:tcPr>
                  <w:tcW w:w="793" w:type="dxa"/>
                </w:tcPr>
                <w:p w14:paraId="7E5B80D8"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(15,167)</w:t>
                  </w:r>
                </w:p>
              </w:tc>
              <w:tc>
                <w:tcPr>
                  <w:tcW w:w="716" w:type="dxa"/>
                  <w:noWrap/>
                  <w:tcMar>
                    <w:top w:w="0" w:type="dxa"/>
                    <w:left w:w="144" w:type="dxa"/>
                    <w:bottom w:w="0" w:type="dxa"/>
                    <w:right w:w="0" w:type="dxa"/>
                  </w:tcMar>
                </w:tcPr>
                <w:p w14:paraId="176ACC2B"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3,279</w:t>
                  </w:r>
                </w:p>
              </w:tc>
              <w:tc>
                <w:tcPr>
                  <w:tcW w:w="846" w:type="dxa"/>
                  <w:noWrap/>
                  <w:tcMar>
                    <w:top w:w="0" w:type="dxa"/>
                    <w:left w:w="144" w:type="dxa"/>
                    <w:bottom w:w="0" w:type="dxa"/>
                    <w:right w:w="0" w:type="dxa"/>
                  </w:tcMar>
                </w:tcPr>
                <w:p w14:paraId="77273E19"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(7,897)</w:t>
                  </w:r>
                </w:p>
              </w:tc>
              <w:tc>
                <w:tcPr>
                  <w:tcW w:w="1197" w:type="dxa"/>
                  <w:noWrap/>
                  <w:tcMar>
                    <w:top w:w="0" w:type="dxa"/>
                    <w:left w:w="144" w:type="dxa"/>
                    <w:bottom w:w="0" w:type="dxa"/>
                    <w:right w:w="0" w:type="dxa"/>
                  </w:tcMar>
                </w:tcPr>
                <w:p w14:paraId="378632EE"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(191)</w:t>
                  </w:r>
                </w:p>
              </w:tc>
              <w:tc>
                <w:tcPr>
                  <w:tcW w:w="1464" w:type="dxa"/>
                  <w:noWrap/>
                  <w:tcMar>
                    <w:top w:w="0" w:type="dxa"/>
                    <w:left w:w="144" w:type="dxa"/>
                    <w:bottom w:w="0" w:type="dxa"/>
                    <w:right w:w="0" w:type="dxa"/>
                  </w:tcMar>
                </w:tcPr>
                <w:p w14:paraId="325C9307"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(9,248)</w:t>
                  </w:r>
                </w:p>
              </w:tc>
            </w:tr>
            <w:tr w:rsidR="00207559" w14:paraId="15139C72" w14:textId="77777777" w:rsidTr="00D11DE1">
              <w:trPr>
                <w:cantSplit/>
                <w:jc w:val="center"/>
              </w:trPr>
              <w:tc>
                <w:tcPr>
                  <w:tcW w:w="3953" w:type="dxa"/>
                </w:tcPr>
                <w:p w14:paraId="0D9CB022" w14:textId="77777777" w:rsidR="00207559" w:rsidRDefault="00207559" w:rsidP="00207559">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Operating profit before changes in working capital and provisions</w:t>
                  </w:r>
                  <w:r>
                    <w:rPr>
                      <w:b/>
                      <w:bCs/>
                      <w:sz w:val="18"/>
                      <w:szCs w:val="18"/>
                    </w:rPr>
                    <w:tab/>
                  </w:r>
                </w:p>
              </w:tc>
              <w:tc>
                <w:tcPr>
                  <w:tcW w:w="793" w:type="dxa"/>
                </w:tcPr>
                <w:p w14:paraId="4F1DC14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2,734</w:t>
                  </w:r>
                </w:p>
              </w:tc>
              <w:tc>
                <w:tcPr>
                  <w:tcW w:w="716" w:type="dxa"/>
                  <w:noWrap/>
                  <w:tcMar>
                    <w:top w:w="0" w:type="dxa"/>
                    <w:left w:w="144" w:type="dxa"/>
                    <w:bottom w:w="0" w:type="dxa"/>
                    <w:right w:w="0" w:type="dxa"/>
                  </w:tcMar>
                </w:tcPr>
                <w:p w14:paraId="438D5C3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b/>
                      <w:bCs/>
                      <w:sz w:val="18"/>
                      <w:szCs w:val="18"/>
                    </w:rPr>
                    <w:t>8,458</w:t>
                  </w:r>
                </w:p>
              </w:tc>
              <w:tc>
                <w:tcPr>
                  <w:tcW w:w="846" w:type="dxa"/>
                  <w:noWrap/>
                  <w:tcMar>
                    <w:top w:w="0" w:type="dxa"/>
                    <w:left w:w="144" w:type="dxa"/>
                    <w:bottom w:w="0" w:type="dxa"/>
                    <w:right w:w="0" w:type="dxa"/>
                  </w:tcMar>
                </w:tcPr>
                <w:p w14:paraId="2118BC5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4,083</w:t>
                  </w:r>
                </w:p>
              </w:tc>
              <w:tc>
                <w:tcPr>
                  <w:tcW w:w="1197" w:type="dxa"/>
                  <w:noWrap/>
                  <w:tcMar>
                    <w:top w:w="0" w:type="dxa"/>
                    <w:left w:w="144" w:type="dxa"/>
                    <w:bottom w:w="0" w:type="dxa"/>
                    <w:right w:w="0" w:type="dxa"/>
                  </w:tcMar>
                </w:tcPr>
                <w:p w14:paraId="4CFE658B"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6,070</w:t>
                  </w:r>
                </w:p>
              </w:tc>
              <w:tc>
                <w:tcPr>
                  <w:tcW w:w="1464" w:type="dxa"/>
                  <w:noWrap/>
                  <w:tcMar>
                    <w:top w:w="0" w:type="dxa"/>
                    <w:left w:w="144" w:type="dxa"/>
                    <w:bottom w:w="0" w:type="dxa"/>
                    <w:right w:w="0" w:type="dxa"/>
                  </w:tcMar>
                </w:tcPr>
                <w:p w14:paraId="568A5CB6"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10,181</w:t>
                  </w:r>
                </w:p>
              </w:tc>
            </w:tr>
            <w:tr w:rsidR="00207559" w14:paraId="55B3DE96" w14:textId="77777777" w:rsidTr="00D11DE1">
              <w:trPr>
                <w:cantSplit/>
                <w:jc w:val="center"/>
              </w:trPr>
              <w:tc>
                <w:tcPr>
                  <w:tcW w:w="3953" w:type="dxa"/>
                </w:tcPr>
                <w:p w14:paraId="2C656B3A"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Decrease / (increase) in trade and other receivables</w:t>
                  </w:r>
                  <w:r>
                    <w:rPr>
                      <w:sz w:val="18"/>
                      <w:szCs w:val="18"/>
                    </w:rPr>
                    <w:tab/>
                  </w:r>
                </w:p>
              </w:tc>
              <w:tc>
                <w:tcPr>
                  <w:tcW w:w="793" w:type="dxa"/>
                </w:tcPr>
                <w:p w14:paraId="49CF512F" w14:textId="77777777" w:rsidR="00207559" w:rsidRDefault="00207559" w:rsidP="00207559">
                  <w:pPr>
                    <w:pStyle w:val="NormalWeb"/>
                    <w:tabs>
                      <w:tab w:val="right" w:pos="1000"/>
                      <w:tab w:val="decimal" w:pos="1040"/>
                    </w:tabs>
                    <w:spacing w:before="0" w:beforeAutospacing="0" w:after="20" w:afterAutospacing="0"/>
                    <w:jc w:val="right"/>
                    <w:rPr>
                      <w:rFonts w:eastAsiaTheme="minorEastAsia"/>
                      <w:sz w:val="18"/>
                      <w:szCs w:val="18"/>
                    </w:rPr>
                  </w:pPr>
                  <w:r>
                    <w:rPr>
                      <w:rFonts w:eastAsiaTheme="minorEastAsia"/>
                      <w:sz w:val="18"/>
                      <w:szCs w:val="18"/>
                    </w:rPr>
                    <w:t>(722)</w:t>
                  </w:r>
                </w:p>
              </w:tc>
              <w:tc>
                <w:tcPr>
                  <w:tcW w:w="716" w:type="dxa"/>
                  <w:noWrap/>
                  <w:tcMar>
                    <w:top w:w="0" w:type="dxa"/>
                    <w:left w:w="144" w:type="dxa"/>
                    <w:bottom w:w="0" w:type="dxa"/>
                    <w:right w:w="0" w:type="dxa"/>
                  </w:tcMar>
                </w:tcPr>
                <w:p w14:paraId="316A4BFF" w14:textId="77777777" w:rsidR="00207559" w:rsidRDefault="00207559" w:rsidP="00207559">
                  <w:pPr>
                    <w:pStyle w:val="NormalWeb"/>
                    <w:tabs>
                      <w:tab w:val="right" w:pos="1000"/>
                      <w:tab w:val="decimal" w:pos="1040"/>
                    </w:tabs>
                    <w:spacing w:before="0" w:beforeAutospacing="0" w:after="20" w:afterAutospacing="0"/>
                    <w:jc w:val="right"/>
                    <w:rPr>
                      <w:rFonts w:eastAsiaTheme="minorEastAsia"/>
                      <w:sz w:val="18"/>
                      <w:szCs w:val="18"/>
                    </w:rPr>
                  </w:pPr>
                  <w:r>
                    <w:rPr>
                      <w:bCs/>
                      <w:sz w:val="18"/>
                      <w:szCs w:val="18"/>
                    </w:rPr>
                    <w:t>(4,324)</w:t>
                  </w:r>
                </w:p>
              </w:tc>
              <w:tc>
                <w:tcPr>
                  <w:tcW w:w="846" w:type="dxa"/>
                  <w:noWrap/>
                  <w:tcMar>
                    <w:top w:w="0" w:type="dxa"/>
                    <w:left w:w="144" w:type="dxa"/>
                    <w:bottom w:w="0" w:type="dxa"/>
                    <w:right w:w="0" w:type="dxa"/>
                  </w:tcMar>
                </w:tcPr>
                <w:p w14:paraId="55F239E5"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(14,505)</w:t>
                  </w:r>
                </w:p>
              </w:tc>
              <w:tc>
                <w:tcPr>
                  <w:tcW w:w="1197" w:type="dxa"/>
                  <w:noWrap/>
                  <w:tcMar>
                    <w:top w:w="0" w:type="dxa"/>
                    <w:left w:w="144" w:type="dxa"/>
                    <w:bottom w:w="0" w:type="dxa"/>
                    <w:right w:w="0" w:type="dxa"/>
                  </w:tcMar>
                </w:tcPr>
                <w:p w14:paraId="48A3F23D"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(8,555)</w:t>
                  </w:r>
                </w:p>
              </w:tc>
              <w:tc>
                <w:tcPr>
                  <w:tcW w:w="1464" w:type="dxa"/>
                  <w:noWrap/>
                  <w:tcMar>
                    <w:top w:w="0" w:type="dxa"/>
                    <w:left w:w="144" w:type="dxa"/>
                    <w:bottom w:w="0" w:type="dxa"/>
                    <w:right w:w="0" w:type="dxa"/>
                  </w:tcMar>
                </w:tcPr>
                <w:p w14:paraId="5490E527"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7,561</w:t>
                  </w:r>
                </w:p>
              </w:tc>
            </w:tr>
            <w:tr w:rsidR="00207559" w14:paraId="69F70FF0" w14:textId="77777777" w:rsidTr="00D11DE1">
              <w:trPr>
                <w:cantSplit/>
                <w:jc w:val="center"/>
              </w:trPr>
              <w:tc>
                <w:tcPr>
                  <w:tcW w:w="3953" w:type="dxa"/>
                </w:tcPr>
                <w:p w14:paraId="706EFD07"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(Decrease) / increase in trade and other payables</w:t>
                  </w:r>
                  <w:r>
                    <w:rPr>
                      <w:sz w:val="18"/>
                      <w:szCs w:val="18"/>
                    </w:rPr>
                    <w:tab/>
                  </w:r>
                </w:p>
              </w:tc>
              <w:tc>
                <w:tcPr>
                  <w:tcW w:w="793" w:type="dxa"/>
                </w:tcPr>
                <w:p w14:paraId="6CEDDBE5" w14:textId="77777777" w:rsidR="00207559" w:rsidRDefault="00207559" w:rsidP="00207559">
                  <w:pPr>
                    <w:pStyle w:val="NormalWeb"/>
                    <w:tabs>
                      <w:tab w:val="right" w:pos="1000"/>
                      <w:tab w:val="decimal" w:pos="1040"/>
                    </w:tabs>
                    <w:spacing w:before="0" w:beforeAutospacing="0" w:after="20" w:afterAutospacing="0"/>
                    <w:jc w:val="right"/>
                    <w:rPr>
                      <w:rFonts w:eastAsiaTheme="minorEastAsia"/>
                      <w:sz w:val="18"/>
                      <w:szCs w:val="18"/>
                    </w:rPr>
                  </w:pPr>
                  <w:r>
                    <w:rPr>
                      <w:rFonts w:eastAsiaTheme="minorEastAsia"/>
                      <w:sz w:val="18"/>
                      <w:szCs w:val="18"/>
                    </w:rPr>
                    <w:t>4,333</w:t>
                  </w:r>
                </w:p>
              </w:tc>
              <w:tc>
                <w:tcPr>
                  <w:tcW w:w="716" w:type="dxa"/>
                  <w:noWrap/>
                  <w:tcMar>
                    <w:top w:w="0" w:type="dxa"/>
                    <w:left w:w="144" w:type="dxa"/>
                    <w:bottom w:w="0" w:type="dxa"/>
                    <w:right w:w="0" w:type="dxa"/>
                  </w:tcMar>
                </w:tcPr>
                <w:p w14:paraId="7C19BED3" w14:textId="77777777" w:rsidR="00207559" w:rsidRDefault="00207559" w:rsidP="00207559">
                  <w:pPr>
                    <w:pStyle w:val="NormalWeb"/>
                    <w:tabs>
                      <w:tab w:val="right" w:pos="1000"/>
                      <w:tab w:val="decimal" w:pos="1040"/>
                    </w:tabs>
                    <w:spacing w:before="0" w:beforeAutospacing="0" w:after="20" w:afterAutospacing="0"/>
                    <w:jc w:val="right"/>
                    <w:rPr>
                      <w:rFonts w:eastAsiaTheme="minorEastAsia"/>
                      <w:sz w:val="18"/>
                      <w:szCs w:val="18"/>
                    </w:rPr>
                  </w:pPr>
                  <w:r>
                    <w:rPr>
                      <w:bCs/>
                      <w:sz w:val="18"/>
                      <w:szCs w:val="18"/>
                    </w:rPr>
                    <w:t>18,794</w:t>
                  </w:r>
                </w:p>
              </w:tc>
              <w:tc>
                <w:tcPr>
                  <w:tcW w:w="846" w:type="dxa"/>
                  <w:noWrap/>
                  <w:tcMar>
                    <w:top w:w="0" w:type="dxa"/>
                    <w:left w:w="144" w:type="dxa"/>
                    <w:bottom w:w="0" w:type="dxa"/>
                    <w:right w:w="0" w:type="dxa"/>
                  </w:tcMar>
                </w:tcPr>
                <w:p w14:paraId="02BA8E61"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28,681</w:t>
                  </w:r>
                </w:p>
              </w:tc>
              <w:tc>
                <w:tcPr>
                  <w:tcW w:w="1197" w:type="dxa"/>
                  <w:noWrap/>
                  <w:tcMar>
                    <w:top w:w="0" w:type="dxa"/>
                    <w:left w:w="144" w:type="dxa"/>
                    <w:bottom w:w="0" w:type="dxa"/>
                    <w:right w:w="0" w:type="dxa"/>
                  </w:tcMar>
                </w:tcPr>
                <w:p w14:paraId="49F4DE1A"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413</w:t>
                  </w:r>
                </w:p>
              </w:tc>
              <w:tc>
                <w:tcPr>
                  <w:tcW w:w="1464" w:type="dxa"/>
                  <w:noWrap/>
                  <w:tcMar>
                    <w:top w:w="0" w:type="dxa"/>
                    <w:left w:w="144" w:type="dxa"/>
                    <w:bottom w:w="0" w:type="dxa"/>
                    <w:right w:w="0" w:type="dxa"/>
                  </w:tcMar>
                </w:tcPr>
                <w:p w14:paraId="51F9747F"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(12,654)</w:t>
                  </w:r>
                </w:p>
              </w:tc>
            </w:tr>
            <w:tr w:rsidR="00207559" w14:paraId="4C30A7B0" w14:textId="77777777" w:rsidTr="00D11DE1">
              <w:trPr>
                <w:cantSplit/>
                <w:jc w:val="center"/>
              </w:trPr>
              <w:tc>
                <w:tcPr>
                  <w:tcW w:w="3953" w:type="dxa"/>
                </w:tcPr>
                <w:p w14:paraId="462B684B" w14:textId="77777777" w:rsidR="00207559" w:rsidRDefault="00207559" w:rsidP="00207559">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Cash generated from the operations</w:t>
                  </w:r>
                  <w:r>
                    <w:rPr>
                      <w:b/>
                      <w:bCs/>
                      <w:sz w:val="18"/>
                      <w:szCs w:val="18"/>
                    </w:rPr>
                    <w:tab/>
                  </w:r>
                </w:p>
              </w:tc>
              <w:tc>
                <w:tcPr>
                  <w:tcW w:w="793" w:type="dxa"/>
                </w:tcPr>
                <w:p w14:paraId="0A4CD3A0"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b/>
                      <w:bCs/>
                      <w:sz w:val="18"/>
                      <w:szCs w:val="18"/>
                    </w:rPr>
                    <w:t>6,345</w:t>
                  </w:r>
                </w:p>
              </w:tc>
              <w:tc>
                <w:tcPr>
                  <w:tcW w:w="716" w:type="dxa"/>
                  <w:noWrap/>
                  <w:tcMar>
                    <w:top w:w="0" w:type="dxa"/>
                    <w:left w:w="144" w:type="dxa"/>
                    <w:bottom w:w="0" w:type="dxa"/>
                    <w:right w:w="0" w:type="dxa"/>
                  </w:tcMar>
                </w:tcPr>
                <w:p w14:paraId="405F547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b/>
                      <w:bCs/>
                      <w:sz w:val="18"/>
                      <w:szCs w:val="18"/>
                    </w:rPr>
                    <w:t>22,928</w:t>
                  </w:r>
                </w:p>
              </w:tc>
              <w:tc>
                <w:tcPr>
                  <w:tcW w:w="846" w:type="dxa"/>
                  <w:noWrap/>
                  <w:tcMar>
                    <w:top w:w="0" w:type="dxa"/>
                    <w:left w:w="144" w:type="dxa"/>
                    <w:bottom w:w="0" w:type="dxa"/>
                    <w:right w:w="0" w:type="dxa"/>
                  </w:tcMar>
                </w:tcPr>
                <w:p w14:paraId="2437A9E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18,259</w:t>
                  </w:r>
                </w:p>
              </w:tc>
              <w:tc>
                <w:tcPr>
                  <w:tcW w:w="1197" w:type="dxa"/>
                  <w:noWrap/>
                  <w:tcMar>
                    <w:top w:w="0" w:type="dxa"/>
                    <w:left w:w="144" w:type="dxa"/>
                    <w:bottom w:w="0" w:type="dxa"/>
                    <w:right w:w="0" w:type="dxa"/>
                  </w:tcMar>
                </w:tcPr>
                <w:p w14:paraId="067CD803"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(2,072)</w:t>
                  </w:r>
                </w:p>
              </w:tc>
              <w:tc>
                <w:tcPr>
                  <w:tcW w:w="1464" w:type="dxa"/>
                  <w:noWrap/>
                  <w:tcMar>
                    <w:top w:w="0" w:type="dxa"/>
                    <w:left w:w="144" w:type="dxa"/>
                    <w:bottom w:w="0" w:type="dxa"/>
                    <w:right w:w="0" w:type="dxa"/>
                  </w:tcMar>
                </w:tcPr>
                <w:p w14:paraId="7E779233"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5,088</w:t>
                  </w:r>
                </w:p>
              </w:tc>
            </w:tr>
            <w:tr w:rsidR="00207559" w14:paraId="5ECC5B4E" w14:textId="77777777" w:rsidTr="00D11DE1">
              <w:trPr>
                <w:cantSplit/>
                <w:jc w:val="center"/>
              </w:trPr>
              <w:tc>
                <w:tcPr>
                  <w:tcW w:w="3953" w:type="dxa"/>
                </w:tcPr>
                <w:p w14:paraId="019DD9D7"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Interest received</w:t>
                  </w:r>
                  <w:r>
                    <w:rPr>
                      <w:sz w:val="18"/>
                      <w:szCs w:val="18"/>
                    </w:rPr>
                    <w:tab/>
                  </w:r>
                </w:p>
              </w:tc>
              <w:tc>
                <w:tcPr>
                  <w:tcW w:w="793" w:type="dxa"/>
                </w:tcPr>
                <w:p w14:paraId="1FBACAD9" w14:textId="77777777" w:rsidR="00207559" w:rsidRDefault="00207559" w:rsidP="00207559">
                  <w:pPr>
                    <w:jc w:val="right"/>
                    <w:rPr>
                      <w:sz w:val="18"/>
                      <w:szCs w:val="18"/>
                    </w:rPr>
                  </w:pPr>
                  <w:r>
                    <w:rPr>
                      <w:sz w:val="18"/>
                      <w:szCs w:val="18"/>
                    </w:rPr>
                    <w:t>21</w:t>
                  </w:r>
                </w:p>
              </w:tc>
              <w:tc>
                <w:tcPr>
                  <w:tcW w:w="716" w:type="dxa"/>
                  <w:noWrap/>
                  <w:tcMar>
                    <w:top w:w="0" w:type="dxa"/>
                    <w:left w:w="144" w:type="dxa"/>
                    <w:bottom w:w="0" w:type="dxa"/>
                    <w:right w:w="0" w:type="dxa"/>
                  </w:tcMar>
                </w:tcPr>
                <w:p w14:paraId="5C04B415" w14:textId="77777777" w:rsidR="00207559" w:rsidRDefault="00207559" w:rsidP="00207559">
                  <w:pPr>
                    <w:jc w:val="right"/>
                    <w:rPr>
                      <w:sz w:val="18"/>
                      <w:szCs w:val="18"/>
                    </w:rPr>
                  </w:pPr>
                  <w:r>
                    <w:rPr>
                      <w:bCs/>
                      <w:sz w:val="18"/>
                      <w:szCs w:val="18"/>
                    </w:rPr>
                    <w:t>516</w:t>
                  </w:r>
                </w:p>
              </w:tc>
              <w:tc>
                <w:tcPr>
                  <w:tcW w:w="846" w:type="dxa"/>
                  <w:noWrap/>
                  <w:tcMar>
                    <w:top w:w="0" w:type="dxa"/>
                    <w:left w:w="144" w:type="dxa"/>
                    <w:bottom w:w="0" w:type="dxa"/>
                    <w:right w:w="0" w:type="dxa"/>
                  </w:tcMar>
                </w:tcPr>
                <w:p w14:paraId="3B7D7963"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157</w:t>
                  </w:r>
                </w:p>
              </w:tc>
              <w:tc>
                <w:tcPr>
                  <w:tcW w:w="1197" w:type="dxa"/>
                  <w:noWrap/>
                  <w:tcMar>
                    <w:top w:w="0" w:type="dxa"/>
                    <w:left w:w="144" w:type="dxa"/>
                    <w:bottom w:w="0" w:type="dxa"/>
                    <w:right w:w="0" w:type="dxa"/>
                  </w:tcMar>
                </w:tcPr>
                <w:p w14:paraId="57A68E66"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21</w:t>
                  </w:r>
                </w:p>
              </w:tc>
              <w:tc>
                <w:tcPr>
                  <w:tcW w:w="1464" w:type="dxa"/>
                  <w:noWrap/>
                  <w:tcMar>
                    <w:top w:w="0" w:type="dxa"/>
                    <w:left w:w="144" w:type="dxa"/>
                    <w:bottom w:w="0" w:type="dxa"/>
                    <w:right w:w="0" w:type="dxa"/>
                  </w:tcMar>
                </w:tcPr>
                <w:p w14:paraId="2BB1CB2E"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2,880</w:t>
                  </w:r>
                </w:p>
              </w:tc>
            </w:tr>
            <w:tr w:rsidR="00207559" w14:paraId="17F94B1E" w14:textId="77777777" w:rsidTr="00D11DE1">
              <w:trPr>
                <w:cantSplit/>
                <w:jc w:val="center"/>
              </w:trPr>
              <w:tc>
                <w:tcPr>
                  <w:tcW w:w="3953" w:type="dxa"/>
                </w:tcPr>
                <w:p w14:paraId="60D7B6FF"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 xml:space="preserve">Interest (paid) </w:t>
                  </w:r>
                  <w:r>
                    <w:rPr>
                      <w:sz w:val="18"/>
                      <w:szCs w:val="18"/>
                    </w:rPr>
                    <w:tab/>
                  </w:r>
                </w:p>
              </w:tc>
              <w:tc>
                <w:tcPr>
                  <w:tcW w:w="793" w:type="dxa"/>
                </w:tcPr>
                <w:p w14:paraId="4E94318C" w14:textId="77777777" w:rsidR="00207559" w:rsidRDefault="00207559" w:rsidP="00207559">
                  <w:pPr>
                    <w:jc w:val="right"/>
                    <w:rPr>
                      <w:sz w:val="18"/>
                      <w:szCs w:val="18"/>
                    </w:rPr>
                  </w:pPr>
                  <w:r>
                    <w:rPr>
                      <w:sz w:val="18"/>
                      <w:szCs w:val="18"/>
                    </w:rPr>
                    <w:t>(596)</w:t>
                  </w:r>
                </w:p>
              </w:tc>
              <w:tc>
                <w:tcPr>
                  <w:tcW w:w="716" w:type="dxa"/>
                  <w:noWrap/>
                  <w:tcMar>
                    <w:top w:w="0" w:type="dxa"/>
                    <w:left w:w="144" w:type="dxa"/>
                    <w:bottom w:w="0" w:type="dxa"/>
                    <w:right w:w="0" w:type="dxa"/>
                  </w:tcMar>
                </w:tcPr>
                <w:p w14:paraId="263DAAB1" w14:textId="77777777" w:rsidR="00207559" w:rsidRDefault="00207559" w:rsidP="00207559">
                  <w:pPr>
                    <w:jc w:val="right"/>
                    <w:rPr>
                      <w:sz w:val="18"/>
                      <w:szCs w:val="18"/>
                    </w:rPr>
                  </w:pPr>
                  <w:r>
                    <w:rPr>
                      <w:sz w:val="18"/>
                      <w:szCs w:val="18"/>
                    </w:rPr>
                    <w:t>(8,653)</w:t>
                  </w:r>
                </w:p>
              </w:tc>
              <w:tc>
                <w:tcPr>
                  <w:tcW w:w="846" w:type="dxa"/>
                  <w:noWrap/>
                  <w:tcMar>
                    <w:top w:w="0" w:type="dxa"/>
                    <w:left w:w="144" w:type="dxa"/>
                    <w:bottom w:w="0" w:type="dxa"/>
                    <w:right w:w="0" w:type="dxa"/>
                  </w:tcMar>
                </w:tcPr>
                <w:p w14:paraId="26CA122F"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(10,684)</w:t>
                  </w:r>
                </w:p>
              </w:tc>
              <w:tc>
                <w:tcPr>
                  <w:tcW w:w="1197" w:type="dxa"/>
                  <w:noWrap/>
                  <w:tcMar>
                    <w:top w:w="0" w:type="dxa"/>
                    <w:left w:w="144" w:type="dxa"/>
                    <w:bottom w:w="0" w:type="dxa"/>
                    <w:right w:w="0" w:type="dxa"/>
                  </w:tcMar>
                </w:tcPr>
                <w:p w14:paraId="31284C4C"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(10,194)</w:t>
                  </w:r>
                </w:p>
              </w:tc>
              <w:tc>
                <w:tcPr>
                  <w:tcW w:w="1464" w:type="dxa"/>
                  <w:noWrap/>
                  <w:tcMar>
                    <w:top w:w="0" w:type="dxa"/>
                    <w:left w:w="144" w:type="dxa"/>
                    <w:bottom w:w="0" w:type="dxa"/>
                    <w:right w:w="0" w:type="dxa"/>
                  </w:tcMar>
                </w:tcPr>
                <w:p w14:paraId="7203D46D"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(9,093)</w:t>
                  </w:r>
                </w:p>
              </w:tc>
            </w:tr>
            <w:tr w:rsidR="00207559" w14:paraId="02AF2974" w14:textId="77777777" w:rsidTr="00D11DE1">
              <w:trPr>
                <w:cantSplit/>
                <w:jc w:val="center"/>
              </w:trPr>
              <w:tc>
                <w:tcPr>
                  <w:tcW w:w="3953" w:type="dxa"/>
                </w:tcPr>
                <w:p w14:paraId="51C37891"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Income taxes paid</w:t>
                  </w:r>
                  <w:r>
                    <w:rPr>
                      <w:sz w:val="18"/>
                      <w:szCs w:val="18"/>
                    </w:rPr>
                    <w:tab/>
                  </w:r>
                </w:p>
              </w:tc>
              <w:tc>
                <w:tcPr>
                  <w:tcW w:w="793" w:type="dxa"/>
                </w:tcPr>
                <w:p w14:paraId="52F53521" w14:textId="77777777" w:rsidR="00207559" w:rsidRDefault="00207559" w:rsidP="00207559">
                  <w:pPr>
                    <w:jc w:val="right"/>
                    <w:rPr>
                      <w:sz w:val="18"/>
                      <w:szCs w:val="18"/>
                    </w:rPr>
                  </w:pPr>
                  <w:r>
                    <w:rPr>
                      <w:sz w:val="18"/>
                      <w:szCs w:val="18"/>
                    </w:rPr>
                    <w:t>(259)</w:t>
                  </w:r>
                </w:p>
              </w:tc>
              <w:tc>
                <w:tcPr>
                  <w:tcW w:w="716" w:type="dxa"/>
                  <w:noWrap/>
                  <w:tcMar>
                    <w:top w:w="0" w:type="dxa"/>
                    <w:left w:w="144" w:type="dxa"/>
                    <w:bottom w:w="0" w:type="dxa"/>
                    <w:right w:w="0" w:type="dxa"/>
                  </w:tcMar>
                </w:tcPr>
                <w:p w14:paraId="240426C1" w14:textId="77777777" w:rsidR="00207559" w:rsidRDefault="00207559" w:rsidP="00207559">
                  <w:pPr>
                    <w:jc w:val="right"/>
                    <w:rPr>
                      <w:sz w:val="18"/>
                      <w:szCs w:val="18"/>
                    </w:rPr>
                  </w:pPr>
                  <w:r>
                    <w:rPr>
                      <w:bCs/>
                      <w:sz w:val="18"/>
                      <w:szCs w:val="18"/>
                    </w:rPr>
                    <w:t>(225)</w:t>
                  </w:r>
                </w:p>
              </w:tc>
              <w:tc>
                <w:tcPr>
                  <w:tcW w:w="846" w:type="dxa"/>
                  <w:noWrap/>
                  <w:tcMar>
                    <w:top w:w="0" w:type="dxa"/>
                    <w:left w:w="144" w:type="dxa"/>
                    <w:bottom w:w="0" w:type="dxa"/>
                    <w:right w:w="0" w:type="dxa"/>
                  </w:tcMar>
                </w:tcPr>
                <w:p w14:paraId="4E4F85F1"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(939)</w:t>
                  </w:r>
                </w:p>
              </w:tc>
              <w:tc>
                <w:tcPr>
                  <w:tcW w:w="1197" w:type="dxa"/>
                  <w:noWrap/>
                  <w:tcMar>
                    <w:top w:w="0" w:type="dxa"/>
                    <w:left w:w="144" w:type="dxa"/>
                    <w:bottom w:w="0" w:type="dxa"/>
                    <w:right w:w="0" w:type="dxa"/>
                  </w:tcMar>
                </w:tcPr>
                <w:p w14:paraId="5BD2417F"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(364)</w:t>
                  </w:r>
                </w:p>
              </w:tc>
              <w:tc>
                <w:tcPr>
                  <w:tcW w:w="1464" w:type="dxa"/>
                  <w:noWrap/>
                  <w:tcMar>
                    <w:top w:w="0" w:type="dxa"/>
                    <w:left w:w="144" w:type="dxa"/>
                    <w:bottom w:w="0" w:type="dxa"/>
                    <w:right w:w="0" w:type="dxa"/>
                  </w:tcMar>
                </w:tcPr>
                <w:p w14:paraId="2C2781E6"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(417)</w:t>
                  </w:r>
                </w:p>
              </w:tc>
            </w:tr>
            <w:tr w:rsidR="00207559" w14:paraId="1D442841" w14:textId="77777777" w:rsidTr="00D11DE1">
              <w:trPr>
                <w:cantSplit/>
                <w:jc w:val="center"/>
              </w:trPr>
              <w:tc>
                <w:tcPr>
                  <w:tcW w:w="3953" w:type="dxa"/>
                </w:tcPr>
                <w:p w14:paraId="14D5F2E7" w14:textId="77777777" w:rsidR="00207559" w:rsidRDefault="00207559" w:rsidP="00207559">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Net cash used in operating activities</w:t>
                  </w:r>
                  <w:r>
                    <w:rPr>
                      <w:b/>
                      <w:bCs/>
                      <w:sz w:val="18"/>
                      <w:szCs w:val="18"/>
                    </w:rPr>
                    <w:tab/>
                  </w:r>
                </w:p>
              </w:tc>
              <w:tc>
                <w:tcPr>
                  <w:tcW w:w="793" w:type="dxa"/>
                </w:tcPr>
                <w:p w14:paraId="6ED43E64"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b/>
                      <w:bCs/>
                      <w:sz w:val="18"/>
                      <w:szCs w:val="18"/>
                    </w:rPr>
                    <w:t>5,511</w:t>
                  </w:r>
                </w:p>
              </w:tc>
              <w:tc>
                <w:tcPr>
                  <w:tcW w:w="716" w:type="dxa"/>
                  <w:noWrap/>
                  <w:tcMar>
                    <w:top w:w="0" w:type="dxa"/>
                    <w:left w:w="144" w:type="dxa"/>
                    <w:bottom w:w="0" w:type="dxa"/>
                    <w:right w:w="0" w:type="dxa"/>
                  </w:tcMar>
                </w:tcPr>
                <w:p w14:paraId="5F6A753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b/>
                      <w:bCs/>
                      <w:sz w:val="18"/>
                      <w:szCs w:val="18"/>
                    </w:rPr>
                    <w:t>14,566</w:t>
                  </w:r>
                </w:p>
              </w:tc>
              <w:tc>
                <w:tcPr>
                  <w:tcW w:w="846" w:type="dxa"/>
                  <w:noWrap/>
                  <w:tcMar>
                    <w:top w:w="0" w:type="dxa"/>
                    <w:left w:w="144" w:type="dxa"/>
                    <w:bottom w:w="0" w:type="dxa"/>
                    <w:right w:w="0" w:type="dxa"/>
                  </w:tcMar>
                </w:tcPr>
                <w:p w14:paraId="121EC42D"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6,793</w:t>
                  </w:r>
                </w:p>
              </w:tc>
              <w:tc>
                <w:tcPr>
                  <w:tcW w:w="1197" w:type="dxa"/>
                  <w:noWrap/>
                  <w:tcMar>
                    <w:top w:w="0" w:type="dxa"/>
                    <w:left w:w="144" w:type="dxa"/>
                    <w:bottom w:w="0" w:type="dxa"/>
                    <w:right w:w="0" w:type="dxa"/>
                  </w:tcMar>
                </w:tcPr>
                <w:p w14:paraId="4158B0FD"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(12,609)</w:t>
                  </w:r>
                </w:p>
              </w:tc>
              <w:tc>
                <w:tcPr>
                  <w:tcW w:w="1464" w:type="dxa"/>
                  <w:noWrap/>
                  <w:tcMar>
                    <w:top w:w="0" w:type="dxa"/>
                    <w:left w:w="144" w:type="dxa"/>
                    <w:bottom w:w="0" w:type="dxa"/>
                    <w:right w:w="0" w:type="dxa"/>
                  </w:tcMar>
                </w:tcPr>
                <w:p w14:paraId="028AAE0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(1,542)</w:t>
                  </w:r>
                </w:p>
              </w:tc>
            </w:tr>
            <w:tr w:rsidR="00207559" w14:paraId="6A567438" w14:textId="77777777" w:rsidTr="00D11DE1">
              <w:trPr>
                <w:cantSplit/>
                <w:jc w:val="center"/>
              </w:trPr>
              <w:tc>
                <w:tcPr>
                  <w:tcW w:w="3953" w:type="dxa"/>
                </w:tcPr>
                <w:p w14:paraId="5AC8FEEF" w14:textId="77777777" w:rsidR="00207559" w:rsidRDefault="00207559" w:rsidP="00207559">
                  <w:pPr>
                    <w:pStyle w:val="NormalWeb"/>
                    <w:tabs>
                      <w:tab w:val="right" w:pos="800"/>
                      <w:tab w:val="decimal" w:pos="840"/>
                    </w:tabs>
                    <w:spacing w:before="0" w:beforeAutospacing="0" w:after="20" w:afterAutospacing="0"/>
                    <w:rPr>
                      <w:rFonts w:eastAsiaTheme="minorEastAsia"/>
                      <w:i/>
                      <w:sz w:val="18"/>
                      <w:szCs w:val="18"/>
                    </w:rPr>
                  </w:pPr>
                  <w:r>
                    <w:rPr>
                      <w:rFonts w:eastAsiaTheme="minorEastAsia"/>
                      <w:i/>
                      <w:sz w:val="18"/>
                      <w:szCs w:val="18"/>
                    </w:rPr>
                    <w:t>Cash flows from Investing Activities</w:t>
                  </w:r>
                </w:p>
              </w:tc>
              <w:tc>
                <w:tcPr>
                  <w:tcW w:w="793" w:type="dxa"/>
                </w:tcPr>
                <w:p w14:paraId="6BE905F1" w14:textId="77777777" w:rsidR="00207559" w:rsidRDefault="00207559" w:rsidP="00207559">
                  <w:pPr>
                    <w:jc w:val="right"/>
                    <w:rPr>
                      <w:sz w:val="18"/>
                      <w:szCs w:val="18"/>
                    </w:rPr>
                  </w:pPr>
                </w:p>
              </w:tc>
              <w:tc>
                <w:tcPr>
                  <w:tcW w:w="716" w:type="dxa"/>
                </w:tcPr>
                <w:p w14:paraId="6595D6B3" w14:textId="77777777" w:rsidR="00207559" w:rsidRDefault="00207559" w:rsidP="00207559">
                  <w:pPr>
                    <w:jc w:val="right"/>
                    <w:rPr>
                      <w:sz w:val="18"/>
                      <w:szCs w:val="18"/>
                    </w:rPr>
                  </w:pPr>
                </w:p>
              </w:tc>
              <w:tc>
                <w:tcPr>
                  <w:tcW w:w="846" w:type="dxa"/>
                </w:tcPr>
                <w:p w14:paraId="405A7D73"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i/>
                      <w:sz w:val="18"/>
                      <w:szCs w:val="18"/>
                    </w:rPr>
                  </w:pPr>
                </w:p>
              </w:tc>
              <w:tc>
                <w:tcPr>
                  <w:tcW w:w="1197" w:type="dxa"/>
                </w:tcPr>
                <w:p w14:paraId="6A8B783F"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i/>
                      <w:sz w:val="18"/>
                      <w:szCs w:val="18"/>
                    </w:rPr>
                  </w:pPr>
                </w:p>
              </w:tc>
              <w:tc>
                <w:tcPr>
                  <w:tcW w:w="1464" w:type="dxa"/>
                </w:tcPr>
                <w:p w14:paraId="0390F011"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i/>
                      <w:sz w:val="18"/>
                      <w:szCs w:val="18"/>
                    </w:rPr>
                  </w:pPr>
                </w:p>
              </w:tc>
            </w:tr>
            <w:tr w:rsidR="00207559" w14:paraId="3804639E" w14:textId="77777777" w:rsidTr="00D11DE1">
              <w:trPr>
                <w:cantSplit/>
                <w:jc w:val="center"/>
              </w:trPr>
              <w:tc>
                <w:tcPr>
                  <w:tcW w:w="3953" w:type="dxa"/>
                </w:tcPr>
                <w:p w14:paraId="11B58374"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Proceeds from disposal of subsidiaries</w:t>
                  </w:r>
                  <w:r>
                    <w:rPr>
                      <w:sz w:val="18"/>
                      <w:szCs w:val="18"/>
                    </w:rPr>
                    <w:tab/>
                  </w:r>
                </w:p>
              </w:tc>
              <w:tc>
                <w:tcPr>
                  <w:tcW w:w="793" w:type="dxa"/>
                </w:tcPr>
                <w:p w14:paraId="7B80BD52"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716" w:type="dxa"/>
                  <w:noWrap/>
                  <w:tcMar>
                    <w:top w:w="0" w:type="dxa"/>
                    <w:left w:w="144" w:type="dxa"/>
                    <w:bottom w:w="0" w:type="dxa"/>
                    <w:right w:w="0" w:type="dxa"/>
                  </w:tcMar>
                </w:tcPr>
                <w:p w14:paraId="14EBFE3C"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846" w:type="dxa"/>
                  <w:noWrap/>
                  <w:tcMar>
                    <w:top w:w="0" w:type="dxa"/>
                    <w:left w:w="144" w:type="dxa"/>
                    <w:bottom w:w="0" w:type="dxa"/>
                    <w:right w:w="0" w:type="dxa"/>
                  </w:tcMar>
                </w:tcPr>
                <w:p w14:paraId="3C84F89F"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197" w:type="dxa"/>
                  <w:noWrap/>
                  <w:tcMar>
                    <w:top w:w="0" w:type="dxa"/>
                    <w:left w:w="144" w:type="dxa"/>
                    <w:bottom w:w="0" w:type="dxa"/>
                    <w:right w:w="0" w:type="dxa"/>
                  </w:tcMar>
                </w:tcPr>
                <w:p w14:paraId="5442C7C6"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311</w:t>
                  </w:r>
                </w:p>
              </w:tc>
              <w:tc>
                <w:tcPr>
                  <w:tcW w:w="1464" w:type="dxa"/>
                  <w:noWrap/>
                  <w:tcMar>
                    <w:top w:w="0" w:type="dxa"/>
                    <w:left w:w="144" w:type="dxa"/>
                    <w:bottom w:w="0" w:type="dxa"/>
                    <w:right w:w="0" w:type="dxa"/>
                  </w:tcMar>
                </w:tcPr>
                <w:p w14:paraId="20F6D2DE"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w:t>
                  </w:r>
                </w:p>
              </w:tc>
            </w:tr>
            <w:tr w:rsidR="00207559" w14:paraId="06627A9B" w14:textId="77777777" w:rsidTr="00D11DE1">
              <w:trPr>
                <w:cantSplit/>
                <w:jc w:val="center"/>
              </w:trPr>
              <w:tc>
                <w:tcPr>
                  <w:tcW w:w="3953" w:type="dxa"/>
                </w:tcPr>
                <w:p w14:paraId="1B6E7D7E"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Proceeds from disposal of tangible assets</w:t>
                  </w:r>
                  <w:r>
                    <w:rPr>
                      <w:sz w:val="18"/>
                      <w:szCs w:val="18"/>
                    </w:rPr>
                    <w:tab/>
                  </w:r>
                </w:p>
              </w:tc>
              <w:tc>
                <w:tcPr>
                  <w:tcW w:w="793" w:type="dxa"/>
                </w:tcPr>
                <w:p w14:paraId="78D0FD1F" w14:textId="77777777" w:rsidR="00207559" w:rsidRDefault="00207559" w:rsidP="00207559">
                  <w:pPr>
                    <w:jc w:val="right"/>
                    <w:rPr>
                      <w:sz w:val="18"/>
                      <w:szCs w:val="18"/>
                    </w:rPr>
                  </w:pPr>
                  <w:r>
                    <w:rPr>
                      <w:sz w:val="18"/>
                      <w:szCs w:val="18"/>
                    </w:rPr>
                    <w:t>2</w:t>
                  </w:r>
                </w:p>
              </w:tc>
              <w:tc>
                <w:tcPr>
                  <w:tcW w:w="716" w:type="dxa"/>
                  <w:noWrap/>
                  <w:tcMar>
                    <w:top w:w="0" w:type="dxa"/>
                    <w:left w:w="144" w:type="dxa"/>
                    <w:bottom w:w="0" w:type="dxa"/>
                    <w:right w:w="0" w:type="dxa"/>
                  </w:tcMar>
                </w:tcPr>
                <w:p w14:paraId="048B90DE" w14:textId="77777777" w:rsidR="00207559" w:rsidRDefault="00207559" w:rsidP="00207559">
                  <w:pPr>
                    <w:jc w:val="right"/>
                    <w:rPr>
                      <w:sz w:val="18"/>
                      <w:szCs w:val="18"/>
                    </w:rPr>
                  </w:pPr>
                  <w:r>
                    <w:rPr>
                      <w:bCs/>
                      <w:sz w:val="18"/>
                      <w:szCs w:val="18"/>
                    </w:rPr>
                    <w:t>36</w:t>
                  </w:r>
                </w:p>
              </w:tc>
              <w:tc>
                <w:tcPr>
                  <w:tcW w:w="846" w:type="dxa"/>
                  <w:noWrap/>
                  <w:tcMar>
                    <w:top w:w="0" w:type="dxa"/>
                    <w:left w:w="144" w:type="dxa"/>
                    <w:bottom w:w="0" w:type="dxa"/>
                    <w:right w:w="0" w:type="dxa"/>
                  </w:tcMar>
                </w:tcPr>
                <w:p w14:paraId="794138D6"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46</w:t>
                  </w:r>
                </w:p>
              </w:tc>
              <w:tc>
                <w:tcPr>
                  <w:tcW w:w="1197" w:type="dxa"/>
                  <w:noWrap/>
                  <w:tcMar>
                    <w:top w:w="0" w:type="dxa"/>
                    <w:left w:w="144" w:type="dxa"/>
                    <w:bottom w:w="0" w:type="dxa"/>
                    <w:right w:w="0" w:type="dxa"/>
                  </w:tcMar>
                </w:tcPr>
                <w:p w14:paraId="562E5FAE"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26</w:t>
                  </w:r>
                </w:p>
              </w:tc>
              <w:tc>
                <w:tcPr>
                  <w:tcW w:w="1464" w:type="dxa"/>
                  <w:noWrap/>
                  <w:tcMar>
                    <w:top w:w="0" w:type="dxa"/>
                    <w:left w:w="144" w:type="dxa"/>
                    <w:bottom w:w="0" w:type="dxa"/>
                    <w:right w:w="0" w:type="dxa"/>
                  </w:tcMar>
                </w:tcPr>
                <w:p w14:paraId="4C196C74"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3,324</w:t>
                  </w:r>
                </w:p>
              </w:tc>
            </w:tr>
            <w:tr w:rsidR="00207559" w14:paraId="133BF217" w14:textId="77777777" w:rsidTr="00D11DE1">
              <w:trPr>
                <w:cantSplit/>
                <w:jc w:val="center"/>
              </w:trPr>
              <w:tc>
                <w:tcPr>
                  <w:tcW w:w="3953" w:type="dxa"/>
                </w:tcPr>
                <w:p w14:paraId="0B064555"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Acquisition of subsidiaries</w:t>
                  </w:r>
                  <w:r>
                    <w:rPr>
                      <w:sz w:val="18"/>
                      <w:szCs w:val="18"/>
                    </w:rPr>
                    <w:tab/>
                  </w:r>
                </w:p>
              </w:tc>
              <w:tc>
                <w:tcPr>
                  <w:tcW w:w="793" w:type="dxa"/>
                </w:tcPr>
                <w:p w14:paraId="0A9E8A20" w14:textId="77777777" w:rsidR="00207559" w:rsidRDefault="00207559" w:rsidP="00207559">
                  <w:pPr>
                    <w:jc w:val="right"/>
                    <w:rPr>
                      <w:sz w:val="18"/>
                      <w:szCs w:val="18"/>
                    </w:rPr>
                  </w:pPr>
                  <w:r>
                    <w:rPr>
                      <w:bCs/>
                      <w:sz w:val="18"/>
                      <w:szCs w:val="18"/>
                    </w:rPr>
                    <w:t>—</w:t>
                  </w:r>
                </w:p>
              </w:tc>
              <w:tc>
                <w:tcPr>
                  <w:tcW w:w="716" w:type="dxa"/>
                  <w:noWrap/>
                  <w:tcMar>
                    <w:top w:w="0" w:type="dxa"/>
                    <w:left w:w="144" w:type="dxa"/>
                    <w:bottom w:w="0" w:type="dxa"/>
                    <w:right w:w="0" w:type="dxa"/>
                  </w:tcMar>
                </w:tcPr>
                <w:p w14:paraId="7F25A299" w14:textId="77777777" w:rsidR="00207559" w:rsidRDefault="00207559" w:rsidP="00207559">
                  <w:pPr>
                    <w:jc w:val="right"/>
                    <w:rPr>
                      <w:sz w:val="18"/>
                      <w:szCs w:val="18"/>
                    </w:rPr>
                  </w:pPr>
                  <w:r>
                    <w:rPr>
                      <w:bCs/>
                      <w:sz w:val="18"/>
                      <w:szCs w:val="18"/>
                    </w:rPr>
                    <w:t>(148)</w:t>
                  </w:r>
                </w:p>
              </w:tc>
              <w:tc>
                <w:tcPr>
                  <w:tcW w:w="846" w:type="dxa"/>
                  <w:noWrap/>
                  <w:tcMar>
                    <w:top w:w="0" w:type="dxa"/>
                    <w:left w:w="144" w:type="dxa"/>
                    <w:bottom w:w="0" w:type="dxa"/>
                    <w:right w:w="0" w:type="dxa"/>
                  </w:tcMar>
                </w:tcPr>
                <w:p w14:paraId="61DBB187"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197" w:type="dxa"/>
                  <w:noWrap/>
                  <w:tcMar>
                    <w:top w:w="0" w:type="dxa"/>
                    <w:left w:w="144" w:type="dxa"/>
                    <w:bottom w:w="0" w:type="dxa"/>
                    <w:right w:w="0" w:type="dxa"/>
                  </w:tcMar>
                </w:tcPr>
                <w:p w14:paraId="44368240"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(224)</w:t>
                  </w:r>
                </w:p>
              </w:tc>
              <w:tc>
                <w:tcPr>
                  <w:tcW w:w="1464" w:type="dxa"/>
                  <w:noWrap/>
                  <w:tcMar>
                    <w:top w:w="0" w:type="dxa"/>
                    <w:left w:w="144" w:type="dxa"/>
                    <w:bottom w:w="0" w:type="dxa"/>
                    <w:right w:w="0" w:type="dxa"/>
                  </w:tcMar>
                </w:tcPr>
                <w:p w14:paraId="7A2FB4E7"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(406)</w:t>
                  </w:r>
                </w:p>
              </w:tc>
            </w:tr>
            <w:tr w:rsidR="00207559" w14:paraId="118AF158" w14:textId="77777777" w:rsidTr="00D11DE1">
              <w:trPr>
                <w:cantSplit/>
                <w:jc w:val="center"/>
              </w:trPr>
              <w:tc>
                <w:tcPr>
                  <w:tcW w:w="3953" w:type="dxa"/>
                </w:tcPr>
                <w:p w14:paraId="7DC30CAE"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Disposal of subsidiaries and investment properties to VGP European Logistics Joint Venture</w:t>
                  </w:r>
                  <w:r>
                    <w:rPr>
                      <w:sz w:val="18"/>
                      <w:szCs w:val="18"/>
                    </w:rPr>
                    <w:tab/>
                  </w:r>
                </w:p>
              </w:tc>
              <w:tc>
                <w:tcPr>
                  <w:tcW w:w="793" w:type="dxa"/>
                </w:tcPr>
                <w:p w14:paraId="3ECA757C"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90,794</w:t>
                  </w:r>
                </w:p>
              </w:tc>
              <w:tc>
                <w:tcPr>
                  <w:tcW w:w="716" w:type="dxa"/>
                  <w:noWrap/>
                  <w:tcMar>
                    <w:top w:w="0" w:type="dxa"/>
                    <w:left w:w="144" w:type="dxa"/>
                    <w:bottom w:w="0" w:type="dxa"/>
                    <w:right w:w="0" w:type="dxa"/>
                  </w:tcMar>
                </w:tcPr>
                <w:p w14:paraId="7809DCB3"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155,911</w:t>
                  </w:r>
                </w:p>
              </w:tc>
              <w:tc>
                <w:tcPr>
                  <w:tcW w:w="846" w:type="dxa"/>
                  <w:noWrap/>
                  <w:tcMar>
                    <w:top w:w="0" w:type="dxa"/>
                    <w:left w:w="144" w:type="dxa"/>
                    <w:bottom w:w="0" w:type="dxa"/>
                    <w:right w:w="0" w:type="dxa"/>
                  </w:tcMar>
                </w:tcPr>
                <w:p w14:paraId="2D64CA3F" w14:textId="77777777" w:rsidR="00207559" w:rsidRDefault="00207559" w:rsidP="00207559">
                  <w:pPr>
                    <w:pStyle w:val="NormalWeb"/>
                    <w:tabs>
                      <w:tab w:val="right" w:pos="800"/>
                      <w:tab w:val="decimal" w:pos="840"/>
                    </w:tabs>
                    <w:spacing w:before="0" w:beforeAutospacing="0" w:after="20" w:afterAutospacing="0"/>
                    <w:jc w:val="right"/>
                    <w:rPr>
                      <w:sz w:val="18"/>
                      <w:szCs w:val="18"/>
                    </w:rPr>
                  </w:pPr>
                  <w:r>
                    <w:rPr>
                      <w:sz w:val="18"/>
                      <w:szCs w:val="18"/>
                    </w:rPr>
                    <w:t>236,060</w:t>
                  </w:r>
                </w:p>
              </w:tc>
              <w:tc>
                <w:tcPr>
                  <w:tcW w:w="1197" w:type="dxa"/>
                  <w:noWrap/>
                  <w:tcMar>
                    <w:top w:w="0" w:type="dxa"/>
                    <w:left w:w="144" w:type="dxa"/>
                    <w:bottom w:w="0" w:type="dxa"/>
                    <w:right w:w="0" w:type="dxa"/>
                  </w:tcMar>
                </w:tcPr>
                <w:p w14:paraId="0EAF993F"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464" w:type="dxa"/>
                  <w:noWrap/>
                  <w:tcMar>
                    <w:top w:w="0" w:type="dxa"/>
                    <w:left w:w="144" w:type="dxa"/>
                    <w:bottom w:w="0" w:type="dxa"/>
                    <w:right w:w="0" w:type="dxa"/>
                  </w:tcMar>
                </w:tcPr>
                <w:p w14:paraId="0196CEDF"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w:t>
                  </w:r>
                </w:p>
              </w:tc>
            </w:tr>
            <w:tr w:rsidR="00207559" w14:paraId="49ADB621" w14:textId="77777777" w:rsidTr="00D11DE1">
              <w:trPr>
                <w:cantSplit/>
                <w:jc w:val="center"/>
              </w:trPr>
              <w:tc>
                <w:tcPr>
                  <w:tcW w:w="3953" w:type="dxa"/>
                </w:tcPr>
                <w:p w14:paraId="1A597684"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Distribution by / (investment in) VGP European Logistics Joint Venture</w:t>
                  </w:r>
                  <w:r>
                    <w:rPr>
                      <w:sz w:val="18"/>
                      <w:szCs w:val="18"/>
                    </w:rPr>
                    <w:tab/>
                  </w:r>
                </w:p>
              </w:tc>
              <w:tc>
                <w:tcPr>
                  <w:tcW w:w="793" w:type="dxa"/>
                </w:tcPr>
                <w:p w14:paraId="7524781C"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716" w:type="dxa"/>
                  <w:noWrap/>
                  <w:tcMar>
                    <w:top w:w="0" w:type="dxa"/>
                    <w:left w:w="144" w:type="dxa"/>
                    <w:bottom w:w="0" w:type="dxa"/>
                    <w:right w:w="0" w:type="dxa"/>
                  </w:tcMar>
                </w:tcPr>
                <w:p w14:paraId="1320BDAD"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846" w:type="dxa"/>
                  <w:noWrap/>
                  <w:tcMar>
                    <w:top w:w="0" w:type="dxa"/>
                    <w:left w:w="144" w:type="dxa"/>
                    <w:bottom w:w="0" w:type="dxa"/>
                    <w:right w:w="0" w:type="dxa"/>
                  </w:tcMar>
                </w:tcPr>
                <w:p w14:paraId="6A195C81" w14:textId="77777777" w:rsidR="00207559" w:rsidRDefault="00207559" w:rsidP="00207559">
                  <w:pPr>
                    <w:pStyle w:val="NormalWeb"/>
                    <w:tabs>
                      <w:tab w:val="right" w:pos="800"/>
                      <w:tab w:val="decimal" w:pos="840"/>
                    </w:tabs>
                    <w:spacing w:before="0" w:beforeAutospacing="0" w:after="20" w:afterAutospacing="0"/>
                    <w:jc w:val="right"/>
                    <w:rPr>
                      <w:sz w:val="18"/>
                      <w:szCs w:val="18"/>
                    </w:rPr>
                  </w:pPr>
                  <w:r>
                    <w:rPr>
                      <w:sz w:val="18"/>
                      <w:szCs w:val="18"/>
                    </w:rPr>
                    <w:t>4,678</w:t>
                  </w:r>
                </w:p>
              </w:tc>
              <w:tc>
                <w:tcPr>
                  <w:tcW w:w="1197" w:type="dxa"/>
                  <w:noWrap/>
                  <w:tcMar>
                    <w:top w:w="0" w:type="dxa"/>
                    <w:left w:w="144" w:type="dxa"/>
                    <w:bottom w:w="0" w:type="dxa"/>
                    <w:right w:w="0" w:type="dxa"/>
                  </w:tcMar>
                </w:tcPr>
                <w:p w14:paraId="69FEA5B7" w14:textId="77777777" w:rsidR="00207559" w:rsidRDefault="00207559" w:rsidP="00207559">
                  <w:pPr>
                    <w:pStyle w:val="NormalWeb"/>
                    <w:tabs>
                      <w:tab w:val="right" w:pos="800"/>
                      <w:tab w:val="decimal" w:pos="840"/>
                    </w:tabs>
                    <w:spacing w:before="0" w:beforeAutospacing="0" w:after="20" w:afterAutospacing="0"/>
                    <w:jc w:val="right"/>
                    <w:rPr>
                      <w:sz w:val="18"/>
                      <w:szCs w:val="18"/>
                    </w:rPr>
                  </w:pPr>
                  <w:r>
                    <w:rPr>
                      <w:sz w:val="18"/>
                      <w:szCs w:val="18"/>
                    </w:rPr>
                    <w:t>—</w:t>
                  </w:r>
                </w:p>
              </w:tc>
              <w:tc>
                <w:tcPr>
                  <w:tcW w:w="1464" w:type="dxa"/>
                  <w:noWrap/>
                  <w:tcMar>
                    <w:top w:w="0" w:type="dxa"/>
                    <w:left w:w="144" w:type="dxa"/>
                    <w:bottom w:w="0" w:type="dxa"/>
                    <w:right w:w="0" w:type="dxa"/>
                  </w:tcMar>
                </w:tcPr>
                <w:p w14:paraId="69284A0D" w14:textId="77777777" w:rsidR="00207559" w:rsidRDefault="00207559" w:rsidP="00207559">
                  <w:pPr>
                    <w:pStyle w:val="NormalWeb"/>
                    <w:tabs>
                      <w:tab w:val="right" w:pos="800"/>
                      <w:tab w:val="decimal" w:pos="840"/>
                    </w:tabs>
                    <w:spacing w:before="0" w:beforeAutospacing="0" w:after="20" w:afterAutospacing="0"/>
                    <w:jc w:val="right"/>
                    <w:rPr>
                      <w:sz w:val="18"/>
                      <w:szCs w:val="18"/>
                    </w:rPr>
                  </w:pPr>
                  <w:r>
                    <w:rPr>
                      <w:sz w:val="18"/>
                      <w:szCs w:val="18"/>
                    </w:rPr>
                    <w:t>—</w:t>
                  </w:r>
                </w:p>
              </w:tc>
            </w:tr>
            <w:tr w:rsidR="00207559" w14:paraId="768978A7" w14:textId="77777777" w:rsidTr="00D11DE1">
              <w:trPr>
                <w:cantSplit/>
                <w:jc w:val="center"/>
              </w:trPr>
              <w:tc>
                <w:tcPr>
                  <w:tcW w:w="3953" w:type="dxa"/>
                </w:tcPr>
                <w:p w14:paraId="2830EEED"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(Loans provided to) / loans repaid by joint venture and associates</w:t>
                  </w:r>
                  <w:r>
                    <w:rPr>
                      <w:sz w:val="18"/>
                      <w:szCs w:val="18"/>
                    </w:rPr>
                    <w:tab/>
                  </w:r>
                </w:p>
              </w:tc>
              <w:tc>
                <w:tcPr>
                  <w:tcW w:w="793" w:type="dxa"/>
                </w:tcPr>
                <w:p w14:paraId="784AB2E4"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(36,794)</w:t>
                  </w:r>
                </w:p>
              </w:tc>
              <w:tc>
                <w:tcPr>
                  <w:tcW w:w="716" w:type="dxa"/>
                  <w:noWrap/>
                  <w:tcMar>
                    <w:top w:w="0" w:type="dxa"/>
                    <w:left w:w="144" w:type="dxa"/>
                    <w:bottom w:w="0" w:type="dxa"/>
                    <w:right w:w="0" w:type="dxa"/>
                  </w:tcMar>
                </w:tcPr>
                <w:p w14:paraId="64BDC8E4"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846" w:type="dxa"/>
                  <w:noWrap/>
                  <w:tcMar>
                    <w:top w:w="0" w:type="dxa"/>
                    <w:left w:w="144" w:type="dxa"/>
                    <w:bottom w:w="0" w:type="dxa"/>
                    <w:right w:w="0" w:type="dxa"/>
                  </w:tcMar>
                </w:tcPr>
                <w:p w14:paraId="5FD0BA9A"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(28,546)</w:t>
                  </w:r>
                </w:p>
              </w:tc>
              <w:tc>
                <w:tcPr>
                  <w:tcW w:w="1197" w:type="dxa"/>
                  <w:noWrap/>
                  <w:tcMar>
                    <w:top w:w="0" w:type="dxa"/>
                    <w:left w:w="144" w:type="dxa"/>
                    <w:bottom w:w="0" w:type="dxa"/>
                    <w:right w:w="0" w:type="dxa"/>
                  </w:tcMar>
                </w:tcPr>
                <w:p w14:paraId="659395BD"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464" w:type="dxa"/>
                  <w:noWrap/>
                  <w:tcMar>
                    <w:top w:w="0" w:type="dxa"/>
                    <w:left w:w="144" w:type="dxa"/>
                    <w:bottom w:w="0" w:type="dxa"/>
                    <w:right w:w="0" w:type="dxa"/>
                  </w:tcMar>
                </w:tcPr>
                <w:p w14:paraId="69E44DCC"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49,812</w:t>
                  </w:r>
                </w:p>
              </w:tc>
            </w:tr>
            <w:tr w:rsidR="00207559" w14:paraId="31A3C5EA" w14:textId="77777777" w:rsidTr="00D11DE1">
              <w:trPr>
                <w:cantSplit/>
                <w:jc w:val="center"/>
              </w:trPr>
              <w:tc>
                <w:tcPr>
                  <w:tcW w:w="3953" w:type="dxa"/>
                </w:tcPr>
                <w:p w14:paraId="12E68DF1"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Investment property and investment property under construction</w:t>
                  </w:r>
                  <w:r>
                    <w:rPr>
                      <w:sz w:val="18"/>
                      <w:szCs w:val="18"/>
                    </w:rPr>
                    <w:tab/>
                  </w:r>
                </w:p>
              </w:tc>
              <w:tc>
                <w:tcPr>
                  <w:tcW w:w="793" w:type="dxa"/>
                </w:tcPr>
                <w:p w14:paraId="31DFFFFD" w14:textId="77777777" w:rsidR="00207559" w:rsidRDefault="00207559" w:rsidP="00207559">
                  <w:pPr>
                    <w:jc w:val="right"/>
                    <w:rPr>
                      <w:sz w:val="18"/>
                      <w:szCs w:val="18"/>
                    </w:rPr>
                  </w:pPr>
                  <w:r>
                    <w:rPr>
                      <w:bCs/>
                      <w:sz w:val="18"/>
                      <w:szCs w:val="18"/>
                    </w:rPr>
                    <w:t>(68,829)</w:t>
                  </w:r>
                </w:p>
              </w:tc>
              <w:tc>
                <w:tcPr>
                  <w:tcW w:w="716" w:type="dxa"/>
                  <w:noWrap/>
                  <w:tcMar>
                    <w:top w:w="0" w:type="dxa"/>
                    <w:left w:w="144" w:type="dxa"/>
                    <w:bottom w:w="0" w:type="dxa"/>
                    <w:right w:w="0" w:type="dxa"/>
                  </w:tcMar>
                </w:tcPr>
                <w:p w14:paraId="796C518B" w14:textId="77777777" w:rsidR="00207559" w:rsidRDefault="00207559" w:rsidP="00207559">
                  <w:pPr>
                    <w:jc w:val="right"/>
                    <w:rPr>
                      <w:sz w:val="18"/>
                      <w:szCs w:val="18"/>
                    </w:rPr>
                  </w:pPr>
                  <w:r>
                    <w:rPr>
                      <w:bCs/>
                      <w:sz w:val="18"/>
                      <w:szCs w:val="18"/>
                    </w:rPr>
                    <w:t>(84,279)</w:t>
                  </w:r>
                </w:p>
              </w:tc>
              <w:tc>
                <w:tcPr>
                  <w:tcW w:w="846" w:type="dxa"/>
                  <w:noWrap/>
                  <w:tcMar>
                    <w:top w:w="0" w:type="dxa"/>
                    <w:left w:w="144" w:type="dxa"/>
                    <w:bottom w:w="0" w:type="dxa"/>
                    <w:right w:w="0" w:type="dxa"/>
                  </w:tcMar>
                </w:tcPr>
                <w:p w14:paraId="4B812A05"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(336,654)</w:t>
                  </w:r>
                </w:p>
              </w:tc>
              <w:tc>
                <w:tcPr>
                  <w:tcW w:w="1197" w:type="dxa"/>
                  <w:noWrap/>
                  <w:tcMar>
                    <w:top w:w="0" w:type="dxa"/>
                    <w:left w:w="144" w:type="dxa"/>
                    <w:bottom w:w="0" w:type="dxa"/>
                    <w:right w:w="0" w:type="dxa"/>
                  </w:tcMar>
                </w:tcPr>
                <w:p w14:paraId="3535EAA4"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(147,490)</w:t>
                  </w:r>
                </w:p>
              </w:tc>
              <w:tc>
                <w:tcPr>
                  <w:tcW w:w="1464" w:type="dxa"/>
                  <w:noWrap/>
                  <w:tcMar>
                    <w:top w:w="0" w:type="dxa"/>
                    <w:left w:w="144" w:type="dxa"/>
                    <w:bottom w:w="0" w:type="dxa"/>
                    <w:right w:w="0" w:type="dxa"/>
                  </w:tcMar>
                </w:tcPr>
                <w:p w14:paraId="707773D6"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(112,221)</w:t>
                  </w:r>
                </w:p>
              </w:tc>
            </w:tr>
            <w:tr w:rsidR="00207559" w14:paraId="3C272526" w14:textId="77777777" w:rsidTr="00D11DE1">
              <w:trPr>
                <w:cantSplit/>
                <w:jc w:val="center"/>
              </w:trPr>
              <w:tc>
                <w:tcPr>
                  <w:tcW w:w="3953" w:type="dxa"/>
                </w:tcPr>
                <w:p w14:paraId="72EC6E82" w14:textId="77777777" w:rsidR="00207559" w:rsidRDefault="00207559" w:rsidP="00207559">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Net cash used in investing activities</w:t>
                  </w:r>
                  <w:r>
                    <w:rPr>
                      <w:b/>
                      <w:bCs/>
                      <w:sz w:val="18"/>
                      <w:szCs w:val="18"/>
                    </w:rPr>
                    <w:tab/>
                  </w:r>
                </w:p>
              </w:tc>
              <w:tc>
                <w:tcPr>
                  <w:tcW w:w="793" w:type="dxa"/>
                </w:tcPr>
                <w:p w14:paraId="73585C85"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(14,827)</w:t>
                  </w:r>
                </w:p>
              </w:tc>
              <w:tc>
                <w:tcPr>
                  <w:tcW w:w="716" w:type="dxa"/>
                  <w:noWrap/>
                  <w:tcMar>
                    <w:top w:w="0" w:type="dxa"/>
                    <w:left w:w="144" w:type="dxa"/>
                    <w:bottom w:w="0" w:type="dxa"/>
                    <w:right w:w="0" w:type="dxa"/>
                  </w:tcMar>
                </w:tcPr>
                <w:p w14:paraId="1FE25EB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b/>
                      <w:bCs/>
                      <w:sz w:val="18"/>
                      <w:szCs w:val="18"/>
                    </w:rPr>
                    <w:t>71,520</w:t>
                  </w:r>
                </w:p>
              </w:tc>
              <w:tc>
                <w:tcPr>
                  <w:tcW w:w="846" w:type="dxa"/>
                  <w:noWrap/>
                  <w:tcMar>
                    <w:top w:w="0" w:type="dxa"/>
                    <w:left w:w="144" w:type="dxa"/>
                    <w:bottom w:w="0" w:type="dxa"/>
                    <w:right w:w="0" w:type="dxa"/>
                  </w:tcMar>
                </w:tcPr>
                <w:p w14:paraId="4A586AD2"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(124,416)</w:t>
                  </w:r>
                </w:p>
              </w:tc>
              <w:tc>
                <w:tcPr>
                  <w:tcW w:w="1197" w:type="dxa"/>
                  <w:noWrap/>
                  <w:tcMar>
                    <w:top w:w="0" w:type="dxa"/>
                    <w:left w:w="144" w:type="dxa"/>
                    <w:bottom w:w="0" w:type="dxa"/>
                    <w:right w:w="0" w:type="dxa"/>
                  </w:tcMar>
                </w:tcPr>
                <w:p w14:paraId="3D06DA0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(147,377)</w:t>
                  </w:r>
                </w:p>
              </w:tc>
              <w:tc>
                <w:tcPr>
                  <w:tcW w:w="1464" w:type="dxa"/>
                  <w:noWrap/>
                  <w:tcMar>
                    <w:top w:w="0" w:type="dxa"/>
                    <w:left w:w="144" w:type="dxa"/>
                    <w:bottom w:w="0" w:type="dxa"/>
                    <w:right w:w="0" w:type="dxa"/>
                  </w:tcMar>
                </w:tcPr>
                <w:p w14:paraId="4AE7DD7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(59,491)</w:t>
                  </w:r>
                </w:p>
              </w:tc>
            </w:tr>
            <w:tr w:rsidR="00207559" w14:paraId="5575EF35" w14:textId="77777777" w:rsidTr="00D11DE1">
              <w:trPr>
                <w:cantSplit/>
                <w:jc w:val="center"/>
              </w:trPr>
              <w:tc>
                <w:tcPr>
                  <w:tcW w:w="3953" w:type="dxa"/>
                </w:tcPr>
                <w:p w14:paraId="44C8E843" w14:textId="77777777" w:rsidR="00207559" w:rsidRDefault="00207559" w:rsidP="00207559">
                  <w:pPr>
                    <w:pStyle w:val="NormalWeb"/>
                    <w:tabs>
                      <w:tab w:val="right" w:pos="800"/>
                      <w:tab w:val="decimal" w:pos="840"/>
                    </w:tabs>
                    <w:spacing w:before="0" w:beforeAutospacing="0" w:after="20" w:afterAutospacing="0"/>
                    <w:rPr>
                      <w:rFonts w:eastAsiaTheme="minorEastAsia"/>
                      <w:i/>
                      <w:sz w:val="18"/>
                      <w:szCs w:val="18"/>
                    </w:rPr>
                  </w:pPr>
                  <w:r>
                    <w:rPr>
                      <w:rFonts w:eastAsiaTheme="minorEastAsia"/>
                      <w:i/>
                      <w:sz w:val="18"/>
                      <w:szCs w:val="18"/>
                    </w:rPr>
                    <w:t>Cash flows from Financing Activities</w:t>
                  </w:r>
                </w:p>
              </w:tc>
              <w:tc>
                <w:tcPr>
                  <w:tcW w:w="793" w:type="dxa"/>
                </w:tcPr>
                <w:p w14:paraId="6A833ACA" w14:textId="77777777" w:rsidR="00207559" w:rsidRDefault="00207559" w:rsidP="00207559">
                  <w:pPr>
                    <w:jc w:val="right"/>
                    <w:rPr>
                      <w:sz w:val="18"/>
                      <w:szCs w:val="18"/>
                    </w:rPr>
                  </w:pPr>
                </w:p>
              </w:tc>
              <w:tc>
                <w:tcPr>
                  <w:tcW w:w="716" w:type="dxa"/>
                </w:tcPr>
                <w:p w14:paraId="4773392A" w14:textId="77777777" w:rsidR="00207559" w:rsidRDefault="00207559" w:rsidP="00207559">
                  <w:pPr>
                    <w:jc w:val="right"/>
                    <w:rPr>
                      <w:sz w:val="18"/>
                      <w:szCs w:val="18"/>
                    </w:rPr>
                  </w:pPr>
                </w:p>
              </w:tc>
              <w:tc>
                <w:tcPr>
                  <w:tcW w:w="2043" w:type="dxa"/>
                  <w:gridSpan w:val="2"/>
                </w:tcPr>
                <w:p w14:paraId="2A64DBAC"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i/>
                      <w:sz w:val="18"/>
                      <w:szCs w:val="18"/>
                    </w:rPr>
                  </w:pPr>
                </w:p>
              </w:tc>
              <w:tc>
                <w:tcPr>
                  <w:tcW w:w="1464" w:type="dxa"/>
                </w:tcPr>
                <w:p w14:paraId="7A4C2009"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i/>
                      <w:sz w:val="18"/>
                      <w:szCs w:val="18"/>
                    </w:rPr>
                  </w:pPr>
                </w:p>
              </w:tc>
            </w:tr>
            <w:tr w:rsidR="00207559" w14:paraId="6B50ED9B" w14:textId="77777777" w:rsidTr="00D11DE1">
              <w:trPr>
                <w:cantSplit/>
                <w:jc w:val="center"/>
              </w:trPr>
              <w:tc>
                <w:tcPr>
                  <w:tcW w:w="3953" w:type="dxa"/>
                </w:tcPr>
                <w:p w14:paraId="28669A80"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Gross dividends paid</w:t>
                  </w:r>
                  <w:r>
                    <w:rPr>
                      <w:sz w:val="18"/>
                      <w:szCs w:val="18"/>
                    </w:rPr>
                    <w:tab/>
                  </w:r>
                </w:p>
              </w:tc>
              <w:tc>
                <w:tcPr>
                  <w:tcW w:w="793" w:type="dxa"/>
                </w:tcPr>
                <w:p w14:paraId="0341D69A" w14:textId="77777777" w:rsidR="00207559" w:rsidRDefault="00207559" w:rsidP="00207559">
                  <w:pPr>
                    <w:jc w:val="right"/>
                    <w:rPr>
                      <w:sz w:val="18"/>
                      <w:szCs w:val="18"/>
                    </w:rPr>
                  </w:pPr>
                  <w:r>
                    <w:rPr>
                      <w:sz w:val="18"/>
                      <w:szCs w:val="18"/>
                    </w:rPr>
                    <w:t>—</w:t>
                  </w:r>
                </w:p>
              </w:tc>
              <w:tc>
                <w:tcPr>
                  <w:tcW w:w="716" w:type="dxa"/>
                  <w:noWrap/>
                  <w:tcMar>
                    <w:top w:w="0" w:type="dxa"/>
                    <w:left w:w="144" w:type="dxa"/>
                    <w:bottom w:w="0" w:type="dxa"/>
                    <w:right w:w="0" w:type="dxa"/>
                  </w:tcMar>
                </w:tcPr>
                <w:p w14:paraId="0FD28AF8" w14:textId="77777777" w:rsidR="00207559" w:rsidRDefault="00207559" w:rsidP="00207559">
                  <w:pPr>
                    <w:jc w:val="right"/>
                    <w:rPr>
                      <w:sz w:val="18"/>
                      <w:szCs w:val="18"/>
                    </w:rPr>
                  </w:pPr>
                  <w:r>
                    <w:rPr>
                      <w:sz w:val="18"/>
                      <w:szCs w:val="18"/>
                    </w:rPr>
                    <w:t>—</w:t>
                  </w:r>
                </w:p>
              </w:tc>
              <w:tc>
                <w:tcPr>
                  <w:tcW w:w="846" w:type="dxa"/>
                  <w:noWrap/>
                  <w:tcMar>
                    <w:top w:w="0" w:type="dxa"/>
                    <w:left w:w="144" w:type="dxa"/>
                    <w:bottom w:w="0" w:type="dxa"/>
                    <w:right w:w="0" w:type="dxa"/>
                  </w:tcMar>
                </w:tcPr>
                <w:p w14:paraId="1B2A0857"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197" w:type="dxa"/>
                  <w:noWrap/>
                  <w:tcMar>
                    <w:top w:w="0" w:type="dxa"/>
                    <w:left w:w="144" w:type="dxa"/>
                    <w:bottom w:w="0" w:type="dxa"/>
                    <w:right w:w="0" w:type="dxa"/>
                  </w:tcMar>
                </w:tcPr>
                <w:p w14:paraId="368EBD95"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464" w:type="dxa"/>
                  <w:noWrap/>
                  <w:tcMar>
                    <w:top w:w="0" w:type="dxa"/>
                    <w:left w:w="144" w:type="dxa"/>
                    <w:bottom w:w="0" w:type="dxa"/>
                    <w:right w:w="0" w:type="dxa"/>
                  </w:tcMar>
                </w:tcPr>
                <w:p w14:paraId="1D0BDE03"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w:t>
                  </w:r>
                </w:p>
              </w:tc>
            </w:tr>
            <w:tr w:rsidR="00207559" w14:paraId="2E98DA4C" w14:textId="77777777" w:rsidTr="00D11DE1">
              <w:trPr>
                <w:cantSplit/>
                <w:jc w:val="center"/>
              </w:trPr>
              <w:tc>
                <w:tcPr>
                  <w:tcW w:w="3953" w:type="dxa"/>
                </w:tcPr>
                <w:p w14:paraId="1AB84F51"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Net proceeds / (cash out) from the issue / (repayment) hybrid instruments</w:t>
                  </w:r>
                  <w:r>
                    <w:rPr>
                      <w:sz w:val="18"/>
                      <w:szCs w:val="18"/>
                    </w:rPr>
                    <w:tab/>
                  </w:r>
                </w:p>
              </w:tc>
              <w:tc>
                <w:tcPr>
                  <w:tcW w:w="793" w:type="dxa"/>
                </w:tcPr>
                <w:p w14:paraId="2BC7A195" w14:textId="77777777" w:rsidR="00207559" w:rsidRDefault="00207559" w:rsidP="00207559">
                  <w:pPr>
                    <w:jc w:val="right"/>
                    <w:rPr>
                      <w:sz w:val="18"/>
                      <w:szCs w:val="18"/>
                    </w:rPr>
                  </w:pPr>
                  <w:r>
                    <w:rPr>
                      <w:sz w:val="18"/>
                      <w:szCs w:val="18"/>
                    </w:rPr>
                    <w:t>—</w:t>
                  </w:r>
                </w:p>
              </w:tc>
              <w:tc>
                <w:tcPr>
                  <w:tcW w:w="716" w:type="dxa"/>
                  <w:noWrap/>
                  <w:tcMar>
                    <w:top w:w="0" w:type="dxa"/>
                    <w:left w:w="144" w:type="dxa"/>
                    <w:bottom w:w="0" w:type="dxa"/>
                    <w:right w:w="0" w:type="dxa"/>
                  </w:tcMar>
                </w:tcPr>
                <w:p w14:paraId="248E8BBA" w14:textId="77777777" w:rsidR="00207559" w:rsidRDefault="00207559" w:rsidP="00207559">
                  <w:pPr>
                    <w:jc w:val="right"/>
                    <w:rPr>
                      <w:sz w:val="18"/>
                      <w:szCs w:val="18"/>
                    </w:rPr>
                  </w:pPr>
                  <w:r>
                    <w:rPr>
                      <w:bCs/>
                      <w:sz w:val="18"/>
                      <w:szCs w:val="18"/>
                    </w:rPr>
                    <w:t>(62,960)</w:t>
                  </w:r>
                </w:p>
              </w:tc>
              <w:tc>
                <w:tcPr>
                  <w:tcW w:w="846" w:type="dxa"/>
                  <w:noWrap/>
                  <w:tcMar>
                    <w:top w:w="0" w:type="dxa"/>
                    <w:left w:w="144" w:type="dxa"/>
                    <w:bottom w:w="0" w:type="dxa"/>
                    <w:right w:w="0" w:type="dxa"/>
                  </w:tcMar>
                </w:tcPr>
                <w:p w14:paraId="0B9313B3"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(62,960)</w:t>
                  </w:r>
                </w:p>
              </w:tc>
              <w:tc>
                <w:tcPr>
                  <w:tcW w:w="1197" w:type="dxa"/>
                  <w:noWrap/>
                  <w:tcMar>
                    <w:top w:w="0" w:type="dxa"/>
                    <w:left w:w="144" w:type="dxa"/>
                    <w:bottom w:w="0" w:type="dxa"/>
                    <w:right w:w="0" w:type="dxa"/>
                  </w:tcMar>
                </w:tcPr>
                <w:p w14:paraId="24676530"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60,000</w:t>
                  </w:r>
                </w:p>
              </w:tc>
              <w:tc>
                <w:tcPr>
                  <w:tcW w:w="1464" w:type="dxa"/>
                  <w:noWrap/>
                  <w:tcMar>
                    <w:top w:w="0" w:type="dxa"/>
                    <w:left w:w="144" w:type="dxa"/>
                    <w:bottom w:w="0" w:type="dxa"/>
                    <w:right w:w="0" w:type="dxa"/>
                  </w:tcMar>
                </w:tcPr>
                <w:p w14:paraId="2DA1ADE4"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w:t>
                  </w:r>
                </w:p>
              </w:tc>
            </w:tr>
            <w:tr w:rsidR="00207559" w14:paraId="5FA0BBE4" w14:textId="77777777" w:rsidTr="00D11DE1">
              <w:trPr>
                <w:cantSplit/>
                <w:jc w:val="center"/>
              </w:trPr>
              <w:tc>
                <w:tcPr>
                  <w:tcW w:w="3953" w:type="dxa"/>
                </w:tcPr>
                <w:p w14:paraId="38FB609D"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Proceeds from loans and bonds</w:t>
                  </w:r>
                  <w:r>
                    <w:rPr>
                      <w:sz w:val="18"/>
                      <w:szCs w:val="18"/>
                    </w:rPr>
                    <w:tab/>
                  </w:r>
                </w:p>
              </w:tc>
              <w:tc>
                <w:tcPr>
                  <w:tcW w:w="793" w:type="dxa"/>
                </w:tcPr>
                <w:p w14:paraId="1EB63A0F" w14:textId="77777777" w:rsidR="00207559" w:rsidRDefault="00207559" w:rsidP="00207559">
                  <w:pPr>
                    <w:jc w:val="right"/>
                    <w:rPr>
                      <w:sz w:val="18"/>
                      <w:szCs w:val="18"/>
                    </w:rPr>
                  </w:pPr>
                  <w:r>
                    <w:rPr>
                      <w:sz w:val="18"/>
                      <w:szCs w:val="18"/>
                    </w:rPr>
                    <w:t>79,568</w:t>
                  </w:r>
                </w:p>
              </w:tc>
              <w:tc>
                <w:tcPr>
                  <w:tcW w:w="716" w:type="dxa"/>
                  <w:noWrap/>
                  <w:tcMar>
                    <w:top w:w="0" w:type="dxa"/>
                    <w:left w:w="144" w:type="dxa"/>
                    <w:bottom w:w="0" w:type="dxa"/>
                    <w:right w:w="0" w:type="dxa"/>
                  </w:tcMar>
                </w:tcPr>
                <w:p w14:paraId="4FDE0ED1" w14:textId="77777777" w:rsidR="00207559" w:rsidRDefault="00207559" w:rsidP="00207559">
                  <w:pPr>
                    <w:jc w:val="right"/>
                    <w:rPr>
                      <w:sz w:val="18"/>
                      <w:szCs w:val="18"/>
                    </w:rPr>
                  </w:pPr>
                  <w:r>
                    <w:rPr>
                      <w:bCs/>
                      <w:sz w:val="18"/>
                      <w:szCs w:val="18"/>
                    </w:rPr>
                    <w:t>50,009</w:t>
                  </w:r>
                </w:p>
              </w:tc>
              <w:tc>
                <w:tcPr>
                  <w:tcW w:w="846" w:type="dxa"/>
                  <w:noWrap/>
                  <w:tcMar>
                    <w:top w:w="0" w:type="dxa"/>
                    <w:left w:w="144" w:type="dxa"/>
                    <w:bottom w:w="0" w:type="dxa"/>
                    <w:right w:w="0" w:type="dxa"/>
                  </w:tcMar>
                </w:tcPr>
                <w:p w14:paraId="14EB38B4"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283,367</w:t>
                  </w:r>
                </w:p>
              </w:tc>
              <w:tc>
                <w:tcPr>
                  <w:tcW w:w="1197" w:type="dxa"/>
                  <w:noWrap/>
                  <w:tcMar>
                    <w:top w:w="0" w:type="dxa"/>
                    <w:left w:w="144" w:type="dxa"/>
                    <w:bottom w:w="0" w:type="dxa"/>
                    <w:right w:w="0" w:type="dxa"/>
                  </w:tcMar>
                </w:tcPr>
                <w:p w14:paraId="1EEAFD87"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83,967</w:t>
                  </w:r>
                </w:p>
              </w:tc>
              <w:tc>
                <w:tcPr>
                  <w:tcW w:w="1464" w:type="dxa"/>
                  <w:noWrap/>
                  <w:tcMar>
                    <w:top w:w="0" w:type="dxa"/>
                    <w:left w:w="144" w:type="dxa"/>
                    <w:bottom w:w="0" w:type="dxa"/>
                    <w:right w:w="0" w:type="dxa"/>
                  </w:tcMar>
                </w:tcPr>
                <w:p w14:paraId="380CD6FF"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26,862</w:t>
                  </w:r>
                </w:p>
              </w:tc>
            </w:tr>
            <w:tr w:rsidR="00207559" w14:paraId="61AEFE39" w14:textId="77777777" w:rsidTr="00D11DE1">
              <w:trPr>
                <w:cantSplit/>
                <w:jc w:val="center"/>
              </w:trPr>
              <w:tc>
                <w:tcPr>
                  <w:tcW w:w="3953" w:type="dxa"/>
                </w:tcPr>
                <w:p w14:paraId="34551011"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lastRenderedPageBreak/>
                    <w:t>Loan and bond repayments</w:t>
                  </w:r>
                  <w:r>
                    <w:rPr>
                      <w:sz w:val="18"/>
                      <w:szCs w:val="18"/>
                    </w:rPr>
                    <w:tab/>
                  </w:r>
                </w:p>
              </w:tc>
              <w:tc>
                <w:tcPr>
                  <w:tcW w:w="793" w:type="dxa"/>
                </w:tcPr>
                <w:p w14:paraId="3E5627C7" w14:textId="77777777" w:rsidR="00207559" w:rsidRDefault="00207559" w:rsidP="00207559">
                  <w:pPr>
                    <w:jc w:val="right"/>
                    <w:rPr>
                      <w:sz w:val="18"/>
                      <w:szCs w:val="18"/>
                    </w:rPr>
                  </w:pPr>
                  <w:r>
                    <w:rPr>
                      <w:bCs/>
                      <w:sz w:val="18"/>
                      <w:szCs w:val="18"/>
                    </w:rPr>
                    <w:t>(4,131)</w:t>
                  </w:r>
                </w:p>
              </w:tc>
              <w:tc>
                <w:tcPr>
                  <w:tcW w:w="716" w:type="dxa"/>
                  <w:noWrap/>
                  <w:tcMar>
                    <w:top w:w="0" w:type="dxa"/>
                    <w:left w:w="144" w:type="dxa"/>
                    <w:bottom w:w="0" w:type="dxa"/>
                    <w:right w:w="0" w:type="dxa"/>
                  </w:tcMar>
                </w:tcPr>
                <w:p w14:paraId="0A40E1B3" w14:textId="77777777" w:rsidR="00207559" w:rsidRDefault="00207559" w:rsidP="00207559">
                  <w:pPr>
                    <w:jc w:val="right"/>
                    <w:rPr>
                      <w:sz w:val="18"/>
                      <w:szCs w:val="18"/>
                    </w:rPr>
                  </w:pPr>
                  <w:r>
                    <w:rPr>
                      <w:bCs/>
                      <w:sz w:val="18"/>
                      <w:szCs w:val="18"/>
                    </w:rPr>
                    <w:t>(50,714)</w:t>
                  </w:r>
                </w:p>
              </w:tc>
              <w:tc>
                <w:tcPr>
                  <w:tcW w:w="846" w:type="dxa"/>
                  <w:noWrap/>
                  <w:tcMar>
                    <w:top w:w="0" w:type="dxa"/>
                    <w:left w:w="144" w:type="dxa"/>
                    <w:bottom w:w="0" w:type="dxa"/>
                    <w:right w:w="0" w:type="dxa"/>
                  </w:tcMar>
                </w:tcPr>
                <w:p w14:paraId="761F52C9"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(51,536)</w:t>
                  </w:r>
                </w:p>
              </w:tc>
              <w:tc>
                <w:tcPr>
                  <w:tcW w:w="1197" w:type="dxa"/>
                  <w:noWrap/>
                  <w:tcMar>
                    <w:top w:w="0" w:type="dxa"/>
                    <w:left w:w="144" w:type="dxa"/>
                    <w:bottom w:w="0" w:type="dxa"/>
                    <w:right w:w="0" w:type="dxa"/>
                  </w:tcMar>
                </w:tcPr>
                <w:p w14:paraId="2AB7E327"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(3,914)</w:t>
                  </w:r>
                </w:p>
              </w:tc>
              <w:tc>
                <w:tcPr>
                  <w:tcW w:w="1464" w:type="dxa"/>
                  <w:noWrap/>
                  <w:tcMar>
                    <w:top w:w="0" w:type="dxa"/>
                    <w:left w:w="144" w:type="dxa"/>
                    <w:bottom w:w="0" w:type="dxa"/>
                    <w:right w:w="0" w:type="dxa"/>
                  </w:tcMar>
                </w:tcPr>
                <w:p w14:paraId="6B922C00"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(1,612)</w:t>
                  </w:r>
                </w:p>
              </w:tc>
            </w:tr>
            <w:tr w:rsidR="00207559" w14:paraId="2BEFBDE9" w14:textId="77777777" w:rsidTr="00D11DE1">
              <w:trPr>
                <w:cantSplit/>
                <w:jc w:val="center"/>
              </w:trPr>
              <w:tc>
                <w:tcPr>
                  <w:tcW w:w="3953" w:type="dxa"/>
                </w:tcPr>
                <w:p w14:paraId="115BC539" w14:textId="77777777" w:rsidR="00207559" w:rsidRDefault="00207559" w:rsidP="00207559">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Net cash used in financing activities</w:t>
                  </w:r>
                  <w:r>
                    <w:rPr>
                      <w:b/>
                      <w:bCs/>
                      <w:sz w:val="18"/>
                      <w:szCs w:val="18"/>
                    </w:rPr>
                    <w:tab/>
                  </w:r>
                </w:p>
              </w:tc>
              <w:tc>
                <w:tcPr>
                  <w:tcW w:w="793" w:type="dxa"/>
                </w:tcPr>
                <w:p w14:paraId="08A9E07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75,437</w:t>
                  </w:r>
                </w:p>
              </w:tc>
              <w:tc>
                <w:tcPr>
                  <w:tcW w:w="716" w:type="dxa"/>
                  <w:noWrap/>
                  <w:tcMar>
                    <w:top w:w="0" w:type="dxa"/>
                    <w:left w:w="144" w:type="dxa"/>
                    <w:bottom w:w="0" w:type="dxa"/>
                    <w:right w:w="0" w:type="dxa"/>
                  </w:tcMar>
                </w:tcPr>
                <w:p w14:paraId="781611DE"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
                      <w:bCs/>
                      <w:sz w:val="18"/>
                      <w:szCs w:val="18"/>
                    </w:rPr>
                    <w:t>(63,665)</w:t>
                  </w:r>
                </w:p>
              </w:tc>
              <w:tc>
                <w:tcPr>
                  <w:tcW w:w="846" w:type="dxa"/>
                  <w:noWrap/>
                  <w:tcMar>
                    <w:top w:w="0" w:type="dxa"/>
                    <w:left w:w="144" w:type="dxa"/>
                    <w:bottom w:w="0" w:type="dxa"/>
                    <w:right w:w="0" w:type="dxa"/>
                  </w:tcMar>
                </w:tcPr>
                <w:p w14:paraId="01B87886"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168,871</w:t>
                  </w:r>
                </w:p>
              </w:tc>
              <w:tc>
                <w:tcPr>
                  <w:tcW w:w="1197" w:type="dxa"/>
                  <w:noWrap/>
                  <w:tcMar>
                    <w:top w:w="0" w:type="dxa"/>
                    <w:left w:w="144" w:type="dxa"/>
                    <w:bottom w:w="0" w:type="dxa"/>
                    <w:right w:w="0" w:type="dxa"/>
                  </w:tcMar>
                </w:tcPr>
                <w:p w14:paraId="1CF45E5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140,053</w:t>
                  </w:r>
                </w:p>
              </w:tc>
              <w:tc>
                <w:tcPr>
                  <w:tcW w:w="1464" w:type="dxa"/>
                  <w:noWrap/>
                  <w:tcMar>
                    <w:top w:w="0" w:type="dxa"/>
                    <w:left w:w="144" w:type="dxa"/>
                    <w:bottom w:w="0" w:type="dxa"/>
                    <w:right w:w="0" w:type="dxa"/>
                  </w:tcMar>
                </w:tcPr>
                <w:p w14:paraId="65D4B34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25,250</w:t>
                  </w:r>
                </w:p>
              </w:tc>
            </w:tr>
            <w:tr w:rsidR="00207559" w14:paraId="39723C31" w14:textId="77777777" w:rsidTr="00D11DE1">
              <w:trPr>
                <w:cantSplit/>
                <w:jc w:val="center"/>
              </w:trPr>
              <w:tc>
                <w:tcPr>
                  <w:tcW w:w="3953" w:type="dxa"/>
                </w:tcPr>
                <w:p w14:paraId="27554FD0" w14:textId="77777777" w:rsidR="00207559" w:rsidRDefault="00207559" w:rsidP="00207559">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Net increase / (decrease) in cash and cash equivalents</w:t>
                  </w:r>
                  <w:r>
                    <w:rPr>
                      <w:b/>
                      <w:bCs/>
                      <w:sz w:val="18"/>
                      <w:szCs w:val="18"/>
                    </w:rPr>
                    <w:tab/>
                  </w:r>
                </w:p>
              </w:tc>
              <w:tc>
                <w:tcPr>
                  <w:tcW w:w="793" w:type="dxa"/>
                </w:tcPr>
                <w:p w14:paraId="0EE3B2E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
                      <w:bCs/>
                      <w:sz w:val="18"/>
                      <w:szCs w:val="18"/>
                    </w:rPr>
                    <w:t>66,121</w:t>
                  </w:r>
                </w:p>
              </w:tc>
              <w:tc>
                <w:tcPr>
                  <w:tcW w:w="716" w:type="dxa"/>
                  <w:noWrap/>
                  <w:tcMar>
                    <w:top w:w="0" w:type="dxa"/>
                    <w:left w:w="144" w:type="dxa"/>
                    <w:bottom w:w="0" w:type="dxa"/>
                    <w:right w:w="0" w:type="dxa"/>
                  </w:tcMar>
                </w:tcPr>
                <w:p w14:paraId="50544288"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
                      <w:bCs/>
                      <w:sz w:val="18"/>
                      <w:szCs w:val="18"/>
                    </w:rPr>
                    <w:t>22,421</w:t>
                  </w:r>
                </w:p>
              </w:tc>
              <w:tc>
                <w:tcPr>
                  <w:tcW w:w="846" w:type="dxa"/>
                  <w:noWrap/>
                  <w:tcMar>
                    <w:top w:w="0" w:type="dxa"/>
                    <w:left w:w="144" w:type="dxa"/>
                    <w:bottom w:w="0" w:type="dxa"/>
                    <w:right w:w="0" w:type="dxa"/>
                  </w:tcMar>
                </w:tcPr>
                <w:p w14:paraId="4B892EBA"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51,248</w:t>
                  </w:r>
                </w:p>
              </w:tc>
              <w:tc>
                <w:tcPr>
                  <w:tcW w:w="1197" w:type="dxa"/>
                  <w:noWrap/>
                  <w:tcMar>
                    <w:top w:w="0" w:type="dxa"/>
                    <w:left w:w="144" w:type="dxa"/>
                    <w:bottom w:w="0" w:type="dxa"/>
                    <w:right w:w="0" w:type="dxa"/>
                  </w:tcMar>
                </w:tcPr>
                <w:p w14:paraId="68D26ECF"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(19,933)</w:t>
                  </w:r>
                </w:p>
              </w:tc>
              <w:tc>
                <w:tcPr>
                  <w:tcW w:w="1464" w:type="dxa"/>
                  <w:noWrap/>
                  <w:tcMar>
                    <w:top w:w="0" w:type="dxa"/>
                    <w:left w:w="144" w:type="dxa"/>
                    <w:bottom w:w="0" w:type="dxa"/>
                    <w:right w:w="0" w:type="dxa"/>
                  </w:tcMar>
                </w:tcPr>
                <w:p w14:paraId="6BF1E1D9"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(35,783)</w:t>
                  </w:r>
                </w:p>
              </w:tc>
            </w:tr>
            <w:tr w:rsidR="00207559" w14:paraId="410B4314" w14:textId="77777777" w:rsidTr="00D11DE1">
              <w:trPr>
                <w:cantSplit/>
                <w:jc w:val="center"/>
              </w:trPr>
              <w:tc>
                <w:tcPr>
                  <w:tcW w:w="3953" w:type="dxa"/>
                </w:tcPr>
                <w:p w14:paraId="6E7BEF1A"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Cash and cash equivalents at the beginning of the period</w:t>
                  </w:r>
                  <w:r>
                    <w:rPr>
                      <w:sz w:val="18"/>
                      <w:szCs w:val="18"/>
                    </w:rPr>
                    <w:tab/>
                  </w:r>
                </w:p>
              </w:tc>
              <w:tc>
                <w:tcPr>
                  <w:tcW w:w="793" w:type="dxa"/>
                </w:tcPr>
                <w:p w14:paraId="2390A757" w14:textId="77777777" w:rsidR="00207559" w:rsidRDefault="00207559" w:rsidP="00207559">
                  <w:pPr>
                    <w:pStyle w:val="NormalWeb"/>
                    <w:tabs>
                      <w:tab w:val="right" w:pos="1000"/>
                      <w:tab w:val="decimal" w:pos="1040"/>
                    </w:tabs>
                    <w:spacing w:before="0" w:beforeAutospacing="0" w:after="20" w:afterAutospacing="0"/>
                    <w:jc w:val="right"/>
                    <w:rPr>
                      <w:rFonts w:eastAsiaTheme="minorEastAsia"/>
                      <w:sz w:val="18"/>
                      <w:szCs w:val="18"/>
                    </w:rPr>
                  </w:pPr>
                  <w:r>
                    <w:rPr>
                      <w:rFonts w:eastAsiaTheme="minorEastAsia"/>
                      <w:sz w:val="18"/>
                      <w:szCs w:val="18"/>
                    </w:rPr>
                    <w:t>71,595</w:t>
                  </w:r>
                </w:p>
              </w:tc>
              <w:tc>
                <w:tcPr>
                  <w:tcW w:w="716" w:type="dxa"/>
                  <w:noWrap/>
                  <w:tcMar>
                    <w:top w:w="0" w:type="dxa"/>
                    <w:left w:w="144" w:type="dxa"/>
                    <w:bottom w:w="0" w:type="dxa"/>
                    <w:right w:w="0" w:type="dxa"/>
                  </w:tcMar>
                </w:tcPr>
                <w:p w14:paraId="7F7087D9" w14:textId="77777777" w:rsidR="00207559" w:rsidRDefault="00207559" w:rsidP="00207559">
                  <w:pPr>
                    <w:pStyle w:val="NormalWeb"/>
                    <w:tabs>
                      <w:tab w:val="right" w:pos="1000"/>
                      <w:tab w:val="decimal" w:pos="1040"/>
                    </w:tabs>
                    <w:spacing w:before="0" w:beforeAutospacing="0" w:after="20" w:afterAutospacing="0"/>
                    <w:jc w:val="right"/>
                    <w:rPr>
                      <w:rFonts w:eastAsiaTheme="minorEastAsia"/>
                      <w:sz w:val="18"/>
                      <w:szCs w:val="18"/>
                    </w:rPr>
                  </w:pPr>
                  <w:r>
                    <w:rPr>
                      <w:bCs/>
                      <w:sz w:val="18"/>
                      <w:szCs w:val="18"/>
                    </w:rPr>
                    <w:t>9,825</w:t>
                  </w:r>
                </w:p>
              </w:tc>
              <w:tc>
                <w:tcPr>
                  <w:tcW w:w="846" w:type="dxa"/>
                  <w:noWrap/>
                  <w:tcMar>
                    <w:top w:w="0" w:type="dxa"/>
                    <w:left w:w="144" w:type="dxa"/>
                    <w:bottom w:w="0" w:type="dxa"/>
                    <w:right w:w="0" w:type="dxa"/>
                  </w:tcMar>
                </w:tcPr>
                <w:p w14:paraId="1B188878"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9,825</w:t>
                  </w:r>
                </w:p>
              </w:tc>
              <w:tc>
                <w:tcPr>
                  <w:tcW w:w="1197" w:type="dxa"/>
                  <w:noWrap/>
                  <w:tcMar>
                    <w:top w:w="0" w:type="dxa"/>
                    <w:left w:w="144" w:type="dxa"/>
                    <w:bottom w:w="0" w:type="dxa"/>
                    <w:right w:w="0" w:type="dxa"/>
                  </w:tcMar>
                </w:tcPr>
                <w:p w14:paraId="17382828"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43,595</w:t>
                  </w:r>
                </w:p>
              </w:tc>
              <w:tc>
                <w:tcPr>
                  <w:tcW w:w="1464" w:type="dxa"/>
                  <w:noWrap/>
                  <w:tcMar>
                    <w:top w:w="0" w:type="dxa"/>
                    <w:left w:w="144" w:type="dxa"/>
                    <w:bottom w:w="0" w:type="dxa"/>
                    <w:right w:w="0" w:type="dxa"/>
                  </w:tcMar>
                </w:tcPr>
                <w:p w14:paraId="606941B9"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79,226</w:t>
                  </w:r>
                </w:p>
              </w:tc>
            </w:tr>
            <w:tr w:rsidR="00207559" w14:paraId="0F3C64DD" w14:textId="77777777" w:rsidTr="00D11DE1">
              <w:trPr>
                <w:cantSplit/>
                <w:jc w:val="center"/>
              </w:trPr>
              <w:tc>
                <w:tcPr>
                  <w:tcW w:w="3953" w:type="dxa"/>
                </w:tcPr>
                <w:p w14:paraId="68192D2E"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Effect of exchange rate fluctuations</w:t>
                  </w:r>
                  <w:r>
                    <w:rPr>
                      <w:sz w:val="18"/>
                      <w:szCs w:val="18"/>
                    </w:rPr>
                    <w:tab/>
                  </w:r>
                </w:p>
              </w:tc>
              <w:tc>
                <w:tcPr>
                  <w:tcW w:w="793" w:type="dxa"/>
                </w:tcPr>
                <w:p w14:paraId="28E73287" w14:textId="77777777" w:rsidR="00207559" w:rsidRDefault="00207559" w:rsidP="00207559">
                  <w:pPr>
                    <w:pStyle w:val="NormalWeb"/>
                    <w:tabs>
                      <w:tab w:val="right" w:pos="1000"/>
                      <w:tab w:val="decimal" w:pos="1040"/>
                    </w:tabs>
                    <w:spacing w:before="0" w:beforeAutospacing="0" w:after="20" w:afterAutospacing="0"/>
                    <w:jc w:val="right"/>
                    <w:rPr>
                      <w:rFonts w:eastAsiaTheme="minorEastAsia"/>
                      <w:sz w:val="18"/>
                      <w:szCs w:val="18"/>
                    </w:rPr>
                  </w:pPr>
                  <w:r>
                    <w:rPr>
                      <w:rFonts w:eastAsiaTheme="minorEastAsia"/>
                      <w:sz w:val="18"/>
                      <w:szCs w:val="18"/>
                    </w:rPr>
                    <w:t>412</w:t>
                  </w:r>
                </w:p>
              </w:tc>
              <w:tc>
                <w:tcPr>
                  <w:tcW w:w="716" w:type="dxa"/>
                  <w:noWrap/>
                  <w:tcMar>
                    <w:top w:w="0" w:type="dxa"/>
                    <w:left w:w="144" w:type="dxa"/>
                    <w:bottom w:w="0" w:type="dxa"/>
                    <w:right w:w="0" w:type="dxa"/>
                  </w:tcMar>
                </w:tcPr>
                <w:p w14:paraId="488A1F56" w14:textId="77777777" w:rsidR="00207559" w:rsidRDefault="00207559" w:rsidP="00207559">
                  <w:pPr>
                    <w:pStyle w:val="NormalWeb"/>
                    <w:tabs>
                      <w:tab w:val="right" w:pos="1000"/>
                      <w:tab w:val="decimal" w:pos="1040"/>
                    </w:tabs>
                    <w:spacing w:before="0" w:beforeAutospacing="0" w:after="20" w:afterAutospacing="0"/>
                    <w:jc w:val="right"/>
                    <w:rPr>
                      <w:rFonts w:eastAsiaTheme="minorEastAsia"/>
                      <w:sz w:val="18"/>
                      <w:szCs w:val="18"/>
                    </w:rPr>
                  </w:pPr>
                  <w:r>
                    <w:rPr>
                      <w:bCs/>
                      <w:sz w:val="18"/>
                      <w:szCs w:val="18"/>
                    </w:rPr>
                    <w:t>176</w:t>
                  </w:r>
                </w:p>
              </w:tc>
              <w:tc>
                <w:tcPr>
                  <w:tcW w:w="846" w:type="dxa"/>
                  <w:noWrap/>
                  <w:tcMar>
                    <w:top w:w="0" w:type="dxa"/>
                    <w:left w:w="144" w:type="dxa"/>
                    <w:bottom w:w="0" w:type="dxa"/>
                    <w:right w:w="0" w:type="dxa"/>
                  </w:tcMar>
                </w:tcPr>
                <w:p w14:paraId="75E10C37"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234</w:t>
                  </w:r>
                </w:p>
              </w:tc>
              <w:tc>
                <w:tcPr>
                  <w:tcW w:w="1197" w:type="dxa"/>
                  <w:noWrap/>
                  <w:tcMar>
                    <w:top w:w="0" w:type="dxa"/>
                    <w:left w:w="144" w:type="dxa"/>
                    <w:bottom w:w="0" w:type="dxa"/>
                    <w:right w:w="0" w:type="dxa"/>
                  </w:tcMar>
                </w:tcPr>
                <w:p w14:paraId="559EA259"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347</w:t>
                  </w:r>
                </w:p>
              </w:tc>
              <w:tc>
                <w:tcPr>
                  <w:tcW w:w="1464" w:type="dxa"/>
                  <w:noWrap/>
                  <w:tcMar>
                    <w:top w:w="0" w:type="dxa"/>
                    <w:left w:w="144" w:type="dxa"/>
                    <w:bottom w:w="0" w:type="dxa"/>
                    <w:right w:w="0" w:type="dxa"/>
                  </w:tcMar>
                </w:tcPr>
                <w:p w14:paraId="41C720A6"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152</w:t>
                  </w:r>
                </w:p>
              </w:tc>
            </w:tr>
            <w:tr w:rsidR="00207559" w14:paraId="2A42E5A6" w14:textId="77777777" w:rsidTr="00D11DE1">
              <w:trPr>
                <w:cantSplit/>
                <w:jc w:val="center"/>
              </w:trPr>
              <w:tc>
                <w:tcPr>
                  <w:tcW w:w="3953" w:type="dxa"/>
                </w:tcPr>
                <w:p w14:paraId="1AF61C9F" w14:textId="77777777" w:rsidR="00207559" w:rsidRDefault="00207559" w:rsidP="00207559">
                  <w:pPr>
                    <w:pStyle w:val="NormalWeb"/>
                    <w:keepNext/>
                    <w:tabs>
                      <w:tab w:val="right" w:leader="dot" w:pos="4620"/>
                    </w:tabs>
                    <w:spacing w:before="0" w:beforeAutospacing="0" w:after="0" w:afterAutospacing="0"/>
                    <w:ind w:left="240" w:hanging="240"/>
                    <w:rPr>
                      <w:sz w:val="18"/>
                      <w:szCs w:val="18"/>
                    </w:rPr>
                  </w:pPr>
                  <w:r>
                    <w:rPr>
                      <w:sz w:val="18"/>
                      <w:szCs w:val="18"/>
                    </w:rPr>
                    <w:t>Reclassification to (-) / from held for sale</w:t>
                  </w:r>
                  <w:r>
                    <w:rPr>
                      <w:sz w:val="18"/>
                      <w:szCs w:val="18"/>
                    </w:rPr>
                    <w:tab/>
                  </w:r>
                </w:p>
              </w:tc>
              <w:tc>
                <w:tcPr>
                  <w:tcW w:w="793" w:type="dxa"/>
                </w:tcPr>
                <w:p w14:paraId="6EB4CB49" w14:textId="77777777" w:rsidR="00207559" w:rsidRDefault="00207559" w:rsidP="00207559">
                  <w:pPr>
                    <w:pStyle w:val="NormalWeb"/>
                    <w:tabs>
                      <w:tab w:val="right" w:pos="1000"/>
                      <w:tab w:val="decimal" w:pos="1040"/>
                    </w:tabs>
                    <w:spacing w:before="0" w:beforeAutospacing="0" w:after="20" w:afterAutospacing="0"/>
                    <w:jc w:val="right"/>
                    <w:rPr>
                      <w:rFonts w:eastAsiaTheme="minorEastAsia"/>
                      <w:sz w:val="18"/>
                      <w:szCs w:val="18"/>
                    </w:rPr>
                  </w:pPr>
                  <w:r>
                    <w:rPr>
                      <w:rFonts w:eastAsiaTheme="minorEastAsia"/>
                      <w:sz w:val="18"/>
                      <w:szCs w:val="18"/>
                    </w:rPr>
                    <w:t>3,417</w:t>
                  </w:r>
                </w:p>
              </w:tc>
              <w:tc>
                <w:tcPr>
                  <w:tcW w:w="716" w:type="dxa"/>
                  <w:noWrap/>
                  <w:tcMar>
                    <w:top w:w="0" w:type="dxa"/>
                    <w:left w:w="144" w:type="dxa"/>
                    <w:bottom w:w="0" w:type="dxa"/>
                    <w:right w:w="0" w:type="dxa"/>
                  </w:tcMar>
                </w:tcPr>
                <w:p w14:paraId="28E7B352" w14:textId="77777777" w:rsidR="00207559" w:rsidRDefault="00207559" w:rsidP="00207559">
                  <w:pPr>
                    <w:pStyle w:val="NormalWeb"/>
                    <w:tabs>
                      <w:tab w:val="right" w:pos="1000"/>
                      <w:tab w:val="decimal" w:pos="1040"/>
                    </w:tabs>
                    <w:spacing w:before="0" w:beforeAutospacing="0" w:after="20" w:afterAutospacing="0"/>
                    <w:jc w:val="right"/>
                    <w:rPr>
                      <w:rFonts w:eastAsiaTheme="minorEastAsia"/>
                      <w:sz w:val="18"/>
                      <w:szCs w:val="18"/>
                    </w:rPr>
                  </w:pPr>
                  <w:r>
                    <w:rPr>
                      <w:bCs/>
                      <w:sz w:val="18"/>
                      <w:szCs w:val="18"/>
                    </w:rPr>
                    <w:t>19,329</w:t>
                  </w:r>
                </w:p>
              </w:tc>
              <w:tc>
                <w:tcPr>
                  <w:tcW w:w="846" w:type="dxa"/>
                  <w:noWrap/>
                  <w:tcMar>
                    <w:top w:w="0" w:type="dxa"/>
                    <w:left w:w="144" w:type="dxa"/>
                    <w:bottom w:w="0" w:type="dxa"/>
                    <w:right w:w="0" w:type="dxa"/>
                  </w:tcMar>
                </w:tcPr>
                <w:p w14:paraId="5BD717BF"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10,288</w:t>
                  </w:r>
                </w:p>
              </w:tc>
              <w:tc>
                <w:tcPr>
                  <w:tcW w:w="1197" w:type="dxa"/>
                  <w:noWrap/>
                  <w:tcMar>
                    <w:top w:w="0" w:type="dxa"/>
                    <w:left w:w="144" w:type="dxa"/>
                    <w:bottom w:w="0" w:type="dxa"/>
                    <w:right w:w="0" w:type="dxa"/>
                  </w:tcMar>
                </w:tcPr>
                <w:p w14:paraId="65B6D4C0"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(14,184)</w:t>
                  </w:r>
                </w:p>
              </w:tc>
              <w:tc>
                <w:tcPr>
                  <w:tcW w:w="1464" w:type="dxa"/>
                  <w:noWrap/>
                  <w:tcMar>
                    <w:top w:w="0" w:type="dxa"/>
                    <w:left w:w="144" w:type="dxa"/>
                    <w:bottom w:w="0" w:type="dxa"/>
                    <w:right w:w="0" w:type="dxa"/>
                  </w:tcMar>
                </w:tcPr>
                <w:p w14:paraId="320CA5D7" w14:textId="77777777" w:rsidR="00207559" w:rsidRDefault="00207559" w:rsidP="00207559">
                  <w:pPr>
                    <w:pStyle w:val="NormalWeb"/>
                    <w:tabs>
                      <w:tab w:val="right" w:pos="800"/>
                      <w:tab w:val="decimal" w:pos="840"/>
                    </w:tabs>
                    <w:spacing w:before="0" w:beforeAutospacing="0" w:after="20" w:afterAutospacing="0"/>
                    <w:jc w:val="right"/>
                    <w:rPr>
                      <w:rFonts w:eastAsiaTheme="minorEastAsia"/>
                      <w:sz w:val="18"/>
                      <w:szCs w:val="18"/>
                    </w:rPr>
                  </w:pPr>
                  <w:r>
                    <w:rPr>
                      <w:sz w:val="18"/>
                      <w:szCs w:val="18"/>
                    </w:rPr>
                    <w:t>—</w:t>
                  </w:r>
                </w:p>
              </w:tc>
            </w:tr>
            <w:tr w:rsidR="00207559" w14:paraId="18B34C88" w14:textId="77777777" w:rsidTr="00D11DE1">
              <w:trPr>
                <w:cantSplit/>
                <w:jc w:val="center"/>
              </w:trPr>
              <w:tc>
                <w:tcPr>
                  <w:tcW w:w="3953" w:type="dxa"/>
                </w:tcPr>
                <w:p w14:paraId="6370E227" w14:textId="77777777" w:rsidR="00207559" w:rsidRDefault="00207559" w:rsidP="00207559">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Cash and cash equivalents at the end of the period</w:t>
                  </w:r>
                  <w:r>
                    <w:rPr>
                      <w:b/>
                      <w:bCs/>
                      <w:sz w:val="18"/>
                      <w:szCs w:val="18"/>
                    </w:rPr>
                    <w:tab/>
                  </w:r>
                </w:p>
              </w:tc>
              <w:tc>
                <w:tcPr>
                  <w:tcW w:w="793" w:type="dxa"/>
                </w:tcPr>
                <w:p w14:paraId="7CA0CBA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
                      <w:bCs/>
                      <w:sz w:val="18"/>
                      <w:szCs w:val="18"/>
                    </w:rPr>
                    <w:t>141,545</w:t>
                  </w:r>
                </w:p>
              </w:tc>
              <w:tc>
                <w:tcPr>
                  <w:tcW w:w="716" w:type="dxa"/>
                  <w:noWrap/>
                  <w:tcMar>
                    <w:top w:w="0" w:type="dxa"/>
                    <w:left w:w="144" w:type="dxa"/>
                    <w:bottom w:w="0" w:type="dxa"/>
                    <w:right w:w="0" w:type="dxa"/>
                  </w:tcMar>
                </w:tcPr>
                <w:p w14:paraId="3FB0DB0C"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sz w:val="18"/>
                      <w:szCs w:val="18"/>
                    </w:rPr>
                  </w:pPr>
                  <w:r>
                    <w:rPr>
                      <w:b/>
                      <w:bCs/>
                      <w:sz w:val="18"/>
                      <w:szCs w:val="18"/>
                    </w:rPr>
                    <w:t>51,751</w:t>
                  </w:r>
                </w:p>
              </w:tc>
              <w:tc>
                <w:tcPr>
                  <w:tcW w:w="846" w:type="dxa"/>
                  <w:noWrap/>
                  <w:tcMar>
                    <w:top w:w="0" w:type="dxa"/>
                    <w:left w:w="144" w:type="dxa"/>
                    <w:bottom w:w="0" w:type="dxa"/>
                    <w:right w:w="0" w:type="dxa"/>
                  </w:tcMar>
                </w:tcPr>
                <w:p w14:paraId="7ED02310"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71,595</w:t>
                  </w:r>
                </w:p>
              </w:tc>
              <w:tc>
                <w:tcPr>
                  <w:tcW w:w="1197" w:type="dxa"/>
                  <w:noWrap/>
                  <w:tcMar>
                    <w:top w:w="0" w:type="dxa"/>
                    <w:left w:w="144" w:type="dxa"/>
                    <w:bottom w:w="0" w:type="dxa"/>
                    <w:right w:w="0" w:type="dxa"/>
                  </w:tcMar>
                </w:tcPr>
                <w:p w14:paraId="11DE1680"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9,825</w:t>
                  </w:r>
                </w:p>
              </w:tc>
              <w:tc>
                <w:tcPr>
                  <w:tcW w:w="1464" w:type="dxa"/>
                  <w:noWrap/>
                  <w:tcMar>
                    <w:top w:w="0" w:type="dxa"/>
                    <w:left w:w="144" w:type="dxa"/>
                    <w:bottom w:w="0" w:type="dxa"/>
                    <w:right w:w="0" w:type="dxa"/>
                  </w:tcMar>
                </w:tcPr>
                <w:p w14:paraId="1011DF61" w14:textId="77777777" w:rsidR="00207559" w:rsidRDefault="00207559" w:rsidP="00207559">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43,595</w:t>
                  </w:r>
                </w:p>
              </w:tc>
            </w:tr>
          </w:tbl>
          <w:p w14:paraId="35472C93" w14:textId="77777777" w:rsidR="00207559" w:rsidRDefault="00207559"/>
          <w:p w14:paraId="110D08E8" w14:textId="77777777" w:rsidR="00207559" w:rsidRDefault="00207559" w:rsidP="00207559">
            <w:pPr>
              <w:pStyle w:val="NormalWeb"/>
              <w:keepNext/>
              <w:spacing w:before="240" w:beforeAutospacing="0" w:after="0" w:afterAutospacing="0"/>
            </w:pPr>
            <w:r>
              <w:rPr>
                <w:b/>
                <w:bCs/>
                <w:sz w:val="18"/>
                <w:szCs w:val="18"/>
              </w:rPr>
              <w:t xml:space="preserve">Non-IFRS Financial Data </w:t>
            </w:r>
          </w:p>
          <w:p w14:paraId="3C1B6647" w14:textId="77777777" w:rsidR="00207559" w:rsidRDefault="00207559" w:rsidP="00207559">
            <w:pPr>
              <w:pStyle w:val="NormalWeb"/>
              <w:keepNext/>
              <w:spacing w:before="0" w:beforeAutospacing="0" w:after="0" w:afterAutospacing="0"/>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408"/>
              <w:gridCol w:w="1738"/>
              <w:gridCol w:w="1029"/>
              <w:gridCol w:w="818"/>
              <w:gridCol w:w="1029"/>
              <w:gridCol w:w="1029"/>
            </w:tblGrid>
            <w:tr w:rsidR="00FF66F1" w14:paraId="001DD231" w14:textId="77777777" w:rsidTr="00FF66F1">
              <w:trPr>
                <w:cantSplit/>
                <w:tblHeader/>
                <w:jc w:val="center"/>
              </w:trPr>
              <w:tc>
                <w:tcPr>
                  <w:tcW w:w="3781" w:type="dxa"/>
                  <w:tcMar>
                    <w:top w:w="0" w:type="dxa"/>
                    <w:left w:w="144" w:type="dxa"/>
                    <w:bottom w:w="0" w:type="dxa"/>
                    <w:right w:w="0" w:type="dxa"/>
                  </w:tcMar>
                  <w:vAlign w:val="bottom"/>
                  <w:hideMark/>
                </w:tcPr>
                <w:p w14:paraId="022F7BE7" w14:textId="77777777" w:rsidR="00207559" w:rsidRDefault="00207559" w:rsidP="00207559">
                  <w:pPr>
                    <w:pStyle w:val="la2"/>
                    <w:keepNext/>
                    <w:rPr>
                      <w:rFonts w:eastAsiaTheme="minorEastAsia"/>
                      <w:sz w:val="16"/>
                      <w:szCs w:val="16"/>
                    </w:rPr>
                  </w:pPr>
                  <w:r>
                    <w:rPr>
                      <w:sz w:val="16"/>
                      <w:szCs w:val="16"/>
                    </w:rPr>
                    <w:t> </w:t>
                  </w:r>
                </w:p>
              </w:tc>
              <w:tc>
                <w:tcPr>
                  <w:tcW w:w="1882" w:type="dxa"/>
                  <w:gridSpan w:val="2"/>
                  <w:tcMar>
                    <w:top w:w="0" w:type="dxa"/>
                    <w:left w:w="144" w:type="dxa"/>
                    <w:bottom w:w="0" w:type="dxa"/>
                    <w:right w:w="0" w:type="dxa"/>
                  </w:tcMar>
                  <w:vAlign w:val="bottom"/>
                  <w:hideMark/>
                </w:tcPr>
                <w:p w14:paraId="72B0F2AE" w14:textId="77777777" w:rsidR="00207559" w:rsidRDefault="00207559" w:rsidP="00207559">
                  <w:pPr>
                    <w:jc w:val="center"/>
                    <w:rPr>
                      <w:rFonts w:eastAsiaTheme="minorEastAsia"/>
                      <w:sz w:val="16"/>
                      <w:szCs w:val="16"/>
                    </w:rPr>
                  </w:pPr>
                  <w:r>
                    <w:rPr>
                      <w:b/>
                      <w:bCs/>
                      <w:sz w:val="16"/>
                      <w:szCs w:val="16"/>
                    </w:rPr>
                    <w:t>For the six months</w:t>
                  </w:r>
                  <w:r>
                    <w:rPr>
                      <w:b/>
                      <w:bCs/>
                      <w:sz w:val="16"/>
                      <w:szCs w:val="16"/>
                    </w:rPr>
                    <w:br/>
                    <w:t>ended 30-Jun</w:t>
                  </w:r>
                  <w:r>
                    <w:rPr>
                      <w:sz w:val="16"/>
                      <w:szCs w:val="16"/>
                    </w:rPr>
                    <w:t> </w:t>
                  </w:r>
                </w:p>
              </w:tc>
              <w:tc>
                <w:tcPr>
                  <w:tcW w:w="3327" w:type="dxa"/>
                  <w:gridSpan w:val="3"/>
                  <w:tcMar>
                    <w:top w:w="0" w:type="dxa"/>
                    <w:left w:w="144" w:type="dxa"/>
                    <w:bottom w:w="0" w:type="dxa"/>
                    <w:right w:w="0" w:type="dxa"/>
                  </w:tcMar>
                  <w:vAlign w:val="bottom"/>
                  <w:hideMark/>
                </w:tcPr>
                <w:p w14:paraId="095AEC09" w14:textId="77777777" w:rsidR="00207559" w:rsidRDefault="00207559" w:rsidP="00207559">
                  <w:pPr>
                    <w:jc w:val="center"/>
                    <w:rPr>
                      <w:rFonts w:eastAsiaTheme="minorEastAsia"/>
                      <w:sz w:val="16"/>
                      <w:szCs w:val="16"/>
                    </w:rPr>
                  </w:pPr>
                  <w:r>
                    <w:rPr>
                      <w:b/>
                      <w:bCs/>
                      <w:sz w:val="16"/>
                      <w:szCs w:val="16"/>
                    </w:rPr>
                    <w:t>For the year ended 31-Dec</w:t>
                  </w:r>
                  <w:r>
                    <w:rPr>
                      <w:sz w:val="16"/>
                      <w:szCs w:val="16"/>
                    </w:rPr>
                    <w:t xml:space="preserve">  </w:t>
                  </w:r>
                </w:p>
              </w:tc>
            </w:tr>
            <w:tr w:rsidR="00FF66F1" w14:paraId="4D581771" w14:textId="77777777" w:rsidTr="00FF66F1">
              <w:trPr>
                <w:cantSplit/>
                <w:tblHeader/>
                <w:jc w:val="center"/>
              </w:trPr>
              <w:tc>
                <w:tcPr>
                  <w:tcW w:w="3781" w:type="dxa"/>
                  <w:tcMar>
                    <w:top w:w="0" w:type="dxa"/>
                    <w:left w:w="144" w:type="dxa"/>
                    <w:bottom w:w="0" w:type="dxa"/>
                    <w:right w:w="0" w:type="dxa"/>
                  </w:tcMar>
                  <w:vAlign w:val="bottom"/>
                  <w:hideMark/>
                </w:tcPr>
                <w:p w14:paraId="131548C4" w14:textId="77777777" w:rsidR="00207559" w:rsidRDefault="00207559" w:rsidP="00207559">
                  <w:pPr>
                    <w:pStyle w:val="la2"/>
                    <w:keepNext/>
                    <w:rPr>
                      <w:rFonts w:eastAsiaTheme="minorEastAsia"/>
                      <w:sz w:val="16"/>
                      <w:szCs w:val="16"/>
                    </w:rPr>
                  </w:pPr>
                  <w:r>
                    <w:rPr>
                      <w:sz w:val="16"/>
                      <w:szCs w:val="16"/>
                    </w:rPr>
                    <w:t> </w:t>
                  </w:r>
                </w:p>
              </w:tc>
              <w:tc>
                <w:tcPr>
                  <w:tcW w:w="689" w:type="dxa"/>
                  <w:tcMar>
                    <w:top w:w="0" w:type="dxa"/>
                    <w:left w:w="144" w:type="dxa"/>
                    <w:bottom w:w="0" w:type="dxa"/>
                    <w:right w:w="0" w:type="dxa"/>
                  </w:tcMar>
                  <w:vAlign w:val="bottom"/>
                  <w:hideMark/>
                </w:tcPr>
                <w:p w14:paraId="32954C11" w14:textId="77777777" w:rsidR="00207559" w:rsidRDefault="00207559" w:rsidP="00207559">
                  <w:pPr>
                    <w:jc w:val="center"/>
                    <w:rPr>
                      <w:rFonts w:eastAsiaTheme="minorEastAsia"/>
                      <w:sz w:val="16"/>
                      <w:szCs w:val="16"/>
                    </w:rPr>
                  </w:pPr>
                  <w:r>
                    <w:rPr>
                      <w:b/>
                      <w:bCs/>
                      <w:sz w:val="16"/>
                      <w:szCs w:val="16"/>
                    </w:rPr>
                    <w:t>2017</w:t>
                  </w:r>
                  <w:r>
                    <w:rPr>
                      <w:sz w:val="16"/>
                      <w:szCs w:val="16"/>
                    </w:rPr>
                    <w:t xml:space="preserve">  </w:t>
                  </w:r>
                </w:p>
              </w:tc>
              <w:tc>
                <w:tcPr>
                  <w:tcW w:w="1193" w:type="dxa"/>
                  <w:tcMar>
                    <w:top w:w="0" w:type="dxa"/>
                    <w:left w:w="144" w:type="dxa"/>
                    <w:bottom w:w="0" w:type="dxa"/>
                    <w:right w:w="0" w:type="dxa"/>
                  </w:tcMar>
                  <w:vAlign w:val="bottom"/>
                  <w:hideMark/>
                </w:tcPr>
                <w:p w14:paraId="2493E740" w14:textId="77777777" w:rsidR="00207559" w:rsidRDefault="00207559" w:rsidP="00207559">
                  <w:pPr>
                    <w:jc w:val="center"/>
                    <w:rPr>
                      <w:rFonts w:eastAsiaTheme="minorEastAsia"/>
                      <w:sz w:val="16"/>
                      <w:szCs w:val="16"/>
                    </w:rPr>
                  </w:pPr>
                  <w:r>
                    <w:rPr>
                      <w:b/>
                      <w:bCs/>
                      <w:sz w:val="16"/>
                      <w:szCs w:val="16"/>
                    </w:rPr>
                    <w:t>2016</w:t>
                  </w:r>
                  <w:r>
                    <w:rPr>
                      <w:sz w:val="16"/>
                      <w:szCs w:val="16"/>
                    </w:rPr>
                    <w:t xml:space="preserve"> </w:t>
                  </w:r>
                </w:p>
              </w:tc>
              <w:tc>
                <w:tcPr>
                  <w:tcW w:w="941" w:type="dxa"/>
                  <w:tcMar>
                    <w:top w:w="0" w:type="dxa"/>
                    <w:left w:w="144" w:type="dxa"/>
                    <w:bottom w:w="0" w:type="dxa"/>
                    <w:right w:w="0" w:type="dxa"/>
                  </w:tcMar>
                  <w:vAlign w:val="bottom"/>
                  <w:hideMark/>
                </w:tcPr>
                <w:p w14:paraId="591B3B58" w14:textId="77777777" w:rsidR="00207559" w:rsidRDefault="00207559" w:rsidP="00207559">
                  <w:pPr>
                    <w:jc w:val="center"/>
                    <w:rPr>
                      <w:rFonts w:eastAsiaTheme="minorEastAsia"/>
                      <w:sz w:val="16"/>
                      <w:szCs w:val="16"/>
                    </w:rPr>
                  </w:pPr>
                  <w:r>
                    <w:rPr>
                      <w:b/>
                      <w:bCs/>
                      <w:sz w:val="16"/>
                      <w:szCs w:val="16"/>
                    </w:rPr>
                    <w:t>2016</w:t>
                  </w:r>
                  <w:r>
                    <w:rPr>
                      <w:sz w:val="16"/>
                      <w:szCs w:val="16"/>
                    </w:rPr>
                    <w:t xml:space="preserve">  </w:t>
                  </w:r>
                </w:p>
              </w:tc>
              <w:tc>
                <w:tcPr>
                  <w:tcW w:w="1193" w:type="dxa"/>
                  <w:tcMar>
                    <w:top w:w="0" w:type="dxa"/>
                    <w:left w:w="144" w:type="dxa"/>
                    <w:bottom w:w="0" w:type="dxa"/>
                    <w:right w:w="0" w:type="dxa"/>
                  </w:tcMar>
                  <w:vAlign w:val="bottom"/>
                  <w:hideMark/>
                </w:tcPr>
                <w:p w14:paraId="04C0888C" w14:textId="0C3034CD" w:rsidR="00207559" w:rsidRDefault="00002719" w:rsidP="00207559">
                  <w:pPr>
                    <w:jc w:val="center"/>
                    <w:rPr>
                      <w:rFonts w:eastAsiaTheme="minorEastAsia"/>
                      <w:sz w:val="16"/>
                      <w:szCs w:val="16"/>
                    </w:rPr>
                  </w:pPr>
                  <w:r>
                    <w:rPr>
                      <w:b/>
                      <w:bCs/>
                      <w:sz w:val="16"/>
                      <w:szCs w:val="16"/>
                    </w:rPr>
                    <w:t>2015</w:t>
                  </w:r>
                  <w:r w:rsidR="00207559">
                    <w:rPr>
                      <w:sz w:val="16"/>
                      <w:szCs w:val="16"/>
                    </w:rPr>
                    <w:t> </w:t>
                  </w:r>
                </w:p>
              </w:tc>
              <w:tc>
                <w:tcPr>
                  <w:tcW w:w="1193" w:type="dxa"/>
                  <w:tcMar>
                    <w:top w:w="0" w:type="dxa"/>
                    <w:left w:w="144" w:type="dxa"/>
                    <w:bottom w:w="0" w:type="dxa"/>
                    <w:right w:w="0" w:type="dxa"/>
                  </w:tcMar>
                  <w:vAlign w:val="bottom"/>
                  <w:hideMark/>
                </w:tcPr>
                <w:p w14:paraId="694313B6" w14:textId="77777777" w:rsidR="00207559" w:rsidRDefault="00207559" w:rsidP="00207559">
                  <w:pPr>
                    <w:jc w:val="center"/>
                    <w:rPr>
                      <w:rFonts w:eastAsiaTheme="minorEastAsia"/>
                      <w:sz w:val="16"/>
                      <w:szCs w:val="16"/>
                    </w:rPr>
                  </w:pPr>
                  <w:r>
                    <w:rPr>
                      <w:b/>
                      <w:bCs/>
                      <w:sz w:val="16"/>
                      <w:szCs w:val="16"/>
                    </w:rPr>
                    <w:t>2014</w:t>
                  </w:r>
                  <w:r>
                    <w:rPr>
                      <w:sz w:val="16"/>
                      <w:szCs w:val="16"/>
                    </w:rPr>
                    <w:t xml:space="preserve">  </w:t>
                  </w:r>
                </w:p>
              </w:tc>
            </w:tr>
            <w:tr w:rsidR="00207559" w14:paraId="2BD8B2FF" w14:textId="77777777" w:rsidTr="006663B2">
              <w:trPr>
                <w:cantSplit/>
                <w:tblHeader/>
                <w:jc w:val="center"/>
              </w:trPr>
              <w:tc>
                <w:tcPr>
                  <w:tcW w:w="3781" w:type="dxa"/>
                  <w:tcMar>
                    <w:top w:w="0" w:type="dxa"/>
                    <w:left w:w="144" w:type="dxa"/>
                    <w:bottom w:w="0" w:type="dxa"/>
                    <w:right w:w="0" w:type="dxa"/>
                  </w:tcMar>
                  <w:vAlign w:val="bottom"/>
                  <w:hideMark/>
                </w:tcPr>
                <w:p w14:paraId="47881A39" w14:textId="77777777" w:rsidR="00207559" w:rsidRDefault="00207559" w:rsidP="00207559">
                  <w:pPr>
                    <w:pStyle w:val="la2"/>
                    <w:keepNext/>
                    <w:rPr>
                      <w:rFonts w:eastAsiaTheme="minorEastAsia"/>
                      <w:sz w:val="16"/>
                      <w:szCs w:val="16"/>
                    </w:rPr>
                  </w:pPr>
                  <w:r>
                    <w:rPr>
                      <w:sz w:val="16"/>
                      <w:szCs w:val="16"/>
                    </w:rPr>
                    <w:t> </w:t>
                  </w:r>
                </w:p>
              </w:tc>
              <w:tc>
                <w:tcPr>
                  <w:tcW w:w="5209" w:type="dxa"/>
                  <w:gridSpan w:val="5"/>
                  <w:tcMar>
                    <w:top w:w="0" w:type="dxa"/>
                    <w:left w:w="144" w:type="dxa"/>
                    <w:bottom w:w="0" w:type="dxa"/>
                    <w:right w:w="0" w:type="dxa"/>
                  </w:tcMar>
                  <w:vAlign w:val="bottom"/>
                  <w:hideMark/>
                </w:tcPr>
                <w:p w14:paraId="4B62E42F" w14:textId="77777777" w:rsidR="00207559" w:rsidRDefault="00207559" w:rsidP="00207559">
                  <w:pPr>
                    <w:jc w:val="center"/>
                    <w:rPr>
                      <w:sz w:val="16"/>
                      <w:szCs w:val="16"/>
                    </w:rPr>
                  </w:pPr>
                  <w:r>
                    <w:rPr>
                      <w:iCs/>
                      <w:sz w:val="16"/>
                      <w:szCs w:val="16"/>
                    </w:rPr>
                    <w:t>(</w:t>
                  </w:r>
                  <w:r>
                    <w:rPr>
                      <w:bCs/>
                      <w:sz w:val="16"/>
                      <w:szCs w:val="16"/>
                    </w:rPr>
                    <w:t>€ thousands, except as otherwise noted)</w:t>
                  </w:r>
                </w:p>
              </w:tc>
            </w:tr>
            <w:tr w:rsidR="00FF66F1" w14:paraId="18F131AE" w14:textId="77777777" w:rsidTr="00FF66F1">
              <w:trPr>
                <w:cantSplit/>
                <w:jc w:val="center"/>
              </w:trPr>
              <w:tc>
                <w:tcPr>
                  <w:tcW w:w="3781" w:type="dxa"/>
                  <w:hideMark/>
                </w:tcPr>
                <w:p w14:paraId="3357A4E6" w14:textId="77777777" w:rsidR="00207559" w:rsidRDefault="00207559" w:rsidP="00207559">
                  <w:pPr>
                    <w:pStyle w:val="NormalWeb"/>
                    <w:tabs>
                      <w:tab w:val="right" w:leader="dot" w:pos="4784"/>
                    </w:tabs>
                    <w:spacing w:before="0" w:beforeAutospacing="0" w:after="0" w:afterAutospacing="0"/>
                    <w:ind w:left="240" w:right="30" w:hanging="240"/>
                    <w:rPr>
                      <w:rFonts w:eastAsiaTheme="minorEastAsia"/>
                      <w:sz w:val="18"/>
                      <w:szCs w:val="18"/>
                    </w:rPr>
                  </w:pPr>
                  <w:r>
                    <w:rPr>
                      <w:sz w:val="18"/>
                      <w:szCs w:val="18"/>
                    </w:rPr>
                    <w:t>Total Net Debt</w:t>
                  </w:r>
                  <w:r>
                    <w:rPr>
                      <w:sz w:val="18"/>
                      <w:szCs w:val="18"/>
                    </w:rPr>
                    <w:tab/>
                  </w:r>
                </w:p>
              </w:tc>
              <w:tc>
                <w:tcPr>
                  <w:tcW w:w="2041" w:type="dxa"/>
                  <w:noWrap/>
                  <w:tcMar>
                    <w:top w:w="0" w:type="dxa"/>
                    <w:left w:w="144" w:type="dxa"/>
                    <w:bottom w:w="0" w:type="dxa"/>
                    <w:right w:w="0" w:type="dxa"/>
                  </w:tcMar>
                  <w:hideMark/>
                </w:tcPr>
                <w:p w14:paraId="445DD13D" w14:textId="77777777" w:rsidR="00207559" w:rsidRDefault="00207559" w:rsidP="00207559">
                  <w:pPr>
                    <w:jc w:val="center"/>
                  </w:pPr>
                  <w:r>
                    <w:rPr>
                      <w:bCs/>
                      <w:sz w:val="18"/>
                      <w:szCs w:val="18"/>
                      <w:lang w:val="en-GB"/>
                    </w:rPr>
                    <w:t>356,371</w:t>
                  </w:r>
                </w:p>
              </w:tc>
              <w:tc>
                <w:tcPr>
                  <w:tcW w:w="1193" w:type="dxa"/>
                  <w:noWrap/>
                  <w:tcMar>
                    <w:top w:w="0" w:type="dxa"/>
                    <w:left w:w="144" w:type="dxa"/>
                    <w:bottom w:w="0" w:type="dxa"/>
                    <w:right w:w="0" w:type="dxa"/>
                  </w:tcMar>
                  <w:hideMark/>
                </w:tcPr>
                <w:p w14:paraId="5E30E826" w14:textId="09BE281D" w:rsidR="00207559" w:rsidRDefault="00FF66F1" w:rsidP="00FF66F1">
                  <w:pPr>
                    <w:jc w:val="center"/>
                  </w:pPr>
                  <w:r>
                    <w:rPr>
                      <w:bCs/>
                      <w:sz w:val="18"/>
                      <w:szCs w:val="18"/>
                      <w:lang w:val="en-GB"/>
                    </w:rPr>
                    <w:t>184</w:t>
                  </w:r>
                  <w:r w:rsidR="00207559">
                    <w:rPr>
                      <w:bCs/>
                      <w:sz w:val="18"/>
                      <w:szCs w:val="18"/>
                      <w:lang w:val="en-GB"/>
                    </w:rPr>
                    <w:t>,</w:t>
                  </w:r>
                  <w:r>
                    <w:rPr>
                      <w:bCs/>
                      <w:sz w:val="18"/>
                      <w:szCs w:val="18"/>
                      <w:lang w:val="en-GB"/>
                    </w:rPr>
                    <w:t>905</w:t>
                  </w:r>
                </w:p>
              </w:tc>
              <w:tc>
                <w:tcPr>
                  <w:tcW w:w="941" w:type="dxa"/>
                  <w:noWrap/>
                  <w:tcMar>
                    <w:top w:w="0" w:type="dxa"/>
                    <w:left w:w="144" w:type="dxa"/>
                    <w:bottom w:w="0" w:type="dxa"/>
                    <w:right w:w="0" w:type="dxa"/>
                  </w:tcMar>
                  <w:hideMark/>
                </w:tcPr>
                <w:p w14:paraId="1546F597" w14:textId="5F159C07" w:rsidR="00207559" w:rsidRDefault="00207559" w:rsidP="00FF66F1">
                  <w:pPr>
                    <w:jc w:val="center"/>
                  </w:pPr>
                  <w:r>
                    <w:rPr>
                      <w:bCs/>
                      <w:sz w:val="18"/>
                      <w:szCs w:val="18"/>
                      <w:lang w:val="en-GB"/>
                    </w:rPr>
                    <w:t>343,</w:t>
                  </w:r>
                  <w:r w:rsidR="00FF66F1">
                    <w:rPr>
                      <w:bCs/>
                      <w:sz w:val="18"/>
                      <w:szCs w:val="18"/>
                      <w:lang w:val="en-GB"/>
                    </w:rPr>
                    <w:t>350</w:t>
                  </w:r>
                </w:p>
              </w:tc>
              <w:tc>
                <w:tcPr>
                  <w:tcW w:w="1193" w:type="dxa"/>
                  <w:noWrap/>
                  <w:tcMar>
                    <w:top w:w="0" w:type="dxa"/>
                    <w:left w:w="144" w:type="dxa"/>
                    <w:bottom w:w="0" w:type="dxa"/>
                    <w:right w:w="0" w:type="dxa"/>
                  </w:tcMar>
                  <w:hideMark/>
                </w:tcPr>
                <w:p w14:paraId="5E485807" w14:textId="00B73C89" w:rsidR="00207559" w:rsidRDefault="00FF66F1" w:rsidP="00FF66F1">
                  <w:pPr>
                    <w:jc w:val="center"/>
                  </w:pPr>
                  <w:r>
                    <w:rPr>
                      <w:bCs/>
                      <w:sz w:val="18"/>
                      <w:szCs w:val="18"/>
                      <w:lang w:val="en-GB"/>
                    </w:rPr>
                    <w:t>257</w:t>
                  </w:r>
                  <w:r w:rsidR="00207559">
                    <w:rPr>
                      <w:bCs/>
                      <w:sz w:val="18"/>
                      <w:szCs w:val="18"/>
                      <w:lang w:val="en-GB"/>
                    </w:rPr>
                    <w:t>,</w:t>
                  </w:r>
                  <w:r>
                    <w:rPr>
                      <w:bCs/>
                      <w:sz w:val="18"/>
                      <w:szCs w:val="18"/>
                      <w:lang w:val="en-GB"/>
                    </w:rPr>
                    <w:t>972</w:t>
                  </w:r>
                </w:p>
              </w:tc>
              <w:tc>
                <w:tcPr>
                  <w:tcW w:w="1193" w:type="dxa"/>
                  <w:noWrap/>
                  <w:tcMar>
                    <w:top w:w="0" w:type="dxa"/>
                    <w:left w:w="144" w:type="dxa"/>
                    <w:bottom w:w="0" w:type="dxa"/>
                    <w:right w:w="0" w:type="dxa"/>
                  </w:tcMar>
                  <w:hideMark/>
                </w:tcPr>
                <w:p w14:paraId="1865EAE6" w14:textId="7E995EA1" w:rsidR="00207559" w:rsidRDefault="00FF66F1" w:rsidP="00FF66F1">
                  <w:pPr>
                    <w:jc w:val="center"/>
                  </w:pPr>
                  <w:r>
                    <w:rPr>
                      <w:bCs/>
                      <w:sz w:val="18"/>
                      <w:szCs w:val="18"/>
                      <w:lang w:val="en-GB"/>
                    </w:rPr>
                    <w:t>156</w:t>
                  </w:r>
                  <w:r w:rsidR="00207559">
                    <w:rPr>
                      <w:bCs/>
                      <w:sz w:val="18"/>
                      <w:szCs w:val="18"/>
                      <w:lang w:val="en-GB"/>
                    </w:rPr>
                    <w:t>,</w:t>
                  </w:r>
                  <w:r>
                    <w:rPr>
                      <w:bCs/>
                      <w:sz w:val="18"/>
                      <w:szCs w:val="18"/>
                      <w:lang w:val="en-GB"/>
                    </w:rPr>
                    <w:t>817</w:t>
                  </w:r>
                </w:p>
              </w:tc>
            </w:tr>
            <w:tr w:rsidR="00FF66F1" w14:paraId="56575FDD" w14:textId="77777777" w:rsidTr="00FF66F1">
              <w:trPr>
                <w:cantSplit/>
                <w:jc w:val="center"/>
              </w:trPr>
              <w:tc>
                <w:tcPr>
                  <w:tcW w:w="3781" w:type="dxa"/>
                  <w:hideMark/>
                </w:tcPr>
                <w:p w14:paraId="780B958F" w14:textId="77777777" w:rsidR="00207559" w:rsidRDefault="00207559" w:rsidP="00207559">
                  <w:pPr>
                    <w:pStyle w:val="NormalWeb"/>
                    <w:tabs>
                      <w:tab w:val="right" w:leader="dot" w:pos="4784"/>
                    </w:tabs>
                    <w:spacing w:before="0" w:beforeAutospacing="0" w:after="0" w:afterAutospacing="0"/>
                    <w:ind w:left="240" w:right="30" w:hanging="240"/>
                    <w:rPr>
                      <w:rFonts w:eastAsiaTheme="minorEastAsia"/>
                      <w:sz w:val="18"/>
                      <w:szCs w:val="18"/>
                    </w:rPr>
                  </w:pPr>
                  <w:r>
                    <w:rPr>
                      <w:sz w:val="18"/>
                      <w:szCs w:val="18"/>
                    </w:rPr>
                    <w:t>Gearing Ratio</w:t>
                  </w:r>
                  <w:r>
                    <w:rPr>
                      <w:sz w:val="18"/>
                      <w:szCs w:val="18"/>
                    </w:rPr>
                    <w:tab/>
                  </w:r>
                </w:p>
              </w:tc>
              <w:tc>
                <w:tcPr>
                  <w:tcW w:w="689" w:type="dxa"/>
                  <w:noWrap/>
                  <w:tcMar>
                    <w:top w:w="0" w:type="dxa"/>
                    <w:left w:w="144" w:type="dxa"/>
                    <w:bottom w:w="0" w:type="dxa"/>
                    <w:right w:w="0" w:type="dxa"/>
                  </w:tcMar>
                  <w:hideMark/>
                </w:tcPr>
                <w:p w14:paraId="6F757560" w14:textId="77777777" w:rsidR="00207559" w:rsidRDefault="00207559" w:rsidP="00207559">
                  <w:pPr>
                    <w:jc w:val="center"/>
                  </w:pPr>
                  <w:r>
                    <w:rPr>
                      <w:bCs/>
                      <w:sz w:val="18"/>
                      <w:szCs w:val="18"/>
                      <w:lang w:val="en-GB"/>
                    </w:rPr>
                    <w:t>34.9%</w:t>
                  </w:r>
                </w:p>
              </w:tc>
              <w:tc>
                <w:tcPr>
                  <w:tcW w:w="1193" w:type="dxa"/>
                  <w:noWrap/>
                  <w:tcMar>
                    <w:top w:w="0" w:type="dxa"/>
                    <w:left w:w="144" w:type="dxa"/>
                    <w:bottom w:w="0" w:type="dxa"/>
                    <w:right w:w="0" w:type="dxa"/>
                  </w:tcMar>
                  <w:hideMark/>
                </w:tcPr>
                <w:p w14:paraId="0824C968" w14:textId="5CD03245" w:rsidR="00207559" w:rsidRDefault="00FF66F1" w:rsidP="00207559">
                  <w:pPr>
                    <w:jc w:val="center"/>
                  </w:pPr>
                  <w:r>
                    <w:rPr>
                      <w:bCs/>
                      <w:sz w:val="18"/>
                      <w:szCs w:val="18"/>
                      <w:lang w:val="en-GB"/>
                    </w:rPr>
                    <w:t>23.5</w:t>
                  </w:r>
                  <w:r w:rsidR="00207559">
                    <w:rPr>
                      <w:bCs/>
                      <w:sz w:val="18"/>
                      <w:szCs w:val="18"/>
                      <w:lang w:val="en-GB"/>
                    </w:rPr>
                    <w:t>%</w:t>
                  </w:r>
                </w:p>
              </w:tc>
              <w:tc>
                <w:tcPr>
                  <w:tcW w:w="941" w:type="dxa"/>
                  <w:noWrap/>
                  <w:tcMar>
                    <w:top w:w="0" w:type="dxa"/>
                    <w:left w:w="144" w:type="dxa"/>
                    <w:bottom w:w="0" w:type="dxa"/>
                    <w:right w:w="0" w:type="dxa"/>
                  </w:tcMar>
                  <w:hideMark/>
                </w:tcPr>
                <w:p w14:paraId="064F530E" w14:textId="77777777" w:rsidR="00207559" w:rsidRDefault="00207559" w:rsidP="00207559">
                  <w:pPr>
                    <w:jc w:val="center"/>
                  </w:pPr>
                  <w:r>
                    <w:rPr>
                      <w:bCs/>
                      <w:sz w:val="18"/>
                      <w:szCs w:val="18"/>
                      <w:lang w:val="en-GB"/>
                    </w:rPr>
                    <w:t>39.4%</w:t>
                  </w:r>
                </w:p>
              </w:tc>
              <w:tc>
                <w:tcPr>
                  <w:tcW w:w="1193" w:type="dxa"/>
                  <w:noWrap/>
                  <w:tcMar>
                    <w:top w:w="0" w:type="dxa"/>
                    <w:left w:w="144" w:type="dxa"/>
                    <w:bottom w:w="0" w:type="dxa"/>
                    <w:right w:w="0" w:type="dxa"/>
                  </w:tcMar>
                  <w:hideMark/>
                </w:tcPr>
                <w:p w14:paraId="2C320360" w14:textId="77777777" w:rsidR="00207559" w:rsidRDefault="00207559" w:rsidP="00207559">
                  <w:pPr>
                    <w:jc w:val="center"/>
                  </w:pPr>
                  <w:r>
                    <w:rPr>
                      <w:bCs/>
                      <w:sz w:val="18"/>
                      <w:szCs w:val="18"/>
                      <w:lang w:val="en-GB"/>
                    </w:rPr>
                    <w:t>36.0%</w:t>
                  </w:r>
                </w:p>
              </w:tc>
              <w:tc>
                <w:tcPr>
                  <w:tcW w:w="1193" w:type="dxa"/>
                  <w:noWrap/>
                  <w:tcMar>
                    <w:top w:w="0" w:type="dxa"/>
                    <w:left w:w="144" w:type="dxa"/>
                    <w:bottom w:w="0" w:type="dxa"/>
                    <w:right w:w="0" w:type="dxa"/>
                  </w:tcMar>
                  <w:hideMark/>
                </w:tcPr>
                <w:p w14:paraId="15B831B3" w14:textId="77777777" w:rsidR="00207559" w:rsidRDefault="00207559" w:rsidP="00207559">
                  <w:pPr>
                    <w:jc w:val="center"/>
                  </w:pPr>
                  <w:r>
                    <w:rPr>
                      <w:bCs/>
                      <w:sz w:val="18"/>
                      <w:szCs w:val="18"/>
                      <w:lang w:val="en-GB"/>
                    </w:rPr>
                    <w:t>33.5%</w:t>
                  </w:r>
                </w:p>
              </w:tc>
            </w:tr>
          </w:tbl>
          <w:p w14:paraId="71059832" w14:textId="77777777" w:rsidR="00207559" w:rsidRDefault="00207559" w:rsidP="00207559">
            <w:pPr>
              <w:pStyle w:val="rfn"/>
              <w:rPr>
                <w:rFonts w:eastAsiaTheme="minorEastAsia"/>
              </w:rPr>
            </w:pPr>
            <w:r>
              <w:t> </w:t>
            </w:r>
          </w:p>
          <w:p w14:paraId="7EAC9A1D" w14:textId="77777777" w:rsidR="00207559" w:rsidRDefault="00207559" w:rsidP="00207559">
            <w:pPr>
              <w:pStyle w:val="NormalWeb"/>
              <w:spacing w:before="180" w:beforeAutospacing="0" w:after="0" w:afterAutospacing="0"/>
              <w:rPr>
                <w:sz w:val="2"/>
                <w:szCs w:val="2"/>
                <w:highlight w:val="yellow"/>
              </w:rPr>
            </w:pPr>
          </w:p>
          <w:p w14:paraId="3EA156BA" w14:textId="77777777" w:rsidR="00207559" w:rsidRDefault="00207559" w:rsidP="00207559">
            <w:pPr>
              <w:pStyle w:val="NormalWeb"/>
              <w:keepNext/>
              <w:spacing w:before="0" w:beforeAutospacing="0" w:after="0" w:afterAutospacing="0"/>
              <w:rPr>
                <w:b/>
                <w:bCs/>
                <w:sz w:val="18"/>
                <w:szCs w:val="18"/>
              </w:rPr>
            </w:pPr>
            <w:r>
              <w:rPr>
                <w:b/>
                <w:bCs/>
                <w:sz w:val="18"/>
                <w:szCs w:val="18"/>
              </w:rPr>
              <w:t>Gearing Ratio and Total Net Debt</w:t>
            </w:r>
          </w:p>
          <w:p w14:paraId="4E88F1B7" w14:textId="77777777" w:rsidR="00207559" w:rsidRDefault="00207559" w:rsidP="00207559">
            <w:pPr>
              <w:pStyle w:val="NormalWeb"/>
              <w:keepNext/>
              <w:spacing w:before="0" w:beforeAutospacing="0" w:after="0" w:afterAutospacing="0"/>
              <w:rPr>
                <w:b/>
                <w:bCs/>
                <w:sz w:val="18"/>
                <w:szCs w:val="18"/>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718"/>
              <w:gridCol w:w="847"/>
              <w:gridCol w:w="830"/>
              <w:gridCol w:w="828"/>
              <w:gridCol w:w="828"/>
            </w:tblGrid>
            <w:tr w:rsidR="00207559" w14:paraId="4EE8C5F7" w14:textId="77777777" w:rsidTr="00046D29">
              <w:trPr>
                <w:trHeight w:val="326"/>
              </w:trPr>
              <w:tc>
                <w:tcPr>
                  <w:tcW w:w="0" w:type="auto"/>
                  <w:vAlign w:val="center"/>
                </w:tcPr>
                <w:p w14:paraId="76ADD2A4" w14:textId="77777777" w:rsidR="00207559" w:rsidRDefault="00207559" w:rsidP="00207559">
                  <w:pPr>
                    <w:tabs>
                      <w:tab w:val="right" w:leader="dot" w:pos="4403"/>
                    </w:tabs>
                    <w:spacing w:after="47" w:line="176" w:lineRule="exact"/>
                    <w:ind w:left="29"/>
                    <w:jc w:val="both"/>
                    <w:textAlignment w:val="baseline"/>
                    <w:rPr>
                      <w:rFonts w:eastAsia="Verdana"/>
                      <w:i/>
                      <w:color w:val="000000"/>
                      <w:sz w:val="18"/>
                      <w:szCs w:val="18"/>
                      <w:lang w:val="en-GB"/>
                    </w:rPr>
                  </w:pPr>
                </w:p>
              </w:tc>
              <w:tc>
                <w:tcPr>
                  <w:tcW w:w="0" w:type="auto"/>
                  <w:vAlign w:val="center"/>
                </w:tcPr>
                <w:p w14:paraId="0576E3A1" w14:textId="77777777" w:rsidR="00207559" w:rsidRDefault="00207559" w:rsidP="00207559">
                  <w:pPr>
                    <w:spacing w:after="41" w:line="176" w:lineRule="exact"/>
                    <w:jc w:val="center"/>
                    <w:textAlignment w:val="baseline"/>
                    <w:rPr>
                      <w:rFonts w:eastAsia="Verdana"/>
                      <w:b/>
                      <w:color w:val="000000"/>
                      <w:sz w:val="18"/>
                      <w:szCs w:val="18"/>
                      <w:lang w:val="en-GB"/>
                    </w:rPr>
                  </w:pPr>
                  <w:r>
                    <w:rPr>
                      <w:b/>
                      <w:bCs/>
                      <w:sz w:val="16"/>
                      <w:szCs w:val="16"/>
                    </w:rPr>
                    <w:t>As at 30-Jun</w:t>
                  </w:r>
                </w:p>
              </w:tc>
              <w:tc>
                <w:tcPr>
                  <w:tcW w:w="0" w:type="auto"/>
                  <w:vAlign w:val="center"/>
                </w:tcPr>
                <w:p w14:paraId="3D074951" w14:textId="77777777" w:rsidR="00207559" w:rsidRDefault="00207559" w:rsidP="00207559">
                  <w:pPr>
                    <w:jc w:val="center"/>
                    <w:rPr>
                      <w:rFonts w:eastAsia="Verdana"/>
                      <w:b/>
                      <w:color w:val="000000"/>
                      <w:sz w:val="18"/>
                      <w:szCs w:val="18"/>
                      <w:lang w:val="en-GB"/>
                    </w:rPr>
                  </w:pPr>
                  <w:r>
                    <w:rPr>
                      <w:b/>
                      <w:bCs/>
                      <w:sz w:val="16"/>
                      <w:szCs w:val="16"/>
                    </w:rPr>
                    <w:t>As at 31-Dec</w:t>
                  </w:r>
                </w:p>
              </w:tc>
              <w:tc>
                <w:tcPr>
                  <w:tcW w:w="0" w:type="auto"/>
                </w:tcPr>
                <w:p w14:paraId="5B947A3F" w14:textId="77777777" w:rsidR="00207559" w:rsidRDefault="00207559" w:rsidP="00207559">
                  <w:pPr>
                    <w:spacing w:after="41" w:line="176" w:lineRule="exact"/>
                    <w:jc w:val="center"/>
                    <w:textAlignment w:val="baseline"/>
                    <w:rPr>
                      <w:b/>
                      <w:bCs/>
                      <w:sz w:val="16"/>
                      <w:szCs w:val="16"/>
                    </w:rPr>
                  </w:pPr>
                  <w:r>
                    <w:rPr>
                      <w:b/>
                      <w:bCs/>
                      <w:sz w:val="16"/>
                      <w:szCs w:val="16"/>
                    </w:rPr>
                    <w:t>As at 31-Dec</w:t>
                  </w:r>
                </w:p>
              </w:tc>
              <w:tc>
                <w:tcPr>
                  <w:tcW w:w="0" w:type="auto"/>
                </w:tcPr>
                <w:p w14:paraId="6A22AA36" w14:textId="77777777" w:rsidR="00207559" w:rsidRDefault="00207559" w:rsidP="00207559">
                  <w:pPr>
                    <w:spacing w:after="41" w:line="176" w:lineRule="exact"/>
                    <w:jc w:val="center"/>
                    <w:textAlignment w:val="baseline"/>
                    <w:rPr>
                      <w:b/>
                      <w:bCs/>
                      <w:sz w:val="16"/>
                      <w:szCs w:val="16"/>
                    </w:rPr>
                  </w:pPr>
                  <w:r>
                    <w:rPr>
                      <w:b/>
                      <w:bCs/>
                      <w:sz w:val="16"/>
                      <w:szCs w:val="16"/>
                    </w:rPr>
                    <w:t>As at 31-Dec</w:t>
                  </w:r>
                </w:p>
              </w:tc>
            </w:tr>
            <w:tr w:rsidR="00207559" w14:paraId="2B2A04D3" w14:textId="77777777" w:rsidTr="00046D29">
              <w:trPr>
                <w:trHeight w:val="326"/>
              </w:trPr>
              <w:tc>
                <w:tcPr>
                  <w:tcW w:w="0" w:type="auto"/>
                  <w:vAlign w:val="center"/>
                </w:tcPr>
                <w:p w14:paraId="52FF613B" w14:textId="77777777" w:rsidR="00207559" w:rsidRDefault="00207559" w:rsidP="00207559">
                  <w:pPr>
                    <w:tabs>
                      <w:tab w:val="right" w:leader="dot" w:pos="4403"/>
                    </w:tabs>
                    <w:spacing w:after="47" w:line="176" w:lineRule="exact"/>
                    <w:ind w:left="29"/>
                    <w:jc w:val="both"/>
                    <w:textAlignment w:val="baseline"/>
                    <w:rPr>
                      <w:rFonts w:eastAsia="Verdana"/>
                      <w:b/>
                      <w:color w:val="000000"/>
                      <w:sz w:val="18"/>
                      <w:szCs w:val="18"/>
                      <w:lang w:val="en-GB"/>
                    </w:rPr>
                  </w:pPr>
                </w:p>
              </w:tc>
              <w:tc>
                <w:tcPr>
                  <w:tcW w:w="0" w:type="auto"/>
                  <w:vAlign w:val="center"/>
                </w:tcPr>
                <w:p w14:paraId="2A41FFBC" w14:textId="77777777" w:rsidR="00207559" w:rsidRDefault="00207559" w:rsidP="00207559">
                  <w:pPr>
                    <w:tabs>
                      <w:tab w:val="right" w:leader="dot" w:pos="4403"/>
                    </w:tabs>
                    <w:spacing w:after="47" w:line="176" w:lineRule="exact"/>
                    <w:ind w:left="29"/>
                    <w:jc w:val="both"/>
                    <w:textAlignment w:val="baseline"/>
                    <w:rPr>
                      <w:rFonts w:eastAsia="Verdana"/>
                      <w:b/>
                      <w:color w:val="000000"/>
                      <w:sz w:val="18"/>
                      <w:szCs w:val="18"/>
                      <w:lang w:val="en-GB"/>
                    </w:rPr>
                  </w:pPr>
                  <w:r>
                    <w:rPr>
                      <w:rFonts w:eastAsia="Verdana"/>
                      <w:b/>
                      <w:color w:val="000000"/>
                      <w:sz w:val="18"/>
                      <w:szCs w:val="18"/>
                      <w:lang w:val="en-GB"/>
                    </w:rPr>
                    <w:t>2017</w:t>
                  </w:r>
                </w:p>
              </w:tc>
              <w:tc>
                <w:tcPr>
                  <w:tcW w:w="0" w:type="auto"/>
                  <w:vAlign w:val="center"/>
                </w:tcPr>
                <w:p w14:paraId="40FC86F8" w14:textId="77777777" w:rsidR="00207559" w:rsidRDefault="00207559" w:rsidP="00207559">
                  <w:pPr>
                    <w:tabs>
                      <w:tab w:val="right" w:leader="dot" w:pos="4403"/>
                    </w:tabs>
                    <w:spacing w:after="47"/>
                    <w:ind w:left="29"/>
                    <w:jc w:val="both"/>
                    <w:textAlignment w:val="baseline"/>
                    <w:rPr>
                      <w:rFonts w:eastAsia="Verdana"/>
                      <w:b/>
                      <w:color w:val="000000"/>
                      <w:sz w:val="18"/>
                      <w:szCs w:val="18"/>
                      <w:lang w:val="en-GB"/>
                    </w:rPr>
                  </w:pPr>
                  <w:r>
                    <w:rPr>
                      <w:rFonts w:eastAsia="Verdana"/>
                      <w:b/>
                      <w:color w:val="000000"/>
                      <w:sz w:val="18"/>
                      <w:szCs w:val="18"/>
                      <w:lang w:val="en-GB"/>
                    </w:rPr>
                    <w:t>2016</w:t>
                  </w:r>
                </w:p>
              </w:tc>
              <w:tc>
                <w:tcPr>
                  <w:tcW w:w="0" w:type="auto"/>
                </w:tcPr>
                <w:p w14:paraId="32D2B05C" w14:textId="77777777" w:rsidR="00207559" w:rsidRDefault="00207559" w:rsidP="00207559">
                  <w:pPr>
                    <w:tabs>
                      <w:tab w:val="right" w:leader="dot" w:pos="4403"/>
                    </w:tabs>
                    <w:spacing w:after="47"/>
                    <w:ind w:left="29"/>
                    <w:jc w:val="both"/>
                    <w:textAlignment w:val="baseline"/>
                    <w:rPr>
                      <w:rFonts w:eastAsia="Verdana"/>
                      <w:b/>
                      <w:color w:val="000000"/>
                      <w:sz w:val="18"/>
                      <w:szCs w:val="18"/>
                      <w:lang w:val="en-GB"/>
                    </w:rPr>
                  </w:pPr>
                  <w:r>
                    <w:rPr>
                      <w:rFonts w:eastAsia="Verdana"/>
                      <w:b/>
                      <w:color w:val="000000"/>
                      <w:sz w:val="18"/>
                      <w:szCs w:val="18"/>
                      <w:lang w:val="en-GB"/>
                    </w:rPr>
                    <w:t>2015</w:t>
                  </w:r>
                </w:p>
              </w:tc>
              <w:tc>
                <w:tcPr>
                  <w:tcW w:w="0" w:type="auto"/>
                </w:tcPr>
                <w:p w14:paraId="57C49236" w14:textId="77777777" w:rsidR="00207559" w:rsidRDefault="00207559" w:rsidP="00207559">
                  <w:pPr>
                    <w:tabs>
                      <w:tab w:val="right" w:leader="dot" w:pos="4403"/>
                    </w:tabs>
                    <w:spacing w:after="47" w:line="176" w:lineRule="exact"/>
                    <w:ind w:left="29"/>
                    <w:jc w:val="both"/>
                    <w:textAlignment w:val="baseline"/>
                    <w:rPr>
                      <w:rFonts w:eastAsia="Verdana"/>
                      <w:b/>
                      <w:color w:val="000000"/>
                      <w:sz w:val="18"/>
                      <w:szCs w:val="18"/>
                      <w:lang w:val="en-GB"/>
                    </w:rPr>
                  </w:pPr>
                  <w:r>
                    <w:rPr>
                      <w:rFonts w:eastAsia="Verdana"/>
                      <w:b/>
                      <w:color w:val="000000"/>
                      <w:sz w:val="18"/>
                      <w:szCs w:val="18"/>
                      <w:lang w:val="en-GB"/>
                    </w:rPr>
                    <w:t>2014</w:t>
                  </w:r>
                </w:p>
              </w:tc>
            </w:tr>
            <w:tr w:rsidR="00207559" w14:paraId="5424B63B" w14:textId="77777777" w:rsidTr="00046D29">
              <w:trPr>
                <w:trHeight w:val="326"/>
              </w:trPr>
              <w:tc>
                <w:tcPr>
                  <w:tcW w:w="0" w:type="auto"/>
                  <w:vAlign w:val="center"/>
                </w:tcPr>
                <w:p w14:paraId="0607D904" w14:textId="77777777" w:rsidR="00207559" w:rsidRDefault="00207559" w:rsidP="00207559">
                  <w:pPr>
                    <w:pStyle w:val="NormalWeb"/>
                    <w:tabs>
                      <w:tab w:val="right" w:leader="dot" w:pos="4420"/>
                    </w:tabs>
                    <w:spacing w:before="0" w:beforeAutospacing="0" w:after="0" w:afterAutospacing="0"/>
                    <w:ind w:left="240" w:hanging="240"/>
                    <w:rPr>
                      <w:sz w:val="18"/>
                      <w:szCs w:val="18"/>
                    </w:rPr>
                  </w:pPr>
                </w:p>
              </w:tc>
              <w:tc>
                <w:tcPr>
                  <w:tcW w:w="0" w:type="auto"/>
                  <w:gridSpan w:val="4"/>
                  <w:vAlign w:val="center"/>
                </w:tcPr>
                <w:p w14:paraId="761D1111" w14:textId="77777777" w:rsidR="00207559" w:rsidRDefault="00207559" w:rsidP="00207559">
                  <w:pPr>
                    <w:spacing w:after="38" w:line="176" w:lineRule="exact"/>
                    <w:ind w:right="9"/>
                    <w:jc w:val="center"/>
                    <w:textAlignment w:val="baseline"/>
                    <w:rPr>
                      <w:rFonts w:eastAsia="Verdana"/>
                      <w:i/>
                      <w:color w:val="000000"/>
                      <w:sz w:val="18"/>
                      <w:szCs w:val="18"/>
                      <w:lang w:val="en-GB"/>
                    </w:rPr>
                  </w:pPr>
                  <w:r>
                    <w:rPr>
                      <w:rFonts w:eastAsia="Verdana"/>
                      <w:i/>
                      <w:color w:val="000000"/>
                      <w:sz w:val="18"/>
                      <w:szCs w:val="18"/>
                      <w:lang w:val="en-GB"/>
                    </w:rPr>
                    <w:t xml:space="preserve">(in thousands of </w:t>
                  </w:r>
                  <w:r>
                    <w:rPr>
                      <w:rFonts w:eastAsia="Verdana"/>
                      <w:color w:val="000000"/>
                      <w:sz w:val="18"/>
                      <w:szCs w:val="18"/>
                      <w:lang w:val="en-GB"/>
                    </w:rPr>
                    <w:t>€)</w:t>
                  </w:r>
                </w:p>
              </w:tc>
            </w:tr>
            <w:tr w:rsidR="00207559" w14:paraId="6C6BAF36" w14:textId="77777777" w:rsidTr="00046D29">
              <w:trPr>
                <w:trHeight w:val="326"/>
              </w:trPr>
              <w:tc>
                <w:tcPr>
                  <w:tcW w:w="0" w:type="auto"/>
                  <w:vAlign w:val="center"/>
                </w:tcPr>
                <w:p w14:paraId="1F6FD56B" w14:textId="77777777" w:rsidR="00207559" w:rsidRDefault="00207559" w:rsidP="00207559">
                  <w:pPr>
                    <w:pStyle w:val="NormalWeb"/>
                    <w:tabs>
                      <w:tab w:val="right" w:leader="dot" w:pos="5502"/>
                    </w:tabs>
                    <w:spacing w:before="0" w:beforeAutospacing="0" w:after="0" w:afterAutospacing="0"/>
                    <w:ind w:left="240" w:hanging="240"/>
                    <w:rPr>
                      <w:sz w:val="18"/>
                      <w:szCs w:val="18"/>
                    </w:rPr>
                  </w:pPr>
                  <w:r>
                    <w:rPr>
                      <w:sz w:val="18"/>
                      <w:szCs w:val="18"/>
                    </w:rPr>
                    <w:t>Non-Current Financial Debt</w:t>
                  </w:r>
                  <w:r>
                    <w:rPr>
                      <w:sz w:val="18"/>
                      <w:szCs w:val="18"/>
                    </w:rPr>
                    <w:tab/>
                  </w:r>
                </w:p>
              </w:tc>
              <w:tc>
                <w:tcPr>
                  <w:tcW w:w="0" w:type="auto"/>
                  <w:vAlign w:val="bottom"/>
                </w:tcPr>
                <w:p w14:paraId="205B3780" w14:textId="0FCEF90F" w:rsidR="00207559" w:rsidRPr="00673FBD" w:rsidRDefault="00673FBD" w:rsidP="00207559">
                  <w:pPr>
                    <w:jc w:val="right"/>
                    <w:rPr>
                      <w:color w:val="000000"/>
                      <w:sz w:val="18"/>
                      <w:szCs w:val="18"/>
                      <w:lang w:eastAsia="en-GB"/>
                    </w:rPr>
                  </w:pPr>
                  <w:r>
                    <w:rPr>
                      <w:color w:val="000000"/>
                      <w:sz w:val="18"/>
                      <w:szCs w:val="18"/>
                      <w:lang w:eastAsia="en-GB"/>
                    </w:rPr>
                    <w:t>386,88</w:t>
                  </w:r>
                  <w:r w:rsidR="00207559">
                    <w:rPr>
                      <w:color w:val="000000"/>
                      <w:sz w:val="18"/>
                      <w:szCs w:val="18"/>
                      <w:lang w:eastAsia="en-GB"/>
                    </w:rPr>
                    <w:t>2</w:t>
                  </w:r>
                </w:p>
              </w:tc>
              <w:tc>
                <w:tcPr>
                  <w:tcW w:w="0" w:type="auto"/>
                  <w:vAlign w:val="center"/>
                </w:tcPr>
                <w:p w14:paraId="666CE3DE" w14:textId="77777777" w:rsidR="00207559" w:rsidRPr="00673FBD" w:rsidRDefault="00207559" w:rsidP="00207559">
                  <w:pPr>
                    <w:jc w:val="right"/>
                    <w:rPr>
                      <w:color w:val="000000"/>
                      <w:sz w:val="18"/>
                      <w:szCs w:val="18"/>
                      <w:lang w:eastAsia="en-GB"/>
                    </w:rPr>
                  </w:pPr>
                  <w:r>
                    <w:rPr>
                      <w:color w:val="000000"/>
                      <w:sz w:val="18"/>
                      <w:szCs w:val="18"/>
                      <w:lang w:eastAsia="en-GB"/>
                    </w:rPr>
                    <w:t>327</w:t>
                  </w:r>
                  <w:r w:rsidRPr="00673FBD">
                    <w:rPr>
                      <w:color w:val="000000"/>
                      <w:sz w:val="18"/>
                      <w:szCs w:val="18"/>
                      <w:lang w:eastAsia="en-GB"/>
                    </w:rPr>
                    <w:t>,923</w:t>
                  </w:r>
                </w:p>
              </w:tc>
              <w:tc>
                <w:tcPr>
                  <w:tcW w:w="0" w:type="auto"/>
                </w:tcPr>
                <w:p w14:paraId="7A6EA897" w14:textId="77777777" w:rsidR="00207559" w:rsidRDefault="00207559" w:rsidP="00207559">
                  <w:pPr>
                    <w:jc w:val="right"/>
                    <w:rPr>
                      <w:color w:val="000000"/>
                      <w:sz w:val="18"/>
                      <w:szCs w:val="18"/>
                      <w:lang w:eastAsia="en-GB"/>
                    </w:rPr>
                  </w:pPr>
                  <w:r>
                    <w:rPr>
                      <w:color w:val="000000"/>
                      <w:sz w:val="18"/>
                      <w:szCs w:val="18"/>
                      <w:lang w:eastAsia="en-GB"/>
                    </w:rPr>
                    <w:t>269,904</w:t>
                  </w:r>
                </w:p>
              </w:tc>
              <w:tc>
                <w:tcPr>
                  <w:tcW w:w="0" w:type="auto"/>
                </w:tcPr>
                <w:p w14:paraId="0246AD1C" w14:textId="77777777" w:rsidR="00207559" w:rsidRDefault="00207559" w:rsidP="00207559">
                  <w:pPr>
                    <w:jc w:val="right"/>
                    <w:rPr>
                      <w:color w:val="000000"/>
                      <w:sz w:val="18"/>
                      <w:szCs w:val="18"/>
                      <w:lang w:eastAsia="en-GB"/>
                    </w:rPr>
                  </w:pPr>
                  <w:r>
                    <w:rPr>
                      <w:color w:val="000000"/>
                      <w:sz w:val="18"/>
                      <w:szCs w:val="18"/>
                      <w:lang w:eastAsia="en-GB"/>
                    </w:rPr>
                    <w:t>193,034</w:t>
                  </w:r>
                </w:p>
              </w:tc>
            </w:tr>
            <w:tr w:rsidR="00207559" w14:paraId="139A547F" w14:textId="77777777" w:rsidTr="00046D29">
              <w:trPr>
                <w:trHeight w:hRule="exact" w:val="245"/>
              </w:trPr>
              <w:tc>
                <w:tcPr>
                  <w:tcW w:w="0" w:type="auto"/>
                  <w:vAlign w:val="center"/>
                </w:tcPr>
                <w:p w14:paraId="7A2D929E" w14:textId="77777777" w:rsidR="00207559" w:rsidRDefault="00207559" w:rsidP="00207559">
                  <w:pPr>
                    <w:pStyle w:val="NormalWeb"/>
                    <w:tabs>
                      <w:tab w:val="right" w:leader="dot" w:pos="5502"/>
                    </w:tabs>
                    <w:spacing w:before="0" w:beforeAutospacing="0" w:after="0" w:afterAutospacing="0"/>
                    <w:ind w:left="240" w:hanging="240"/>
                    <w:rPr>
                      <w:sz w:val="18"/>
                      <w:szCs w:val="18"/>
                    </w:rPr>
                  </w:pPr>
                  <w:r>
                    <w:rPr>
                      <w:sz w:val="18"/>
                      <w:szCs w:val="18"/>
                    </w:rPr>
                    <w:t>Other Non-Current Financial Liabilities</w:t>
                  </w:r>
                  <w:r>
                    <w:rPr>
                      <w:sz w:val="18"/>
                      <w:szCs w:val="18"/>
                    </w:rPr>
                    <w:tab/>
                  </w:r>
                </w:p>
              </w:tc>
              <w:tc>
                <w:tcPr>
                  <w:tcW w:w="0" w:type="auto"/>
                  <w:vAlign w:val="bottom"/>
                </w:tcPr>
                <w:p w14:paraId="415EACD0" w14:textId="77777777" w:rsidR="00207559" w:rsidRDefault="00207559" w:rsidP="00207559">
                  <w:pPr>
                    <w:jc w:val="right"/>
                  </w:pPr>
                  <w:r>
                    <w:rPr>
                      <w:color w:val="000000"/>
                      <w:sz w:val="18"/>
                      <w:szCs w:val="18"/>
                      <w:lang w:eastAsia="en-GB"/>
                    </w:rPr>
                    <w:t xml:space="preserve">1,689 </w:t>
                  </w:r>
                </w:p>
              </w:tc>
              <w:tc>
                <w:tcPr>
                  <w:tcW w:w="0" w:type="auto"/>
                  <w:vAlign w:val="center"/>
                </w:tcPr>
                <w:p w14:paraId="68187350" w14:textId="77777777" w:rsidR="00207559" w:rsidRDefault="00207559" w:rsidP="00207559">
                  <w:pPr>
                    <w:spacing w:after="38" w:line="176" w:lineRule="exact"/>
                    <w:ind w:right="9"/>
                    <w:jc w:val="right"/>
                    <w:textAlignment w:val="baseline"/>
                    <w:rPr>
                      <w:rFonts w:eastAsia="Verdana"/>
                      <w:color w:val="000000"/>
                      <w:sz w:val="18"/>
                      <w:szCs w:val="18"/>
                      <w:lang w:val="en-GB"/>
                    </w:rPr>
                  </w:pPr>
                  <w:r>
                    <w:rPr>
                      <w:rFonts w:eastAsia="Verdana"/>
                      <w:color w:val="000000"/>
                      <w:sz w:val="18"/>
                      <w:szCs w:val="18"/>
                      <w:lang w:val="en-GB"/>
                    </w:rPr>
                    <w:t>5,348</w:t>
                  </w:r>
                </w:p>
              </w:tc>
              <w:tc>
                <w:tcPr>
                  <w:tcW w:w="0" w:type="auto"/>
                </w:tcPr>
                <w:p w14:paraId="0D0CB668" w14:textId="77777777" w:rsidR="00207559" w:rsidRDefault="00207559" w:rsidP="00207559">
                  <w:pPr>
                    <w:jc w:val="right"/>
                    <w:rPr>
                      <w:color w:val="000000"/>
                      <w:sz w:val="18"/>
                      <w:szCs w:val="18"/>
                      <w:lang w:eastAsia="en-GB"/>
                    </w:rPr>
                  </w:pPr>
                  <w:r>
                    <w:rPr>
                      <w:color w:val="000000"/>
                      <w:sz w:val="18"/>
                      <w:szCs w:val="18"/>
                      <w:lang w:eastAsia="en-GB"/>
                    </w:rPr>
                    <w:t>2,191</w:t>
                  </w:r>
                </w:p>
              </w:tc>
              <w:tc>
                <w:tcPr>
                  <w:tcW w:w="0" w:type="auto"/>
                </w:tcPr>
                <w:p w14:paraId="3BBE6E4D" w14:textId="77777777" w:rsidR="00207559" w:rsidRDefault="00207559" w:rsidP="00207559">
                  <w:pPr>
                    <w:jc w:val="right"/>
                    <w:rPr>
                      <w:color w:val="000000"/>
                      <w:sz w:val="18"/>
                      <w:szCs w:val="18"/>
                      <w:lang w:eastAsia="en-GB"/>
                    </w:rPr>
                  </w:pPr>
                  <w:r>
                    <w:rPr>
                      <w:color w:val="000000"/>
                      <w:sz w:val="18"/>
                      <w:szCs w:val="18"/>
                      <w:lang w:eastAsia="en-GB"/>
                    </w:rPr>
                    <w:t>1,656</w:t>
                  </w:r>
                </w:p>
              </w:tc>
            </w:tr>
            <w:tr w:rsidR="00207559" w14:paraId="452D8297" w14:textId="77777777" w:rsidTr="00046D29">
              <w:trPr>
                <w:trHeight w:hRule="exact" w:val="246"/>
              </w:trPr>
              <w:tc>
                <w:tcPr>
                  <w:tcW w:w="0" w:type="auto"/>
                  <w:vAlign w:val="center"/>
                </w:tcPr>
                <w:p w14:paraId="22A83B6B" w14:textId="77777777" w:rsidR="00207559" w:rsidRDefault="00207559" w:rsidP="00207559">
                  <w:pPr>
                    <w:pStyle w:val="NormalWeb"/>
                    <w:tabs>
                      <w:tab w:val="right" w:leader="dot" w:pos="5502"/>
                    </w:tabs>
                    <w:spacing w:before="0" w:beforeAutospacing="0" w:after="0" w:afterAutospacing="0"/>
                    <w:ind w:left="240" w:hanging="240"/>
                    <w:rPr>
                      <w:sz w:val="18"/>
                      <w:szCs w:val="18"/>
                    </w:rPr>
                  </w:pPr>
                  <w:r>
                    <w:rPr>
                      <w:sz w:val="18"/>
                      <w:szCs w:val="18"/>
                    </w:rPr>
                    <w:t>Current Financial Debt</w:t>
                  </w:r>
                  <w:r>
                    <w:rPr>
                      <w:sz w:val="18"/>
                      <w:szCs w:val="18"/>
                    </w:rPr>
                    <w:tab/>
                  </w:r>
                </w:p>
              </w:tc>
              <w:tc>
                <w:tcPr>
                  <w:tcW w:w="0" w:type="auto"/>
                  <w:vAlign w:val="bottom"/>
                </w:tcPr>
                <w:p w14:paraId="2AFC42F3" w14:textId="77777777" w:rsidR="00207559" w:rsidRDefault="00207559" w:rsidP="00207559">
                  <w:pPr>
                    <w:jc w:val="right"/>
                  </w:pPr>
                  <w:r>
                    <w:rPr>
                      <w:color w:val="000000"/>
                      <w:sz w:val="18"/>
                      <w:szCs w:val="18"/>
                      <w:lang w:eastAsia="en-GB"/>
                    </w:rPr>
                    <w:t>89,087</w:t>
                  </w:r>
                </w:p>
              </w:tc>
              <w:tc>
                <w:tcPr>
                  <w:tcW w:w="0" w:type="auto"/>
                  <w:vAlign w:val="center"/>
                </w:tcPr>
                <w:p w14:paraId="2AA13E45" w14:textId="77777777" w:rsidR="00207559" w:rsidRDefault="00207559" w:rsidP="00207559">
                  <w:pPr>
                    <w:spacing w:after="38" w:line="176" w:lineRule="exact"/>
                    <w:ind w:right="9"/>
                    <w:jc w:val="right"/>
                    <w:textAlignment w:val="baseline"/>
                    <w:rPr>
                      <w:rFonts w:eastAsia="Verdana"/>
                      <w:color w:val="000000"/>
                      <w:sz w:val="18"/>
                      <w:szCs w:val="18"/>
                      <w:lang w:val="en-GB"/>
                    </w:rPr>
                  </w:pPr>
                  <w:r>
                    <w:rPr>
                      <w:rFonts w:eastAsia="Verdana"/>
                      <w:color w:val="000000"/>
                      <w:sz w:val="18"/>
                      <w:szCs w:val="18"/>
                      <w:lang w:val="en-GB"/>
                    </w:rPr>
                    <w:t>81,674</w:t>
                  </w:r>
                </w:p>
              </w:tc>
              <w:tc>
                <w:tcPr>
                  <w:tcW w:w="0" w:type="auto"/>
                </w:tcPr>
                <w:p w14:paraId="06DE9651" w14:textId="77777777" w:rsidR="00207559" w:rsidRDefault="00207559" w:rsidP="00207559">
                  <w:pPr>
                    <w:jc w:val="right"/>
                    <w:rPr>
                      <w:color w:val="000000"/>
                      <w:sz w:val="18"/>
                      <w:szCs w:val="18"/>
                      <w:lang w:eastAsia="en-GB"/>
                    </w:rPr>
                  </w:pPr>
                  <w:r>
                    <w:rPr>
                      <w:color w:val="000000"/>
                      <w:sz w:val="18"/>
                      <w:szCs w:val="18"/>
                      <w:lang w:eastAsia="en-GB"/>
                    </w:rPr>
                    <w:t>9,886</w:t>
                  </w:r>
                </w:p>
              </w:tc>
              <w:tc>
                <w:tcPr>
                  <w:tcW w:w="0" w:type="auto"/>
                </w:tcPr>
                <w:p w14:paraId="24394C36" w14:textId="77777777" w:rsidR="00207559" w:rsidRDefault="00207559" w:rsidP="00207559">
                  <w:pPr>
                    <w:jc w:val="right"/>
                    <w:rPr>
                      <w:color w:val="000000"/>
                      <w:sz w:val="18"/>
                      <w:szCs w:val="18"/>
                      <w:lang w:eastAsia="en-GB"/>
                    </w:rPr>
                  </w:pPr>
                  <w:r>
                    <w:rPr>
                      <w:color w:val="000000"/>
                      <w:sz w:val="18"/>
                      <w:szCs w:val="18"/>
                      <w:lang w:eastAsia="en-GB"/>
                    </w:rPr>
                    <w:t>5,722</w:t>
                  </w:r>
                </w:p>
              </w:tc>
            </w:tr>
            <w:tr w:rsidR="00207559" w14:paraId="7342D203" w14:textId="77777777" w:rsidTr="00046D29">
              <w:trPr>
                <w:trHeight w:hRule="exact" w:val="245"/>
              </w:trPr>
              <w:tc>
                <w:tcPr>
                  <w:tcW w:w="0" w:type="auto"/>
                  <w:vAlign w:val="center"/>
                </w:tcPr>
                <w:p w14:paraId="7DF7C5ED" w14:textId="77777777" w:rsidR="00207559" w:rsidRDefault="00207559" w:rsidP="00207559">
                  <w:pPr>
                    <w:pStyle w:val="NormalWeb"/>
                    <w:tabs>
                      <w:tab w:val="right" w:leader="dot" w:pos="5502"/>
                    </w:tabs>
                    <w:spacing w:before="0" w:beforeAutospacing="0" w:after="0" w:afterAutospacing="0"/>
                    <w:ind w:left="240" w:hanging="240"/>
                    <w:rPr>
                      <w:sz w:val="18"/>
                      <w:szCs w:val="18"/>
                    </w:rPr>
                  </w:pPr>
                  <w:r>
                    <w:rPr>
                      <w:sz w:val="18"/>
                      <w:szCs w:val="18"/>
                    </w:rPr>
                    <w:t>Other Current Financial Liabilities</w:t>
                  </w:r>
                  <w:r>
                    <w:rPr>
                      <w:sz w:val="18"/>
                      <w:szCs w:val="18"/>
                    </w:rPr>
                    <w:tab/>
                  </w:r>
                </w:p>
              </w:tc>
              <w:tc>
                <w:tcPr>
                  <w:tcW w:w="0" w:type="auto"/>
                  <w:vAlign w:val="bottom"/>
                </w:tcPr>
                <w:p w14:paraId="25710498" w14:textId="77777777" w:rsidR="00207559" w:rsidRDefault="00207559" w:rsidP="00207559">
                  <w:pPr>
                    <w:jc w:val="right"/>
                    <w:rPr>
                      <w:color w:val="000000"/>
                      <w:sz w:val="18"/>
                      <w:szCs w:val="18"/>
                      <w:lang w:eastAsia="en-GB"/>
                    </w:rPr>
                  </w:pPr>
                  <w:r>
                    <w:rPr>
                      <w:color w:val="000000"/>
                      <w:sz w:val="18"/>
                      <w:szCs w:val="18"/>
                      <w:lang w:eastAsia="en-GB"/>
                    </w:rPr>
                    <w:t>2,110</w:t>
                  </w:r>
                </w:p>
              </w:tc>
              <w:tc>
                <w:tcPr>
                  <w:tcW w:w="0" w:type="auto"/>
                  <w:vAlign w:val="bottom"/>
                </w:tcPr>
                <w:p w14:paraId="7BC9F97B" w14:textId="77777777" w:rsidR="00207559" w:rsidRDefault="00207559" w:rsidP="00207559">
                  <w:pPr>
                    <w:spacing w:after="38" w:line="176" w:lineRule="exact"/>
                    <w:ind w:right="9"/>
                    <w:jc w:val="right"/>
                    <w:textAlignment w:val="baseline"/>
                    <w:rPr>
                      <w:rFonts w:eastAsia="Verdana"/>
                      <w:color w:val="000000"/>
                      <w:sz w:val="18"/>
                      <w:szCs w:val="18"/>
                      <w:lang w:val="en-GB"/>
                    </w:rPr>
                  </w:pPr>
                  <w:r>
                    <w:rPr>
                      <w:rFonts w:eastAsia="Verdana"/>
                      <w:color w:val="000000"/>
                      <w:sz w:val="18"/>
                      <w:szCs w:val="18"/>
                      <w:lang w:val="en-GB"/>
                    </w:rPr>
                    <w:t>0</w:t>
                  </w:r>
                </w:p>
              </w:tc>
              <w:tc>
                <w:tcPr>
                  <w:tcW w:w="0" w:type="auto"/>
                </w:tcPr>
                <w:p w14:paraId="0E74E1B7" w14:textId="77777777" w:rsidR="00207559" w:rsidRDefault="00207559" w:rsidP="00207559">
                  <w:pPr>
                    <w:jc w:val="right"/>
                    <w:rPr>
                      <w:color w:val="000000"/>
                      <w:sz w:val="18"/>
                      <w:szCs w:val="18"/>
                      <w:lang w:eastAsia="en-GB"/>
                    </w:rPr>
                  </w:pPr>
                  <w:r>
                    <w:rPr>
                      <w:color w:val="000000"/>
                      <w:sz w:val="18"/>
                      <w:szCs w:val="18"/>
                      <w:lang w:eastAsia="en-GB"/>
                    </w:rPr>
                    <w:t>-</w:t>
                  </w:r>
                </w:p>
              </w:tc>
              <w:tc>
                <w:tcPr>
                  <w:tcW w:w="0" w:type="auto"/>
                </w:tcPr>
                <w:p w14:paraId="3503F10A" w14:textId="77777777" w:rsidR="00207559" w:rsidRDefault="00207559" w:rsidP="00207559">
                  <w:pPr>
                    <w:jc w:val="right"/>
                    <w:rPr>
                      <w:color w:val="000000"/>
                      <w:sz w:val="18"/>
                      <w:szCs w:val="18"/>
                      <w:lang w:eastAsia="en-GB"/>
                    </w:rPr>
                  </w:pPr>
                  <w:r>
                    <w:rPr>
                      <w:color w:val="000000"/>
                      <w:sz w:val="18"/>
                      <w:szCs w:val="18"/>
                      <w:lang w:eastAsia="en-GB"/>
                    </w:rPr>
                    <w:t>-</w:t>
                  </w:r>
                </w:p>
              </w:tc>
            </w:tr>
            <w:tr w:rsidR="00207559" w14:paraId="36FDA723" w14:textId="77777777" w:rsidTr="00046D29">
              <w:trPr>
                <w:trHeight w:hRule="exact" w:val="323"/>
              </w:trPr>
              <w:tc>
                <w:tcPr>
                  <w:tcW w:w="0" w:type="auto"/>
                  <w:vAlign w:val="center"/>
                </w:tcPr>
                <w:p w14:paraId="657FC4EF" w14:textId="77777777" w:rsidR="00207559" w:rsidRDefault="00207559" w:rsidP="00207559">
                  <w:pPr>
                    <w:tabs>
                      <w:tab w:val="right" w:leader="dot" w:pos="5940"/>
                    </w:tabs>
                    <w:spacing w:after="38" w:line="176" w:lineRule="exact"/>
                    <w:ind w:left="29"/>
                    <w:textAlignment w:val="baseline"/>
                    <w:rPr>
                      <w:rFonts w:eastAsia="Verdana"/>
                      <w:color w:val="000000"/>
                      <w:sz w:val="18"/>
                      <w:szCs w:val="18"/>
                      <w:lang w:val="en-GB"/>
                    </w:rPr>
                  </w:pPr>
                  <w:r>
                    <w:rPr>
                      <w:rFonts w:eastAsia="Verdana"/>
                      <w:color w:val="000000"/>
                      <w:sz w:val="18"/>
                      <w:szCs w:val="18"/>
                      <w:lang w:val="en-GB"/>
                    </w:rPr>
                    <w:t>Financial Debt classified under Liabilities related to Disposal Group held for sale</w:t>
                  </w:r>
                  <w:r>
                    <w:rPr>
                      <w:rFonts w:eastAsia="Verdana"/>
                      <w:color w:val="000000"/>
                      <w:sz w:val="18"/>
                      <w:szCs w:val="18"/>
                      <w:lang w:val="en-GB"/>
                    </w:rPr>
                    <w:tab/>
                  </w:r>
                </w:p>
              </w:tc>
              <w:tc>
                <w:tcPr>
                  <w:tcW w:w="0" w:type="auto"/>
                  <w:tcBorders>
                    <w:bottom w:val="single" w:sz="2" w:space="0" w:color="auto"/>
                  </w:tcBorders>
                  <w:vAlign w:val="bottom"/>
                </w:tcPr>
                <w:p w14:paraId="71B2EACD" w14:textId="77777777" w:rsidR="00207559" w:rsidRDefault="00207559" w:rsidP="00207559">
                  <w:pPr>
                    <w:jc w:val="right"/>
                  </w:pPr>
                  <w:r>
                    <w:rPr>
                      <w:color w:val="000000"/>
                      <w:sz w:val="18"/>
                      <w:szCs w:val="18"/>
                      <w:lang w:eastAsia="en-GB"/>
                    </w:rPr>
                    <w:t xml:space="preserve">18,747 </w:t>
                  </w:r>
                </w:p>
              </w:tc>
              <w:tc>
                <w:tcPr>
                  <w:tcW w:w="0" w:type="auto"/>
                  <w:tcBorders>
                    <w:bottom w:val="single" w:sz="2" w:space="0" w:color="auto"/>
                  </w:tcBorders>
                  <w:vAlign w:val="center"/>
                </w:tcPr>
                <w:p w14:paraId="77E69C7A" w14:textId="77777777" w:rsidR="00207559" w:rsidRDefault="00207559" w:rsidP="00207559">
                  <w:pPr>
                    <w:spacing w:after="38" w:line="176" w:lineRule="exact"/>
                    <w:ind w:right="9"/>
                    <w:jc w:val="right"/>
                    <w:textAlignment w:val="baseline"/>
                    <w:rPr>
                      <w:rFonts w:eastAsia="Verdana"/>
                      <w:color w:val="000000"/>
                      <w:sz w:val="18"/>
                      <w:szCs w:val="18"/>
                      <w:lang w:val="en-GB"/>
                    </w:rPr>
                  </w:pPr>
                  <w:r>
                    <w:rPr>
                      <w:rFonts w:eastAsia="Verdana"/>
                      <w:color w:val="000000"/>
                      <w:sz w:val="18"/>
                      <w:szCs w:val="18"/>
                      <w:lang w:val="en-GB"/>
                    </w:rPr>
                    <w:t>-</w:t>
                  </w:r>
                </w:p>
              </w:tc>
              <w:tc>
                <w:tcPr>
                  <w:tcW w:w="0" w:type="auto"/>
                  <w:tcBorders>
                    <w:bottom w:val="single" w:sz="2" w:space="0" w:color="auto"/>
                  </w:tcBorders>
                </w:tcPr>
                <w:p w14:paraId="650DE4A3" w14:textId="77777777" w:rsidR="00207559" w:rsidRDefault="00207559" w:rsidP="00207559">
                  <w:pPr>
                    <w:jc w:val="right"/>
                    <w:rPr>
                      <w:color w:val="000000"/>
                      <w:sz w:val="18"/>
                      <w:szCs w:val="18"/>
                      <w:lang w:eastAsia="en-GB"/>
                    </w:rPr>
                  </w:pPr>
                  <w:r>
                    <w:rPr>
                      <w:color w:val="000000"/>
                      <w:sz w:val="18"/>
                      <w:szCs w:val="18"/>
                      <w:lang w:eastAsia="en-GB"/>
                    </w:rPr>
                    <w:t>-</w:t>
                  </w:r>
                </w:p>
              </w:tc>
              <w:tc>
                <w:tcPr>
                  <w:tcW w:w="0" w:type="auto"/>
                  <w:tcBorders>
                    <w:bottom w:val="single" w:sz="2" w:space="0" w:color="auto"/>
                  </w:tcBorders>
                </w:tcPr>
                <w:p w14:paraId="610925D8" w14:textId="77777777" w:rsidR="00207559" w:rsidRDefault="00207559" w:rsidP="00207559">
                  <w:pPr>
                    <w:jc w:val="right"/>
                    <w:rPr>
                      <w:color w:val="000000"/>
                      <w:sz w:val="18"/>
                      <w:szCs w:val="18"/>
                      <w:lang w:eastAsia="en-GB"/>
                    </w:rPr>
                  </w:pPr>
                  <w:r>
                    <w:rPr>
                      <w:color w:val="000000"/>
                      <w:sz w:val="18"/>
                      <w:szCs w:val="18"/>
                      <w:lang w:eastAsia="en-GB"/>
                    </w:rPr>
                    <w:t>-</w:t>
                  </w:r>
                </w:p>
              </w:tc>
            </w:tr>
            <w:tr w:rsidR="00207559" w14:paraId="1CDFBC3A" w14:textId="77777777" w:rsidTr="00046D29">
              <w:trPr>
                <w:trHeight w:hRule="exact" w:val="323"/>
              </w:trPr>
              <w:tc>
                <w:tcPr>
                  <w:tcW w:w="0" w:type="auto"/>
                  <w:vAlign w:val="center"/>
                </w:tcPr>
                <w:p w14:paraId="3C01B11F" w14:textId="77777777" w:rsidR="00207559" w:rsidRDefault="00207559" w:rsidP="00207559">
                  <w:pPr>
                    <w:tabs>
                      <w:tab w:val="right" w:leader="dot" w:pos="5592"/>
                    </w:tabs>
                    <w:spacing w:after="47" w:line="176" w:lineRule="exact"/>
                    <w:ind w:left="29"/>
                    <w:textAlignment w:val="baseline"/>
                    <w:rPr>
                      <w:rFonts w:eastAsia="Verdana"/>
                      <w:b/>
                      <w:color w:val="000000"/>
                      <w:sz w:val="18"/>
                      <w:szCs w:val="18"/>
                      <w:lang w:val="en-GB"/>
                    </w:rPr>
                  </w:pPr>
                  <w:r>
                    <w:rPr>
                      <w:rFonts w:eastAsia="Verdana"/>
                      <w:b/>
                      <w:color w:val="000000"/>
                      <w:sz w:val="18"/>
                      <w:szCs w:val="18"/>
                      <w:lang w:val="en-GB"/>
                    </w:rPr>
                    <w:t>Total Financial Debt</w:t>
                  </w:r>
                </w:p>
              </w:tc>
              <w:tc>
                <w:tcPr>
                  <w:tcW w:w="0" w:type="auto"/>
                  <w:tcBorders>
                    <w:top w:val="single" w:sz="2" w:space="0" w:color="auto"/>
                    <w:bottom w:val="single" w:sz="2" w:space="0" w:color="auto"/>
                  </w:tcBorders>
                  <w:vAlign w:val="center"/>
                </w:tcPr>
                <w:p w14:paraId="27F4D013" w14:textId="587B5B11" w:rsidR="00207559" w:rsidRDefault="001D5E9B" w:rsidP="00207559">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498,</w:t>
                  </w:r>
                  <w:r w:rsidR="006C2358">
                    <w:rPr>
                      <w:rFonts w:eastAsia="Verdana"/>
                      <w:b/>
                      <w:color w:val="000000"/>
                      <w:sz w:val="18"/>
                      <w:szCs w:val="18"/>
                      <w:lang w:val="en-GB"/>
                    </w:rPr>
                    <w:t>515</w:t>
                  </w:r>
                </w:p>
              </w:tc>
              <w:tc>
                <w:tcPr>
                  <w:tcW w:w="0" w:type="auto"/>
                  <w:tcBorders>
                    <w:top w:val="single" w:sz="2" w:space="0" w:color="auto"/>
                    <w:bottom w:val="single" w:sz="2" w:space="0" w:color="auto"/>
                  </w:tcBorders>
                  <w:vAlign w:val="center"/>
                </w:tcPr>
                <w:p w14:paraId="75DF2C43" w14:textId="77777777" w:rsidR="00207559" w:rsidRDefault="00207559" w:rsidP="00207559">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414,945</w:t>
                  </w:r>
                </w:p>
              </w:tc>
              <w:tc>
                <w:tcPr>
                  <w:tcW w:w="0" w:type="auto"/>
                  <w:tcBorders>
                    <w:top w:val="single" w:sz="2" w:space="0" w:color="auto"/>
                    <w:bottom w:val="single" w:sz="2" w:space="0" w:color="auto"/>
                  </w:tcBorders>
                  <w:vAlign w:val="center"/>
                </w:tcPr>
                <w:p w14:paraId="0DB1EB7F" w14:textId="77777777" w:rsidR="00207559" w:rsidRDefault="00207559" w:rsidP="00207559">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281,981</w:t>
                  </w:r>
                </w:p>
              </w:tc>
              <w:tc>
                <w:tcPr>
                  <w:tcW w:w="0" w:type="auto"/>
                  <w:tcBorders>
                    <w:top w:val="single" w:sz="2" w:space="0" w:color="auto"/>
                    <w:bottom w:val="single" w:sz="2" w:space="0" w:color="auto"/>
                  </w:tcBorders>
                  <w:vAlign w:val="center"/>
                </w:tcPr>
                <w:p w14:paraId="7DA42300" w14:textId="77777777" w:rsidR="00207559" w:rsidRDefault="00207559" w:rsidP="00207559">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200,412</w:t>
                  </w:r>
                </w:p>
              </w:tc>
            </w:tr>
            <w:tr w:rsidR="00207559" w14:paraId="27C4FC7D" w14:textId="77777777" w:rsidTr="00046D29">
              <w:trPr>
                <w:trHeight w:hRule="exact" w:val="246"/>
              </w:trPr>
              <w:tc>
                <w:tcPr>
                  <w:tcW w:w="0" w:type="auto"/>
                  <w:vAlign w:val="center"/>
                </w:tcPr>
                <w:p w14:paraId="4E44AF0C" w14:textId="77777777" w:rsidR="00207559" w:rsidRDefault="00207559" w:rsidP="00207559">
                  <w:pPr>
                    <w:tabs>
                      <w:tab w:val="right" w:leader="dot" w:pos="5592"/>
                    </w:tabs>
                    <w:spacing w:after="47" w:line="176" w:lineRule="exact"/>
                    <w:ind w:left="29"/>
                    <w:textAlignment w:val="baseline"/>
                    <w:rPr>
                      <w:rFonts w:eastAsia="Verdana"/>
                      <w:color w:val="000000"/>
                      <w:sz w:val="18"/>
                      <w:szCs w:val="18"/>
                      <w:lang w:val="en-GB"/>
                    </w:rPr>
                  </w:pPr>
                  <w:r>
                    <w:rPr>
                      <w:rFonts w:eastAsia="Verdana"/>
                      <w:color w:val="000000"/>
                      <w:sz w:val="18"/>
                      <w:szCs w:val="18"/>
                      <w:lang w:val="en-GB"/>
                    </w:rPr>
                    <w:t>Cash and Cash Equivalents</w:t>
                  </w:r>
                  <w:r>
                    <w:rPr>
                      <w:rFonts w:eastAsia="Verdana"/>
                      <w:color w:val="000000"/>
                      <w:sz w:val="18"/>
                      <w:szCs w:val="18"/>
                      <w:lang w:val="en-GB"/>
                    </w:rPr>
                    <w:tab/>
                  </w:r>
                </w:p>
              </w:tc>
              <w:tc>
                <w:tcPr>
                  <w:tcW w:w="0" w:type="auto"/>
                  <w:tcBorders>
                    <w:top w:val="single" w:sz="2" w:space="0" w:color="auto"/>
                  </w:tcBorders>
                </w:tcPr>
                <w:p w14:paraId="3BFC3F1E" w14:textId="77777777" w:rsidR="00207559" w:rsidRDefault="00207559" w:rsidP="00207559">
                  <w:pPr>
                    <w:jc w:val="right"/>
                    <w:rPr>
                      <w:color w:val="000000"/>
                      <w:sz w:val="18"/>
                      <w:szCs w:val="18"/>
                      <w:lang w:eastAsia="en-GB"/>
                    </w:rPr>
                  </w:pPr>
                  <w:r>
                    <w:rPr>
                      <w:color w:val="000000"/>
                      <w:sz w:val="18"/>
                      <w:szCs w:val="18"/>
                      <w:lang w:eastAsia="en-GB"/>
                    </w:rPr>
                    <w:t>(141,545)</w:t>
                  </w:r>
                </w:p>
              </w:tc>
              <w:tc>
                <w:tcPr>
                  <w:tcW w:w="0" w:type="auto"/>
                  <w:tcBorders>
                    <w:top w:val="single" w:sz="2" w:space="0" w:color="auto"/>
                  </w:tcBorders>
                </w:tcPr>
                <w:p w14:paraId="570E40FB" w14:textId="77777777" w:rsidR="00207559" w:rsidRDefault="00207559" w:rsidP="00207559">
                  <w:pPr>
                    <w:spacing w:after="38" w:line="176" w:lineRule="exact"/>
                    <w:ind w:right="9"/>
                    <w:jc w:val="right"/>
                    <w:textAlignment w:val="baseline"/>
                    <w:rPr>
                      <w:color w:val="000000"/>
                      <w:sz w:val="18"/>
                      <w:szCs w:val="18"/>
                      <w:lang w:eastAsia="en-GB"/>
                    </w:rPr>
                  </w:pPr>
                  <w:r>
                    <w:rPr>
                      <w:color w:val="000000"/>
                      <w:sz w:val="18"/>
                      <w:szCs w:val="18"/>
                      <w:lang w:eastAsia="en-GB"/>
                    </w:rPr>
                    <w:t>(71,595)</w:t>
                  </w:r>
                </w:p>
              </w:tc>
              <w:tc>
                <w:tcPr>
                  <w:tcW w:w="0" w:type="auto"/>
                  <w:tcBorders>
                    <w:top w:val="single" w:sz="2" w:space="0" w:color="auto"/>
                  </w:tcBorders>
                </w:tcPr>
                <w:p w14:paraId="58DFCA47" w14:textId="77777777" w:rsidR="00207559" w:rsidRDefault="00207559" w:rsidP="00207559">
                  <w:pPr>
                    <w:jc w:val="right"/>
                    <w:rPr>
                      <w:color w:val="000000"/>
                      <w:sz w:val="18"/>
                      <w:szCs w:val="18"/>
                      <w:lang w:eastAsia="en-GB"/>
                    </w:rPr>
                  </w:pPr>
                  <w:r>
                    <w:rPr>
                      <w:color w:val="000000"/>
                      <w:sz w:val="18"/>
                      <w:szCs w:val="18"/>
                      <w:lang w:eastAsia="en-GB"/>
                    </w:rPr>
                    <w:t>(24,009)</w:t>
                  </w:r>
                </w:p>
              </w:tc>
              <w:tc>
                <w:tcPr>
                  <w:tcW w:w="0" w:type="auto"/>
                  <w:tcBorders>
                    <w:top w:val="single" w:sz="2" w:space="0" w:color="auto"/>
                  </w:tcBorders>
                </w:tcPr>
                <w:p w14:paraId="1C5FF19E" w14:textId="77777777" w:rsidR="00207559" w:rsidRDefault="00207559" w:rsidP="00207559">
                  <w:pPr>
                    <w:jc w:val="right"/>
                    <w:rPr>
                      <w:color w:val="000000"/>
                      <w:sz w:val="18"/>
                      <w:szCs w:val="18"/>
                      <w:lang w:eastAsia="en-GB"/>
                    </w:rPr>
                  </w:pPr>
                  <w:r>
                    <w:rPr>
                      <w:color w:val="000000"/>
                      <w:sz w:val="18"/>
                      <w:szCs w:val="18"/>
                      <w:lang w:eastAsia="en-GB"/>
                    </w:rPr>
                    <w:t>(43,595)</w:t>
                  </w:r>
                </w:p>
              </w:tc>
            </w:tr>
            <w:tr w:rsidR="00207559" w14:paraId="6582A13D" w14:textId="77777777" w:rsidTr="00046D29">
              <w:trPr>
                <w:trHeight w:hRule="exact" w:val="241"/>
              </w:trPr>
              <w:tc>
                <w:tcPr>
                  <w:tcW w:w="0" w:type="auto"/>
                  <w:vAlign w:val="center"/>
                </w:tcPr>
                <w:p w14:paraId="4B1702D4" w14:textId="77777777" w:rsidR="00207559" w:rsidRDefault="00207559" w:rsidP="00207559">
                  <w:pPr>
                    <w:tabs>
                      <w:tab w:val="right" w:leader="dot" w:pos="5592"/>
                    </w:tabs>
                    <w:spacing w:after="47" w:line="176" w:lineRule="exact"/>
                    <w:ind w:left="29"/>
                    <w:textAlignment w:val="baseline"/>
                    <w:rPr>
                      <w:rFonts w:eastAsia="Verdana"/>
                      <w:color w:val="000000"/>
                      <w:sz w:val="18"/>
                      <w:szCs w:val="18"/>
                      <w:lang w:val="en-GB"/>
                    </w:rPr>
                  </w:pPr>
                  <w:r>
                    <w:rPr>
                      <w:rFonts w:eastAsia="Verdana"/>
                      <w:color w:val="000000"/>
                      <w:sz w:val="18"/>
                      <w:szCs w:val="18"/>
                      <w:lang w:val="en-GB"/>
                    </w:rPr>
                    <w:t>Cash and Cash Equivalents Classified as Disposal Group held for sale</w:t>
                  </w:r>
                  <w:r>
                    <w:rPr>
                      <w:rFonts w:eastAsia="Verdana"/>
                      <w:color w:val="000000"/>
                      <w:sz w:val="18"/>
                      <w:szCs w:val="18"/>
                      <w:lang w:val="en-GB"/>
                    </w:rPr>
                    <w:tab/>
                  </w:r>
                </w:p>
              </w:tc>
              <w:tc>
                <w:tcPr>
                  <w:tcW w:w="0" w:type="auto"/>
                  <w:tcBorders>
                    <w:bottom w:val="single" w:sz="2" w:space="0" w:color="auto"/>
                  </w:tcBorders>
                  <w:vAlign w:val="bottom"/>
                </w:tcPr>
                <w:p w14:paraId="4CD45A6D" w14:textId="77777777" w:rsidR="00207559" w:rsidRDefault="00207559" w:rsidP="00207559">
                  <w:pPr>
                    <w:jc w:val="right"/>
                  </w:pPr>
                  <w:r>
                    <w:rPr>
                      <w:color w:val="000000"/>
                      <w:sz w:val="18"/>
                      <w:szCs w:val="18"/>
                      <w:lang w:eastAsia="en-GB"/>
                    </w:rPr>
                    <w:t>(599)</w:t>
                  </w:r>
                </w:p>
              </w:tc>
              <w:tc>
                <w:tcPr>
                  <w:tcW w:w="0" w:type="auto"/>
                  <w:tcBorders>
                    <w:bottom w:val="single" w:sz="2" w:space="0" w:color="auto"/>
                  </w:tcBorders>
                  <w:vAlign w:val="center"/>
                </w:tcPr>
                <w:p w14:paraId="099DF885" w14:textId="77777777" w:rsidR="00207559" w:rsidRDefault="00207559" w:rsidP="00207559">
                  <w:pPr>
                    <w:spacing w:after="38" w:line="176" w:lineRule="exact"/>
                    <w:ind w:right="9"/>
                    <w:jc w:val="right"/>
                    <w:textAlignment w:val="baseline"/>
                    <w:rPr>
                      <w:rFonts w:eastAsia="Verdana"/>
                      <w:color w:val="000000"/>
                      <w:sz w:val="18"/>
                      <w:szCs w:val="18"/>
                      <w:lang w:val="en-GB"/>
                    </w:rPr>
                  </w:pPr>
                  <w:r>
                    <w:rPr>
                      <w:rFonts w:eastAsia="Verdana"/>
                      <w:color w:val="000000"/>
                      <w:sz w:val="18"/>
                      <w:szCs w:val="18"/>
                      <w:lang w:val="en-GB"/>
                    </w:rPr>
                    <w:t>-</w:t>
                  </w:r>
                </w:p>
              </w:tc>
              <w:tc>
                <w:tcPr>
                  <w:tcW w:w="0" w:type="auto"/>
                  <w:tcBorders>
                    <w:bottom w:val="single" w:sz="2" w:space="0" w:color="auto"/>
                  </w:tcBorders>
                </w:tcPr>
                <w:p w14:paraId="0C53AF88" w14:textId="77777777" w:rsidR="00207559" w:rsidRDefault="00207559" w:rsidP="00207559">
                  <w:pPr>
                    <w:jc w:val="right"/>
                    <w:rPr>
                      <w:color w:val="000000"/>
                      <w:sz w:val="18"/>
                      <w:szCs w:val="18"/>
                      <w:lang w:eastAsia="en-GB"/>
                    </w:rPr>
                  </w:pPr>
                  <w:r>
                    <w:rPr>
                      <w:color w:val="000000"/>
                      <w:sz w:val="18"/>
                      <w:szCs w:val="18"/>
                      <w:lang w:eastAsia="en-GB"/>
                    </w:rPr>
                    <w:t>-</w:t>
                  </w:r>
                </w:p>
              </w:tc>
              <w:tc>
                <w:tcPr>
                  <w:tcW w:w="0" w:type="auto"/>
                  <w:tcBorders>
                    <w:bottom w:val="single" w:sz="2" w:space="0" w:color="auto"/>
                  </w:tcBorders>
                </w:tcPr>
                <w:p w14:paraId="0181A424" w14:textId="77777777" w:rsidR="00207559" w:rsidRDefault="00207559" w:rsidP="00207559">
                  <w:pPr>
                    <w:jc w:val="right"/>
                    <w:rPr>
                      <w:color w:val="000000"/>
                      <w:sz w:val="18"/>
                      <w:szCs w:val="18"/>
                      <w:lang w:eastAsia="en-GB"/>
                    </w:rPr>
                  </w:pPr>
                  <w:r>
                    <w:rPr>
                      <w:color w:val="000000"/>
                      <w:sz w:val="18"/>
                      <w:szCs w:val="18"/>
                      <w:lang w:eastAsia="en-GB"/>
                    </w:rPr>
                    <w:t>-</w:t>
                  </w:r>
                </w:p>
              </w:tc>
            </w:tr>
            <w:tr w:rsidR="00207559" w14:paraId="48FF7607" w14:textId="77777777" w:rsidTr="00046D29">
              <w:trPr>
                <w:trHeight w:val="353"/>
              </w:trPr>
              <w:tc>
                <w:tcPr>
                  <w:tcW w:w="0" w:type="auto"/>
                  <w:vAlign w:val="center"/>
                </w:tcPr>
                <w:p w14:paraId="5F7088C9" w14:textId="77777777" w:rsidR="00207559" w:rsidRDefault="00207559" w:rsidP="00207559">
                  <w:pPr>
                    <w:tabs>
                      <w:tab w:val="right" w:leader="dot" w:pos="5592"/>
                    </w:tabs>
                    <w:spacing w:after="47" w:line="176" w:lineRule="exact"/>
                    <w:ind w:left="29"/>
                    <w:textAlignment w:val="baseline"/>
                    <w:rPr>
                      <w:rFonts w:eastAsia="Verdana"/>
                      <w:b/>
                      <w:color w:val="000000"/>
                      <w:sz w:val="18"/>
                      <w:szCs w:val="18"/>
                      <w:lang w:val="en-GB"/>
                    </w:rPr>
                  </w:pPr>
                  <w:r>
                    <w:rPr>
                      <w:rFonts w:eastAsia="Verdana"/>
                      <w:b/>
                      <w:color w:val="000000"/>
                      <w:sz w:val="18"/>
                      <w:szCs w:val="18"/>
                      <w:lang w:val="en-GB"/>
                    </w:rPr>
                    <w:t>Total Net Debt</w:t>
                  </w:r>
                  <w:r>
                    <w:rPr>
                      <w:rFonts w:eastAsia="Verdana"/>
                      <w:b/>
                      <w:color w:val="000000"/>
                      <w:sz w:val="18"/>
                      <w:szCs w:val="18"/>
                      <w:lang w:val="en-GB"/>
                    </w:rPr>
                    <w:tab/>
                  </w:r>
                </w:p>
              </w:tc>
              <w:tc>
                <w:tcPr>
                  <w:tcW w:w="0" w:type="auto"/>
                  <w:tcBorders>
                    <w:top w:val="single" w:sz="2" w:space="0" w:color="auto"/>
                    <w:bottom w:val="single" w:sz="2" w:space="0" w:color="auto"/>
                  </w:tcBorders>
                  <w:vAlign w:val="center"/>
                </w:tcPr>
                <w:p w14:paraId="7B3C7456" w14:textId="6F0ECAAF" w:rsidR="00207559" w:rsidRDefault="001D5E9B" w:rsidP="00207559">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356,</w:t>
                  </w:r>
                  <w:r w:rsidR="006C2358">
                    <w:rPr>
                      <w:rFonts w:eastAsia="Verdana"/>
                      <w:b/>
                      <w:color w:val="000000"/>
                      <w:sz w:val="18"/>
                      <w:szCs w:val="18"/>
                      <w:lang w:val="en-GB"/>
                    </w:rPr>
                    <w:t>371</w:t>
                  </w:r>
                </w:p>
              </w:tc>
              <w:tc>
                <w:tcPr>
                  <w:tcW w:w="0" w:type="auto"/>
                  <w:tcBorders>
                    <w:top w:val="single" w:sz="2" w:space="0" w:color="auto"/>
                    <w:bottom w:val="single" w:sz="2" w:space="0" w:color="auto"/>
                  </w:tcBorders>
                  <w:vAlign w:val="center"/>
                </w:tcPr>
                <w:p w14:paraId="594807F8" w14:textId="77777777" w:rsidR="00207559" w:rsidRDefault="00207559" w:rsidP="00207559">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343,350</w:t>
                  </w:r>
                </w:p>
              </w:tc>
              <w:tc>
                <w:tcPr>
                  <w:tcW w:w="0" w:type="auto"/>
                  <w:tcBorders>
                    <w:top w:val="single" w:sz="2" w:space="0" w:color="auto"/>
                    <w:bottom w:val="single" w:sz="2" w:space="0" w:color="auto"/>
                  </w:tcBorders>
                  <w:vAlign w:val="center"/>
                </w:tcPr>
                <w:p w14:paraId="3B669155" w14:textId="4AAC5372" w:rsidR="00207559" w:rsidRDefault="00207559" w:rsidP="00FF66F1">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257,972</w:t>
                  </w:r>
                </w:p>
              </w:tc>
              <w:tc>
                <w:tcPr>
                  <w:tcW w:w="0" w:type="auto"/>
                  <w:tcBorders>
                    <w:top w:val="single" w:sz="2" w:space="0" w:color="auto"/>
                    <w:bottom w:val="single" w:sz="2" w:space="0" w:color="auto"/>
                  </w:tcBorders>
                  <w:vAlign w:val="center"/>
                </w:tcPr>
                <w:p w14:paraId="68E2345B" w14:textId="77777777" w:rsidR="00207559" w:rsidRDefault="00207559" w:rsidP="00207559">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156,817</w:t>
                  </w:r>
                </w:p>
              </w:tc>
            </w:tr>
            <w:tr w:rsidR="00207559" w14:paraId="5C64DE0B" w14:textId="77777777" w:rsidTr="00046D29">
              <w:trPr>
                <w:trHeight w:hRule="exact" w:val="381"/>
              </w:trPr>
              <w:tc>
                <w:tcPr>
                  <w:tcW w:w="0" w:type="auto"/>
                  <w:vAlign w:val="center"/>
                </w:tcPr>
                <w:p w14:paraId="0B5FC4C3" w14:textId="77777777" w:rsidR="00207559" w:rsidRDefault="00207559" w:rsidP="00207559">
                  <w:pPr>
                    <w:tabs>
                      <w:tab w:val="right" w:leader="dot" w:pos="5592"/>
                    </w:tabs>
                    <w:spacing w:after="47" w:line="176" w:lineRule="exact"/>
                    <w:ind w:left="29"/>
                    <w:textAlignment w:val="baseline"/>
                    <w:rPr>
                      <w:rFonts w:eastAsia="Verdana"/>
                      <w:b/>
                      <w:color w:val="000000"/>
                      <w:sz w:val="18"/>
                      <w:szCs w:val="18"/>
                      <w:lang w:val="en-GB"/>
                    </w:rPr>
                  </w:pPr>
                  <w:r>
                    <w:rPr>
                      <w:rFonts w:eastAsia="Verdana"/>
                      <w:b/>
                      <w:color w:val="000000"/>
                      <w:sz w:val="18"/>
                      <w:szCs w:val="18"/>
                      <w:lang w:val="en-GB"/>
                    </w:rPr>
                    <w:t xml:space="preserve">Total </w:t>
                  </w:r>
                  <w:proofErr w:type="spellStart"/>
                  <w:r>
                    <w:rPr>
                      <w:rFonts w:eastAsia="Verdana"/>
                      <w:b/>
                      <w:color w:val="000000"/>
                      <w:sz w:val="18"/>
                      <w:szCs w:val="18"/>
                      <w:lang w:val="en-GB"/>
                    </w:rPr>
                    <w:t>Shareholders</w:t>
                  </w:r>
                  <w:proofErr w:type="spellEnd"/>
                  <w:r>
                    <w:rPr>
                      <w:rFonts w:eastAsia="Verdana"/>
                      <w:b/>
                      <w:color w:val="000000"/>
                      <w:sz w:val="18"/>
                      <w:szCs w:val="18"/>
                      <w:lang w:val="en-GB"/>
                    </w:rPr>
                    <w:t xml:space="preserve"> Equity and Liabilities</w:t>
                  </w:r>
                  <w:r>
                    <w:rPr>
                      <w:rFonts w:eastAsia="Verdana"/>
                      <w:b/>
                      <w:color w:val="000000"/>
                      <w:sz w:val="18"/>
                      <w:szCs w:val="18"/>
                      <w:lang w:val="en-GB"/>
                    </w:rPr>
                    <w:tab/>
                  </w:r>
                </w:p>
              </w:tc>
              <w:tc>
                <w:tcPr>
                  <w:tcW w:w="0" w:type="auto"/>
                  <w:tcBorders>
                    <w:top w:val="single" w:sz="2" w:space="0" w:color="auto"/>
                    <w:bottom w:val="single" w:sz="2" w:space="0" w:color="auto"/>
                  </w:tcBorders>
                  <w:vAlign w:val="center"/>
                </w:tcPr>
                <w:p w14:paraId="740C14A0" w14:textId="77777777" w:rsidR="00207559" w:rsidRDefault="00207559" w:rsidP="00207559">
                  <w:pPr>
                    <w:spacing w:after="38" w:line="176" w:lineRule="exact"/>
                    <w:ind w:right="9"/>
                    <w:jc w:val="center"/>
                    <w:textAlignment w:val="baseline"/>
                    <w:rPr>
                      <w:rFonts w:eastAsia="Verdana"/>
                      <w:b/>
                      <w:color w:val="000000"/>
                      <w:sz w:val="18"/>
                      <w:szCs w:val="18"/>
                      <w:lang w:val="en-GB"/>
                    </w:rPr>
                  </w:pPr>
                  <w:r>
                    <w:rPr>
                      <w:rFonts w:eastAsia="Verdana"/>
                      <w:b/>
                      <w:color w:val="000000"/>
                      <w:sz w:val="18"/>
                      <w:szCs w:val="18"/>
                      <w:lang w:val="en-GB"/>
                    </w:rPr>
                    <w:t>1,022,435</w:t>
                  </w:r>
                </w:p>
              </w:tc>
              <w:tc>
                <w:tcPr>
                  <w:tcW w:w="0" w:type="auto"/>
                  <w:tcBorders>
                    <w:top w:val="single" w:sz="2" w:space="0" w:color="auto"/>
                    <w:bottom w:val="single" w:sz="2" w:space="0" w:color="auto"/>
                  </w:tcBorders>
                  <w:vAlign w:val="center"/>
                </w:tcPr>
                <w:p w14:paraId="0E802947" w14:textId="77777777" w:rsidR="00207559" w:rsidRDefault="00207559" w:rsidP="00207559">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871,594</w:t>
                  </w:r>
                </w:p>
              </w:tc>
              <w:tc>
                <w:tcPr>
                  <w:tcW w:w="0" w:type="auto"/>
                  <w:tcBorders>
                    <w:top w:val="single" w:sz="2" w:space="0" w:color="auto"/>
                    <w:bottom w:val="single" w:sz="2" w:space="0" w:color="auto"/>
                  </w:tcBorders>
                  <w:vAlign w:val="center"/>
                </w:tcPr>
                <w:p w14:paraId="65BC32AD" w14:textId="77777777" w:rsidR="00207559" w:rsidRDefault="00207559" w:rsidP="00207559">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717,308</w:t>
                  </w:r>
                </w:p>
              </w:tc>
              <w:tc>
                <w:tcPr>
                  <w:tcW w:w="0" w:type="auto"/>
                  <w:tcBorders>
                    <w:top w:val="single" w:sz="2" w:space="0" w:color="auto"/>
                    <w:bottom w:val="single" w:sz="2" w:space="0" w:color="auto"/>
                  </w:tcBorders>
                  <w:vAlign w:val="center"/>
                </w:tcPr>
                <w:p w14:paraId="7FF1054A" w14:textId="77777777" w:rsidR="00207559" w:rsidRDefault="00207559" w:rsidP="00207559">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467,839</w:t>
                  </w:r>
                </w:p>
              </w:tc>
            </w:tr>
            <w:tr w:rsidR="00207559" w14:paraId="253D0059" w14:textId="77777777" w:rsidTr="00046D29">
              <w:trPr>
                <w:trHeight w:hRule="exact" w:val="253"/>
              </w:trPr>
              <w:tc>
                <w:tcPr>
                  <w:tcW w:w="0" w:type="auto"/>
                  <w:vAlign w:val="center"/>
                </w:tcPr>
                <w:p w14:paraId="24A73712" w14:textId="77777777" w:rsidR="00207559" w:rsidRDefault="00207559" w:rsidP="00207559">
                  <w:pPr>
                    <w:tabs>
                      <w:tab w:val="right" w:leader="dot" w:pos="5592"/>
                    </w:tabs>
                    <w:spacing w:after="47" w:line="176" w:lineRule="exact"/>
                    <w:ind w:left="29"/>
                    <w:textAlignment w:val="baseline"/>
                    <w:rPr>
                      <w:rFonts w:eastAsia="Verdana"/>
                      <w:b/>
                      <w:color w:val="000000"/>
                      <w:sz w:val="18"/>
                      <w:szCs w:val="18"/>
                      <w:lang w:val="en-GB"/>
                    </w:rPr>
                  </w:pPr>
                  <w:r>
                    <w:rPr>
                      <w:rFonts w:eastAsia="Verdana"/>
                      <w:b/>
                      <w:color w:val="000000"/>
                      <w:sz w:val="18"/>
                      <w:szCs w:val="18"/>
                      <w:lang w:val="en-GB"/>
                    </w:rPr>
                    <w:t>Gearing Ratio</w:t>
                  </w:r>
                  <w:r>
                    <w:rPr>
                      <w:rFonts w:eastAsia="Verdana"/>
                      <w:b/>
                      <w:color w:val="000000"/>
                      <w:sz w:val="18"/>
                      <w:szCs w:val="18"/>
                      <w:lang w:val="en-GB"/>
                    </w:rPr>
                    <w:tab/>
                  </w:r>
                </w:p>
              </w:tc>
              <w:tc>
                <w:tcPr>
                  <w:tcW w:w="0" w:type="auto"/>
                  <w:tcBorders>
                    <w:top w:val="single" w:sz="2" w:space="0" w:color="auto"/>
                  </w:tcBorders>
                  <w:vAlign w:val="center"/>
                </w:tcPr>
                <w:p w14:paraId="3DF876AB" w14:textId="77777777" w:rsidR="00207559" w:rsidRDefault="00207559" w:rsidP="00207559">
                  <w:pPr>
                    <w:jc w:val="center"/>
                    <w:rPr>
                      <w:rFonts w:eastAsia="Verdana"/>
                      <w:b/>
                      <w:bCs/>
                      <w:color w:val="000000"/>
                      <w:sz w:val="18"/>
                      <w:szCs w:val="18"/>
                      <w:lang w:val="en-GB" w:eastAsia="en-GB"/>
                    </w:rPr>
                  </w:pPr>
                  <w:r>
                    <w:rPr>
                      <w:rFonts w:eastAsia="Verdana"/>
                      <w:b/>
                      <w:bCs/>
                      <w:color w:val="000000"/>
                      <w:sz w:val="18"/>
                      <w:szCs w:val="18"/>
                      <w:lang w:val="en-GB" w:eastAsia="en-GB"/>
                    </w:rPr>
                    <w:t>34.9%</w:t>
                  </w:r>
                </w:p>
              </w:tc>
              <w:tc>
                <w:tcPr>
                  <w:tcW w:w="0" w:type="auto"/>
                  <w:tcBorders>
                    <w:top w:val="single" w:sz="2" w:space="0" w:color="auto"/>
                  </w:tcBorders>
                  <w:vAlign w:val="center"/>
                </w:tcPr>
                <w:p w14:paraId="7FED62BF" w14:textId="77777777" w:rsidR="00207559" w:rsidRDefault="00207559" w:rsidP="00207559">
                  <w:pPr>
                    <w:jc w:val="center"/>
                    <w:rPr>
                      <w:rFonts w:eastAsia="Verdana"/>
                      <w:b/>
                      <w:bCs/>
                      <w:color w:val="000000"/>
                      <w:sz w:val="18"/>
                      <w:szCs w:val="18"/>
                      <w:lang w:val="en-GB" w:eastAsia="en-GB"/>
                    </w:rPr>
                  </w:pPr>
                  <w:r>
                    <w:rPr>
                      <w:rFonts w:eastAsia="Verdana"/>
                      <w:b/>
                      <w:bCs/>
                      <w:color w:val="000000"/>
                      <w:sz w:val="18"/>
                      <w:szCs w:val="18"/>
                      <w:lang w:val="en-GB" w:eastAsia="en-GB"/>
                    </w:rPr>
                    <w:t>39.4%</w:t>
                  </w:r>
                </w:p>
              </w:tc>
              <w:tc>
                <w:tcPr>
                  <w:tcW w:w="0" w:type="auto"/>
                  <w:tcBorders>
                    <w:top w:val="single" w:sz="2" w:space="0" w:color="auto"/>
                  </w:tcBorders>
                </w:tcPr>
                <w:p w14:paraId="50F2376A" w14:textId="77777777" w:rsidR="00207559" w:rsidRDefault="00207559" w:rsidP="00207559">
                  <w:pPr>
                    <w:jc w:val="center"/>
                    <w:rPr>
                      <w:b/>
                      <w:bCs/>
                      <w:color w:val="000000"/>
                      <w:sz w:val="18"/>
                      <w:szCs w:val="18"/>
                      <w:lang w:eastAsia="en-GB"/>
                    </w:rPr>
                  </w:pPr>
                  <w:r>
                    <w:rPr>
                      <w:b/>
                      <w:bCs/>
                      <w:color w:val="000000"/>
                      <w:sz w:val="18"/>
                      <w:szCs w:val="18"/>
                      <w:lang w:eastAsia="en-GB"/>
                    </w:rPr>
                    <w:t>36.0%</w:t>
                  </w:r>
                </w:p>
              </w:tc>
              <w:tc>
                <w:tcPr>
                  <w:tcW w:w="0" w:type="auto"/>
                  <w:tcBorders>
                    <w:top w:val="single" w:sz="2" w:space="0" w:color="auto"/>
                  </w:tcBorders>
                </w:tcPr>
                <w:p w14:paraId="7744CB6D" w14:textId="77777777" w:rsidR="00207559" w:rsidRDefault="00207559" w:rsidP="00207559">
                  <w:pPr>
                    <w:jc w:val="center"/>
                    <w:rPr>
                      <w:b/>
                      <w:bCs/>
                      <w:color w:val="000000"/>
                      <w:sz w:val="18"/>
                      <w:szCs w:val="18"/>
                      <w:lang w:eastAsia="en-GB"/>
                    </w:rPr>
                  </w:pPr>
                  <w:r>
                    <w:rPr>
                      <w:b/>
                      <w:bCs/>
                      <w:color w:val="000000"/>
                      <w:sz w:val="18"/>
                      <w:szCs w:val="18"/>
                      <w:lang w:eastAsia="en-GB"/>
                    </w:rPr>
                    <w:t>33.5%</w:t>
                  </w:r>
                </w:p>
              </w:tc>
            </w:tr>
          </w:tbl>
          <w:p w14:paraId="01771451" w14:textId="10A6C1DF" w:rsidR="00207559" w:rsidRDefault="00207559"/>
          <w:p w14:paraId="7749B28E" w14:textId="4425CB89" w:rsidR="00F76607" w:rsidRPr="007D27AA" w:rsidRDefault="001863F0" w:rsidP="00892133">
            <w:pPr>
              <w:rPr>
                <w:sz w:val="18"/>
                <w:szCs w:val="18"/>
              </w:rPr>
            </w:pPr>
            <w:r>
              <w:rPr>
                <w:sz w:val="18"/>
                <w:szCs w:val="18"/>
              </w:rPr>
              <w:t>No significant change to the Company’s financial condition and operating results has occurred during or subsequent to the period covered by the historical key financial information until the date of this Prospectus.</w:t>
            </w:r>
            <w:r w:rsidR="007D27AA">
              <w:rPr>
                <w:sz w:val="18"/>
                <w:szCs w:val="18"/>
              </w:rPr>
              <w:t xml:space="preserve"> In the above table (</w:t>
            </w:r>
            <w:proofErr w:type="spellStart"/>
            <w:r w:rsidR="007D27AA">
              <w:rPr>
                <w:sz w:val="18"/>
                <w:szCs w:val="18"/>
              </w:rPr>
              <w:t>i</w:t>
            </w:r>
            <w:proofErr w:type="spellEnd"/>
            <w:r w:rsidR="007D27AA">
              <w:rPr>
                <w:sz w:val="18"/>
                <w:szCs w:val="18"/>
              </w:rPr>
              <w:t xml:space="preserve">) “Total Net Debt” is </w:t>
            </w:r>
            <w:r w:rsidR="007D27AA" w:rsidRPr="007D27AA">
              <w:rPr>
                <w:sz w:val="18"/>
                <w:szCs w:val="18"/>
              </w:rPr>
              <w:t xml:space="preserve">calculated as total gross financial debt less </w:t>
            </w:r>
            <w:proofErr w:type="spellStart"/>
            <w:r w:rsidR="007D27AA" w:rsidRPr="007D27AA">
              <w:rPr>
                <w:sz w:val="18"/>
                <w:szCs w:val="18"/>
              </w:rPr>
              <w:t>capitalised</w:t>
            </w:r>
            <w:proofErr w:type="spellEnd"/>
            <w:r w:rsidR="007D27AA" w:rsidRPr="007D27AA">
              <w:rPr>
                <w:sz w:val="18"/>
                <w:szCs w:val="18"/>
              </w:rPr>
              <w:t xml:space="preserve"> finance cos</w:t>
            </w:r>
            <w:r w:rsidR="007D27AA">
              <w:rPr>
                <w:sz w:val="18"/>
                <w:szCs w:val="18"/>
              </w:rPr>
              <w:t xml:space="preserve">ts, cash and cash equivalents, (ii) </w:t>
            </w:r>
            <w:r w:rsidR="007D27AA" w:rsidRPr="007D27AA">
              <w:rPr>
                <w:sz w:val="18"/>
                <w:szCs w:val="18"/>
              </w:rPr>
              <w:t xml:space="preserve">“Gross Rental Income” </w:t>
            </w:r>
            <w:r w:rsidR="007D27AA">
              <w:rPr>
                <w:sz w:val="18"/>
                <w:szCs w:val="18"/>
              </w:rPr>
              <w:t xml:space="preserve">means, </w:t>
            </w:r>
            <w:r w:rsidR="007D27AA" w:rsidRPr="007D27AA">
              <w:rPr>
                <w:sz w:val="18"/>
                <w:szCs w:val="18"/>
              </w:rPr>
              <w:t>cash rental income for a period including the respective accrued ren</w:t>
            </w:r>
            <w:r w:rsidR="007D27AA">
              <w:rPr>
                <w:sz w:val="18"/>
                <w:szCs w:val="18"/>
              </w:rPr>
              <w:t xml:space="preserve">t free periods for that period, (iii) </w:t>
            </w:r>
            <w:r w:rsidR="007D27AA" w:rsidRPr="007D27AA">
              <w:rPr>
                <w:sz w:val="18"/>
                <w:szCs w:val="18"/>
              </w:rPr>
              <w:t>“Net Rental Income”</w:t>
            </w:r>
            <w:r w:rsidR="00624F6B">
              <w:rPr>
                <w:sz w:val="18"/>
                <w:szCs w:val="18"/>
              </w:rPr>
              <w:t xml:space="preserve"> is calculated</w:t>
            </w:r>
            <w:r w:rsidR="00892133">
              <w:rPr>
                <w:sz w:val="18"/>
                <w:szCs w:val="18"/>
              </w:rPr>
              <w:t xml:space="preserve"> </w:t>
            </w:r>
            <w:r w:rsidR="007D27AA" w:rsidRPr="007D27AA">
              <w:rPr>
                <w:sz w:val="18"/>
                <w:szCs w:val="18"/>
              </w:rPr>
              <w:t>as the gross rental income, including service charges, less direct property expenses for maintaining and owning the p</w:t>
            </w:r>
            <w:r w:rsidR="007D27AA">
              <w:rPr>
                <w:sz w:val="18"/>
                <w:szCs w:val="18"/>
              </w:rPr>
              <w:t xml:space="preserve">roperty, (iv) “Gearing Ratio” is </w:t>
            </w:r>
            <w:r w:rsidR="007D27AA" w:rsidRPr="007D27AA">
              <w:rPr>
                <w:sz w:val="18"/>
                <w:szCs w:val="18"/>
              </w:rPr>
              <w:t>calculated as net financial debt divided by total equity and liabilities, expressed as a percentage,</w:t>
            </w:r>
            <w:r w:rsidR="00624F6B">
              <w:rPr>
                <w:sz w:val="18"/>
                <w:szCs w:val="18"/>
              </w:rPr>
              <w:t xml:space="preserve"> (v) “EBITDA” </w:t>
            </w:r>
            <w:r w:rsidR="00D11DE1">
              <w:rPr>
                <w:sz w:val="18"/>
                <w:szCs w:val="18"/>
              </w:rPr>
              <w:t xml:space="preserve">is </w:t>
            </w:r>
            <w:r w:rsidR="00D11DE1" w:rsidRPr="00D11DE1">
              <w:rPr>
                <w:sz w:val="18"/>
                <w:szCs w:val="18"/>
              </w:rPr>
              <w:t>calculated as revenue plus net financial result, less taxes</w:t>
            </w:r>
            <w:r w:rsidR="00D11DE1">
              <w:rPr>
                <w:sz w:val="18"/>
                <w:szCs w:val="18"/>
              </w:rPr>
              <w:t xml:space="preserve">, depreciation and </w:t>
            </w:r>
            <w:proofErr w:type="spellStart"/>
            <w:r w:rsidR="00D11DE1">
              <w:rPr>
                <w:sz w:val="18"/>
                <w:szCs w:val="18"/>
              </w:rPr>
              <w:t>amortisation</w:t>
            </w:r>
            <w:proofErr w:type="spellEnd"/>
            <w:r w:rsidR="00624F6B">
              <w:rPr>
                <w:sz w:val="18"/>
                <w:szCs w:val="18"/>
              </w:rPr>
              <w:t xml:space="preserve">, (vi) “EBIT” is </w:t>
            </w:r>
            <w:r w:rsidR="00D11DE1" w:rsidRPr="00D11DE1">
              <w:rPr>
                <w:sz w:val="18"/>
                <w:szCs w:val="18"/>
              </w:rPr>
              <w:t>calculated as revenue plus net financial result, les</w:t>
            </w:r>
            <w:r w:rsidR="00D11DE1">
              <w:rPr>
                <w:sz w:val="18"/>
                <w:szCs w:val="18"/>
              </w:rPr>
              <w:t>s taxes</w:t>
            </w:r>
            <w:r w:rsidR="00624F6B">
              <w:rPr>
                <w:sz w:val="18"/>
                <w:szCs w:val="18"/>
              </w:rPr>
              <w:t xml:space="preserve">, and (vii) </w:t>
            </w:r>
            <w:r w:rsidR="00624F6B" w:rsidRPr="00624F6B">
              <w:rPr>
                <w:sz w:val="18"/>
                <w:szCs w:val="18"/>
              </w:rPr>
              <w:t xml:space="preserve">“Recurrent </w:t>
            </w:r>
            <w:r w:rsidR="00624F6B">
              <w:rPr>
                <w:sz w:val="18"/>
                <w:szCs w:val="18"/>
              </w:rPr>
              <w:t xml:space="preserve">Net Income” </w:t>
            </w:r>
            <w:r w:rsidR="00D11DE1">
              <w:rPr>
                <w:sz w:val="18"/>
                <w:szCs w:val="18"/>
              </w:rPr>
              <w:t xml:space="preserve">is </w:t>
            </w:r>
            <w:r w:rsidR="00D11DE1" w:rsidRPr="00D11DE1">
              <w:rPr>
                <w:sz w:val="18"/>
                <w:szCs w:val="18"/>
              </w:rPr>
              <w:t xml:space="preserve">calculated as reported profit for </w:t>
            </w:r>
            <w:r w:rsidR="00892133">
              <w:rPr>
                <w:sz w:val="18"/>
                <w:szCs w:val="18"/>
              </w:rPr>
              <w:t>the period plus deferred taxes</w:t>
            </w:r>
            <w:r w:rsidR="00D11DE1" w:rsidRPr="00D11DE1">
              <w:rPr>
                <w:sz w:val="18"/>
                <w:szCs w:val="18"/>
              </w:rPr>
              <w:t>, other non-current financial income and expenses and net valuation gains (losses) for the Group's assets in Romania, Estonia, Latvia and Spain</w:t>
            </w:r>
            <w:r w:rsidR="007D27AA">
              <w:rPr>
                <w:sz w:val="18"/>
                <w:szCs w:val="18"/>
              </w:rPr>
              <w:t>.</w:t>
            </w:r>
          </w:p>
        </w:tc>
      </w:tr>
    </w:tbl>
    <w:p w14:paraId="6967870C" w14:textId="77777777" w:rsidR="00F76607" w:rsidRDefault="001863F0">
      <w:pPr>
        <w:pStyle w:val="NormalWeb"/>
        <w:keepNext/>
        <w:spacing w:before="0" w:beforeAutospacing="0" w:after="0" w:afterAutospacing="0"/>
        <w:rPr>
          <w:sz w:val="2"/>
          <w:szCs w:val="2"/>
        </w:rPr>
      </w:pPr>
      <w:r>
        <w:rPr>
          <w:sz w:val="2"/>
          <w:szCs w:val="2"/>
        </w:rPr>
        <w:lastRenderedPageBreak/>
        <w:t> </w:t>
      </w:r>
    </w:p>
    <w:tbl>
      <w:tblPr>
        <w:tblW w:w="5000" w:type="pct"/>
        <w:jc w:val="center"/>
        <w:tblCellMar>
          <w:left w:w="0" w:type="dxa"/>
          <w:right w:w="0" w:type="dxa"/>
        </w:tblCellMar>
        <w:tblLook w:val="04A0" w:firstRow="1" w:lastRow="0" w:firstColumn="1" w:lastColumn="0" w:noHBand="0" w:noVBand="1"/>
      </w:tblPr>
      <w:tblGrid>
        <w:gridCol w:w="567"/>
        <w:gridCol w:w="9186"/>
      </w:tblGrid>
      <w:tr w:rsidR="00F76607" w14:paraId="700E252F" w14:textId="77777777">
        <w:trPr>
          <w:jc w:val="center"/>
        </w:trPr>
        <w:tc>
          <w:tcPr>
            <w:tcW w:w="567" w:type="dxa"/>
            <w:vAlign w:val="center"/>
            <w:hideMark/>
          </w:tcPr>
          <w:p w14:paraId="43B4B7DE" w14:textId="77777777" w:rsidR="00F76607" w:rsidRDefault="00F76607">
            <w:pPr>
              <w:rPr>
                <w:sz w:val="1"/>
                <w:szCs w:val="18"/>
              </w:rPr>
            </w:pPr>
          </w:p>
        </w:tc>
        <w:tc>
          <w:tcPr>
            <w:tcW w:w="9180" w:type="dxa"/>
            <w:vAlign w:val="center"/>
            <w:hideMark/>
          </w:tcPr>
          <w:p w14:paraId="06FE97B1" w14:textId="77777777" w:rsidR="00F76607" w:rsidRDefault="00F76607">
            <w:pPr>
              <w:rPr>
                <w:sz w:val="1"/>
                <w:szCs w:val="18"/>
              </w:rPr>
            </w:pPr>
          </w:p>
        </w:tc>
      </w:tr>
      <w:tr w:rsidR="00F76607" w14:paraId="046DFDDE" w14:textId="77777777">
        <w:trPr>
          <w:cantSplit/>
          <w:jc w:val="center"/>
        </w:trPr>
        <w:tc>
          <w:tcPr>
            <w:tcW w:w="567" w:type="dxa"/>
            <w:hideMark/>
          </w:tcPr>
          <w:p w14:paraId="69B56BA4" w14:textId="77777777" w:rsidR="00F76607" w:rsidRDefault="001863F0">
            <w:pPr>
              <w:rPr>
                <w:sz w:val="18"/>
                <w:szCs w:val="18"/>
              </w:rPr>
            </w:pPr>
            <w:r>
              <w:rPr>
                <w:b/>
                <w:bCs/>
                <w:sz w:val="18"/>
                <w:szCs w:val="18"/>
              </w:rPr>
              <w:t>B.8</w:t>
            </w:r>
          </w:p>
        </w:tc>
        <w:tc>
          <w:tcPr>
            <w:tcW w:w="9180" w:type="dxa"/>
            <w:hideMark/>
          </w:tcPr>
          <w:p w14:paraId="6FEF5E3F" w14:textId="77777777" w:rsidR="00F76607" w:rsidRDefault="001863F0">
            <w:pPr>
              <w:rPr>
                <w:b/>
                <w:bCs/>
                <w:sz w:val="18"/>
                <w:szCs w:val="18"/>
              </w:rPr>
            </w:pPr>
            <w:r>
              <w:rPr>
                <w:b/>
                <w:bCs/>
                <w:sz w:val="18"/>
                <w:szCs w:val="18"/>
              </w:rPr>
              <w:t>Selected key pro forma financial information</w:t>
            </w:r>
          </w:p>
          <w:p w14:paraId="4CFF97C3" w14:textId="77777777" w:rsidR="00F76607" w:rsidRDefault="001863F0">
            <w:pPr>
              <w:rPr>
                <w:sz w:val="18"/>
                <w:szCs w:val="18"/>
              </w:rPr>
            </w:pPr>
            <w:r>
              <w:rPr>
                <w:sz w:val="18"/>
                <w:szCs w:val="18"/>
              </w:rPr>
              <w:t>Not applicable. No pro forma financial information has been included in the Prospectus or otherwise published by the Company.</w:t>
            </w:r>
          </w:p>
        </w:tc>
      </w:tr>
    </w:tbl>
    <w:p w14:paraId="0AB0E1F4" w14:textId="77777777" w:rsidR="00F76607" w:rsidRDefault="001863F0">
      <w:pPr>
        <w:pStyle w:val="NormalWeb"/>
        <w:keepNext/>
        <w:spacing w:before="0" w:beforeAutospacing="0" w:after="0" w:afterAutospacing="0"/>
        <w:rPr>
          <w:sz w:val="2"/>
          <w:szCs w:val="2"/>
        </w:rPr>
      </w:pPr>
      <w:r>
        <w:rPr>
          <w:sz w:val="2"/>
          <w:szCs w:val="2"/>
        </w:rPr>
        <w:t> </w:t>
      </w:r>
    </w:p>
    <w:tbl>
      <w:tblPr>
        <w:tblW w:w="5000" w:type="pct"/>
        <w:jc w:val="center"/>
        <w:tblCellMar>
          <w:left w:w="0" w:type="dxa"/>
          <w:right w:w="0" w:type="dxa"/>
        </w:tblCellMar>
        <w:tblLook w:val="04A0" w:firstRow="1" w:lastRow="0" w:firstColumn="1" w:lastColumn="0" w:noHBand="0" w:noVBand="1"/>
      </w:tblPr>
      <w:tblGrid>
        <w:gridCol w:w="571"/>
        <w:gridCol w:w="9182"/>
      </w:tblGrid>
      <w:tr w:rsidR="00F76607" w14:paraId="6D2A1374" w14:textId="77777777">
        <w:trPr>
          <w:jc w:val="center"/>
        </w:trPr>
        <w:tc>
          <w:tcPr>
            <w:tcW w:w="703" w:type="dxa"/>
            <w:vAlign w:val="center"/>
            <w:hideMark/>
          </w:tcPr>
          <w:p w14:paraId="3ED8F8E0" w14:textId="77777777" w:rsidR="00F76607" w:rsidRDefault="00F76607">
            <w:pPr>
              <w:rPr>
                <w:sz w:val="1"/>
                <w:szCs w:val="18"/>
              </w:rPr>
            </w:pPr>
          </w:p>
        </w:tc>
        <w:tc>
          <w:tcPr>
            <w:tcW w:w="9044" w:type="dxa"/>
            <w:vAlign w:val="center"/>
            <w:hideMark/>
          </w:tcPr>
          <w:p w14:paraId="24D07BCC" w14:textId="77777777" w:rsidR="00F76607" w:rsidRDefault="00F76607">
            <w:pPr>
              <w:rPr>
                <w:sz w:val="1"/>
                <w:szCs w:val="18"/>
              </w:rPr>
            </w:pPr>
          </w:p>
        </w:tc>
      </w:tr>
      <w:tr w:rsidR="00F76607" w14:paraId="2D8D05D1" w14:textId="77777777">
        <w:trPr>
          <w:cantSplit/>
          <w:jc w:val="center"/>
        </w:trPr>
        <w:tc>
          <w:tcPr>
            <w:tcW w:w="0" w:type="auto"/>
            <w:hideMark/>
          </w:tcPr>
          <w:p w14:paraId="02393AE3" w14:textId="77777777" w:rsidR="00F76607" w:rsidRDefault="001863F0">
            <w:pPr>
              <w:rPr>
                <w:sz w:val="18"/>
                <w:szCs w:val="18"/>
              </w:rPr>
            </w:pPr>
            <w:r>
              <w:rPr>
                <w:b/>
                <w:bCs/>
                <w:sz w:val="18"/>
                <w:szCs w:val="18"/>
              </w:rPr>
              <w:t>B.9</w:t>
            </w:r>
          </w:p>
        </w:tc>
        <w:tc>
          <w:tcPr>
            <w:tcW w:w="0" w:type="auto"/>
            <w:hideMark/>
          </w:tcPr>
          <w:p w14:paraId="6894BFC0" w14:textId="77777777" w:rsidR="00F76607" w:rsidRDefault="001863F0">
            <w:pPr>
              <w:rPr>
                <w:sz w:val="18"/>
                <w:szCs w:val="18"/>
              </w:rPr>
            </w:pPr>
            <w:r>
              <w:rPr>
                <w:b/>
                <w:bCs/>
                <w:sz w:val="18"/>
                <w:szCs w:val="18"/>
              </w:rPr>
              <w:t>Profit forecast or estimate</w:t>
            </w:r>
          </w:p>
        </w:tc>
      </w:tr>
      <w:tr w:rsidR="00F76607" w14:paraId="66ABB5B3" w14:textId="77777777">
        <w:trPr>
          <w:cantSplit/>
          <w:jc w:val="center"/>
        </w:trPr>
        <w:tc>
          <w:tcPr>
            <w:tcW w:w="0" w:type="auto"/>
            <w:tcMar>
              <w:top w:w="0" w:type="dxa"/>
              <w:left w:w="144" w:type="dxa"/>
              <w:bottom w:w="0" w:type="dxa"/>
              <w:right w:w="0" w:type="dxa"/>
            </w:tcMar>
            <w:hideMark/>
          </w:tcPr>
          <w:p w14:paraId="1624DDF9" w14:textId="77777777" w:rsidR="00F76607" w:rsidRDefault="001863F0">
            <w:pPr>
              <w:pStyle w:val="la2"/>
              <w:rPr>
                <w:rFonts w:eastAsiaTheme="minorEastAsia"/>
                <w:sz w:val="18"/>
                <w:szCs w:val="18"/>
              </w:rPr>
            </w:pPr>
            <w:r>
              <w:rPr>
                <w:sz w:val="18"/>
                <w:szCs w:val="18"/>
              </w:rPr>
              <w:t> </w:t>
            </w:r>
          </w:p>
        </w:tc>
        <w:tc>
          <w:tcPr>
            <w:tcW w:w="0" w:type="auto"/>
            <w:hideMark/>
          </w:tcPr>
          <w:p w14:paraId="1F645208" w14:textId="77777777" w:rsidR="00F76607" w:rsidRDefault="001863F0">
            <w:pPr>
              <w:rPr>
                <w:sz w:val="18"/>
                <w:szCs w:val="18"/>
              </w:rPr>
            </w:pPr>
            <w:r>
              <w:rPr>
                <w:sz w:val="18"/>
                <w:szCs w:val="18"/>
              </w:rPr>
              <w:t>Not applicable. No profit forecast has been included in the Prospectus or otherwise published by the Company.</w:t>
            </w:r>
          </w:p>
        </w:tc>
      </w:tr>
      <w:tr w:rsidR="00F76607" w14:paraId="5C447BE9" w14:textId="77777777">
        <w:trPr>
          <w:cantSplit/>
          <w:jc w:val="center"/>
        </w:trPr>
        <w:tc>
          <w:tcPr>
            <w:tcW w:w="0" w:type="auto"/>
            <w:hideMark/>
          </w:tcPr>
          <w:p w14:paraId="64668817" w14:textId="77777777" w:rsidR="00F76607" w:rsidRDefault="001863F0">
            <w:pPr>
              <w:rPr>
                <w:sz w:val="18"/>
                <w:szCs w:val="18"/>
              </w:rPr>
            </w:pPr>
            <w:r>
              <w:rPr>
                <w:b/>
                <w:bCs/>
                <w:sz w:val="18"/>
                <w:szCs w:val="18"/>
              </w:rPr>
              <w:t>B.10</w:t>
            </w:r>
          </w:p>
        </w:tc>
        <w:tc>
          <w:tcPr>
            <w:tcW w:w="0" w:type="auto"/>
            <w:hideMark/>
          </w:tcPr>
          <w:p w14:paraId="4C7FC20E" w14:textId="77777777" w:rsidR="00F76607" w:rsidRDefault="001863F0">
            <w:pPr>
              <w:rPr>
                <w:sz w:val="18"/>
                <w:szCs w:val="18"/>
              </w:rPr>
            </w:pPr>
            <w:r>
              <w:rPr>
                <w:b/>
                <w:bCs/>
                <w:sz w:val="18"/>
                <w:szCs w:val="18"/>
              </w:rPr>
              <w:t>A description of the nature of any qualifications in the audit report on the historical financial information</w:t>
            </w:r>
          </w:p>
        </w:tc>
      </w:tr>
      <w:tr w:rsidR="00F76607" w14:paraId="0F922CC9" w14:textId="77777777">
        <w:trPr>
          <w:cantSplit/>
          <w:jc w:val="center"/>
        </w:trPr>
        <w:tc>
          <w:tcPr>
            <w:tcW w:w="0" w:type="auto"/>
            <w:tcMar>
              <w:top w:w="0" w:type="dxa"/>
              <w:left w:w="144" w:type="dxa"/>
              <w:bottom w:w="0" w:type="dxa"/>
              <w:right w:w="0" w:type="dxa"/>
            </w:tcMar>
            <w:hideMark/>
          </w:tcPr>
          <w:p w14:paraId="4A5277E7" w14:textId="77777777" w:rsidR="00F76607" w:rsidRDefault="001863F0">
            <w:pPr>
              <w:pStyle w:val="la2"/>
              <w:rPr>
                <w:rFonts w:eastAsiaTheme="minorEastAsia"/>
                <w:sz w:val="18"/>
                <w:szCs w:val="18"/>
              </w:rPr>
            </w:pPr>
            <w:r>
              <w:rPr>
                <w:sz w:val="18"/>
                <w:szCs w:val="18"/>
              </w:rPr>
              <w:t> </w:t>
            </w:r>
          </w:p>
        </w:tc>
        <w:tc>
          <w:tcPr>
            <w:tcW w:w="0" w:type="auto"/>
            <w:hideMark/>
          </w:tcPr>
          <w:p w14:paraId="58CEC616" w14:textId="77777777" w:rsidR="00F76607" w:rsidRDefault="001863F0">
            <w:pPr>
              <w:rPr>
                <w:sz w:val="18"/>
                <w:szCs w:val="18"/>
              </w:rPr>
            </w:pPr>
            <w:r>
              <w:rPr>
                <w:sz w:val="18"/>
                <w:szCs w:val="18"/>
              </w:rPr>
              <w:t>Not applicable. There are no qualifications to the audit report on the historical financial information.</w:t>
            </w:r>
          </w:p>
        </w:tc>
      </w:tr>
      <w:tr w:rsidR="00F76607" w14:paraId="18EF1836" w14:textId="77777777">
        <w:trPr>
          <w:cantSplit/>
          <w:trHeight w:val="434"/>
          <w:jc w:val="center"/>
        </w:trPr>
        <w:tc>
          <w:tcPr>
            <w:tcW w:w="0" w:type="auto"/>
            <w:hideMark/>
          </w:tcPr>
          <w:p w14:paraId="75CCD8FB" w14:textId="77777777" w:rsidR="00F76607" w:rsidRDefault="001863F0">
            <w:pPr>
              <w:rPr>
                <w:sz w:val="18"/>
                <w:szCs w:val="18"/>
              </w:rPr>
            </w:pPr>
            <w:r>
              <w:rPr>
                <w:b/>
                <w:bCs/>
                <w:sz w:val="18"/>
                <w:szCs w:val="18"/>
              </w:rPr>
              <w:t>B.11</w:t>
            </w:r>
          </w:p>
        </w:tc>
        <w:tc>
          <w:tcPr>
            <w:tcW w:w="0" w:type="auto"/>
            <w:hideMark/>
          </w:tcPr>
          <w:p w14:paraId="4EAD1DB4" w14:textId="77777777" w:rsidR="00F76607" w:rsidRDefault="001863F0">
            <w:pPr>
              <w:rPr>
                <w:b/>
                <w:bCs/>
                <w:sz w:val="18"/>
                <w:szCs w:val="18"/>
              </w:rPr>
            </w:pPr>
            <w:r>
              <w:rPr>
                <w:b/>
                <w:bCs/>
                <w:sz w:val="18"/>
                <w:szCs w:val="18"/>
              </w:rPr>
              <w:t>Working capital</w:t>
            </w:r>
          </w:p>
          <w:p w14:paraId="62595A6E" w14:textId="77777777" w:rsidR="00F76607" w:rsidRDefault="001863F0">
            <w:pPr>
              <w:rPr>
                <w:sz w:val="18"/>
                <w:szCs w:val="18"/>
              </w:rPr>
            </w:pPr>
            <w:r>
              <w:rPr>
                <w:sz w:val="18"/>
                <w:szCs w:val="18"/>
              </w:rPr>
              <w:t>In the Company’s opinion, the working capital is sufficient for the Company’s present requirements, that is, for at least the next twelve months from the date of the publication of this Prospectus.</w:t>
            </w:r>
          </w:p>
        </w:tc>
      </w:tr>
    </w:tbl>
    <w:p w14:paraId="278098D3" w14:textId="77777777" w:rsidR="00F76607" w:rsidRDefault="001863F0">
      <w:pPr>
        <w:pStyle w:val="NormalWeb"/>
        <w:keepNext/>
        <w:spacing w:before="240" w:beforeAutospacing="0" w:after="0" w:afterAutospacing="0"/>
        <w:jc w:val="center"/>
      </w:pPr>
      <w:r>
        <w:rPr>
          <w:b/>
          <w:bCs/>
          <w:sz w:val="18"/>
          <w:szCs w:val="18"/>
        </w:rPr>
        <w:t xml:space="preserve">Section C—Shares </w:t>
      </w:r>
    </w:p>
    <w:p w14:paraId="0B739BE4" w14:textId="77777777" w:rsidR="00F76607" w:rsidRDefault="001863F0">
      <w:pPr>
        <w:pStyle w:val="NormalWeb"/>
        <w:keepNext/>
        <w:spacing w:before="0" w:beforeAutospacing="0" w:after="0" w:afterAutospacing="0"/>
      </w:pPr>
      <w:r>
        <w:t> </w:t>
      </w:r>
    </w:p>
    <w:p w14:paraId="6D302702" w14:textId="77777777" w:rsidR="00F76607" w:rsidRDefault="001863F0">
      <w:pPr>
        <w:pStyle w:val="NormalWeb"/>
        <w:keepNext/>
        <w:spacing w:before="0" w:beforeAutospacing="0" w:after="0" w:afterAutospacing="0"/>
        <w:rPr>
          <w:sz w:val="2"/>
          <w:szCs w:val="2"/>
        </w:rPr>
      </w:pPr>
      <w:r>
        <w:rPr>
          <w:sz w:val="2"/>
          <w:szCs w:val="2"/>
        </w:rPr>
        <w:t> </w:t>
      </w:r>
    </w:p>
    <w:tbl>
      <w:tblPr>
        <w:tblW w:w="5000" w:type="pct"/>
        <w:jc w:val="center"/>
        <w:tblCellMar>
          <w:left w:w="0" w:type="dxa"/>
          <w:right w:w="0" w:type="dxa"/>
        </w:tblCellMar>
        <w:tblLook w:val="04A0" w:firstRow="1" w:lastRow="0" w:firstColumn="1" w:lastColumn="0" w:noHBand="0" w:noVBand="1"/>
      </w:tblPr>
      <w:tblGrid>
        <w:gridCol w:w="802"/>
        <w:gridCol w:w="8951"/>
      </w:tblGrid>
      <w:tr w:rsidR="00F76607" w14:paraId="05C87CE9" w14:textId="77777777">
        <w:trPr>
          <w:jc w:val="center"/>
        </w:trPr>
        <w:tc>
          <w:tcPr>
            <w:tcW w:w="810" w:type="dxa"/>
            <w:vAlign w:val="center"/>
            <w:hideMark/>
          </w:tcPr>
          <w:p w14:paraId="6B5565DE" w14:textId="77777777" w:rsidR="00F76607" w:rsidRDefault="00F76607">
            <w:pPr>
              <w:rPr>
                <w:sz w:val="1"/>
                <w:szCs w:val="18"/>
              </w:rPr>
            </w:pPr>
          </w:p>
        </w:tc>
        <w:tc>
          <w:tcPr>
            <w:tcW w:w="8943" w:type="dxa"/>
            <w:vAlign w:val="center"/>
            <w:hideMark/>
          </w:tcPr>
          <w:p w14:paraId="4631F673" w14:textId="77777777" w:rsidR="00F76607" w:rsidRDefault="00F76607">
            <w:pPr>
              <w:rPr>
                <w:sz w:val="1"/>
                <w:szCs w:val="18"/>
              </w:rPr>
            </w:pPr>
          </w:p>
        </w:tc>
      </w:tr>
      <w:tr w:rsidR="00F76607" w14:paraId="599BC6E7" w14:textId="77777777">
        <w:trPr>
          <w:trHeight w:val="75"/>
          <w:jc w:val="center"/>
        </w:trPr>
        <w:tc>
          <w:tcPr>
            <w:tcW w:w="0" w:type="auto"/>
            <w:tcBorders>
              <w:top w:val="single" w:sz="6" w:space="0" w:color="000000"/>
              <w:left w:val="single" w:sz="6" w:space="0" w:color="000000"/>
            </w:tcBorders>
            <w:shd w:val="clear" w:color="auto" w:fill="D8D8D8"/>
            <w:tcMar>
              <w:top w:w="0" w:type="dxa"/>
              <w:left w:w="160" w:type="dxa"/>
              <w:bottom w:w="0" w:type="dxa"/>
              <w:right w:w="0" w:type="dxa"/>
            </w:tcMar>
            <w:vAlign w:val="center"/>
            <w:hideMark/>
          </w:tcPr>
          <w:p w14:paraId="776CB608" w14:textId="77777777" w:rsidR="00F76607" w:rsidRDefault="001863F0">
            <w:pPr>
              <w:rPr>
                <w:sz w:val="2"/>
                <w:szCs w:val="2"/>
              </w:rPr>
            </w:pPr>
            <w:r>
              <w:rPr>
                <w:sz w:val="2"/>
                <w:szCs w:val="2"/>
              </w:rPr>
              <w:t> </w:t>
            </w:r>
          </w:p>
        </w:tc>
        <w:tc>
          <w:tcPr>
            <w:tcW w:w="0" w:type="auto"/>
            <w:tcBorders>
              <w:top w:val="single" w:sz="6" w:space="0" w:color="000000"/>
              <w:left w:val="single" w:sz="6" w:space="0" w:color="000000"/>
              <w:right w:val="single" w:sz="6" w:space="0" w:color="000000"/>
            </w:tcBorders>
            <w:shd w:val="clear" w:color="auto" w:fill="D8D8D8"/>
            <w:vAlign w:val="center"/>
            <w:hideMark/>
          </w:tcPr>
          <w:p w14:paraId="2090445F" w14:textId="77777777" w:rsidR="00F76607" w:rsidRDefault="001863F0">
            <w:pPr>
              <w:rPr>
                <w:sz w:val="2"/>
                <w:szCs w:val="2"/>
              </w:rPr>
            </w:pPr>
            <w:r>
              <w:rPr>
                <w:sz w:val="2"/>
                <w:szCs w:val="2"/>
              </w:rPr>
              <w:t> </w:t>
            </w:r>
          </w:p>
        </w:tc>
      </w:tr>
      <w:tr w:rsidR="00F76607" w14:paraId="34C61608" w14:textId="77777777">
        <w:trPr>
          <w:cantSplit/>
          <w:jc w:val="center"/>
        </w:trPr>
        <w:tc>
          <w:tcPr>
            <w:tcW w:w="0" w:type="auto"/>
            <w:tcBorders>
              <w:left w:val="single" w:sz="6" w:space="0" w:color="000000"/>
              <w:bottom w:val="single" w:sz="6" w:space="0" w:color="000000"/>
            </w:tcBorders>
            <w:shd w:val="clear" w:color="auto" w:fill="D8D8D8"/>
            <w:tcMar>
              <w:top w:w="0" w:type="dxa"/>
              <w:left w:w="160" w:type="dxa"/>
              <w:bottom w:w="0" w:type="dxa"/>
              <w:right w:w="0" w:type="dxa"/>
            </w:tcMar>
            <w:hideMark/>
          </w:tcPr>
          <w:p w14:paraId="482A7651" w14:textId="77777777" w:rsidR="00F76607" w:rsidRDefault="001863F0">
            <w:pPr>
              <w:rPr>
                <w:sz w:val="18"/>
                <w:szCs w:val="18"/>
              </w:rPr>
            </w:pPr>
            <w:r>
              <w:rPr>
                <w:b/>
                <w:bCs/>
                <w:sz w:val="18"/>
                <w:szCs w:val="18"/>
              </w:rPr>
              <w:lastRenderedPageBreak/>
              <w:t>Element</w:t>
            </w:r>
          </w:p>
        </w:tc>
        <w:tc>
          <w:tcPr>
            <w:tcW w:w="0" w:type="auto"/>
            <w:tcBorders>
              <w:bottom w:val="single" w:sz="6" w:space="0" w:color="000000"/>
              <w:right w:val="single" w:sz="6" w:space="0" w:color="000000"/>
            </w:tcBorders>
            <w:shd w:val="clear" w:color="auto" w:fill="D8D8D8"/>
            <w:tcMar>
              <w:top w:w="0" w:type="dxa"/>
              <w:left w:w="0" w:type="dxa"/>
              <w:bottom w:w="0" w:type="dxa"/>
              <w:right w:w="40" w:type="dxa"/>
            </w:tcMar>
            <w:hideMark/>
          </w:tcPr>
          <w:p w14:paraId="2009D892" w14:textId="77777777" w:rsidR="00F76607" w:rsidRDefault="001863F0">
            <w:pPr>
              <w:rPr>
                <w:sz w:val="18"/>
                <w:szCs w:val="18"/>
              </w:rPr>
            </w:pPr>
            <w:r>
              <w:rPr>
                <w:b/>
                <w:bCs/>
                <w:sz w:val="18"/>
                <w:szCs w:val="18"/>
              </w:rPr>
              <w:t>Disclosure requirement</w:t>
            </w:r>
          </w:p>
        </w:tc>
      </w:tr>
      <w:tr w:rsidR="00F76607" w14:paraId="3B7A63EE" w14:textId="77777777">
        <w:trPr>
          <w:cantSplit/>
          <w:jc w:val="center"/>
        </w:trPr>
        <w:tc>
          <w:tcPr>
            <w:tcW w:w="0" w:type="auto"/>
            <w:hideMark/>
          </w:tcPr>
          <w:p w14:paraId="2E480534" w14:textId="77777777" w:rsidR="00F76607" w:rsidRDefault="001863F0">
            <w:pPr>
              <w:rPr>
                <w:sz w:val="18"/>
                <w:szCs w:val="18"/>
              </w:rPr>
            </w:pPr>
            <w:r>
              <w:rPr>
                <w:b/>
                <w:bCs/>
                <w:sz w:val="18"/>
                <w:szCs w:val="18"/>
              </w:rPr>
              <w:t>C.1</w:t>
            </w:r>
          </w:p>
        </w:tc>
        <w:tc>
          <w:tcPr>
            <w:tcW w:w="0" w:type="auto"/>
            <w:hideMark/>
          </w:tcPr>
          <w:p w14:paraId="1BFC5CA2" w14:textId="77777777" w:rsidR="00F76607" w:rsidRDefault="001863F0">
            <w:pPr>
              <w:rPr>
                <w:sz w:val="18"/>
                <w:szCs w:val="18"/>
              </w:rPr>
            </w:pPr>
            <w:r>
              <w:rPr>
                <w:b/>
                <w:bCs/>
                <w:sz w:val="18"/>
                <w:szCs w:val="18"/>
              </w:rPr>
              <w:t xml:space="preserve">Type and class of the securities being offered </w:t>
            </w:r>
          </w:p>
        </w:tc>
      </w:tr>
      <w:tr w:rsidR="00F76607" w14:paraId="6ED2B977" w14:textId="77777777">
        <w:trPr>
          <w:cantSplit/>
          <w:jc w:val="center"/>
        </w:trPr>
        <w:tc>
          <w:tcPr>
            <w:tcW w:w="0" w:type="auto"/>
            <w:tcMar>
              <w:top w:w="0" w:type="dxa"/>
              <w:left w:w="144" w:type="dxa"/>
              <w:bottom w:w="0" w:type="dxa"/>
              <w:right w:w="0" w:type="dxa"/>
            </w:tcMar>
            <w:hideMark/>
          </w:tcPr>
          <w:p w14:paraId="61587A53" w14:textId="77777777" w:rsidR="00F76607" w:rsidRDefault="001863F0">
            <w:pPr>
              <w:pStyle w:val="la2"/>
              <w:rPr>
                <w:rFonts w:eastAsiaTheme="minorEastAsia"/>
                <w:sz w:val="18"/>
                <w:szCs w:val="18"/>
              </w:rPr>
            </w:pPr>
            <w:r>
              <w:rPr>
                <w:sz w:val="18"/>
                <w:szCs w:val="18"/>
              </w:rPr>
              <w:t> </w:t>
            </w:r>
          </w:p>
        </w:tc>
        <w:tc>
          <w:tcPr>
            <w:tcW w:w="0" w:type="auto"/>
            <w:hideMark/>
          </w:tcPr>
          <w:p w14:paraId="1A59AC54" w14:textId="77777777" w:rsidR="00F76607" w:rsidRDefault="001863F0">
            <w:pPr>
              <w:rPr>
                <w:sz w:val="18"/>
                <w:szCs w:val="18"/>
              </w:rPr>
            </w:pPr>
            <w:r>
              <w:rPr>
                <w:sz w:val="18"/>
                <w:szCs w:val="18"/>
              </w:rPr>
              <w:t>The Offer Shares are ordinary shares in the share capital of the Company.</w:t>
            </w:r>
          </w:p>
          <w:p w14:paraId="7D34D4C0" w14:textId="77777777" w:rsidR="00F76607" w:rsidRDefault="001863F0">
            <w:pPr>
              <w:rPr>
                <w:sz w:val="18"/>
                <w:szCs w:val="18"/>
              </w:rPr>
            </w:pPr>
            <w:r>
              <w:rPr>
                <w:sz w:val="18"/>
                <w:szCs w:val="18"/>
              </w:rPr>
              <w:t>The ISIN code attributed to the Offer Shares is BE0003878957.</w:t>
            </w:r>
          </w:p>
        </w:tc>
      </w:tr>
      <w:tr w:rsidR="00F76607" w14:paraId="2AE22A85" w14:textId="77777777">
        <w:trPr>
          <w:cantSplit/>
          <w:jc w:val="center"/>
        </w:trPr>
        <w:tc>
          <w:tcPr>
            <w:tcW w:w="0" w:type="auto"/>
            <w:tcMar>
              <w:top w:w="0" w:type="dxa"/>
              <w:left w:w="144" w:type="dxa"/>
              <w:bottom w:w="0" w:type="dxa"/>
              <w:right w:w="0" w:type="dxa"/>
            </w:tcMar>
            <w:hideMark/>
          </w:tcPr>
          <w:p w14:paraId="252203D7" w14:textId="77777777" w:rsidR="00F76607" w:rsidRDefault="001863F0">
            <w:pPr>
              <w:pStyle w:val="la2"/>
              <w:rPr>
                <w:rFonts w:eastAsiaTheme="minorEastAsia"/>
                <w:sz w:val="18"/>
                <w:szCs w:val="18"/>
              </w:rPr>
            </w:pPr>
            <w:r>
              <w:rPr>
                <w:sz w:val="18"/>
                <w:szCs w:val="18"/>
              </w:rPr>
              <w:t> </w:t>
            </w:r>
          </w:p>
        </w:tc>
        <w:tc>
          <w:tcPr>
            <w:tcW w:w="0" w:type="auto"/>
            <w:hideMark/>
          </w:tcPr>
          <w:p w14:paraId="24FA2174" w14:textId="77777777" w:rsidR="00F76607" w:rsidRDefault="001863F0">
            <w:pPr>
              <w:rPr>
                <w:sz w:val="18"/>
                <w:szCs w:val="18"/>
              </w:rPr>
            </w:pPr>
            <w:r>
              <w:rPr>
                <w:sz w:val="18"/>
                <w:szCs w:val="18"/>
              </w:rPr>
              <w:t>The Offer Shares are in registered or dematerialized form.</w:t>
            </w:r>
          </w:p>
        </w:tc>
      </w:tr>
      <w:tr w:rsidR="00F76607" w14:paraId="2774F95F" w14:textId="77777777">
        <w:trPr>
          <w:cantSplit/>
          <w:jc w:val="center"/>
        </w:trPr>
        <w:tc>
          <w:tcPr>
            <w:tcW w:w="0" w:type="auto"/>
            <w:hideMark/>
          </w:tcPr>
          <w:p w14:paraId="4185FFD1" w14:textId="77777777" w:rsidR="00F76607" w:rsidRDefault="001863F0">
            <w:pPr>
              <w:rPr>
                <w:sz w:val="18"/>
                <w:szCs w:val="18"/>
              </w:rPr>
            </w:pPr>
            <w:r>
              <w:rPr>
                <w:b/>
                <w:bCs/>
                <w:sz w:val="18"/>
                <w:szCs w:val="18"/>
              </w:rPr>
              <w:t>C.2</w:t>
            </w:r>
          </w:p>
        </w:tc>
        <w:tc>
          <w:tcPr>
            <w:tcW w:w="0" w:type="auto"/>
            <w:hideMark/>
          </w:tcPr>
          <w:p w14:paraId="4CB3C40D" w14:textId="77777777" w:rsidR="00F76607" w:rsidRDefault="001863F0">
            <w:pPr>
              <w:rPr>
                <w:sz w:val="18"/>
                <w:szCs w:val="18"/>
              </w:rPr>
            </w:pPr>
            <w:r>
              <w:rPr>
                <w:b/>
                <w:bCs/>
                <w:sz w:val="18"/>
                <w:szCs w:val="18"/>
              </w:rPr>
              <w:t>Currency of the Shares</w:t>
            </w:r>
          </w:p>
        </w:tc>
      </w:tr>
      <w:tr w:rsidR="00F76607" w14:paraId="7DF8AAF2" w14:textId="77777777">
        <w:trPr>
          <w:cantSplit/>
          <w:jc w:val="center"/>
        </w:trPr>
        <w:tc>
          <w:tcPr>
            <w:tcW w:w="0" w:type="auto"/>
            <w:tcMar>
              <w:top w:w="0" w:type="dxa"/>
              <w:left w:w="144" w:type="dxa"/>
              <w:bottom w:w="0" w:type="dxa"/>
              <w:right w:w="0" w:type="dxa"/>
            </w:tcMar>
            <w:hideMark/>
          </w:tcPr>
          <w:p w14:paraId="4D8F7266" w14:textId="77777777" w:rsidR="00F76607" w:rsidRDefault="001863F0">
            <w:pPr>
              <w:pStyle w:val="la2"/>
              <w:rPr>
                <w:rFonts w:eastAsiaTheme="minorEastAsia"/>
                <w:sz w:val="18"/>
                <w:szCs w:val="18"/>
              </w:rPr>
            </w:pPr>
            <w:r>
              <w:rPr>
                <w:sz w:val="18"/>
                <w:szCs w:val="18"/>
              </w:rPr>
              <w:t> </w:t>
            </w:r>
          </w:p>
        </w:tc>
        <w:tc>
          <w:tcPr>
            <w:tcW w:w="0" w:type="auto"/>
            <w:hideMark/>
          </w:tcPr>
          <w:p w14:paraId="13249870" w14:textId="77777777" w:rsidR="00F76607" w:rsidRDefault="001863F0">
            <w:pPr>
              <w:rPr>
                <w:sz w:val="18"/>
                <w:szCs w:val="18"/>
              </w:rPr>
            </w:pPr>
            <w:r>
              <w:rPr>
                <w:sz w:val="18"/>
                <w:szCs w:val="18"/>
              </w:rPr>
              <w:t>The currency of the Shares is Euro.</w:t>
            </w:r>
          </w:p>
        </w:tc>
      </w:tr>
      <w:tr w:rsidR="00F76607" w14:paraId="79BFE759" w14:textId="77777777">
        <w:trPr>
          <w:cantSplit/>
          <w:jc w:val="center"/>
        </w:trPr>
        <w:tc>
          <w:tcPr>
            <w:tcW w:w="0" w:type="auto"/>
            <w:hideMark/>
          </w:tcPr>
          <w:p w14:paraId="47C2F0D6" w14:textId="77777777" w:rsidR="00F76607" w:rsidRDefault="001863F0">
            <w:pPr>
              <w:rPr>
                <w:sz w:val="18"/>
                <w:szCs w:val="18"/>
              </w:rPr>
            </w:pPr>
            <w:r>
              <w:rPr>
                <w:b/>
                <w:bCs/>
                <w:sz w:val="18"/>
                <w:szCs w:val="18"/>
              </w:rPr>
              <w:t>C.3</w:t>
            </w:r>
          </w:p>
        </w:tc>
        <w:tc>
          <w:tcPr>
            <w:tcW w:w="0" w:type="auto"/>
            <w:hideMark/>
          </w:tcPr>
          <w:p w14:paraId="1C9E2360" w14:textId="77777777" w:rsidR="00F76607" w:rsidRDefault="001863F0">
            <w:pPr>
              <w:rPr>
                <w:sz w:val="18"/>
                <w:szCs w:val="18"/>
              </w:rPr>
            </w:pPr>
            <w:r>
              <w:rPr>
                <w:b/>
                <w:bCs/>
                <w:sz w:val="18"/>
                <w:szCs w:val="18"/>
              </w:rPr>
              <w:t>Numbers of Shares issued</w:t>
            </w:r>
          </w:p>
        </w:tc>
      </w:tr>
      <w:tr w:rsidR="00F76607" w14:paraId="00FC2498" w14:textId="77777777">
        <w:trPr>
          <w:cantSplit/>
          <w:jc w:val="center"/>
        </w:trPr>
        <w:tc>
          <w:tcPr>
            <w:tcW w:w="0" w:type="auto"/>
            <w:tcMar>
              <w:top w:w="0" w:type="dxa"/>
              <w:left w:w="144" w:type="dxa"/>
              <w:bottom w:w="0" w:type="dxa"/>
              <w:right w:w="0" w:type="dxa"/>
            </w:tcMar>
            <w:hideMark/>
          </w:tcPr>
          <w:p w14:paraId="521B3A7E" w14:textId="77777777" w:rsidR="00F76607" w:rsidRDefault="001863F0">
            <w:pPr>
              <w:pStyle w:val="la2"/>
              <w:rPr>
                <w:rFonts w:eastAsiaTheme="minorEastAsia"/>
                <w:sz w:val="18"/>
                <w:szCs w:val="18"/>
              </w:rPr>
            </w:pPr>
            <w:r>
              <w:rPr>
                <w:sz w:val="18"/>
                <w:szCs w:val="18"/>
              </w:rPr>
              <w:t> </w:t>
            </w:r>
          </w:p>
        </w:tc>
        <w:tc>
          <w:tcPr>
            <w:tcW w:w="0" w:type="auto"/>
            <w:hideMark/>
          </w:tcPr>
          <w:p w14:paraId="799FC2AB" w14:textId="77777777" w:rsidR="00F76607" w:rsidRDefault="001863F0">
            <w:pPr>
              <w:rPr>
                <w:sz w:val="18"/>
                <w:szCs w:val="18"/>
              </w:rPr>
            </w:pPr>
            <w:r>
              <w:rPr>
                <w:sz w:val="18"/>
                <w:szCs w:val="18"/>
              </w:rPr>
              <w:t>As of the date of this Prospectus, the Company’s share capital amounts to € 92,666,815.00, represented by 18,583,050 Shares, each representing an identical fraction of the Company’s share capital.</w:t>
            </w:r>
          </w:p>
        </w:tc>
      </w:tr>
      <w:tr w:rsidR="00F76607" w14:paraId="29EA8E77" w14:textId="77777777">
        <w:trPr>
          <w:cantSplit/>
          <w:jc w:val="center"/>
        </w:trPr>
        <w:tc>
          <w:tcPr>
            <w:tcW w:w="0" w:type="auto"/>
            <w:hideMark/>
          </w:tcPr>
          <w:p w14:paraId="6414821B" w14:textId="77777777" w:rsidR="00F76607" w:rsidRDefault="001863F0">
            <w:pPr>
              <w:rPr>
                <w:sz w:val="18"/>
                <w:szCs w:val="18"/>
              </w:rPr>
            </w:pPr>
            <w:r>
              <w:rPr>
                <w:b/>
                <w:bCs/>
                <w:sz w:val="18"/>
                <w:szCs w:val="18"/>
              </w:rPr>
              <w:t>C.4</w:t>
            </w:r>
          </w:p>
        </w:tc>
        <w:tc>
          <w:tcPr>
            <w:tcW w:w="0" w:type="auto"/>
            <w:hideMark/>
          </w:tcPr>
          <w:p w14:paraId="01D02A11" w14:textId="77777777" w:rsidR="00F76607" w:rsidRDefault="001863F0">
            <w:pPr>
              <w:rPr>
                <w:sz w:val="18"/>
                <w:szCs w:val="18"/>
              </w:rPr>
            </w:pPr>
            <w:r>
              <w:rPr>
                <w:b/>
                <w:bCs/>
                <w:sz w:val="18"/>
                <w:szCs w:val="18"/>
              </w:rPr>
              <w:t>Rights attached to the Shares</w:t>
            </w:r>
          </w:p>
        </w:tc>
      </w:tr>
      <w:tr w:rsidR="00F76607" w14:paraId="451D46D5" w14:textId="77777777">
        <w:trPr>
          <w:cantSplit/>
          <w:jc w:val="center"/>
        </w:trPr>
        <w:tc>
          <w:tcPr>
            <w:tcW w:w="0" w:type="auto"/>
            <w:tcMar>
              <w:top w:w="0" w:type="dxa"/>
              <w:left w:w="144" w:type="dxa"/>
              <w:bottom w:w="0" w:type="dxa"/>
              <w:right w:w="0" w:type="dxa"/>
            </w:tcMar>
            <w:hideMark/>
          </w:tcPr>
          <w:p w14:paraId="26683F3B" w14:textId="77777777" w:rsidR="00F76607" w:rsidRDefault="001863F0">
            <w:pPr>
              <w:pStyle w:val="la2"/>
              <w:rPr>
                <w:rFonts w:eastAsiaTheme="minorEastAsia"/>
                <w:sz w:val="18"/>
                <w:szCs w:val="18"/>
              </w:rPr>
            </w:pPr>
            <w:r>
              <w:rPr>
                <w:sz w:val="18"/>
                <w:szCs w:val="18"/>
              </w:rPr>
              <w:t> </w:t>
            </w:r>
          </w:p>
        </w:tc>
        <w:tc>
          <w:tcPr>
            <w:tcW w:w="0" w:type="auto"/>
            <w:hideMark/>
          </w:tcPr>
          <w:p w14:paraId="084E764E" w14:textId="77777777" w:rsidR="00F76607" w:rsidRDefault="001863F0">
            <w:pPr>
              <w:rPr>
                <w:sz w:val="18"/>
                <w:szCs w:val="18"/>
              </w:rPr>
            </w:pPr>
            <w:r>
              <w:rPr>
                <w:sz w:val="18"/>
                <w:szCs w:val="18"/>
              </w:rPr>
              <w:t>All of the Shares have the same voting rights except that voting rights are suspended when such Shares are held by the Company as treasury shares.</w:t>
            </w:r>
          </w:p>
        </w:tc>
      </w:tr>
      <w:tr w:rsidR="00F76607" w14:paraId="6693023F" w14:textId="77777777">
        <w:trPr>
          <w:cantSplit/>
          <w:jc w:val="center"/>
        </w:trPr>
        <w:tc>
          <w:tcPr>
            <w:tcW w:w="0" w:type="auto"/>
            <w:tcMar>
              <w:top w:w="0" w:type="dxa"/>
              <w:left w:w="144" w:type="dxa"/>
              <w:bottom w:w="0" w:type="dxa"/>
              <w:right w:w="0" w:type="dxa"/>
            </w:tcMar>
            <w:hideMark/>
          </w:tcPr>
          <w:p w14:paraId="0F333193" w14:textId="77777777" w:rsidR="00F76607" w:rsidRDefault="001863F0">
            <w:pPr>
              <w:pStyle w:val="la2"/>
              <w:rPr>
                <w:rFonts w:eastAsiaTheme="minorEastAsia"/>
                <w:sz w:val="18"/>
                <w:szCs w:val="18"/>
              </w:rPr>
            </w:pPr>
            <w:r>
              <w:rPr>
                <w:sz w:val="18"/>
                <w:szCs w:val="18"/>
              </w:rPr>
              <w:t> </w:t>
            </w:r>
          </w:p>
        </w:tc>
        <w:tc>
          <w:tcPr>
            <w:tcW w:w="0" w:type="auto"/>
            <w:hideMark/>
          </w:tcPr>
          <w:p w14:paraId="3A017FDD" w14:textId="77777777" w:rsidR="00F76607" w:rsidRDefault="001863F0">
            <w:pPr>
              <w:rPr>
                <w:sz w:val="18"/>
                <w:szCs w:val="18"/>
              </w:rPr>
            </w:pPr>
            <w:r>
              <w:rPr>
                <w:sz w:val="18"/>
                <w:szCs w:val="18"/>
              </w:rPr>
              <w:t>The Shares carry the right to participate in dividends and other entitlements declared after the Closing Date, in respect of the financial year ending on 31 December 2017 and future years.</w:t>
            </w:r>
          </w:p>
        </w:tc>
      </w:tr>
      <w:tr w:rsidR="00F76607" w14:paraId="58A5BFE8" w14:textId="77777777">
        <w:trPr>
          <w:cantSplit/>
          <w:jc w:val="center"/>
        </w:trPr>
        <w:tc>
          <w:tcPr>
            <w:tcW w:w="0" w:type="auto"/>
            <w:hideMark/>
          </w:tcPr>
          <w:p w14:paraId="30CA173C" w14:textId="77777777" w:rsidR="00F76607" w:rsidRDefault="001863F0">
            <w:pPr>
              <w:rPr>
                <w:sz w:val="18"/>
                <w:szCs w:val="18"/>
              </w:rPr>
            </w:pPr>
            <w:r>
              <w:rPr>
                <w:b/>
                <w:bCs/>
                <w:sz w:val="18"/>
                <w:szCs w:val="18"/>
              </w:rPr>
              <w:t>C.5</w:t>
            </w:r>
          </w:p>
        </w:tc>
        <w:tc>
          <w:tcPr>
            <w:tcW w:w="0" w:type="auto"/>
            <w:hideMark/>
          </w:tcPr>
          <w:p w14:paraId="53EA254C" w14:textId="77777777" w:rsidR="00F76607" w:rsidRDefault="001863F0">
            <w:pPr>
              <w:rPr>
                <w:sz w:val="18"/>
                <w:szCs w:val="18"/>
              </w:rPr>
            </w:pPr>
            <w:r>
              <w:rPr>
                <w:b/>
                <w:bCs/>
                <w:sz w:val="18"/>
                <w:szCs w:val="18"/>
              </w:rPr>
              <w:t>Restrictions on the free transferability of the Shares</w:t>
            </w:r>
          </w:p>
        </w:tc>
      </w:tr>
      <w:tr w:rsidR="00F76607" w14:paraId="2EF17B18" w14:textId="77777777">
        <w:trPr>
          <w:cantSplit/>
          <w:jc w:val="center"/>
        </w:trPr>
        <w:tc>
          <w:tcPr>
            <w:tcW w:w="0" w:type="auto"/>
            <w:tcMar>
              <w:top w:w="0" w:type="dxa"/>
              <w:left w:w="144" w:type="dxa"/>
              <w:bottom w:w="0" w:type="dxa"/>
              <w:right w:w="0" w:type="dxa"/>
            </w:tcMar>
            <w:hideMark/>
          </w:tcPr>
          <w:p w14:paraId="69C00550" w14:textId="77777777" w:rsidR="00F76607" w:rsidRDefault="001863F0">
            <w:pPr>
              <w:pStyle w:val="la2"/>
              <w:rPr>
                <w:rFonts w:eastAsiaTheme="minorEastAsia"/>
                <w:sz w:val="18"/>
                <w:szCs w:val="18"/>
              </w:rPr>
            </w:pPr>
            <w:r>
              <w:rPr>
                <w:sz w:val="18"/>
                <w:szCs w:val="18"/>
              </w:rPr>
              <w:t> </w:t>
            </w:r>
          </w:p>
        </w:tc>
        <w:tc>
          <w:tcPr>
            <w:tcW w:w="0" w:type="auto"/>
            <w:hideMark/>
          </w:tcPr>
          <w:p w14:paraId="0698CCB2" w14:textId="77777777" w:rsidR="00F76607" w:rsidRDefault="001863F0">
            <w:pPr>
              <w:rPr>
                <w:sz w:val="18"/>
                <w:szCs w:val="18"/>
              </w:rPr>
            </w:pPr>
            <w:r>
              <w:rPr>
                <w:sz w:val="18"/>
                <w:szCs w:val="18"/>
              </w:rPr>
              <w:t>The Shares are freely transferable, subject to any transactional restrictions.</w:t>
            </w:r>
          </w:p>
        </w:tc>
      </w:tr>
      <w:tr w:rsidR="00F76607" w14:paraId="3D606577" w14:textId="77777777">
        <w:trPr>
          <w:cantSplit/>
          <w:jc w:val="center"/>
        </w:trPr>
        <w:tc>
          <w:tcPr>
            <w:tcW w:w="0" w:type="auto"/>
            <w:hideMark/>
          </w:tcPr>
          <w:p w14:paraId="010C0491" w14:textId="77777777" w:rsidR="00F76607" w:rsidRDefault="001863F0">
            <w:pPr>
              <w:rPr>
                <w:sz w:val="18"/>
                <w:szCs w:val="18"/>
              </w:rPr>
            </w:pPr>
            <w:r>
              <w:rPr>
                <w:b/>
                <w:bCs/>
                <w:sz w:val="18"/>
                <w:szCs w:val="18"/>
              </w:rPr>
              <w:t>C.6</w:t>
            </w:r>
          </w:p>
        </w:tc>
        <w:tc>
          <w:tcPr>
            <w:tcW w:w="0" w:type="auto"/>
            <w:hideMark/>
          </w:tcPr>
          <w:p w14:paraId="4517CEAC" w14:textId="77777777" w:rsidR="00F76607" w:rsidRDefault="001863F0">
            <w:pPr>
              <w:rPr>
                <w:sz w:val="18"/>
                <w:szCs w:val="18"/>
              </w:rPr>
            </w:pPr>
            <w:r>
              <w:rPr>
                <w:b/>
                <w:bCs/>
                <w:sz w:val="18"/>
                <w:szCs w:val="18"/>
              </w:rPr>
              <w:t>Applications for admission to trading on a regulated market and identity of all the regulated markets where the Shares are or are to be traded</w:t>
            </w:r>
          </w:p>
        </w:tc>
      </w:tr>
      <w:tr w:rsidR="00F76607" w14:paraId="51EC2EDF" w14:textId="77777777">
        <w:trPr>
          <w:cantSplit/>
          <w:jc w:val="center"/>
        </w:trPr>
        <w:tc>
          <w:tcPr>
            <w:tcW w:w="0" w:type="auto"/>
            <w:tcMar>
              <w:top w:w="0" w:type="dxa"/>
              <w:left w:w="144" w:type="dxa"/>
              <w:bottom w:w="0" w:type="dxa"/>
              <w:right w:w="0" w:type="dxa"/>
            </w:tcMar>
            <w:hideMark/>
          </w:tcPr>
          <w:p w14:paraId="36216863" w14:textId="77777777" w:rsidR="00F76607" w:rsidRDefault="001863F0">
            <w:pPr>
              <w:pStyle w:val="la2"/>
              <w:rPr>
                <w:rFonts w:eastAsiaTheme="minorEastAsia"/>
                <w:sz w:val="18"/>
                <w:szCs w:val="18"/>
              </w:rPr>
            </w:pPr>
            <w:r>
              <w:rPr>
                <w:sz w:val="18"/>
                <w:szCs w:val="18"/>
              </w:rPr>
              <w:t> </w:t>
            </w:r>
          </w:p>
        </w:tc>
        <w:tc>
          <w:tcPr>
            <w:tcW w:w="0" w:type="auto"/>
            <w:hideMark/>
          </w:tcPr>
          <w:p w14:paraId="3AAE75DB" w14:textId="77777777" w:rsidR="00F76607" w:rsidRDefault="001863F0">
            <w:pPr>
              <w:rPr>
                <w:sz w:val="18"/>
                <w:szCs w:val="18"/>
              </w:rPr>
            </w:pPr>
            <w:r>
              <w:rPr>
                <w:sz w:val="18"/>
                <w:szCs w:val="18"/>
              </w:rPr>
              <w:t>The Shares are listed on the regulated markets of Euronext Brussels and the Prague Stock Exchange under the symbol “VGP”.</w:t>
            </w:r>
          </w:p>
        </w:tc>
      </w:tr>
      <w:tr w:rsidR="00F76607" w14:paraId="3F62206F" w14:textId="77777777">
        <w:trPr>
          <w:cantSplit/>
          <w:jc w:val="center"/>
        </w:trPr>
        <w:tc>
          <w:tcPr>
            <w:tcW w:w="0" w:type="auto"/>
            <w:hideMark/>
          </w:tcPr>
          <w:p w14:paraId="6CCEF275" w14:textId="77777777" w:rsidR="00F76607" w:rsidRDefault="001863F0">
            <w:pPr>
              <w:rPr>
                <w:sz w:val="18"/>
                <w:szCs w:val="18"/>
              </w:rPr>
            </w:pPr>
            <w:r>
              <w:rPr>
                <w:b/>
                <w:bCs/>
                <w:sz w:val="18"/>
                <w:szCs w:val="18"/>
              </w:rPr>
              <w:t>C.7</w:t>
            </w:r>
          </w:p>
        </w:tc>
        <w:tc>
          <w:tcPr>
            <w:tcW w:w="0" w:type="auto"/>
            <w:hideMark/>
          </w:tcPr>
          <w:p w14:paraId="5A385D5A" w14:textId="77777777" w:rsidR="00F76607" w:rsidRDefault="001863F0">
            <w:pPr>
              <w:rPr>
                <w:sz w:val="18"/>
                <w:szCs w:val="18"/>
              </w:rPr>
            </w:pPr>
            <w:r>
              <w:rPr>
                <w:b/>
                <w:bCs/>
                <w:sz w:val="18"/>
                <w:szCs w:val="18"/>
              </w:rPr>
              <w:t>Dividend policy</w:t>
            </w:r>
          </w:p>
        </w:tc>
      </w:tr>
      <w:tr w:rsidR="00F76607" w14:paraId="4D39A3B5" w14:textId="77777777">
        <w:trPr>
          <w:cantSplit/>
          <w:jc w:val="center"/>
        </w:trPr>
        <w:tc>
          <w:tcPr>
            <w:tcW w:w="0" w:type="auto"/>
            <w:tcMar>
              <w:top w:w="0" w:type="dxa"/>
              <w:left w:w="144" w:type="dxa"/>
              <w:bottom w:w="0" w:type="dxa"/>
              <w:right w:w="0" w:type="dxa"/>
            </w:tcMar>
            <w:hideMark/>
          </w:tcPr>
          <w:p w14:paraId="32831AE4" w14:textId="77777777" w:rsidR="00F76607" w:rsidRDefault="001863F0">
            <w:pPr>
              <w:pStyle w:val="la2"/>
              <w:rPr>
                <w:rFonts w:eastAsiaTheme="minorEastAsia"/>
                <w:sz w:val="18"/>
                <w:szCs w:val="18"/>
              </w:rPr>
            </w:pPr>
            <w:r>
              <w:rPr>
                <w:sz w:val="18"/>
                <w:szCs w:val="18"/>
              </w:rPr>
              <w:t> </w:t>
            </w:r>
          </w:p>
        </w:tc>
        <w:tc>
          <w:tcPr>
            <w:tcW w:w="0" w:type="auto"/>
            <w:hideMark/>
          </w:tcPr>
          <w:p w14:paraId="6AAB6B20" w14:textId="02A89699" w:rsidR="00F76607" w:rsidRDefault="001863F0">
            <w:pPr>
              <w:rPr>
                <w:sz w:val="18"/>
                <w:szCs w:val="18"/>
              </w:rPr>
            </w:pPr>
            <w:r>
              <w:rPr>
                <w:sz w:val="18"/>
                <w:szCs w:val="18"/>
              </w:rPr>
              <w:t xml:space="preserve">At the end of August 2017, the Board of Directors adopted a formal dividend policy. </w:t>
            </w:r>
            <w:r w:rsidR="006B106F">
              <w:rPr>
                <w:sz w:val="18"/>
                <w:szCs w:val="18"/>
              </w:rPr>
              <w:t>As a result, as from 2018 onwards and s</w:t>
            </w:r>
            <w:r>
              <w:rPr>
                <w:sz w:val="18"/>
                <w:szCs w:val="18"/>
              </w:rPr>
              <w:t xml:space="preserve">ubject to </w:t>
            </w:r>
            <w:r w:rsidR="006B106F">
              <w:rPr>
                <w:sz w:val="18"/>
                <w:szCs w:val="18"/>
              </w:rPr>
              <w:t>(</w:t>
            </w:r>
            <w:proofErr w:type="spellStart"/>
            <w:r w:rsidR="006B106F">
              <w:rPr>
                <w:sz w:val="18"/>
                <w:szCs w:val="18"/>
              </w:rPr>
              <w:t>i</w:t>
            </w:r>
            <w:proofErr w:type="spellEnd"/>
            <w:r w:rsidR="006B106F">
              <w:rPr>
                <w:sz w:val="18"/>
                <w:szCs w:val="18"/>
              </w:rPr>
              <w:t>) </w:t>
            </w:r>
            <w:r>
              <w:rPr>
                <w:sz w:val="18"/>
                <w:szCs w:val="18"/>
              </w:rPr>
              <w:t>the availability of su</w:t>
            </w:r>
            <w:r w:rsidR="006B106F">
              <w:rPr>
                <w:sz w:val="18"/>
                <w:szCs w:val="18"/>
              </w:rPr>
              <w:t>fficient distributable reserve, (ii) available cash generated from distributions by the Joint Venture, (iii) free cash generated from the divestment cycles of income generating assets to the Joint Venture and (iv) s</w:t>
            </w:r>
            <w:r>
              <w:rPr>
                <w:sz w:val="18"/>
                <w:szCs w:val="18"/>
              </w:rPr>
              <w:t>hareholder approval, the Company intends to gradually increase the distribution of dividends over the next 3 years to target an annual distribution between 40% and 60% of its net profit for the year based on its consolidated IFRS financial statements.</w:t>
            </w:r>
          </w:p>
        </w:tc>
      </w:tr>
    </w:tbl>
    <w:p w14:paraId="374A44F9" w14:textId="77777777" w:rsidR="00F76607" w:rsidRDefault="001863F0">
      <w:pPr>
        <w:pStyle w:val="NormalWeb"/>
        <w:keepNext/>
        <w:spacing w:before="0" w:beforeAutospacing="0" w:after="0" w:afterAutospacing="0"/>
        <w:rPr>
          <w:rFonts w:eastAsiaTheme="minorEastAsia"/>
          <w:sz w:val="2"/>
          <w:szCs w:val="2"/>
        </w:rPr>
      </w:pPr>
      <w:r>
        <w:rPr>
          <w:sz w:val="2"/>
          <w:szCs w:val="2"/>
        </w:rPr>
        <w:t> </w:t>
      </w:r>
    </w:p>
    <w:p w14:paraId="3744E5B7" w14:textId="77777777" w:rsidR="00F76607" w:rsidRDefault="001863F0">
      <w:pPr>
        <w:pStyle w:val="NormalWeb"/>
        <w:keepNext/>
        <w:spacing w:before="240" w:beforeAutospacing="0" w:after="0" w:afterAutospacing="0"/>
        <w:jc w:val="center"/>
      </w:pPr>
      <w:r>
        <w:rPr>
          <w:b/>
          <w:bCs/>
          <w:sz w:val="18"/>
          <w:szCs w:val="18"/>
        </w:rPr>
        <w:t xml:space="preserve">Section D—Risks </w:t>
      </w:r>
    </w:p>
    <w:p w14:paraId="692D6E7A" w14:textId="77777777" w:rsidR="00F76607" w:rsidRDefault="001863F0">
      <w:pPr>
        <w:pStyle w:val="NormalWeb"/>
        <w:keepNext/>
        <w:spacing w:before="0" w:beforeAutospacing="0" w:after="0" w:afterAutospacing="0"/>
      </w:pPr>
      <w:r>
        <w:t> </w:t>
      </w:r>
    </w:p>
    <w:p w14:paraId="0EF425BA" w14:textId="77777777" w:rsidR="00F76607" w:rsidRDefault="001863F0">
      <w:pPr>
        <w:pStyle w:val="NormalWeb"/>
        <w:keepNext/>
        <w:spacing w:before="0" w:beforeAutospacing="0" w:after="0" w:afterAutospacing="0"/>
        <w:rPr>
          <w:sz w:val="2"/>
          <w:szCs w:val="2"/>
        </w:rPr>
      </w:pPr>
      <w:r>
        <w:rPr>
          <w:sz w:val="2"/>
          <w:szCs w:val="2"/>
        </w:rPr>
        <w:t> </w:t>
      </w:r>
    </w:p>
    <w:tbl>
      <w:tblPr>
        <w:tblW w:w="5000" w:type="pct"/>
        <w:jc w:val="center"/>
        <w:tblCellMar>
          <w:left w:w="0" w:type="dxa"/>
          <w:right w:w="0" w:type="dxa"/>
        </w:tblCellMar>
        <w:tblLook w:val="04A0" w:firstRow="1" w:lastRow="0" w:firstColumn="1" w:lastColumn="0" w:noHBand="0" w:noVBand="1"/>
      </w:tblPr>
      <w:tblGrid>
        <w:gridCol w:w="800"/>
        <w:gridCol w:w="8953"/>
      </w:tblGrid>
      <w:tr w:rsidR="00F76607" w14:paraId="7E917119" w14:textId="77777777">
        <w:trPr>
          <w:jc w:val="center"/>
        </w:trPr>
        <w:tc>
          <w:tcPr>
            <w:tcW w:w="800" w:type="dxa"/>
            <w:vAlign w:val="center"/>
            <w:hideMark/>
          </w:tcPr>
          <w:p w14:paraId="4757F729" w14:textId="77777777" w:rsidR="00F76607" w:rsidRDefault="00F76607">
            <w:pPr>
              <w:rPr>
                <w:sz w:val="1"/>
                <w:szCs w:val="18"/>
              </w:rPr>
            </w:pPr>
          </w:p>
        </w:tc>
        <w:tc>
          <w:tcPr>
            <w:tcW w:w="8953" w:type="dxa"/>
            <w:vAlign w:val="center"/>
            <w:hideMark/>
          </w:tcPr>
          <w:p w14:paraId="14B1A847" w14:textId="77777777" w:rsidR="00F76607" w:rsidRDefault="00F76607">
            <w:pPr>
              <w:rPr>
                <w:sz w:val="1"/>
                <w:szCs w:val="18"/>
              </w:rPr>
            </w:pPr>
          </w:p>
        </w:tc>
      </w:tr>
      <w:tr w:rsidR="00F76607" w14:paraId="34439035" w14:textId="77777777">
        <w:trPr>
          <w:trHeight w:val="75"/>
          <w:jc w:val="center"/>
        </w:trPr>
        <w:tc>
          <w:tcPr>
            <w:tcW w:w="0" w:type="auto"/>
            <w:tcBorders>
              <w:top w:val="single" w:sz="6" w:space="0" w:color="000000"/>
              <w:left w:val="single" w:sz="6" w:space="0" w:color="000000"/>
            </w:tcBorders>
            <w:shd w:val="clear" w:color="auto" w:fill="D8D8D8"/>
            <w:tcMar>
              <w:top w:w="0" w:type="dxa"/>
              <w:left w:w="160" w:type="dxa"/>
              <w:bottom w:w="0" w:type="dxa"/>
              <w:right w:w="0" w:type="dxa"/>
            </w:tcMar>
            <w:vAlign w:val="center"/>
            <w:hideMark/>
          </w:tcPr>
          <w:p w14:paraId="2CACCCF6" w14:textId="77777777" w:rsidR="00F76607" w:rsidRDefault="001863F0">
            <w:pPr>
              <w:rPr>
                <w:sz w:val="2"/>
                <w:szCs w:val="2"/>
              </w:rPr>
            </w:pPr>
            <w:r>
              <w:rPr>
                <w:sz w:val="2"/>
                <w:szCs w:val="2"/>
              </w:rPr>
              <w:t> </w:t>
            </w:r>
          </w:p>
        </w:tc>
        <w:tc>
          <w:tcPr>
            <w:tcW w:w="0" w:type="auto"/>
            <w:tcBorders>
              <w:top w:val="single" w:sz="6" w:space="0" w:color="000000"/>
              <w:left w:val="single" w:sz="6" w:space="0" w:color="000000"/>
              <w:right w:val="single" w:sz="6" w:space="0" w:color="000000"/>
            </w:tcBorders>
            <w:shd w:val="clear" w:color="auto" w:fill="D8D8D8"/>
            <w:vAlign w:val="center"/>
            <w:hideMark/>
          </w:tcPr>
          <w:p w14:paraId="7C3FBD06" w14:textId="77777777" w:rsidR="00F76607" w:rsidRDefault="001863F0">
            <w:pPr>
              <w:rPr>
                <w:sz w:val="2"/>
                <w:szCs w:val="2"/>
              </w:rPr>
            </w:pPr>
            <w:r>
              <w:rPr>
                <w:sz w:val="2"/>
                <w:szCs w:val="2"/>
              </w:rPr>
              <w:t> </w:t>
            </w:r>
          </w:p>
        </w:tc>
      </w:tr>
      <w:tr w:rsidR="00F76607" w14:paraId="6A1DDE86" w14:textId="77777777">
        <w:trPr>
          <w:cantSplit/>
          <w:jc w:val="center"/>
        </w:trPr>
        <w:tc>
          <w:tcPr>
            <w:tcW w:w="0" w:type="auto"/>
            <w:tcBorders>
              <w:left w:val="single" w:sz="6" w:space="0" w:color="000000"/>
              <w:bottom w:val="single" w:sz="6" w:space="0" w:color="000000"/>
            </w:tcBorders>
            <w:shd w:val="clear" w:color="auto" w:fill="D8D8D8"/>
            <w:tcMar>
              <w:top w:w="0" w:type="dxa"/>
              <w:left w:w="160" w:type="dxa"/>
              <w:bottom w:w="0" w:type="dxa"/>
              <w:right w:w="0" w:type="dxa"/>
            </w:tcMar>
            <w:hideMark/>
          </w:tcPr>
          <w:p w14:paraId="1F001301" w14:textId="77777777" w:rsidR="00F76607" w:rsidRDefault="001863F0">
            <w:pPr>
              <w:rPr>
                <w:sz w:val="18"/>
                <w:szCs w:val="18"/>
              </w:rPr>
            </w:pPr>
            <w:r>
              <w:rPr>
                <w:b/>
                <w:bCs/>
                <w:sz w:val="18"/>
                <w:szCs w:val="18"/>
              </w:rPr>
              <w:t>Element</w:t>
            </w:r>
          </w:p>
        </w:tc>
        <w:tc>
          <w:tcPr>
            <w:tcW w:w="0" w:type="auto"/>
            <w:tcBorders>
              <w:bottom w:val="single" w:sz="6" w:space="0" w:color="000000"/>
              <w:right w:val="single" w:sz="6" w:space="0" w:color="000000"/>
            </w:tcBorders>
            <w:shd w:val="clear" w:color="auto" w:fill="D8D8D8"/>
            <w:tcMar>
              <w:top w:w="0" w:type="dxa"/>
              <w:left w:w="0" w:type="dxa"/>
              <w:bottom w:w="0" w:type="dxa"/>
              <w:right w:w="40" w:type="dxa"/>
            </w:tcMar>
            <w:hideMark/>
          </w:tcPr>
          <w:p w14:paraId="60E5C75B" w14:textId="77777777" w:rsidR="00F76607" w:rsidRDefault="001863F0">
            <w:pPr>
              <w:rPr>
                <w:sz w:val="18"/>
                <w:szCs w:val="18"/>
              </w:rPr>
            </w:pPr>
            <w:r>
              <w:rPr>
                <w:b/>
                <w:bCs/>
                <w:sz w:val="18"/>
                <w:szCs w:val="18"/>
              </w:rPr>
              <w:t>Disclosure requirement</w:t>
            </w:r>
          </w:p>
        </w:tc>
      </w:tr>
      <w:tr w:rsidR="00F76607" w14:paraId="1B867055" w14:textId="77777777">
        <w:trPr>
          <w:cantSplit/>
          <w:jc w:val="center"/>
        </w:trPr>
        <w:tc>
          <w:tcPr>
            <w:tcW w:w="0" w:type="auto"/>
            <w:hideMark/>
          </w:tcPr>
          <w:p w14:paraId="16EEAD2C" w14:textId="77777777" w:rsidR="00F76607" w:rsidRDefault="001863F0">
            <w:pPr>
              <w:rPr>
                <w:sz w:val="18"/>
                <w:szCs w:val="18"/>
              </w:rPr>
            </w:pPr>
            <w:r>
              <w:rPr>
                <w:b/>
                <w:bCs/>
                <w:sz w:val="18"/>
                <w:szCs w:val="18"/>
              </w:rPr>
              <w:t>D.1</w:t>
            </w:r>
          </w:p>
        </w:tc>
        <w:tc>
          <w:tcPr>
            <w:tcW w:w="0" w:type="auto"/>
            <w:hideMark/>
          </w:tcPr>
          <w:p w14:paraId="5D763970" w14:textId="5C7E349C" w:rsidR="00F76607" w:rsidRDefault="00F43B88">
            <w:pPr>
              <w:rPr>
                <w:sz w:val="18"/>
                <w:szCs w:val="18"/>
              </w:rPr>
            </w:pPr>
            <w:r>
              <w:rPr>
                <w:b/>
                <w:bCs/>
                <w:i/>
                <w:iCs/>
                <w:sz w:val="18"/>
                <w:szCs w:val="18"/>
              </w:rPr>
              <w:t>Risks relating to the Company’s industry and b</w:t>
            </w:r>
            <w:r w:rsidR="001863F0">
              <w:rPr>
                <w:b/>
                <w:bCs/>
                <w:i/>
                <w:iCs/>
                <w:sz w:val="18"/>
                <w:szCs w:val="18"/>
              </w:rPr>
              <w:t>usiness</w:t>
            </w:r>
          </w:p>
        </w:tc>
      </w:tr>
      <w:tr w:rsidR="00F76607" w14:paraId="101F1C5B" w14:textId="77777777">
        <w:trPr>
          <w:cantSplit/>
          <w:jc w:val="center"/>
        </w:trPr>
        <w:tc>
          <w:tcPr>
            <w:tcW w:w="0" w:type="auto"/>
            <w:tcMar>
              <w:top w:w="0" w:type="dxa"/>
              <w:left w:w="144" w:type="dxa"/>
              <w:bottom w:w="0" w:type="dxa"/>
              <w:right w:w="0" w:type="dxa"/>
            </w:tcMar>
            <w:hideMark/>
          </w:tcPr>
          <w:p w14:paraId="0F901CE9" w14:textId="77777777" w:rsidR="00F76607" w:rsidRDefault="001863F0">
            <w:pPr>
              <w:pStyle w:val="la2"/>
              <w:rPr>
                <w:rFonts w:eastAsiaTheme="minorEastAsia"/>
                <w:sz w:val="18"/>
                <w:szCs w:val="18"/>
              </w:rPr>
            </w:pPr>
            <w:r>
              <w:rPr>
                <w:sz w:val="18"/>
                <w:szCs w:val="18"/>
              </w:rPr>
              <w:t> </w:t>
            </w:r>
          </w:p>
        </w:tc>
        <w:tc>
          <w:tcPr>
            <w:tcW w:w="0" w:type="auto"/>
            <w:hideMark/>
          </w:tcPr>
          <w:p w14:paraId="26B1DAAE" w14:textId="77777777" w:rsidR="00F76607" w:rsidRDefault="001863F0">
            <w:pPr>
              <w:pStyle w:val="NormalWeb"/>
              <w:keepNext/>
              <w:spacing w:before="0" w:beforeAutospacing="0" w:after="0" w:afterAutospacing="0"/>
              <w:rPr>
                <w:rFonts w:eastAsiaTheme="minorEastAsia"/>
                <w:sz w:val="18"/>
                <w:szCs w:val="18"/>
              </w:rPr>
            </w:pPr>
            <w:r>
              <w:rPr>
                <w:i/>
                <w:iCs/>
                <w:sz w:val="18"/>
                <w:szCs w:val="18"/>
              </w:rPr>
              <w:t>The Company is subject to the following material risks:</w:t>
            </w:r>
          </w:p>
        </w:tc>
      </w:tr>
      <w:tr w:rsidR="00F76607" w14:paraId="3406B78E" w14:textId="77777777">
        <w:trPr>
          <w:cantSplit/>
          <w:jc w:val="center"/>
        </w:trPr>
        <w:tc>
          <w:tcPr>
            <w:tcW w:w="0" w:type="auto"/>
            <w:tcMar>
              <w:top w:w="0" w:type="dxa"/>
              <w:left w:w="144" w:type="dxa"/>
              <w:bottom w:w="0" w:type="dxa"/>
              <w:right w:w="0" w:type="dxa"/>
            </w:tcMar>
          </w:tcPr>
          <w:p w14:paraId="148F8C0E" w14:textId="77777777" w:rsidR="00F76607" w:rsidRDefault="00F76607">
            <w:pPr>
              <w:pStyle w:val="la2"/>
              <w:rPr>
                <w:sz w:val="18"/>
                <w:szCs w:val="18"/>
              </w:rPr>
            </w:pPr>
          </w:p>
        </w:tc>
        <w:tc>
          <w:tcPr>
            <w:tcW w:w="0" w:type="auto"/>
          </w:tcPr>
          <w:p w14:paraId="61FCA304" w14:textId="3CE47C11" w:rsidR="00F76607" w:rsidRDefault="001863F0" w:rsidP="00F43B88">
            <w:pPr>
              <w:pStyle w:val="ListParagraph"/>
              <w:numPr>
                <w:ilvl w:val="0"/>
                <w:numId w:val="1"/>
              </w:numPr>
              <w:rPr>
                <w:b/>
                <w:iCs/>
                <w:sz w:val="18"/>
                <w:szCs w:val="18"/>
                <w:lang w:val="en-GB"/>
              </w:rPr>
            </w:pPr>
            <w:r>
              <w:rPr>
                <w:b/>
                <w:iCs/>
                <w:sz w:val="18"/>
                <w:szCs w:val="18"/>
                <w:lang w:val="en-GB"/>
              </w:rPr>
              <w:t xml:space="preserve">The Group’s business, operations and financial conditions are significantly affected by the Joint Venture. </w:t>
            </w:r>
            <w:r>
              <w:rPr>
                <w:sz w:val="18"/>
                <w:szCs w:val="18"/>
                <w:lang w:val="en-GB"/>
              </w:rPr>
              <w:t xml:space="preserve">The Joint Venture has the exclusive right of first refusal (in accordance with the conditions as set forth in the JVA) in relation to acquiring the income generating assets located in Germany, the Czech Republic, Slovakia and Hungary. </w:t>
            </w:r>
            <w:r>
              <w:rPr>
                <w:iCs/>
                <w:sz w:val="18"/>
                <w:szCs w:val="18"/>
                <w:lang w:val="en-GB"/>
              </w:rPr>
              <w:t xml:space="preserve">There is a risk that the Joint Venture would discontinue acquiring the completed assets from the Group. Should a member of the Group or the Company </w:t>
            </w:r>
            <w:r w:rsidR="00F43B88">
              <w:rPr>
                <w:iCs/>
                <w:sz w:val="18"/>
                <w:szCs w:val="18"/>
                <w:lang w:val="en-GB"/>
              </w:rPr>
              <w:t>breaches</w:t>
            </w:r>
            <w:r>
              <w:rPr>
                <w:iCs/>
                <w:sz w:val="18"/>
                <w:szCs w:val="18"/>
                <w:lang w:val="en-GB"/>
              </w:rPr>
              <w:t xml:space="preserve"> certain material obligations under any management agreement or the Joint Venture Agreement which are not remedied, then Allianz will have the right to terminate all the management agreements, to terminate the Joint Venture Agreement and/or to exercise a call option over all the Company’s shares in the Joint Venture against payment of a price equal to 90% of the fair market value. Allianz has the right to dilute the Company in the Joint Venture (</w:t>
            </w:r>
            <w:proofErr w:type="spellStart"/>
            <w:r>
              <w:rPr>
                <w:iCs/>
                <w:sz w:val="18"/>
                <w:szCs w:val="18"/>
                <w:lang w:val="en-GB"/>
              </w:rPr>
              <w:t>i</w:t>
            </w:r>
            <w:proofErr w:type="spellEnd"/>
            <w:r>
              <w:rPr>
                <w:iCs/>
                <w:sz w:val="18"/>
                <w:szCs w:val="18"/>
                <w:lang w:val="en-GB"/>
              </w:rPr>
              <w:t>) pursuant to the Company defaulting under its funding obligations towards the Joint Venture under the JVA or (ii) pursuant to Allianz being required to consolidate the Joint Venture within its companies’ group. Although not contractually required, the Group has recognized that it has de facto a constructive obligation towards the Joint Venture (of up to its proportional share) as it will always seek to ensure that the Joint Venture and its subsidiaries will be in a position to fulfil their respective obligations, since the proper functioning is material for the Group in realizing its expected capital gains. This entails that ultimately any payment due by the Joint Venture to the Group will be borne by the Joint Venture’s shareholders, i.e. VGP and Allianz pro rata their shareholding or, in the event that VGP does not comply with its funding obligations towards the Joint Venture in accordance with the terms of the JVA, will lead to either VGP being diluted by Allianz in accordance with the provisions of the JVA or Allianz replacing VGP’s part of the funding by its own funding under preferential repayment and interest conditions.</w:t>
            </w:r>
            <w:r w:rsidR="006525D0">
              <w:rPr>
                <w:iCs/>
                <w:sz w:val="18"/>
                <w:szCs w:val="18"/>
                <w:lang w:val="en-GB"/>
              </w:rPr>
              <w:t xml:space="preserve"> </w:t>
            </w:r>
            <w:r w:rsidR="006525D0" w:rsidRPr="006525D0">
              <w:rPr>
                <w:iCs/>
                <w:sz w:val="18"/>
                <w:szCs w:val="18"/>
                <w:lang w:val="en-GB"/>
              </w:rPr>
              <w:t xml:space="preserve">If Jan Van Geet, as CEO of the Group, would no longer devote sufficient time to the development of the portfolio of the Joint Venture, </w:t>
            </w:r>
            <w:r w:rsidR="006525D0">
              <w:rPr>
                <w:iCs/>
                <w:sz w:val="18"/>
                <w:szCs w:val="18"/>
                <w:lang w:val="en-GB"/>
              </w:rPr>
              <w:t>Allianz ca</w:t>
            </w:r>
            <w:r w:rsidR="006525D0" w:rsidRPr="006525D0">
              <w:rPr>
                <w:iCs/>
                <w:sz w:val="18"/>
                <w:szCs w:val="18"/>
                <w:lang w:val="en-GB"/>
              </w:rPr>
              <w:t>n</w:t>
            </w:r>
            <w:r w:rsidR="006525D0">
              <w:rPr>
                <w:iCs/>
                <w:sz w:val="18"/>
                <w:szCs w:val="18"/>
                <w:lang w:val="en-GB"/>
              </w:rPr>
              <w:t xml:space="preserve"> </w:t>
            </w:r>
            <w:r w:rsidR="006525D0" w:rsidRPr="006525D0">
              <w:rPr>
                <w:iCs/>
                <w:sz w:val="18"/>
                <w:szCs w:val="18"/>
                <w:lang w:val="en-GB"/>
              </w:rPr>
              <w:t>stop the acquisition process of the proposed income-generating assets, until Jan Van Geet has been replaced to the satisfaction of Allianz. Such temporary standstill of Allianz’s investment obligation might negatively impact the short-term cash position of the Group.</w:t>
            </w:r>
          </w:p>
        </w:tc>
      </w:tr>
      <w:tr w:rsidR="00F76607" w14:paraId="545E76B4" w14:textId="77777777">
        <w:trPr>
          <w:cantSplit/>
          <w:jc w:val="center"/>
        </w:trPr>
        <w:tc>
          <w:tcPr>
            <w:tcW w:w="0" w:type="auto"/>
            <w:tcMar>
              <w:top w:w="0" w:type="dxa"/>
              <w:left w:w="144" w:type="dxa"/>
              <w:bottom w:w="0" w:type="dxa"/>
              <w:right w:w="0" w:type="dxa"/>
            </w:tcMar>
          </w:tcPr>
          <w:p w14:paraId="00BC9A08" w14:textId="77777777" w:rsidR="00F76607" w:rsidRDefault="00F76607">
            <w:pPr>
              <w:pStyle w:val="la2"/>
              <w:rPr>
                <w:sz w:val="18"/>
                <w:szCs w:val="18"/>
              </w:rPr>
            </w:pPr>
          </w:p>
        </w:tc>
        <w:tc>
          <w:tcPr>
            <w:tcW w:w="0" w:type="auto"/>
          </w:tcPr>
          <w:p w14:paraId="5E6DD768" w14:textId="77777777" w:rsidR="00F76607" w:rsidRDefault="001863F0">
            <w:pPr>
              <w:pStyle w:val="ListParagraph"/>
              <w:numPr>
                <w:ilvl w:val="0"/>
                <w:numId w:val="1"/>
              </w:numPr>
              <w:rPr>
                <w:b/>
                <w:iCs/>
                <w:sz w:val="18"/>
                <w:szCs w:val="18"/>
                <w:lang w:val="en-GB"/>
              </w:rPr>
            </w:pPr>
            <w:r>
              <w:rPr>
                <w:b/>
                <w:iCs/>
                <w:sz w:val="18"/>
                <w:szCs w:val="18"/>
                <w:lang w:val="en-GB"/>
              </w:rPr>
              <w:t xml:space="preserve">The inability of the Joint Venture to generate sufficient income may adversely affect the Group’s financial position. </w:t>
            </w:r>
            <w:r>
              <w:rPr>
                <w:iCs/>
                <w:sz w:val="18"/>
                <w:szCs w:val="18"/>
                <w:lang w:val="en-GB"/>
              </w:rPr>
              <w:t>The Joint Venture is exposed to several of the risks to which the Group is exposed. All such risks could have a material adverse effect on the Joint Venture’s business, financial condition and results of operations, which might materially impact VGP’s ability to generate sufficient dividend income out of the Joint Venture and in turn could have a material adverse effect on the Group’s business, financial condition and results of operations.</w:t>
            </w:r>
          </w:p>
          <w:p w14:paraId="36ED9AF5" w14:textId="46512877" w:rsidR="00F76607" w:rsidRDefault="001863F0">
            <w:pPr>
              <w:pStyle w:val="ListParagraph"/>
              <w:numPr>
                <w:ilvl w:val="0"/>
                <w:numId w:val="1"/>
              </w:numPr>
              <w:rPr>
                <w:b/>
                <w:iCs/>
                <w:sz w:val="18"/>
                <w:szCs w:val="18"/>
                <w:lang w:val="en-GB"/>
              </w:rPr>
            </w:pPr>
            <w:r>
              <w:rPr>
                <w:b/>
                <w:iCs/>
                <w:sz w:val="18"/>
                <w:szCs w:val="18"/>
                <w:lang w:val="en-GB"/>
              </w:rPr>
              <w:t>The inability of VGP to recover the aggregate amount under the loans granted to the Joint Venture and the Joint Venture’s subsidiaries may adversely affect the Group’s financial position.</w:t>
            </w:r>
            <w:r>
              <w:rPr>
                <w:iCs/>
                <w:sz w:val="18"/>
                <w:szCs w:val="18"/>
                <w:lang w:val="en-GB"/>
              </w:rPr>
              <w:t xml:space="preserve"> The loans granted by the Group to the Joint Venture and the </w:t>
            </w:r>
            <w:r w:rsidR="006525D0">
              <w:rPr>
                <w:iCs/>
                <w:sz w:val="18"/>
                <w:szCs w:val="18"/>
                <w:lang w:val="en-GB"/>
              </w:rPr>
              <w:t>Joint Venture’s subsidiaries</w:t>
            </w:r>
            <w:r>
              <w:rPr>
                <w:iCs/>
                <w:sz w:val="18"/>
                <w:szCs w:val="18"/>
                <w:lang w:val="en-GB"/>
              </w:rPr>
              <w:t xml:space="preserve"> comprise development and construction loans granted directly to the project companies of the Joint Venture as well as other shareholder loans granted to the Joint Venture in a total amount of € 105.6 million as at 30 June 2017 (of which € 89.4 million construction and development loans). The purpose of the Joint Venture is only to invest in income generating assets and both Joint Venture’s partners have agreed in the JVA that as a result, any development undertaken within the Joint Venture will be in first instance pre-financed by VGP. The repayment of the construction and development loans will be principally driven by the subsequent refinancing of the Joint Venture’s assets upon their completion. Should the proceeds of such refinancing be significantly lower than the development costs, then it could be possible that VGP is unable to recover the total amount of the construction and development loans granted to the Joint Venture, as the Joint Venture would not be able to draw the entire amount of such construction and development loans under its existing credit facilities and consequently such shortfall would have to be funded by additional shareholder loans granted to the Joint Venture by VGP and Allianz pro rata their shareholding.</w:t>
            </w:r>
          </w:p>
        </w:tc>
      </w:tr>
      <w:tr w:rsidR="00F76607" w14:paraId="33FBC8F9" w14:textId="77777777">
        <w:trPr>
          <w:cantSplit/>
          <w:jc w:val="center"/>
        </w:trPr>
        <w:tc>
          <w:tcPr>
            <w:tcW w:w="0" w:type="auto"/>
            <w:tcMar>
              <w:top w:w="0" w:type="dxa"/>
              <w:left w:w="144" w:type="dxa"/>
              <w:bottom w:w="0" w:type="dxa"/>
              <w:right w:w="0" w:type="dxa"/>
            </w:tcMar>
          </w:tcPr>
          <w:p w14:paraId="46FCBF17" w14:textId="77777777" w:rsidR="00F76607" w:rsidRDefault="00F76607">
            <w:pPr>
              <w:pStyle w:val="la2"/>
              <w:rPr>
                <w:sz w:val="18"/>
                <w:szCs w:val="18"/>
              </w:rPr>
            </w:pPr>
          </w:p>
        </w:tc>
        <w:tc>
          <w:tcPr>
            <w:tcW w:w="0" w:type="auto"/>
          </w:tcPr>
          <w:p w14:paraId="693BBE2E" w14:textId="55300D25" w:rsidR="00F76607" w:rsidRDefault="001863F0" w:rsidP="00A5572A">
            <w:pPr>
              <w:pStyle w:val="ListParagraph"/>
              <w:numPr>
                <w:ilvl w:val="0"/>
                <w:numId w:val="1"/>
              </w:numPr>
              <w:rPr>
                <w:b/>
                <w:iCs/>
                <w:sz w:val="18"/>
                <w:szCs w:val="18"/>
                <w:lang w:val="en-GB"/>
              </w:rPr>
            </w:pPr>
            <w:r>
              <w:rPr>
                <w:b/>
                <w:iCs/>
                <w:sz w:val="18"/>
                <w:szCs w:val="18"/>
                <w:lang w:val="en-GB"/>
              </w:rPr>
              <w:t>The Group’s development projects require large investments while they will start generating income only after a period of time.</w:t>
            </w:r>
            <w:r>
              <w:rPr>
                <w:iCs/>
                <w:sz w:val="18"/>
                <w:szCs w:val="18"/>
                <w:lang w:val="en-GB"/>
              </w:rPr>
              <w:t xml:space="preserve"> The Group may divest income generating assets, as a result of which its </w:t>
            </w:r>
            <w:r w:rsidR="00A5572A">
              <w:rPr>
                <w:iCs/>
                <w:sz w:val="18"/>
                <w:szCs w:val="18"/>
                <w:lang w:val="en-GB"/>
              </w:rPr>
              <w:t>rental</w:t>
            </w:r>
            <w:r>
              <w:rPr>
                <w:iCs/>
                <w:sz w:val="18"/>
                <w:szCs w:val="18"/>
                <w:lang w:val="en-GB"/>
              </w:rPr>
              <w:t xml:space="preserve"> income would decrease. As at 31 December 2016, the Group’s total gross rental income of € 16.8 million included the gross rental income of the portfolio sold to the Joint Venture in the First JV Closing and of the portfolio sold to the Joint Venture in the Second JV Closing, for an aggregate amount of € 10.2 million. As at 30 June 2017, the Group’s total gross rental income of € 9.1 million included the gross rental income of portfolio sold to the Joint Venture in the Third JV Closing for an aggregate amount of € 1.7 million. The proceeds of such divestments may be used for a new development cycle, i.e. to fund the acquisition and development of new plots of land. During the first phase of the development of a new project, no income is generated by the new development until such project is completed and delivered to a tenant.</w:t>
            </w:r>
          </w:p>
        </w:tc>
      </w:tr>
      <w:tr w:rsidR="00F76607" w14:paraId="6A73B651" w14:textId="77777777">
        <w:trPr>
          <w:cantSplit/>
          <w:jc w:val="center"/>
        </w:trPr>
        <w:tc>
          <w:tcPr>
            <w:tcW w:w="0" w:type="auto"/>
            <w:tcMar>
              <w:top w:w="0" w:type="dxa"/>
              <w:left w:w="144" w:type="dxa"/>
              <w:bottom w:w="0" w:type="dxa"/>
              <w:right w:w="0" w:type="dxa"/>
            </w:tcMar>
          </w:tcPr>
          <w:p w14:paraId="5D59BF43" w14:textId="77777777" w:rsidR="00F76607" w:rsidRDefault="00F76607">
            <w:pPr>
              <w:pStyle w:val="la2"/>
              <w:rPr>
                <w:sz w:val="18"/>
                <w:szCs w:val="18"/>
              </w:rPr>
            </w:pPr>
          </w:p>
        </w:tc>
        <w:tc>
          <w:tcPr>
            <w:tcW w:w="0" w:type="auto"/>
          </w:tcPr>
          <w:p w14:paraId="570B6021" w14:textId="1E4B4B4F" w:rsidR="00F76607" w:rsidRDefault="001863F0">
            <w:pPr>
              <w:pStyle w:val="ListParagraph"/>
              <w:numPr>
                <w:ilvl w:val="0"/>
                <w:numId w:val="1"/>
              </w:numPr>
              <w:rPr>
                <w:b/>
                <w:iCs/>
                <w:sz w:val="18"/>
                <w:szCs w:val="18"/>
                <w:lang w:val="en-GB"/>
              </w:rPr>
            </w:pPr>
            <w:r>
              <w:rPr>
                <w:b/>
                <w:iCs/>
                <w:sz w:val="18"/>
                <w:szCs w:val="18"/>
                <w:lang w:val="en-GB"/>
              </w:rPr>
              <w:t>The Group depends on its ability to execute new lease agreements and successfully dispose of its real estate assets.</w:t>
            </w:r>
            <w:r>
              <w:rPr>
                <w:iCs/>
                <w:sz w:val="18"/>
                <w:szCs w:val="18"/>
                <w:lang w:val="en-GB"/>
              </w:rPr>
              <w:t xml:space="preserve"> The Group’s short term cash flow may be affected if it is unable to continue to successfully sign new lease contracts, which, in its turn, may affect the </w:t>
            </w:r>
            <w:r w:rsidR="006525D0">
              <w:rPr>
                <w:iCs/>
                <w:sz w:val="18"/>
                <w:szCs w:val="18"/>
                <w:lang w:val="en-GB"/>
              </w:rPr>
              <w:t>results of operations</w:t>
            </w:r>
            <w:r>
              <w:rPr>
                <w:iCs/>
                <w:sz w:val="18"/>
                <w:szCs w:val="18"/>
                <w:lang w:val="en-GB"/>
              </w:rPr>
              <w:t xml:space="preserve"> of the Group. The medium-term results of the Group may fluctuate significantly depending on the projects/parks that can be divested in a given year. Inability to generate sufficient cash in the medium term may affect the </w:t>
            </w:r>
            <w:r w:rsidR="006525D0">
              <w:rPr>
                <w:iCs/>
                <w:sz w:val="18"/>
                <w:szCs w:val="18"/>
                <w:lang w:val="en-GB"/>
              </w:rPr>
              <w:t>results of operations</w:t>
            </w:r>
            <w:r>
              <w:rPr>
                <w:iCs/>
                <w:sz w:val="18"/>
                <w:szCs w:val="18"/>
                <w:lang w:val="en-GB"/>
              </w:rPr>
              <w:t xml:space="preserve"> of the Group.</w:t>
            </w:r>
          </w:p>
        </w:tc>
      </w:tr>
      <w:tr w:rsidR="00F76607" w14:paraId="26251334" w14:textId="77777777">
        <w:trPr>
          <w:cantSplit/>
          <w:jc w:val="center"/>
        </w:trPr>
        <w:tc>
          <w:tcPr>
            <w:tcW w:w="0" w:type="auto"/>
            <w:tcMar>
              <w:top w:w="0" w:type="dxa"/>
              <w:left w:w="144" w:type="dxa"/>
              <w:bottom w:w="0" w:type="dxa"/>
              <w:right w:w="0" w:type="dxa"/>
            </w:tcMar>
          </w:tcPr>
          <w:p w14:paraId="74262394" w14:textId="77777777" w:rsidR="00F76607" w:rsidRDefault="00F76607">
            <w:pPr>
              <w:pStyle w:val="la2"/>
              <w:rPr>
                <w:sz w:val="18"/>
                <w:szCs w:val="18"/>
              </w:rPr>
            </w:pPr>
          </w:p>
        </w:tc>
        <w:tc>
          <w:tcPr>
            <w:tcW w:w="0" w:type="auto"/>
          </w:tcPr>
          <w:p w14:paraId="762FE304" w14:textId="77777777" w:rsidR="00F76607" w:rsidRDefault="001863F0">
            <w:pPr>
              <w:pStyle w:val="ListParagraph"/>
              <w:numPr>
                <w:ilvl w:val="0"/>
                <w:numId w:val="1"/>
              </w:numPr>
              <w:rPr>
                <w:b/>
                <w:iCs/>
                <w:sz w:val="18"/>
                <w:szCs w:val="18"/>
                <w:lang w:val="en-GB"/>
              </w:rPr>
            </w:pPr>
            <w:r>
              <w:rPr>
                <w:b/>
                <w:iCs/>
                <w:sz w:val="18"/>
                <w:szCs w:val="18"/>
                <w:lang w:val="en-GB"/>
              </w:rPr>
              <w:t xml:space="preserve">Risks related to the nature of the Group’s business: acquiring, developing, owning, managing a logistic real estate portfolio. </w:t>
            </w:r>
            <w:r>
              <w:rPr>
                <w:iCs/>
                <w:sz w:val="18"/>
                <w:szCs w:val="18"/>
                <w:lang w:val="en-GB"/>
              </w:rPr>
              <w:t>The results and the outlook of the Group depends among other things on the ability of the management to identify and acquire interesting real estate projects and to develop and commercialise such projects at economically viable conditions.</w:t>
            </w:r>
          </w:p>
        </w:tc>
      </w:tr>
      <w:tr w:rsidR="00F76607" w14:paraId="02CADFAC" w14:textId="77777777">
        <w:trPr>
          <w:cantSplit/>
          <w:jc w:val="center"/>
        </w:trPr>
        <w:tc>
          <w:tcPr>
            <w:tcW w:w="0" w:type="auto"/>
            <w:tcMar>
              <w:top w:w="0" w:type="dxa"/>
              <w:left w:w="144" w:type="dxa"/>
              <w:bottom w:w="0" w:type="dxa"/>
              <w:right w:w="0" w:type="dxa"/>
            </w:tcMar>
          </w:tcPr>
          <w:p w14:paraId="775E8A61" w14:textId="77777777" w:rsidR="00F76607" w:rsidRDefault="00F76607">
            <w:pPr>
              <w:pStyle w:val="la2"/>
              <w:rPr>
                <w:sz w:val="18"/>
                <w:szCs w:val="18"/>
              </w:rPr>
            </w:pPr>
          </w:p>
        </w:tc>
        <w:tc>
          <w:tcPr>
            <w:tcW w:w="0" w:type="auto"/>
          </w:tcPr>
          <w:p w14:paraId="00EF98F0" w14:textId="77777777" w:rsidR="00F76607" w:rsidRDefault="001863F0">
            <w:pPr>
              <w:pStyle w:val="ListParagraph"/>
              <w:numPr>
                <w:ilvl w:val="0"/>
                <w:numId w:val="1"/>
              </w:numPr>
              <w:rPr>
                <w:b/>
                <w:iCs/>
                <w:sz w:val="18"/>
                <w:szCs w:val="18"/>
                <w:lang w:val="en-GB"/>
              </w:rPr>
            </w:pPr>
            <w:r>
              <w:rPr>
                <w:b/>
                <w:iCs/>
                <w:sz w:val="18"/>
                <w:szCs w:val="18"/>
                <w:lang w:val="en-GB"/>
              </w:rPr>
              <w:t xml:space="preserve">Real estate valuations are based on methods and other considerations that may not accurately reflect the value of the real estate at which the property could be sold. </w:t>
            </w:r>
            <w:r>
              <w:rPr>
                <w:iCs/>
                <w:sz w:val="18"/>
                <w:szCs w:val="18"/>
                <w:lang w:val="en-GB"/>
              </w:rPr>
              <w:t>The valuation of the property depends largely on national and regional economic conditions. Due to the nature of the real estate and the lack of alternative uses of logistic properties and such properties’ ancillary offices, the ability to respond to adverse changes in the performance of the properties could be limited. In addition thereto, due to this concentration, an economic downturn in this sector could have a material adverse effect on the Group’s business. Furthermore, a downturn of the property market or a negative change in one of the assumptions used or factors considered in making a property’s valuation could decrease the value of the property of the Group.</w:t>
            </w:r>
          </w:p>
        </w:tc>
      </w:tr>
      <w:tr w:rsidR="00F76607" w14:paraId="2D2315FF" w14:textId="77777777">
        <w:trPr>
          <w:cantSplit/>
          <w:jc w:val="center"/>
        </w:trPr>
        <w:tc>
          <w:tcPr>
            <w:tcW w:w="0" w:type="auto"/>
            <w:tcMar>
              <w:top w:w="0" w:type="dxa"/>
              <w:left w:w="144" w:type="dxa"/>
              <w:bottom w:w="0" w:type="dxa"/>
              <w:right w:w="0" w:type="dxa"/>
            </w:tcMar>
          </w:tcPr>
          <w:p w14:paraId="3BF36A9B" w14:textId="77777777" w:rsidR="00F76607" w:rsidRDefault="00F76607">
            <w:pPr>
              <w:pStyle w:val="la2"/>
              <w:rPr>
                <w:sz w:val="18"/>
                <w:szCs w:val="18"/>
              </w:rPr>
            </w:pPr>
          </w:p>
        </w:tc>
        <w:tc>
          <w:tcPr>
            <w:tcW w:w="0" w:type="auto"/>
          </w:tcPr>
          <w:p w14:paraId="044D863A" w14:textId="77777777" w:rsidR="00F76607" w:rsidRDefault="001863F0">
            <w:pPr>
              <w:pStyle w:val="ListParagraph"/>
              <w:numPr>
                <w:ilvl w:val="0"/>
                <w:numId w:val="1"/>
              </w:numPr>
              <w:rPr>
                <w:iCs/>
                <w:sz w:val="18"/>
                <w:szCs w:val="18"/>
                <w:lang w:val="en-GB"/>
              </w:rPr>
            </w:pPr>
            <w:r>
              <w:rPr>
                <w:b/>
                <w:iCs/>
                <w:sz w:val="18"/>
                <w:szCs w:val="18"/>
                <w:lang w:val="en-GB"/>
              </w:rPr>
              <w:t>The Group is exposed to the credit risk on rent payments from its tenants and failure by its tenants to pay rent when due could adversely affect the Group’s business, financial consolidated results and operations.</w:t>
            </w:r>
            <w:r>
              <w:rPr>
                <w:iCs/>
                <w:sz w:val="18"/>
                <w:szCs w:val="18"/>
                <w:lang w:val="en-GB"/>
              </w:rPr>
              <w:t xml:space="preserve"> The value of a rental property depends largely on the remaining term of the related rental agreement as well as the creditworthiness of the tenants. If one or more of the Group’s largest customers is unable to meet its lease obligations, the Group’s business could be materially adversely affected.</w:t>
            </w:r>
          </w:p>
        </w:tc>
      </w:tr>
      <w:tr w:rsidR="00F76607" w14:paraId="0F7461AA" w14:textId="77777777">
        <w:trPr>
          <w:cantSplit/>
          <w:jc w:val="center"/>
        </w:trPr>
        <w:tc>
          <w:tcPr>
            <w:tcW w:w="0" w:type="auto"/>
            <w:tcMar>
              <w:top w:w="0" w:type="dxa"/>
              <w:left w:w="144" w:type="dxa"/>
              <w:bottom w:w="0" w:type="dxa"/>
              <w:right w:w="0" w:type="dxa"/>
            </w:tcMar>
          </w:tcPr>
          <w:p w14:paraId="360F9095" w14:textId="77777777" w:rsidR="00F76607" w:rsidRDefault="00F76607">
            <w:pPr>
              <w:pStyle w:val="la2"/>
              <w:rPr>
                <w:sz w:val="18"/>
                <w:szCs w:val="18"/>
              </w:rPr>
            </w:pPr>
          </w:p>
        </w:tc>
        <w:tc>
          <w:tcPr>
            <w:tcW w:w="0" w:type="auto"/>
          </w:tcPr>
          <w:p w14:paraId="0E2A7FC5" w14:textId="77777777" w:rsidR="00F76607" w:rsidRDefault="001863F0">
            <w:pPr>
              <w:pStyle w:val="ListParagraph"/>
              <w:numPr>
                <w:ilvl w:val="0"/>
                <w:numId w:val="1"/>
              </w:numPr>
              <w:rPr>
                <w:b/>
                <w:iCs/>
                <w:sz w:val="18"/>
                <w:szCs w:val="18"/>
                <w:lang w:val="en-GB"/>
              </w:rPr>
            </w:pPr>
            <w:r>
              <w:rPr>
                <w:b/>
                <w:iCs/>
                <w:sz w:val="18"/>
                <w:szCs w:val="18"/>
                <w:lang w:val="en-GB"/>
              </w:rPr>
              <w:t>Risks related to the Group’s development activities.</w:t>
            </w:r>
            <w:r>
              <w:rPr>
                <w:iCs/>
                <w:sz w:val="18"/>
                <w:szCs w:val="18"/>
                <w:lang w:val="en-GB"/>
              </w:rPr>
              <w:t xml:space="preserve"> During the development phase of projects, the Group usually carries the costs of the project and begins to receive revenues only at a later point in time. Delays in the completion, cost overruns, underestimation of costs, etc. could decrease the Group’s cash flows.</w:t>
            </w:r>
          </w:p>
        </w:tc>
      </w:tr>
      <w:tr w:rsidR="00F76607" w14:paraId="63C81F05" w14:textId="77777777">
        <w:trPr>
          <w:cantSplit/>
          <w:jc w:val="center"/>
        </w:trPr>
        <w:tc>
          <w:tcPr>
            <w:tcW w:w="0" w:type="auto"/>
            <w:tcMar>
              <w:top w:w="0" w:type="dxa"/>
              <w:left w:w="144" w:type="dxa"/>
              <w:bottom w:w="0" w:type="dxa"/>
              <w:right w:w="0" w:type="dxa"/>
            </w:tcMar>
          </w:tcPr>
          <w:p w14:paraId="7ED379F7" w14:textId="77777777" w:rsidR="00F76607" w:rsidRDefault="00F76607">
            <w:pPr>
              <w:pStyle w:val="la2"/>
              <w:rPr>
                <w:sz w:val="18"/>
                <w:szCs w:val="18"/>
              </w:rPr>
            </w:pPr>
          </w:p>
        </w:tc>
        <w:tc>
          <w:tcPr>
            <w:tcW w:w="0" w:type="auto"/>
          </w:tcPr>
          <w:p w14:paraId="11FAF650" w14:textId="77777777" w:rsidR="00F76607" w:rsidRDefault="001863F0">
            <w:pPr>
              <w:pStyle w:val="ListParagraph"/>
              <w:numPr>
                <w:ilvl w:val="0"/>
                <w:numId w:val="1"/>
              </w:numPr>
              <w:rPr>
                <w:b/>
                <w:iCs/>
                <w:sz w:val="18"/>
                <w:szCs w:val="18"/>
                <w:lang w:val="en-GB"/>
              </w:rPr>
            </w:pPr>
            <w:r>
              <w:rPr>
                <w:b/>
                <w:iCs/>
                <w:sz w:val="18"/>
                <w:szCs w:val="18"/>
                <w:lang w:val="en-GB"/>
              </w:rPr>
              <w:t xml:space="preserve">Risks associated with the disposal of projects. </w:t>
            </w:r>
            <w:r>
              <w:rPr>
                <w:iCs/>
                <w:sz w:val="18"/>
                <w:szCs w:val="18"/>
                <w:lang w:val="en-GB"/>
              </w:rPr>
              <w:t>The Company’s cash flow can fluctuate considerably from year to year depending on the number of projects which can be sold in a given year. The Group’s inability to conclude sales can give rise to significant fluctuations of the cash flows of the Company, which could have an adverse effect on the Group’s business, financial condition and results of operations.</w:t>
            </w:r>
          </w:p>
        </w:tc>
      </w:tr>
      <w:tr w:rsidR="00F76607" w14:paraId="5DC440E7" w14:textId="77777777">
        <w:trPr>
          <w:cantSplit/>
          <w:jc w:val="center"/>
        </w:trPr>
        <w:tc>
          <w:tcPr>
            <w:tcW w:w="0" w:type="auto"/>
            <w:tcMar>
              <w:top w:w="0" w:type="dxa"/>
              <w:left w:w="144" w:type="dxa"/>
              <w:bottom w:w="0" w:type="dxa"/>
              <w:right w:w="0" w:type="dxa"/>
            </w:tcMar>
          </w:tcPr>
          <w:p w14:paraId="0F5AF95B" w14:textId="77777777" w:rsidR="00F76607" w:rsidRDefault="00F76607">
            <w:pPr>
              <w:pStyle w:val="la2"/>
              <w:rPr>
                <w:sz w:val="18"/>
                <w:szCs w:val="18"/>
              </w:rPr>
            </w:pPr>
          </w:p>
        </w:tc>
        <w:tc>
          <w:tcPr>
            <w:tcW w:w="0" w:type="auto"/>
          </w:tcPr>
          <w:p w14:paraId="301CD92C" w14:textId="77777777" w:rsidR="00F76607" w:rsidRDefault="001863F0">
            <w:pPr>
              <w:pStyle w:val="ListParagraph"/>
              <w:numPr>
                <w:ilvl w:val="0"/>
                <w:numId w:val="1"/>
              </w:numPr>
              <w:rPr>
                <w:b/>
                <w:iCs/>
                <w:sz w:val="18"/>
                <w:szCs w:val="18"/>
                <w:lang w:val="en-GB"/>
              </w:rPr>
            </w:pPr>
            <w:r>
              <w:rPr>
                <w:b/>
                <w:iCs/>
                <w:sz w:val="18"/>
                <w:szCs w:val="18"/>
                <w:lang w:val="en-GB"/>
              </w:rPr>
              <w:t>The Group’s insurance coverage may be insufficient.</w:t>
            </w:r>
            <w:r>
              <w:rPr>
                <w:iCs/>
                <w:sz w:val="18"/>
                <w:szCs w:val="18"/>
                <w:lang w:val="en-GB"/>
              </w:rPr>
              <w:t xml:space="preserve"> The Group may have to bear the costs related to or be liable for any debt or other financial obligation related to the property in case of damages or loss of the property. Certain types of losses may be uninsurable or not economically insurable and insurance proceeds are not always sufficient to cover the costs.</w:t>
            </w:r>
          </w:p>
        </w:tc>
      </w:tr>
      <w:tr w:rsidR="00F76607" w14:paraId="41B3B5B4" w14:textId="77777777">
        <w:trPr>
          <w:cantSplit/>
          <w:jc w:val="center"/>
        </w:trPr>
        <w:tc>
          <w:tcPr>
            <w:tcW w:w="0" w:type="auto"/>
            <w:tcMar>
              <w:top w:w="0" w:type="dxa"/>
              <w:left w:w="144" w:type="dxa"/>
              <w:bottom w:w="0" w:type="dxa"/>
              <w:right w:w="0" w:type="dxa"/>
            </w:tcMar>
          </w:tcPr>
          <w:p w14:paraId="4CFAC88A" w14:textId="77777777" w:rsidR="00F76607" w:rsidRDefault="00F76607">
            <w:pPr>
              <w:pStyle w:val="la2"/>
              <w:rPr>
                <w:sz w:val="18"/>
                <w:szCs w:val="18"/>
              </w:rPr>
            </w:pPr>
          </w:p>
        </w:tc>
        <w:tc>
          <w:tcPr>
            <w:tcW w:w="0" w:type="auto"/>
          </w:tcPr>
          <w:p w14:paraId="4BEC422E" w14:textId="77777777" w:rsidR="00F76607" w:rsidRDefault="001863F0">
            <w:pPr>
              <w:pStyle w:val="ListParagraph"/>
              <w:numPr>
                <w:ilvl w:val="0"/>
                <w:numId w:val="1"/>
              </w:numPr>
              <w:rPr>
                <w:b/>
                <w:iCs/>
                <w:sz w:val="18"/>
                <w:szCs w:val="18"/>
                <w:lang w:val="en-GB"/>
              </w:rPr>
            </w:pPr>
            <w:r>
              <w:rPr>
                <w:b/>
                <w:iCs/>
                <w:sz w:val="18"/>
                <w:szCs w:val="18"/>
                <w:lang w:val="en-GB"/>
              </w:rPr>
              <w:t xml:space="preserve">Risks related to legal and regulatory matters. </w:t>
            </w:r>
            <w:r>
              <w:rPr>
                <w:iCs/>
                <w:sz w:val="18"/>
                <w:szCs w:val="18"/>
                <w:lang w:val="en-GB"/>
              </w:rPr>
              <w:t>Regulatory changes in the different countries where the Group is active could have a material adverse effect on the Group’s business. Additionally, the Group may encounter difficulties in obtaining the relevant permits (within the expected timeframe, if at all).</w:t>
            </w:r>
          </w:p>
        </w:tc>
      </w:tr>
      <w:tr w:rsidR="00F76607" w14:paraId="41C116A6" w14:textId="77777777">
        <w:trPr>
          <w:cantSplit/>
          <w:jc w:val="center"/>
        </w:trPr>
        <w:tc>
          <w:tcPr>
            <w:tcW w:w="0" w:type="auto"/>
            <w:tcMar>
              <w:top w:w="0" w:type="dxa"/>
              <w:left w:w="144" w:type="dxa"/>
              <w:bottom w:w="0" w:type="dxa"/>
              <w:right w:w="0" w:type="dxa"/>
            </w:tcMar>
          </w:tcPr>
          <w:p w14:paraId="264E8FD0" w14:textId="77777777" w:rsidR="00F76607" w:rsidRDefault="00F76607">
            <w:pPr>
              <w:pStyle w:val="la2"/>
              <w:rPr>
                <w:sz w:val="18"/>
                <w:szCs w:val="18"/>
              </w:rPr>
            </w:pPr>
          </w:p>
        </w:tc>
        <w:tc>
          <w:tcPr>
            <w:tcW w:w="0" w:type="auto"/>
          </w:tcPr>
          <w:p w14:paraId="2EEFD4BD" w14:textId="77777777" w:rsidR="00F76607" w:rsidRDefault="001863F0">
            <w:pPr>
              <w:pStyle w:val="ListParagraph"/>
              <w:numPr>
                <w:ilvl w:val="0"/>
                <w:numId w:val="1"/>
              </w:numPr>
              <w:rPr>
                <w:b/>
                <w:iCs/>
                <w:sz w:val="18"/>
                <w:szCs w:val="18"/>
                <w:lang w:val="en-GB"/>
              </w:rPr>
            </w:pPr>
            <w:r>
              <w:rPr>
                <w:b/>
                <w:iCs/>
                <w:sz w:val="18"/>
                <w:szCs w:val="18"/>
                <w:lang w:val="en-GB"/>
              </w:rPr>
              <w:t>Increased competition for acquiring new land plots may adversely affect the Group’s financial results.</w:t>
            </w:r>
            <w:r>
              <w:rPr>
                <w:iCs/>
                <w:sz w:val="18"/>
                <w:szCs w:val="18"/>
                <w:lang w:val="en-GB"/>
              </w:rPr>
              <w:t xml:space="preserve"> Increased competition could have an impact on the purchase price and development costs of the sites, as well as on rental revenues and Occupancy Rates.</w:t>
            </w:r>
          </w:p>
        </w:tc>
      </w:tr>
      <w:tr w:rsidR="00F76607" w14:paraId="147F1826" w14:textId="77777777">
        <w:trPr>
          <w:cantSplit/>
          <w:jc w:val="center"/>
        </w:trPr>
        <w:tc>
          <w:tcPr>
            <w:tcW w:w="0" w:type="auto"/>
            <w:tcMar>
              <w:top w:w="0" w:type="dxa"/>
              <w:left w:w="144" w:type="dxa"/>
              <w:bottom w:w="0" w:type="dxa"/>
              <w:right w:w="0" w:type="dxa"/>
            </w:tcMar>
          </w:tcPr>
          <w:p w14:paraId="278EBCCB" w14:textId="77777777" w:rsidR="00F76607" w:rsidRDefault="00F76607">
            <w:pPr>
              <w:pStyle w:val="la2"/>
              <w:rPr>
                <w:sz w:val="18"/>
                <w:szCs w:val="18"/>
              </w:rPr>
            </w:pPr>
          </w:p>
        </w:tc>
        <w:tc>
          <w:tcPr>
            <w:tcW w:w="0" w:type="auto"/>
          </w:tcPr>
          <w:p w14:paraId="29ED6D19" w14:textId="77777777" w:rsidR="00F76607" w:rsidRDefault="001863F0">
            <w:pPr>
              <w:pStyle w:val="ListParagraph"/>
              <w:numPr>
                <w:ilvl w:val="0"/>
                <w:numId w:val="1"/>
              </w:numPr>
              <w:rPr>
                <w:b/>
                <w:iCs/>
                <w:sz w:val="18"/>
                <w:szCs w:val="18"/>
                <w:lang w:val="en-GB"/>
              </w:rPr>
            </w:pPr>
            <w:r>
              <w:rPr>
                <w:b/>
                <w:iCs/>
                <w:sz w:val="18"/>
                <w:szCs w:val="18"/>
                <w:lang w:val="en-GB"/>
              </w:rPr>
              <w:t>Dependency on key personnel.</w:t>
            </w:r>
            <w:r>
              <w:rPr>
                <w:iCs/>
                <w:sz w:val="18"/>
                <w:szCs w:val="18"/>
                <w:lang w:val="en-GB"/>
              </w:rPr>
              <w:t xml:space="preserve"> As the Group depends largely on the expertise and commercial quality of its management, commercial and technical team, the loss of or failure to attract such persons may have a material adverse effect on the Group’s business.</w:t>
            </w:r>
          </w:p>
        </w:tc>
      </w:tr>
      <w:tr w:rsidR="00F76607" w14:paraId="62A1CF88" w14:textId="77777777">
        <w:trPr>
          <w:cantSplit/>
          <w:jc w:val="center"/>
        </w:trPr>
        <w:tc>
          <w:tcPr>
            <w:tcW w:w="0" w:type="auto"/>
            <w:tcMar>
              <w:top w:w="0" w:type="dxa"/>
              <w:left w:w="144" w:type="dxa"/>
              <w:bottom w:w="0" w:type="dxa"/>
              <w:right w:w="0" w:type="dxa"/>
            </w:tcMar>
          </w:tcPr>
          <w:p w14:paraId="6ACE28E4" w14:textId="77777777" w:rsidR="00F76607" w:rsidRDefault="00F76607">
            <w:pPr>
              <w:pStyle w:val="la2"/>
              <w:rPr>
                <w:sz w:val="18"/>
                <w:szCs w:val="18"/>
              </w:rPr>
            </w:pPr>
          </w:p>
        </w:tc>
        <w:tc>
          <w:tcPr>
            <w:tcW w:w="0" w:type="auto"/>
          </w:tcPr>
          <w:p w14:paraId="0203B0C9" w14:textId="1AE173E2" w:rsidR="00F76607" w:rsidRDefault="001863F0">
            <w:pPr>
              <w:pStyle w:val="ListParagraph"/>
              <w:numPr>
                <w:ilvl w:val="0"/>
                <w:numId w:val="1"/>
              </w:numPr>
              <w:rPr>
                <w:i/>
                <w:iCs/>
                <w:sz w:val="18"/>
                <w:szCs w:val="18"/>
                <w:lang w:val="en-GB"/>
              </w:rPr>
            </w:pPr>
            <w:r>
              <w:rPr>
                <w:b/>
                <w:iCs/>
                <w:sz w:val="18"/>
                <w:szCs w:val="18"/>
                <w:lang w:val="en-GB"/>
              </w:rPr>
              <w:t>VGP is exposed to counterparty risk.</w:t>
            </w:r>
            <w:r>
              <w:rPr>
                <w:iCs/>
                <w:sz w:val="18"/>
                <w:szCs w:val="18"/>
                <w:lang w:val="en-GB"/>
              </w:rPr>
              <w:t xml:space="preserve"> </w:t>
            </w:r>
            <w:r>
              <w:rPr>
                <w:bCs/>
                <w:iCs/>
                <w:sz w:val="18"/>
                <w:szCs w:val="18"/>
                <w:lang w:val="en-GB"/>
              </w:rPr>
              <w:t>VGP has contractual relationships with multiple parties, such as partners, investors, tenants, contractors, architects, financial institutions, as well as the Joint Venture. The inability of such counterparties to live up to their contractual (financial or otherwise) obligations could have a significant impact on VGP’s financial and operational position. For example, a significant portion of the Group’s annual rental income results from the lease of a warehouse in Barcelona to Punto Fa S.L. (</w:t>
            </w:r>
            <w:r w:rsidR="00A5572A">
              <w:rPr>
                <w:bCs/>
                <w:iCs/>
                <w:sz w:val="18"/>
                <w:szCs w:val="18"/>
                <w:lang w:val="en-GB"/>
              </w:rPr>
              <w:t xml:space="preserve">part </w:t>
            </w:r>
            <w:r>
              <w:rPr>
                <w:bCs/>
                <w:iCs/>
                <w:sz w:val="18"/>
                <w:szCs w:val="18"/>
                <w:lang w:val="en-GB"/>
              </w:rPr>
              <w:t>of the Mango group). The Group could therefore be adversely affected by the financial difficulties of the Mango group</w:t>
            </w:r>
            <w:r>
              <w:rPr>
                <w:iCs/>
                <w:sz w:val="18"/>
                <w:szCs w:val="18"/>
                <w:lang w:val="en-GB"/>
              </w:rPr>
              <w:t xml:space="preserve">. </w:t>
            </w:r>
            <w:r>
              <w:rPr>
                <w:bCs/>
                <w:iCs/>
                <w:sz w:val="18"/>
                <w:szCs w:val="18"/>
                <w:lang w:val="en-GB"/>
              </w:rPr>
              <w:t>Furthermore, the completion of the Group’s developments could be delayed if the Group is unable to appoint suitable contractors, or if one or more of the appointed contractors is unable to meet the development timetable or otherwise defaults on their construction obligations, including as a result of: (</w:t>
            </w:r>
            <w:proofErr w:type="spellStart"/>
            <w:r>
              <w:rPr>
                <w:bCs/>
                <w:iCs/>
                <w:sz w:val="18"/>
                <w:szCs w:val="18"/>
                <w:lang w:val="en-GB"/>
              </w:rPr>
              <w:t>i</w:t>
            </w:r>
            <w:proofErr w:type="spellEnd"/>
            <w:r>
              <w:rPr>
                <w:bCs/>
                <w:iCs/>
                <w:sz w:val="18"/>
                <w:szCs w:val="18"/>
                <w:lang w:val="en-GB"/>
              </w:rPr>
              <w:t>) labour shortages or disputes; (ii) the failure of any sub-contractors to provide the standard of construction expected or required; (iii) delays arising due to the complexity or technical demands of certain developments; (iv) bankruptcy; or (v) insolvency. Any such delay or default by a contractor or sub-contractor could result in damage to the Group’s relationships with its customers and could cause disruptions to the Group’s business, any of which could have a material adverse effect on the Group’s business, financial condition, operating results and cash flows.</w:t>
            </w:r>
          </w:p>
        </w:tc>
      </w:tr>
      <w:tr w:rsidR="00F76607" w14:paraId="6FD6C454" w14:textId="77777777">
        <w:trPr>
          <w:cantSplit/>
          <w:jc w:val="center"/>
        </w:trPr>
        <w:tc>
          <w:tcPr>
            <w:tcW w:w="0" w:type="auto"/>
            <w:tcMar>
              <w:top w:w="0" w:type="dxa"/>
              <w:left w:w="144" w:type="dxa"/>
              <w:bottom w:w="0" w:type="dxa"/>
              <w:right w:w="0" w:type="dxa"/>
            </w:tcMar>
          </w:tcPr>
          <w:p w14:paraId="74A37D4E" w14:textId="77777777" w:rsidR="00F76607" w:rsidRDefault="00F76607">
            <w:pPr>
              <w:pStyle w:val="la2"/>
              <w:rPr>
                <w:sz w:val="18"/>
                <w:szCs w:val="18"/>
              </w:rPr>
            </w:pPr>
          </w:p>
        </w:tc>
        <w:tc>
          <w:tcPr>
            <w:tcW w:w="0" w:type="auto"/>
          </w:tcPr>
          <w:p w14:paraId="3F0B1591" w14:textId="77777777" w:rsidR="00F76607" w:rsidRDefault="001863F0">
            <w:pPr>
              <w:pStyle w:val="ListParagraph"/>
              <w:numPr>
                <w:ilvl w:val="0"/>
                <w:numId w:val="1"/>
              </w:numPr>
              <w:rPr>
                <w:iCs/>
                <w:sz w:val="18"/>
                <w:szCs w:val="18"/>
                <w:lang w:val="en-GB"/>
              </w:rPr>
            </w:pPr>
            <w:r>
              <w:rPr>
                <w:b/>
                <w:iCs/>
                <w:sz w:val="18"/>
                <w:szCs w:val="18"/>
                <w:lang w:val="en-GB"/>
              </w:rPr>
              <w:t xml:space="preserve">The Group is exposed to liability claims. </w:t>
            </w:r>
            <w:r>
              <w:rPr>
                <w:iCs/>
                <w:sz w:val="18"/>
                <w:szCs w:val="18"/>
                <w:lang w:val="en-GB"/>
              </w:rPr>
              <w:t>The nature of the Group’s business exposes it to potential liability claims by third parties. The Group may face contractual disputes which may or may not lead to legal proceedings as the result of a wide range of events, including, among other things: (</w:t>
            </w:r>
            <w:proofErr w:type="spellStart"/>
            <w:r>
              <w:rPr>
                <w:iCs/>
                <w:sz w:val="18"/>
                <w:szCs w:val="18"/>
                <w:lang w:val="en-GB"/>
              </w:rPr>
              <w:t>i</w:t>
            </w:r>
            <w:proofErr w:type="spellEnd"/>
            <w:r>
              <w:rPr>
                <w:iCs/>
                <w:sz w:val="18"/>
                <w:szCs w:val="18"/>
                <w:lang w:val="en-GB"/>
              </w:rPr>
              <w:t>) actual or alleged deficiencies in its execution of construction projects (including relating to the design, installation or repair of works); (ii) defects in the building materials the Group uses; or (iii) deficiencies in the goods and services provided by suppliers, contractors, and sub-contractors used by the Group.</w:t>
            </w:r>
          </w:p>
          <w:p w14:paraId="27473BD0" w14:textId="77777777" w:rsidR="00F76607" w:rsidRDefault="00F76607">
            <w:pPr>
              <w:pStyle w:val="ListParagraph"/>
              <w:rPr>
                <w:b/>
                <w:iCs/>
                <w:sz w:val="18"/>
                <w:szCs w:val="18"/>
                <w:lang w:val="en-GB"/>
              </w:rPr>
            </w:pPr>
          </w:p>
          <w:p w14:paraId="72CE4FC2" w14:textId="77777777" w:rsidR="00F76607" w:rsidRDefault="001863F0">
            <w:pPr>
              <w:pStyle w:val="ListParagraph"/>
              <w:rPr>
                <w:b/>
                <w:iCs/>
                <w:sz w:val="18"/>
                <w:szCs w:val="18"/>
                <w:lang w:val="en-GB"/>
              </w:rPr>
            </w:pPr>
            <w:r>
              <w:rPr>
                <w:i/>
                <w:iCs/>
                <w:sz w:val="18"/>
                <w:szCs w:val="18"/>
                <w:lang w:val="en-GB"/>
              </w:rPr>
              <w:t>Financial Risks</w:t>
            </w:r>
          </w:p>
        </w:tc>
      </w:tr>
      <w:tr w:rsidR="00F76607" w14:paraId="1D5D3259" w14:textId="77777777">
        <w:trPr>
          <w:jc w:val="center"/>
        </w:trPr>
        <w:tc>
          <w:tcPr>
            <w:tcW w:w="0" w:type="auto"/>
            <w:tcMar>
              <w:top w:w="0" w:type="dxa"/>
              <w:left w:w="144" w:type="dxa"/>
              <w:bottom w:w="0" w:type="dxa"/>
              <w:right w:w="0" w:type="dxa"/>
            </w:tcMar>
          </w:tcPr>
          <w:p w14:paraId="1D36B84A" w14:textId="77777777" w:rsidR="00F76607" w:rsidRDefault="00F76607">
            <w:pPr>
              <w:pStyle w:val="la2"/>
              <w:rPr>
                <w:sz w:val="18"/>
                <w:szCs w:val="18"/>
              </w:rPr>
            </w:pPr>
          </w:p>
        </w:tc>
        <w:tc>
          <w:tcPr>
            <w:tcW w:w="0" w:type="auto"/>
          </w:tcPr>
          <w:p w14:paraId="5748A667" w14:textId="77777777" w:rsidR="00F76607" w:rsidRDefault="001863F0">
            <w:pPr>
              <w:pStyle w:val="ListParagraph"/>
              <w:numPr>
                <w:ilvl w:val="0"/>
                <w:numId w:val="1"/>
              </w:numPr>
              <w:rPr>
                <w:bCs/>
                <w:iCs/>
                <w:sz w:val="18"/>
                <w:szCs w:val="18"/>
                <w:lang w:val="en-GB"/>
              </w:rPr>
            </w:pPr>
            <w:r>
              <w:rPr>
                <w:b/>
                <w:iCs/>
                <w:sz w:val="18"/>
                <w:szCs w:val="18"/>
                <w:lang w:val="en-GB"/>
              </w:rPr>
              <w:t>The Group is materially indebted.</w:t>
            </w:r>
            <w:r>
              <w:rPr>
                <w:iCs/>
                <w:sz w:val="18"/>
                <w:szCs w:val="18"/>
                <w:lang w:val="en-GB"/>
              </w:rPr>
              <w:t xml:space="preserve"> </w:t>
            </w:r>
            <w:r>
              <w:rPr>
                <w:bCs/>
                <w:iCs/>
                <w:sz w:val="18"/>
                <w:szCs w:val="18"/>
                <w:lang w:val="en-GB"/>
              </w:rPr>
              <w:t>The Group has incurred significant borrowings in order to finance its growth via its currently outstanding bonds and/or via bank credit facilities.</w:t>
            </w:r>
            <w:r>
              <w:rPr>
                <w:bCs/>
                <w:sz w:val="18"/>
                <w:szCs w:val="18"/>
                <w:lang w:val="en-GB"/>
              </w:rPr>
              <w:t xml:space="preserve"> </w:t>
            </w:r>
            <w:r>
              <w:rPr>
                <w:bCs/>
                <w:iCs/>
                <w:sz w:val="18"/>
                <w:szCs w:val="18"/>
                <w:lang w:val="en-GB"/>
              </w:rPr>
              <w:t>Among other things, the Group’s indebtedness could potentially (</w:t>
            </w:r>
            <w:proofErr w:type="spellStart"/>
            <w:r>
              <w:rPr>
                <w:bCs/>
                <w:iCs/>
                <w:sz w:val="18"/>
                <w:szCs w:val="18"/>
                <w:lang w:val="en-GB"/>
              </w:rPr>
              <w:t>i</w:t>
            </w:r>
            <w:proofErr w:type="spellEnd"/>
            <w:r>
              <w:rPr>
                <w:bCs/>
                <w:iCs/>
                <w:sz w:val="18"/>
                <w:szCs w:val="18"/>
                <w:lang w:val="en-GB"/>
              </w:rPr>
              <w:t>) limit its ability to fund its strategic capital expenditure program, (ii) limit its ability to obtain additional financing, (iii) limit its flexibility in planning for, or reacting to, changes in the markets in which it competes, (iv) place it at a competitive disadvantage relative to its competitors with less indebtedness, (v) render it more vulnerable to general adverse economic and industry conditions, and (vi) require it to dedicate all or a substantial part of its cash flow to service its debt. The Group’s ability to make payments on its indebtedness depends upon its ability to maintain its operating performance at a certain level, which is subject to general economic and market conditions and to financial, business and other factors, many of which the Group cannot control. If the Group’s cash flow generated from operating activities becomes insufficient, the Group may be required to take certain actions, including delaying or reducing capital or other expenditure in an attempt to restructure or refinance its indebtedness, selling its investment properties or other assets or seeking additional equity capital. The Group may be unable to take any of these actions on favourable terms or in a timely manner.</w:t>
            </w:r>
          </w:p>
          <w:p w14:paraId="1924AE1D" w14:textId="77777777" w:rsidR="00F76607" w:rsidRDefault="001863F0">
            <w:pPr>
              <w:pStyle w:val="ListParagraph"/>
              <w:rPr>
                <w:bCs/>
                <w:iCs/>
                <w:sz w:val="18"/>
                <w:szCs w:val="18"/>
                <w:lang w:val="en-GB"/>
              </w:rPr>
            </w:pPr>
            <w:r>
              <w:rPr>
                <w:bCs/>
                <w:iCs/>
                <w:sz w:val="18"/>
                <w:szCs w:val="18"/>
                <w:lang w:val="en-GB"/>
              </w:rPr>
              <w:t>Furthermore, such actions may not be sufficient to allow the Group to service its debt obligations in full and, in any event, may have a material adverse effect on its business, financial condition, results of operations and prospects. The Group’s inability to service its debt through internally generated cash flow or such other sources of liquidity may put it in default of its obligations to its creditors.</w:t>
            </w:r>
          </w:p>
          <w:p w14:paraId="2F384935" w14:textId="77777777" w:rsidR="00F76607" w:rsidRDefault="001863F0">
            <w:pPr>
              <w:pStyle w:val="ListParagraph"/>
              <w:rPr>
                <w:bCs/>
                <w:iCs/>
                <w:sz w:val="18"/>
                <w:szCs w:val="18"/>
                <w:lang w:val="en-GB"/>
              </w:rPr>
            </w:pPr>
            <w:r>
              <w:rPr>
                <w:bCs/>
                <w:iCs/>
                <w:sz w:val="18"/>
                <w:szCs w:val="18"/>
                <w:lang w:val="en-GB"/>
              </w:rPr>
              <w:t>Furthermore, any refinancing of the Group’s indebtedness could be at higher interest rates and may require the Group to comply with more onerous covenants, which could further restrict its business and could have a material adverse effect on its financial condition and results of operations.</w:t>
            </w:r>
          </w:p>
        </w:tc>
      </w:tr>
      <w:tr w:rsidR="00F76607" w14:paraId="5E0D00DC" w14:textId="77777777">
        <w:trPr>
          <w:cantSplit/>
          <w:jc w:val="center"/>
        </w:trPr>
        <w:tc>
          <w:tcPr>
            <w:tcW w:w="0" w:type="auto"/>
            <w:tcMar>
              <w:top w:w="0" w:type="dxa"/>
              <w:left w:w="144" w:type="dxa"/>
              <w:bottom w:w="0" w:type="dxa"/>
              <w:right w:w="0" w:type="dxa"/>
            </w:tcMar>
          </w:tcPr>
          <w:p w14:paraId="1B614DBC" w14:textId="77777777" w:rsidR="00F76607" w:rsidRDefault="00F76607">
            <w:pPr>
              <w:pStyle w:val="la2"/>
              <w:rPr>
                <w:sz w:val="18"/>
                <w:szCs w:val="18"/>
              </w:rPr>
            </w:pPr>
          </w:p>
        </w:tc>
        <w:tc>
          <w:tcPr>
            <w:tcW w:w="0" w:type="auto"/>
          </w:tcPr>
          <w:p w14:paraId="7EEFF11F" w14:textId="77777777" w:rsidR="00F76607" w:rsidRDefault="001863F0">
            <w:pPr>
              <w:pStyle w:val="ListParagraph"/>
              <w:numPr>
                <w:ilvl w:val="0"/>
                <w:numId w:val="1"/>
              </w:numPr>
              <w:rPr>
                <w:iCs/>
                <w:sz w:val="18"/>
                <w:szCs w:val="18"/>
                <w:lang w:val="en-GB"/>
              </w:rPr>
            </w:pPr>
            <w:r>
              <w:rPr>
                <w:b/>
                <w:iCs/>
                <w:sz w:val="18"/>
                <w:szCs w:val="18"/>
                <w:lang w:val="en-GB"/>
              </w:rPr>
              <w:t>The Group's borrowings are subject to certain restrictive covenants.</w:t>
            </w:r>
            <w:r>
              <w:rPr>
                <w:iCs/>
                <w:sz w:val="18"/>
                <w:szCs w:val="18"/>
                <w:lang w:val="en-GB"/>
              </w:rPr>
              <w:t xml:space="preserve"> A breach of financial covenants could have an adverse effect on the financial position of the Group. The terms and conditions of the 2018 Bond, the 2023 Bond, the 2024 Bond and the 2025 Bond include following financial covenants, evaluated at the level of the Company: </w:t>
            </w:r>
          </w:p>
          <w:p w14:paraId="56022B92" w14:textId="77777777" w:rsidR="00F76607" w:rsidRDefault="001863F0">
            <w:pPr>
              <w:pStyle w:val="ListParagraph"/>
              <w:numPr>
                <w:ilvl w:val="1"/>
                <w:numId w:val="1"/>
              </w:numPr>
              <w:rPr>
                <w:iCs/>
                <w:sz w:val="18"/>
                <w:szCs w:val="18"/>
                <w:lang w:val="en-GB"/>
              </w:rPr>
            </w:pPr>
            <w:r>
              <w:rPr>
                <w:iCs/>
                <w:sz w:val="18"/>
                <w:szCs w:val="18"/>
                <w:lang w:val="en-GB"/>
              </w:rPr>
              <w:t xml:space="preserve">Consolidated Gearing (consolidated Total Net Debt divided by the sum of the equity and total liabilities) to equal or to be below 55% (as regards the 2018 Bond) or 65% (as regards the 2023 Bond, the 2024 Bond and the 2025 Bond); </w:t>
            </w:r>
          </w:p>
          <w:p w14:paraId="2C4E5CE0" w14:textId="77777777" w:rsidR="00F76607" w:rsidRDefault="001863F0">
            <w:pPr>
              <w:pStyle w:val="ListParagraph"/>
              <w:numPr>
                <w:ilvl w:val="1"/>
                <w:numId w:val="1"/>
              </w:numPr>
              <w:rPr>
                <w:iCs/>
                <w:sz w:val="18"/>
                <w:szCs w:val="18"/>
                <w:lang w:val="en-GB"/>
              </w:rPr>
            </w:pPr>
            <w:r>
              <w:rPr>
                <w:iCs/>
                <w:sz w:val="18"/>
                <w:szCs w:val="18"/>
                <w:lang w:val="en-GB"/>
              </w:rPr>
              <w:t xml:space="preserve">Interest Cover Ratio (aggregate net rental income (increased with the available cash and cash equivalents) divided by the net Finance Charges) to equal or to be above 1.2; </w:t>
            </w:r>
          </w:p>
          <w:p w14:paraId="554DD93C" w14:textId="77777777" w:rsidR="00F76607" w:rsidRDefault="001863F0">
            <w:pPr>
              <w:pStyle w:val="ListParagraph"/>
              <w:numPr>
                <w:ilvl w:val="1"/>
                <w:numId w:val="1"/>
              </w:numPr>
              <w:rPr>
                <w:iCs/>
                <w:sz w:val="18"/>
                <w:szCs w:val="18"/>
                <w:lang w:val="en-GB"/>
              </w:rPr>
            </w:pPr>
            <w:r>
              <w:rPr>
                <w:iCs/>
                <w:sz w:val="18"/>
                <w:szCs w:val="18"/>
                <w:lang w:val="en-GB"/>
              </w:rPr>
              <w:t xml:space="preserve">Debt Service Cover Ratio (or DSCR) (Cash Available for Debt Service divided by Net Debt Service) to be equal or to be above 1.2. </w:t>
            </w:r>
          </w:p>
          <w:p w14:paraId="2693C72A" w14:textId="77777777" w:rsidR="00F76607" w:rsidRDefault="001863F0">
            <w:pPr>
              <w:pStyle w:val="ListParagraph"/>
              <w:rPr>
                <w:iCs/>
                <w:sz w:val="18"/>
                <w:szCs w:val="18"/>
                <w:lang w:val="en-GB"/>
              </w:rPr>
            </w:pPr>
            <w:r>
              <w:rPr>
                <w:iCs/>
                <w:sz w:val="18"/>
                <w:szCs w:val="18"/>
                <w:lang w:val="en-GB"/>
              </w:rPr>
              <w:t>As at 30 June 2017 the Consolidated Gearing stood at 34.9% compared to 39.4% as at 31 December 2016. The Interest Cover Ratio was 60.8 as at 30 June 2017 compared to 5.47 as at 31 December 2016 and finally the Debt Service Cover Ratio was 29.2 as at 30 June 2017 compared to 3.36 as at 31 December 2016.</w:t>
            </w:r>
          </w:p>
          <w:p w14:paraId="0E4C4D1C" w14:textId="77777777" w:rsidR="00F76607" w:rsidRDefault="001863F0">
            <w:pPr>
              <w:pStyle w:val="ListParagraph"/>
              <w:rPr>
                <w:iCs/>
                <w:sz w:val="18"/>
                <w:szCs w:val="18"/>
                <w:lang w:val="en-GB"/>
              </w:rPr>
            </w:pPr>
            <w:r>
              <w:rPr>
                <w:iCs/>
                <w:sz w:val="18"/>
                <w:szCs w:val="18"/>
                <w:lang w:val="en-GB"/>
              </w:rPr>
              <w:t xml:space="preserve">The credit agreement entered into with </w:t>
            </w:r>
            <w:proofErr w:type="spellStart"/>
            <w:r>
              <w:rPr>
                <w:iCs/>
                <w:sz w:val="18"/>
                <w:szCs w:val="18"/>
                <w:lang w:val="en-GB"/>
              </w:rPr>
              <w:t>Raiffeisen</w:t>
            </w:r>
            <w:proofErr w:type="spellEnd"/>
            <w:r>
              <w:rPr>
                <w:iCs/>
                <w:sz w:val="18"/>
                <w:szCs w:val="18"/>
                <w:lang w:val="en-GB"/>
              </w:rPr>
              <w:t xml:space="preserve"> (Romania) bank includes following financial covenants:</w:t>
            </w:r>
          </w:p>
          <w:p w14:paraId="2036DD27" w14:textId="77777777" w:rsidR="00F76607" w:rsidRDefault="001863F0">
            <w:pPr>
              <w:pStyle w:val="ListParagraph"/>
              <w:numPr>
                <w:ilvl w:val="1"/>
                <w:numId w:val="1"/>
              </w:numPr>
              <w:rPr>
                <w:iCs/>
                <w:sz w:val="18"/>
                <w:szCs w:val="18"/>
                <w:lang w:val="en-GB"/>
              </w:rPr>
            </w:pPr>
            <w:r>
              <w:rPr>
                <w:iCs/>
                <w:sz w:val="18"/>
                <w:szCs w:val="18"/>
                <w:lang w:val="en-GB"/>
              </w:rPr>
              <w:t>Loan to Value: lower than or equal to 65.0%; and</w:t>
            </w:r>
          </w:p>
          <w:p w14:paraId="73CEDA8F" w14:textId="77777777" w:rsidR="00F76607" w:rsidRDefault="001863F0">
            <w:pPr>
              <w:pStyle w:val="ListParagraph"/>
              <w:numPr>
                <w:ilvl w:val="1"/>
                <w:numId w:val="1"/>
              </w:numPr>
              <w:rPr>
                <w:iCs/>
                <w:sz w:val="18"/>
                <w:szCs w:val="18"/>
                <w:lang w:val="en-GB"/>
              </w:rPr>
            </w:pPr>
            <w:r>
              <w:rPr>
                <w:iCs/>
                <w:sz w:val="18"/>
                <w:szCs w:val="18"/>
                <w:lang w:val="en-GB"/>
              </w:rPr>
              <w:t>Debt Service Cover Ratio: higher than or equal to 1.25.</w:t>
            </w:r>
          </w:p>
          <w:p w14:paraId="61A3A565" w14:textId="77777777" w:rsidR="00F76607" w:rsidRDefault="001863F0">
            <w:pPr>
              <w:pStyle w:val="ListParagraph"/>
              <w:rPr>
                <w:b/>
                <w:iCs/>
                <w:sz w:val="18"/>
                <w:szCs w:val="18"/>
                <w:lang w:val="en-GB"/>
              </w:rPr>
            </w:pPr>
            <w:r>
              <w:rPr>
                <w:iCs/>
                <w:sz w:val="18"/>
                <w:szCs w:val="18"/>
                <w:lang w:val="en-GB"/>
              </w:rPr>
              <w:t>As at 30 June 2017 (first testing date for this credit facility), the Loan to Value stood at 33.1% and the Debt Service Cover Ratio stood at 1.91.</w:t>
            </w:r>
          </w:p>
        </w:tc>
      </w:tr>
      <w:tr w:rsidR="00F76607" w14:paraId="4000F392" w14:textId="77777777">
        <w:trPr>
          <w:cantSplit/>
          <w:jc w:val="center"/>
        </w:trPr>
        <w:tc>
          <w:tcPr>
            <w:tcW w:w="0" w:type="auto"/>
            <w:tcMar>
              <w:top w:w="0" w:type="dxa"/>
              <w:left w:w="144" w:type="dxa"/>
              <w:bottom w:w="0" w:type="dxa"/>
              <w:right w:w="0" w:type="dxa"/>
            </w:tcMar>
          </w:tcPr>
          <w:p w14:paraId="33E6EAB7" w14:textId="77777777" w:rsidR="00F76607" w:rsidRDefault="00F76607">
            <w:pPr>
              <w:pStyle w:val="la2"/>
              <w:rPr>
                <w:sz w:val="18"/>
                <w:szCs w:val="18"/>
              </w:rPr>
            </w:pPr>
          </w:p>
        </w:tc>
        <w:tc>
          <w:tcPr>
            <w:tcW w:w="0" w:type="auto"/>
          </w:tcPr>
          <w:p w14:paraId="3CC72C72" w14:textId="77777777" w:rsidR="00F76607" w:rsidRDefault="001863F0">
            <w:pPr>
              <w:pStyle w:val="ListParagraph"/>
              <w:numPr>
                <w:ilvl w:val="0"/>
                <w:numId w:val="1"/>
              </w:numPr>
              <w:rPr>
                <w:b/>
                <w:iCs/>
                <w:sz w:val="18"/>
                <w:szCs w:val="18"/>
                <w:lang w:val="en-GB"/>
              </w:rPr>
            </w:pPr>
            <w:r>
              <w:rPr>
                <w:b/>
                <w:iCs/>
                <w:sz w:val="18"/>
                <w:szCs w:val="18"/>
                <w:lang w:val="en-GB"/>
              </w:rPr>
              <w:t>Availability of adequate credit facilities or shareholder loans.</w:t>
            </w:r>
            <w:r>
              <w:rPr>
                <w:iCs/>
                <w:sz w:val="18"/>
                <w:szCs w:val="18"/>
                <w:lang w:val="en-GB"/>
              </w:rPr>
              <w:t xml:space="preserve"> The non-availability of adequate credit facilities or shareholder loans or the lack of possibility to refinance or replace such credit facilities or shareholder loans may have an adverse effect on the growth of the Group and its financial condition.</w:t>
            </w:r>
          </w:p>
        </w:tc>
      </w:tr>
      <w:tr w:rsidR="00F76607" w14:paraId="2EA66261" w14:textId="77777777">
        <w:trPr>
          <w:cantSplit/>
          <w:jc w:val="center"/>
        </w:trPr>
        <w:tc>
          <w:tcPr>
            <w:tcW w:w="0" w:type="auto"/>
            <w:tcMar>
              <w:top w:w="0" w:type="dxa"/>
              <w:left w:w="144" w:type="dxa"/>
              <w:bottom w:w="0" w:type="dxa"/>
              <w:right w:w="0" w:type="dxa"/>
            </w:tcMar>
          </w:tcPr>
          <w:p w14:paraId="7F8CFFED" w14:textId="77777777" w:rsidR="00F76607" w:rsidRDefault="00F76607">
            <w:pPr>
              <w:pStyle w:val="la2"/>
              <w:rPr>
                <w:sz w:val="18"/>
                <w:szCs w:val="18"/>
              </w:rPr>
            </w:pPr>
          </w:p>
        </w:tc>
        <w:tc>
          <w:tcPr>
            <w:tcW w:w="0" w:type="auto"/>
          </w:tcPr>
          <w:p w14:paraId="5F4329C5" w14:textId="06EEBA63" w:rsidR="00F76607" w:rsidRDefault="001863F0">
            <w:pPr>
              <w:pStyle w:val="ListParagraph"/>
              <w:numPr>
                <w:ilvl w:val="0"/>
                <w:numId w:val="1"/>
              </w:numPr>
              <w:rPr>
                <w:b/>
                <w:iCs/>
                <w:sz w:val="18"/>
                <w:szCs w:val="18"/>
                <w:lang w:val="en-GB"/>
              </w:rPr>
            </w:pPr>
            <w:r>
              <w:rPr>
                <w:b/>
                <w:iCs/>
                <w:sz w:val="18"/>
                <w:szCs w:val="18"/>
                <w:lang w:val="en-GB"/>
              </w:rPr>
              <w:t>Risks related to the evolution of interest rates.</w:t>
            </w:r>
            <w:r>
              <w:rPr>
                <w:iCs/>
                <w:sz w:val="18"/>
                <w:szCs w:val="18"/>
                <w:lang w:val="en-GB"/>
              </w:rPr>
              <w:t xml:space="preserve"> Changes in interest rates could have an adverse effect on the Group’s ability to obtain or service debt and other financing on favourable terms.</w:t>
            </w:r>
          </w:p>
        </w:tc>
      </w:tr>
      <w:tr w:rsidR="00F76607" w14:paraId="2DFE33DD" w14:textId="77777777">
        <w:trPr>
          <w:cantSplit/>
          <w:jc w:val="center"/>
        </w:trPr>
        <w:tc>
          <w:tcPr>
            <w:tcW w:w="0" w:type="auto"/>
            <w:tcMar>
              <w:top w:w="0" w:type="dxa"/>
              <w:left w:w="144" w:type="dxa"/>
              <w:bottom w:w="0" w:type="dxa"/>
              <w:right w:w="0" w:type="dxa"/>
            </w:tcMar>
          </w:tcPr>
          <w:p w14:paraId="4018E7B9" w14:textId="77777777" w:rsidR="00F76607" w:rsidRDefault="00F76607">
            <w:pPr>
              <w:pStyle w:val="la2"/>
              <w:rPr>
                <w:sz w:val="18"/>
                <w:szCs w:val="18"/>
              </w:rPr>
            </w:pPr>
          </w:p>
        </w:tc>
        <w:tc>
          <w:tcPr>
            <w:tcW w:w="0" w:type="auto"/>
          </w:tcPr>
          <w:p w14:paraId="167E7ECC" w14:textId="77777777" w:rsidR="00F76607" w:rsidRDefault="001863F0">
            <w:pPr>
              <w:pStyle w:val="ListParagraph"/>
              <w:numPr>
                <w:ilvl w:val="0"/>
                <w:numId w:val="1"/>
              </w:numPr>
              <w:rPr>
                <w:iCs/>
                <w:sz w:val="18"/>
                <w:szCs w:val="18"/>
                <w:lang w:val="en-GB"/>
              </w:rPr>
            </w:pPr>
            <w:r>
              <w:rPr>
                <w:b/>
                <w:iCs/>
                <w:sz w:val="18"/>
                <w:szCs w:val="18"/>
                <w:lang w:val="en-GB"/>
              </w:rPr>
              <w:t xml:space="preserve">The Group is exposed to interest rate and currency risks related to fluctuation in currency exchange rates. </w:t>
            </w:r>
            <w:r>
              <w:rPr>
                <w:iCs/>
                <w:sz w:val="18"/>
                <w:szCs w:val="18"/>
                <w:lang w:val="en-GB"/>
              </w:rPr>
              <w:t>The Group’s revenues and a majority of its expenses are denominated in Euro. However, certain expenses, assets and liabilities are recorded in a number of different currencies other than Euro. Variations in exchange rates may affect the amount of these items in the consolidated financial statements when such expenses, assets and liabilities are translated into Euro for the purposes of the preparation of the consolidated financial statements.</w:t>
            </w:r>
          </w:p>
          <w:p w14:paraId="0DD322BE" w14:textId="77777777" w:rsidR="00F76607" w:rsidRDefault="00F76607">
            <w:pPr>
              <w:pStyle w:val="ListParagraph"/>
              <w:rPr>
                <w:iCs/>
                <w:sz w:val="18"/>
                <w:szCs w:val="18"/>
                <w:lang w:val="en-GB"/>
              </w:rPr>
            </w:pPr>
          </w:p>
          <w:p w14:paraId="77E88333" w14:textId="77777777" w:rsidR="00F76607" w:rsidRDefault="001863F0">
            <w:pPr>
              <w:pStyle w:val="ListParagraph"/>
              <w:rPr>
                <w:i/>
                <w:iCs/>
                <w:sz w:val="18"/>
                <w:szCs w:val="18"/>
                <w:lang w:val="en-GB"/>
              </w:rPr>
            </w:pPr>
            <w:r>
              <w:rPr>
                <w:i/>
                <w:iCs/>
                <w:sz w:val="18"/>
                <w:szCs w:val="18"/>
                <w:lang w:val="en-GB"/>
              </w:rPr>
              <w:t>Risks relating to the countries in which the Group operates</w:t>
            </w:r>
          </w:p>
        </w:tc>
      </w:tr>
      <w:tr w:rsidR="00F76607" w14:paraId="5C2F6CBE" w14:textId="77777777">
        <w:trPr>
          <w:cantSplit/>
          <w:jc w:val="center"/>
        </w:trPr>
        <w:tc>
          <w:tcPr>
            <w:tcW w:w="0" w:type="auto"/>
            <w:tcMar>
              <w:top w:w="0" w:type="dxa"/>
              <w:left w:w="144" w:type="dxa"/>
              <w:bottom w:w="0" w:type="dxa"/>
              <w:right w:w="0" w:type="dxa"/>
            </w:tcMar>
          </w:tcPr>
          <w:p w14:paraId="0C187457" w14:textId="77777777" w:rsidR="00F76607" w:rsidRDefault="00F76607">
            <w:pPr>
              <w:pStyle w:val="la2"/>
              <w:rPr>
                <w:sz w:val="18"/>
                <w:szCs w:val="18"/>
              </w:rPr>
            </w:pPr>
          </w:p>
        </w:tc>
        <w:tc>
          <w:tcPr>
            <w:tcW w:w="0" w:type="auto"/>
          </w:tcPr>
          <w:p w14:paraId="2133D2EC" w14:textId="77777777" w:rsidR="00F76607" w:rsidRDefault="001863F0">
            <w:pPr>
              <w:pStyle w:val="ListParagraph"/>
              <w:numPr>
                <w:ilvl w:val="0"/>
                <w:numId w:val="1"/>
              </w:numPr>
              <w:rPr>
                <w:b/>
                <w:iCs/>
                <w:sz w:val="18"/>
                <w:szCs w:val="18"/>
                <w:lang w:val="en-GB"/>
              </w:rPr>
            </w:pPr>
            <w:r>
              <w:rPr>
                <w:b/>
                <w:iCs/>
                <w:sz w:val="18"/>
                <w:szCs w:val="18"/>
                <w:lang w:val="en-GB"/>
              </w:rPr>
              <w:t>Defects in the ownership title.</w:t>
            </w:r>
            <w:r>
              <w:rPr>
                <w:iCs/>
                <w:sz w:val="18"/>
                <w:szCs w:val="18"/>
                <w:lang w:val="en-GB"/>
              </w:rPr>
              <w:t xml:space="preserve"> Real estate registries in some of the countries in which the Group is active do not provide conclusive evidence of ownership of title to property. Some of the members of the Group may not have title to some of the plots of land despite being registered as owners.</w:t>
            </w:r>
          </w:p>
        </w:tc>
      </w:tr>
      <w:tr w:rsidR="00F76607" w14:paraId="11755C22" w14:textId="77777777">
        <w:trPr>
          <w:cantSplit/>
          <w:jc w:val="center"/>
        </w:trPr>
        <w:tc>
          <w:tcPr>
            <w:tcW w:w="0" w:type="auto"/>
            <w:tcMar>
              <w:top w:w="0" w:type="dxa"/>
              <w:left w:w="144" w:type="dxa"/>
              <w:bottom w:w="0" w:type="dxa"/>
              <w:right w:w="0" w:type="dxa"/>
            </w:tcMar>
          </w:tcPr>
          <w:p w14:paraId="226B9A07" w14:textId="77777777" w:rsidR="00F76607" w:rsidRDefault="00F76607">
            <w:pPr>
              <w:pStyle w:val="la2"/>
              <w:rPr>
                <w:sz w:val="18"/>
                <w:szCs w:val="18"/>
              </w:rPr>
            </w:pPr>
          </w:p>
        </w:tc>
        <w:tc>
          <w:tcPr>
            <w:tcW w:w="0" w:type="auto"/>
          </w:tcPr>
          <w:p w14:paraId="1500D2B1" w14:textId="77777777" w:rsidR="00F76607" w:rsidRDefault="00F76607">
            <w:pPr>
              <w:pStyle w:val="ListParagraph"/>
              <w:rPr>
                <w:iCs/>
                <w:sz w:val="18"/>
                <w:szCs w:val="18"/>
                <w:lang w:val="en-GB"/>
              </w:rPr>
            </w:pPr>
          </w:p>
          <w:p w14:paraId="5B9F831A" w14:textId="77777777" w:rsidR="00F76607" w:rsidRDefault="001863F0">
            <w:pPr>
              <w:pStyle w:val="ListParagraph"/>
              <w:ind w:left="334"/>
              <w:rPr>
                <w:iCs/>
                <w:sz w:val="18"/>
                <w:szCs w:val="18"/>
                <w:lang w:val="en-GB"/>
              </w:rPr>
            </w:pPr>
            <w:r>
              <w:rPr>
                <w:iCs/>
                <w:sz w:val="18"/>
                <w:szCs w:val="18"/>
                <w:lang w:val="en-GB"/>
              </w:rPr>
              <w:t xml:space="preserve">Other risk factors specific to the Group are included in the Section </w:t>
            </w:r>
            <w:r>
              <w:rPr>
                <w:i/>
                <w:iCs/>
                <w:sz w:val="18"/>
                <w:szCs w:val="18"/>
                <w:lang w:val="en-GB"/>
              </w:rPr>
              <w:t>Risk Factors</w:t>
            </w:r>
            <w:r>
              <w:rPr>
                <w:iCs/>
                <w:sz w:val="18"/>
                <w:szCs w:val="18"/>
                <w:lang w:val="en-GB"/>
              </w:rPr>
              <w:t xml:space="preserve"> of this Prospectus and should be taken into consideration by investors as well.</w:t>
            </w:r>
          </w:p>
        </w:tc>
      </w:tr>
      <w:tr w:rsidR="00F76607" w14:paraId="644C62D7" w14:textId="77777777">
        <w:trPr>
          <w:cantSplit/>
          <w:jc w:val="center"/>
        </w:trPr>
        <w:tc>
          <w:tcPr>
            <w:tcW w:w="0" w:type="auto"/>
            <w:tcMar>
              <w:top w:w="0" w:type="dxa"/>
              <w:left w:w="144" w:type="dxa"/>
              <w:bottom w:w="0" w:type="dxa"/>
              <w:right w:w="0" w:type="dxa"/>
            </w:tcMar>
          </w:tcPr>
          <w:p w14:paraId="5E5C361A" w14:textId="77777777" w:rsidR="00F76607" w:rsidRDefault="00F76607">
            <w:pPr>
              <w:pStyle w:val="la2"/>
              <w:rPr>
                <w:sz w:val="18"/>
                <w:szCs w:val="18"/>
              </w:rPr>
            </w:pPr>
          </w:p>
        </w:tc>
        <w:tc>
          <w:tcPr>
            <w:tcW w:w="0" w:type="auto"/>
          </w:tcPr>
          <w:p w14:paraId="129474AA" w14:textId="77777777" w:rsidR="00F76607" w:rsidRDefault="00F76607">
            <w:pPr>
              <w:pStyle w:val="NormalWeb"/>
              <w:keepNext/>
              <w:rPr>
                <w:b/>
                <w:iCs/>
                <w:sz w:val="18"/>
                <w:szCs w:val="18"/>
                <w:lang w:val="en-GB"/>
              </w:rPr>
            </w:pPr>
          </w:p>
        </w:tc>
      </w:tr>
      <w:tr w:rsidR="00F76607" w14:paraId="36A3516C" w14:textId="77777777">
        <w:trPr>
          <w:cantSplit/>
          <w:jc w:val="center"/>
        </w:trPr>
        <w:tc>
          <w:tcPr>
            <w:tcW w:w="0" w:type="auto"/>
            <w:hideMark/>
          </w:tcPr>
          <w:p w14:paraId="6178BE13" w14:textId="77777777" w:rsidR="00F76607" w:rsidRDefault="001863F0">
            <w:pPr>
              <w:rPr>
                <w:sz w:val="18"/>
                <w:szCs w:val="18"/>
              </w:rPr>
            </w:pPr>
            <w:r>
              <w:rPr>
                <w:b/>
                <w:bCs/>
                <w:sz w:val="18"/>
                <w:szCs w:val="18"/>
              </w:rPr>
              <w:t>D.3</w:t>
            </w:r>
          </w:p>
        </w:tc>
        <w:tc>
          <w:tcPr>
            <w:tcW w:w="0" w:type="auto"/>
            <w:hideMark/>
          </w:tcPr>
          <w:p w14:paraId="7020D549" w14:textId="77777777" w:rsidR="00F76607" w:rsidRDefault="001863F0">
            <w:pPr>
              <w:rPr>
                <w:sz w:val="18"/>
                <w:szCs w:val="18"/>
              </w:rPr>
            </w:pPr>
            <w:r>
              <w:rPr>
                <w:b/>
                <w:bCs/>
                <w:i/>
                <w:iCs/>
                <w:sz w:val="18"/>
                <w:szCs w:val="18"/>
              </w:rPr>
              <w:t>Risks Relating to the Shares and the Offering</w:t>
            </w:r>
          </w:p>
        </w:tc>
      </w:tr>
      <w:tr w:rsidR="00F76607" w14:paraId="67C6854A" w14:textId="77777777">
        <w:trPr>
          <w:cantSplit/>
          <w:jc w:val="center"/>
        </w:trPr>
        <w:tc>
          <w:tcPr>
            <w:tcW w:w="0" w:type="auto"/>
            <w:tcMar>
              <w:top w:w="0" w:type="dxa"/>
              <w:left w:w="144" w:type="dxa"/>
              <w:bottom w:w="0" w:type="dxa"/>
              <w:right w:w="0" w:type="dxa"/>
            </w:tcMar>
            <w:hideMark/>
          </w:tcPr>
          <w:p w14:paraId="32777879" w14:textId="77777777" w:rsidR="00F76607" w:rsidRDefault="001863F0">
            <w:pPr>
              <w:pStyle w:val="la2"/>
              <w:rPr>
                <w:rFonts w:eastAsiaTheme="minorEastAsia"/>
                <w:sz w:val="18"/>
                <w:szCs w:val="18"/>
              </w:rPr>
            </w:pPr>
            <w:r>
              <w:rPr>
                <w:sz w:val="18"/>
                <w:szCs w:val="18"/>
              </w:rPr>
              <w:t> </w:t>
            </w:r>
          </w:p>
        </w:tc>
        <w:tc>
          <w:tcPr>
            <w:tcW w:w="0" w:type="auto"/>
            <w:hideMark/>
          </w:tcPr>
          <w:p w14:paraId="2C558470" w14:textId="77777777" w:rsidR="00F76607" w:rsidRDefault="001863F0">
            <w:pPr>
              <w:pStyle w:val="NormalWeb"/>
              <w:keepNext/>
              <w:spacing w:before="0" w:beforeAutospacing="0" w:after="0" w:afterAutospacing="0"/>
              <w:rPr>
                <w:rFonts w:eastAsiaTheme="minorEastAsia"/>
                <w:sz w:val="18"/>
                <w:szCs w:val="18"/>
              </w:rPr>
            </w:pPr>
            <w:r>
              <w:rPr>
                <w:i/>
                <w:iCs/>
                <w:sz w:val="18"/>
                <w:szCs w:val="18"/>
              </w:rPr>
              <w:t>The Company is subject to the following material risks:</w:t>
            </w:r>
          </w:p>
        </w:tc>
      </w:tr>
      <w:tr w:rsidR="00F76607" w14:paraId="715C9599" w14:textId="77777777">
        <w:trPr>
          <w:cantSplit/>
          <w:jc w:val="center"/>
        </w:trPr>
        <w:tc>
          <w:tcPr>
            <w:tcW w:w="0" w:type="auto"/>
            <w:tcMar>
              <w:top w:w="0" w:type="dxa"/>
              <w:left w:w="144" w:type="dxa"/>
              <w:bottom w:w="0" w:type="dxa"/>
              <w:right w:w="0" w:type="dxa"/>
            </w:tcMar>
            <w:hideMark/>
          </w:tcPr>
          <w:p w14:paraId="45F46876" w14:textId="77777777" w:rsidR="00F76607" w:rsidRDefault="001863F0">
            <w:pPr>
              <w:pStyle w:val="la2"/>
              <w:rPr>
                <w:rFonts w:eastAsiaTheme="minorEastAsia"/>
                <w:sz w:val="18"/>
                <w:szCs w:val="18"/>
              </w:rPr>
            </w:pPr>
            <w:r>
              <w:rPr>
                <w:sz w:val="18"/>
                <w:szCs w:val="18"/>
              </w:rPr>
              <w:t> </w:t>
            </w:r>
          </w:p>
        </w:tc>
        <w:tc>
          <w:tcPr>
            <w:tcW w:w="0" w:type="auto"/>
            <w:vMerge w:val="restart"/>
            <w:hideMark/>
          </w:tcPr>
          <w:p w14:paraId="4C584504" w14:textId="6ACC598F" w:rsidR="00F76607" w:rsidRDefault="001863F0">
            <w:pPr>
              <w:pStyle w:val="NormalWeb"/>
              <w:spacing w:before="0" w:beforeAutospacing="0" w:after="0" w:afterAutospacing="0"/>
              <w:ind w:left="360" w:hanging="360"/>
              <w:rPr>
                <w:rFonts w:eastAsiaTheme="minorEastAsia"/>
                <w:sz w:val="18"/>
                <w:szCs w:val="18"/>
              </w:rPr>
            </w:pPr>
            <w:r>
              <w:rPr>
                <w:sz w:val="18"/>
                <w:szCs w:val="18"/>
              </w:rPr>
              <w:t>•</w:t>
            </w:r>
            <w:r>
              <w:rPr>
                <w:sz w:val="18"/>
                <w:szCs w:val="18"/>
              </w:rPr>
              <w:tab/>
            </w:r>
            <w:r>
              <w:rPr>
                <w:b/>
                <w:bCs/>
                <w:sz w:val="18"/>
                <w:szCs w:val="18"/>
              </w:rPr>
              <w:t>The Shares may experience (increased) price and volume fluctuations.</w:t>
            </w:r>
            <w:r>
              <w:rPr>
                <w:sz w:val="18"/>
                <w:szCs w:val="18"/>
              </w:rPr>
              <w:t xml:space="preserve"> Currently, the trading volumes of the Shares and the volatility of the trading price of the Shares have been affected by the relatively low percentage of free float: since the trading volumes are limited, there is limited volatility in the trading price of the Shares. As a result of the Offering, the free float is expect</w:t>
            </w:r>
            <w:r w:rsidR="00DA14C1">
              <w:rPr>
                <w:sz w:val="18"/>
                <w:szCs w:val="18"/>
              </w:rPr>
              <w:t>ed t</w:t>
            </w:r>
            <w:r w:rsidR="00ED34B9">
              <w:rPr>
                <w:sz w:val="18"/>
                <w:szCs w:val="18"/>
              </w:rPr>
              <w:t>o increase from 10.14% to 34.49</w:t>
            </w:r>
            <w:r>
              <w:rPr>
                <w:sz w:val="18"/>
                <w:szCs w:val="18"/>
              </w:rPr>
              <w:t>%. Such increase in free float should enable the Company to reach more market standard trading volumes, but is also likely to result in increased volatility in the trading price of the Shares. Moreover, there can be no assurance that the currently existing trading market for the Shares can be sustained or will be more liquid following the closing of the Offering. Furthermore, the Offer Price is not necessarily indicative of the prices at which the Shares will subsequently trade on the stock exchange. If an active trading market does not develop or is not maintained, the liquidity and trading price of the Shar</w:t>
            </w:r>
            <w:r w:rsidR="006525D0">
              <w:rPr>
                <w:sz w:val="18"/>
                <w:szCs w:val="18"/>
              </w:rPr>
              <w:t>es could be adversely affected.</w:t>
            </w:r>
          </w:p>
        </w:tc>
      </w:tr>
      <w:tr w:rsidR="00F76607" w14:paraId="5C06A7C6" w14:textId="77777777">
        <w:trPr>
          <w:cantSplit/>
          <w:jc w:val="center"/>
        </w:trPr>
        <w:tc>
          <w:tcPr>
            <w:tcW w:w="0" w:type="auto"/>
            <w:tcMar>
              <w:top w:w="0" w:type="dxa"/>
              <w:left w:w="144" w:type="dxa"/>
              <w:bottom w:w="0" w:type="dxa"/>
              <w:right w:w="0" w:type="dxa"/>
            </w:tcMar>
            <w:hideMark/>
          </w:tcPr>
          <w:p w14:paraId="07E4050C" w14:textId="77777777" w:rsidR="00F76607" w:rsidRDefault="00F76607">
            <w:pPr>
              <w:pStyle w:val="la2"/>
              <w:rPr>
                <w:rFonts w:eastAsiaTheme="minorEastAsia"/>
                <w:sz w:val="18"/>
                <w:szCs w:val="18"/>
              </w:rPr>
            </w:pPr>
          </w:p>
        </w:tc>
        <w:tc>
          <w:tcPr>
            <w:tcW w:w="0" w:type="auto"/>
            <w:vMerge/>
            <w:hideMark/>
          </w:tcPr>
          <w:p w14:paraId="51A25794" w14:textId="77777777" w:rsidR="00F76607" w:rsidRDefault="00F76607">
            <w:pPr>
              <w:pStyle w:val="NormalWeb"/>
              <w:spacing w:before="0" w:beforeAutospacing="0" w:after="0" w:afterAutospacing="0"/>
              <w:rPr>
                <w:rFonts w:eastAsiaTheme="minorEastAsia"/>
                <w:sz w:val="18"/>
                <w:szCs w:val="18"/>
              </w:rPr>
            </w:pPr>
          </w:p>
        </w:tc>
      </w:tr>
      <w:tr w:rsidR="00F76607" w14:paraId="7EAA1E9D" w14:textId="77777777">
        <w:trPr>
          <w:cantSplit/>
          <w:jc w:val="center"/>
        </w:trPr>
        <w:tc>
          <w:tcPr>
            <w:tcW w:w="0" w:type="auto"/>
            <w:tcMar>
              <w:top w:w="0" w:type="dxa"/>
              <w:left w:w="144" w:type="dxa"/>
              <w:bottom w:w="0" w:type="dxa"/>
              <w:right w:w="0" w:type="dxa"/>
            </w:tcMar>
            <w:hideMark/>
          </w:tcPr>
          <w:p w14:paraId="065F3D10" w14:textId="77777777" w:rsidR="00F76607" w:rsidRDefault="001863F0">
            <w:pPr>
              <w:pStyle w:val="la2"/>
              <w:rPr>
                <w:rFonts w:eastAsiaTheme="minorEastAsia"/>
                <w:sz w:val="18"/>
                <w:szCs w:val="18"/>
              </w:rPr>
            </w:pPr>
            <w:r>
              <w:rPr>
                <w:sz w:val="18"/>
                <w:szCs w:val="18"/>
              </w:rPr>
              <w:t> </w:t>
            </w:r>
          </w:p>
        </w:tc>
        <w:tc>
          <w:tcPr>
            <w:tcW w:w="0" w:type="auto"/>
            <w:hideMark/>
          </w:tcPr>
          <w:p w14:paraId="0EB63208" w14:textId="77777777" w:rsidR="00F76607" w:rsidRDefault="001863F0">
            <w:pPr>
              <w:pStyle w:val="NormalWeb"/>
              <w:keepNext/>
              <w:spacing w:before="0" w:beforeAutospacing="0" w:after="0" w:afterAutospacing="0"/>
              <w:rPr>
                <w:rFonts w:eastAsiaTheme="minorEastAsia"/>
                <w:sz w:val="18"/>
                <w:szCs w:val="18"/>
              </w:rPr>
            </w:pPr>
            <w:r>
              <w:rPr>
                <w:i/>
                <w:iCs/>
                <w:sz w:val="18"/>
                <w:szCs w:val="18"/>
              </w:rPr>
              <w:t>The Company is also exposed to the following risks:</w:t>
            </w:r>
          </w:p>
        </w:tc>
      </w:tr>
      <w:tr w:rsidR="00F76607" w14:paraId="37B5A40A" w14:textId="77777777">
        <w:trPr>
          <w:cantSplit/>
          <w:jc w:val="center"/>
        </w:trPr>
        <w:tc>
          <w:tcPr>
            <w:tcW w:w="0" w:type="auto"/>
            <w:tcMar>
              <w:top w:w="0" w:type="dxa"/>
              <w:left w:w="144" w:type="dxa"/>
              <w:bottom w:w="0" w:type="dxa"/>
              <w:right w:w="0" w:type="dxa"/>
            </w:tcMar>
            <w:hideMark/>
          </w:tcPr>
          <w:p w14:paraId="5F6578B3" w14:textId="77777777" w:rsidR="00F76607" w:rsidRDefault="001863F0">
            <w:pPr>
              <w:pStyle w:val="la2"/>
              <w:rPr>
                <w:rFonts w:eastAsiaTheme="minorEastAsia"/>
                <w:sz w:val="18"/>
                <w:szCs w:val="18"/>
              </w:rPr>
            </w:pPr>
            <w:r>
              <w:rPr>
                <w:sz w:val="18"/>
                <w:szCs w:val="18"/>
              </w:rPr>
              <w:t> </w:t>
            </w:r>
          </w:p>
        </w:tc>
        <w:tc>
          <w:tcPr>
            <w:tcW w:w="0" w:type="auto"/>
            <w:hideMark/>
          </w:tcPr>
          <w:p w14:paraId="52D45B0B" w14:textId="77777777" w:rsidR="00F76607" w:rsidRDefault="001863F0">
            <w:pPr>
              <w:pStyle w:val="NormalWeb"/>
              <w:spacing w:before="0" w:beforeAutospacing="0" w:after="0" w:afterAutospacing="0"/>
              <w:ind w:left="360" w:hanging="360"/>
              <w:rPr>
                <w:rFonts w:eastAsiaTheme="minorEastAsia"/>
                <w:sz w:val="18"/>
                <w:szCs w:val="18"/>
              </w:rPr>
            </w:pPr>
            <w:r>
              <w:rPr>
                <w:sz w:val="18"/>
                <w:szCs w:val="18"/>
              </w:rPr>
              <w:t>•</w:t>
            </w:r>
            <w:r>
              <w:rPr>
                <w:sz w:val="18"/>
                <w:szCs w:val="18"/>
              </w:rPr>
              <w:tab/>
              <w:t>Future sales of substantial amounts of the Company’s ordinary shares, or the perception that such sales could occur, could adversely affect the market value of the Shares.</w:t>
            </w:r>
          </w:p>
        </w:tc>
      </w:tr>
      <w:tr w:rsidR="00F76607" w14:paraId="2C0EDF2A" w14:textId="77777777">
        <w:trPr>
          <w:cantSplit/>
          <w:jc w:val="center"/>
        </w:trPr>
        <w:tc>
          <w:tcPr>
            <w:tcW w:w="0" w:type="auto"/>
            <w:tcMar>
              <w:top w:w="0" w:type="dxa"/>
              <w:left w:w="144" w:type="dxa"/>
              <w:bottom w:w="0" w:type="dxa"/>
              <w:right w:w="0" w:type="dxa"/>
            </w:tcMar>
            <w:hideMark/>
          </w:tcPr>
          <w:p w14:paraId="4E62F4D0" w14:textId="77777777" w:rsidR="00F76607" w:rsidRDefault="001863F0">
            <w:pPr>
              <w:pStyle w:val="la2"/>
              <w:rPr>
                <w:rFonts w:eastAsiaTheme="minorEastAsia"/>
                <w:sz w:val="18"/>
                <w:szCs w:val="18"/>
              </w:rPr>
            </w:pPr>
            <w:r>
              <w:rPr>
                <w:sz w:val="18"/>
                <w:szCs w:val="18"/>
              </w:rPr>
              <w:t> </w:t>
            </w:r>
          </w:p>
        </w:tc>
        <w:tc>
          <w:tcPr>
            <w:tcW w:w="0" w:type="auto"/>
            <w:hideMark/>
          </w:tcPr>
          <w:p w14:paraId="4556BFF4" w14:textId="77777777" w:rsidR="00F76607" w:rsidRDefault="001863F0">
            <w:pPr>
              <w:pStyle w:val="NormalWeb"/>
              <w:spacing w:before="0" w:beforeAutospacing="0" w:after="0" w:afterAutospacing="0"/>
              <w:ind w:left="360" w:hanging="360"/>
              <w:rPr>
                <w:rFonts w:eastAsiaTheme="minorEastAsia"/>
                <w:sz w:val="18"/>
                <w:szCs w:val="18"/>
              </w:rPr>
            </w:pPr>
            <w:r>
              <w:rPr>
                <w:sz w:val="18"/>
                <w:szCs w:val="18"/>
              </w:rPr>
              <w:t>•</w:t>
            </w:r>
            <w:r>
              <w:rPr>
                <w:sz w:val="18"/>
                <w:szCs w:val="18"/>
              </w:rPr>
              <w:tab/>
              <w:t>The Company may not be able to pay dividends in accordance with its stated dividend policy. There can be no assurance as to whether dividends or similar payments will be paid out in the future or, if they are paid, their amount.</w:t>
            </w:r>
          </w:p>
        </w:tc>
      </w:tr>
      <w:tr w:rsidR="00F76607" w14:paraId="6DBA46DA" w14:textId="77777777">
        <w:trPr>
          <w:cantSplit/>
          <w:jc w:val="center"/>
        </w:trPr>
        <w:tc>
          <w:tcPr>
            <w:tcW w:w="0" w:type="auto"/>
            <w:tcMar>
              <w:top w:w="0" w:type="dxa"/>
              <w:left w:w="144" w:type="dxa"/>
              <w:bottom w:w="0" w:type="dxa"/>
              <w:right w:w="0" w:type="dxa"/>
            </w:tcMar>
            <w:hideMark/>
          </w:tcPr>
          <w:p w14:paraId="51941AD5" w14:textId="77777777" w:rsidR="00F76607" w:rsidRDefault="001863F0">
            <w:pPr>
              <w:pStyle w:val="la2"/>
              <w:rPr>
                <w:rFonts w:eastAsiaTheme="minorEastAsia"/>
                <w:sz w:val="18"/>
                <w:szCs w:val="18"/>
              </w:rPr>
            </w:pPr>
            <w:r>
              <w:rPr>
                <w:sz w:val="18"/>
                <w:szCs w:val="18"/>
              </w:rPr>
              <w:t> </w:t>
            </w:r>
          </w:p>
        </w:tc>
        <w:tc>
          <w:tcPr>
            <w:tcW w:w="0" w:type="auto"/>
            <w:hideMark/>
          </w:tcPr>
          <w:p w14:paraId="39D64FA5" w14:textId="77777777" w:rsidR="00F76607" w:rsidRDefault="001863F0">
            <w:pPr>
              <w:pStyle w:val="NormalWeb"/>
              <w:spacing w:before="0" w:beforeAutospacing="0" w:after="0" w:afterAutospacing="0"/>
              <w:ind w:left="360" w:hanging="360"/>
              <w:rPr>
                <w:rFonts w:eastAsiaTheme="minorEastAsia"/>
                <w:sz w:val="18"/>
                <w:szCs w:val="18"/>
              </w:rPr>
            </w:pPr>
            <w:r>
              <w:rPr>
                <w:sz w:val="18"/>
                <w:szCs w:val="18"/>
              </w:rPr>
              <w:t>•</w:t>
            </w:r>
            <w:r>
              <w:rPr>
                <w:sz w:val="18"/>
                <w:szCs w:val="18"/>
              </w:rPr>
              <w:tab/>
              <w:t>Investors may not be able to recover in civil proceedings for U.S. securities law violations.</w:t>
            </w:r>
          </w:p>
        </w:tc>
      </w:tr>
      <w:tr w:rsidR="00F76607" w14:paraId="3C440D95" w14:textId="77777777">
        <w:trPr>
          <w:cantSplit/>
          <w:jc w:val="center"/>
        </w:trPr>
        <w:tc>
          <w:tcPr>
            <w:tcW w:w="0" w:type="auto"/>
            <w:tcMar>
              <w:top w:w="0" w:type="dxa"/>
              <w:left w:w="144" w:type="dxa"/>
              <w:bottom w:w="0" w:type="dxa"/>
              <w:right w:w="0" w:type="dxa"/>
            </w:tcMar>
            <w:hideMark/>
          </w:tcPr>
          <w:p w14:paraId="1E3D1833" w14:textId="77777777" w:rsidR="00F76607" w:rsidRDefault="001863F0">
            <w:pPr>
              <w:pStyle w:val="la2"/>
              <w:rPr>
                <w:rFonts w:eastAsiaTheme="minorEastAsia"/>
                <w:sz w:val="18"/>
                <w:szCs w:val="18"/>
              </w:rPr>
            </w:pPr>
            <w:r>
              <w:rPr>
                <w:sz w:val="18"/>
                <w:szCs w:val="18"/>
              </w:rPr>
              <w:t> </w:t>
            </w:r>
          </w:p>
        </w:tc>
        <w:tc>
          <w:tcPr>
            <w:tcW w:w="0" w:type="auto"/>
            <w:hideMark/>
          </w:tcPr>
          <w:p w14:paraId="28D631DF" w14:textId="77777777" w:rsidR="00F76607" w:rsidRDefault="001863F0">
            <w:pPr>
              <w:pStyle w:val="NormalWeb"/>
              <w:spacing w:before="0" w:beforeAutospacing="0" w:after="0" w:afterAutospacing="0"/>
              <w:ind w:left="360" w:hanging="360"/>
              <w:rPr>
                <w:rFonts w:eastAsiaTheme="minorEastAsia"/>
                <w:sz w:val="18"/>
                <w:szCs w:val="18"/>
              </w:rPr>
            </w:pPr>
            <w:r>
              <w:rPr>
                <w:sz w:val="18"/>
                <w:szCs w:val="18"/>
              </w:rPr>
              <w:t>•</w:t>
            </w:r>
            <w:r>
              <w:rPr>
                <w:sz w:val="18"/>
                <w:szCs w:val="18"/>
              </w:rPr>
              <w:tab/>
              <w:t>Investors may suffer dilution if they are unable to participate in future preferential subscription rights offerings.</w:t>
            </w:r>
          </w:p>
        </w:tc>
      </w:tr>
      <w:tr w:rsidR="00F76607" w14:paraId="6424094C" w14:textId="77777777">
        <w:trPr>
          <w:cantSplit/>
          <w:jc w:val="center"/>
        </w:trPr>
        <w:tc>
          <w:tcPr>
            <w:tcW w:w="0" w:type="auto"/>
            <w:tcMar>
              <w:top w:w="0" w:type="dxa"/>
              <w:left w:w="144" w:type="dxa"/>
              <w:bottom w:w="0" w:type="dxa"/>
              <w:right w:w="0" w:type="dxa"/>
            </w:tcMar>
            <w:hideMark/>
          </w:tcPr>
          <w:p w14:paraId="19C9D13E" w14:textId="77777777" w:rsidR="00F76607" w:rsidRDefault="001863F0">
            <w:pPr>
              <w:pStyle w:val="la2"/>
              <w:rPr>
                <w:rFonts w:eastAsiaTheme="minorEastAsia"/>
                <w:sz w:val="18"/>
                <w:szCs w:val="18"/>
              </w:rPr>
            </w:pPr>
            <w:r>
              <w:rPr>
                <w:sz w:val="18"/>
                <w:szCs w:val="18"/>
              </w:rPr>
              <w:t> </w:t>
            </w:r>
          </w:p>
        </w:tc>
        <w:tc>
          <w:tcPr>
            <w:tcW w:w="0" w:type="auto"/>
            <w:hideMark/>
          </w:tcPr>
          <w:p w14:paraId="6E6CEF45" w14:textId="77777777" w:rsidR="00F76607" w:rsidRDefault="001863F0">
            <w:pPr>
              <w:pStyle w:val="NormalWeb"/>
              <w:spacing w:before="0" w:beforeAutospacing="0" w:after="0" w:afterAutospacing="0"/>
              <w:ind w:left="360" w:hanging="360"/>
              <w:rPr>
                <w:rFonts w:eastAsiaTheme="minorEastAsia"/>
                <w:sz w:val="18"/>
                <w:szCs w:val="18"/>
              </w:rPr>
            </w:pPr>
            <w:r>
              <w:rPr>
                <w:sz w:val="18"/>
                <w:szCs w:val="18"/>
              </w:rPr>
              <w:t>•</w:t>
            </w:r>
            <w:r>
              <w:rPr>
                <w:sz w:val="18"/>
                <w:szCs w:val="18"/>
              </w:rPr>
              <w:tab/>
              <w:t>Investors with a reference currency other than Euro will become subject to foreign exchange rate risk when investing in the Shares.</w:t>
            </w:r>
          </w:p>
        </w:tc>
      </w:tr>
      <w:tr w:rsidR="00F76607" w14:paraId="61E3879F" w14:textId="77777777">
        <w:trPr>
          <w:cantSplit/>
          <w:jc w:val="center"/>
        </w:trPr>
        <w:tc>
          <w:tcPr>
            <w:tcW w:w="0" w:type="auto"/>
            <w:tcMar>
              <w:top w:w="0" w:type="dxa"/>
              <w:left w:w="144" w:type="dxa"/>
              <w:bottom w:w="0" w:type="dxa"/>
              <w:right w:w="0" w:type="dxa"/>
            </w:tcMar>
            <w:hideMark/>
          </w:tcPr>
          <w:p w14:paraId="5585A3B7" w14:textId="77777777" w:rsidR="00F76607" w:rsidRDefault="001863F0">
            <w:pPr>
              <w:pStyle w:val="la2"/>
              <w:rPr>
                <w:rFonts w:eastAsiaTheme="minorEastAsia"/>
                <w:sz w:val="18"/>
                <w:szCs w:val="18"/>
              </w:rPr>
            </w:pPr>
            <w:r>
              <w:rPr>
                <w:sz w:val="18"/>
                <w:szCs w:val="18"/>
              </w:rPr>
              <w:t> </w:t>
            </w:r>
          </w:p>
        </w:tc>
        <w:tc>
          <w:tcPr>
            <w:tcW w:w="0" w:type="auto"/>
            <w:hideMark/>
          </w:tcPr>
          <w:p w14:paraId="02E68E08" w14:textId="77777777" w:rsidR="00F76607" w:rsidRDefault="001863F0">
            <w:pPr>
              <w:pStyle w:val="NormalWeb"/>
              <w:spacing w:before="0" w:beforeAutospacing="0" w:after="0" w:afterAutospacing="0"/>
              <w:ind w:left="360" w:hanging="360"/>
              <w:rPr>
                <w:rFonts w:eastAsiaTheme="minorEastAsia"/>
                <w:sz w:val="18"/>
                <w:szCs w:val="18"/>
              </w:rPr>
            </w:pPr>
            <w:r>
              <w:rPr>
                <w:sz w:val="18"/>
                <w:szCs w:val="18"/>
              </w:rPr>
              <w:t>•</w:t>
            </w:r>
            <w:r>
              <w:rPr>
                <w:sz w:val="18"/>
                <w:szCs w:val="18"/>
              </w:rPr>
              <w:tab/>
              <w:t>Any sale, purchase or exchange of Shares may become subject to the Financial Transaction Tax.</w:t>
            </w:r>
          </w:p>
        </w:tc>
      </w:tr>
      <w:tr w:rsidR="00F76607" w14:paraId="4CEDB590" w14:textId="77777777">
        <w:trPr>
          <w:cantSplit/>
          <w:trHeight w:val="1024"/>
          <w:jc w:val="center"/>
        </w:trPr>
        <w:tc>
          <w:tcPr>
            <w:tcW w:w="0" w:type="auto"/>
            <w:tcMar>
              <w:top w:w="0" w:type="dxa"/>
              <w:left w:w="144" w:type="dxa"/>
              <w:bottom w:w="0" w:type="dxa"/>
              <w:right w:w="0" w:type="dxa"/>
            </w:tcMar>
            <w:hideMark/>
          </w:tcPr>
          <w:p w14:paraId="70D6B9E0" w14:textId="77777777" w:rsidR="00F76607" w:rsidRDefault="001863F0">
            <w:pPr>
              <w:pStyle w:val="la2"/>
              <w:rPr>
                <w:rFonts w:eastAsiaTheme="minorEastAsia"/>
                <w:sz w:val="18"/>
                <w:szCs w:val="18"/>
              </w:rPr>
            </w:pPr>
            <w:r>
              <w:rPr>
                <w:sz w:val="18"/>
                <w:szCs w:val="18"/>
              </w:rPr>
              <w:t> </w:t>
            </w:r>
          </w:p>
        </w:tc>
        <w:tc>
          <w:tcPr>
            <w:tcW w:w="0" w:type="auto"/>
            <w:hideMark/>
          </w:tcPr>
          <w:p w14:paraId="78A5B26B" w14:textId="77777777" w:rsidR="00F76607" w:rsidRDefault="001863F0">
            <w:pPr>
              <w:pStyle w:val="NormalWeb"/>
              <w:spacing w:before="0" w:beforeAutospacing="0" w:after="0" w:afterAutospacing="0"/>
              <w:ind w:left="360" w:hanging="360"/>
              <w:rPr>
                <w:sz w:val="18"/>
                <w:szCs w:val="18"/>
              </w:rPr>
            </w:pPr>
            <w:r>
              <w:rPr>
                <w:sz w:val="18"/>
                <w:szCs w:val="18"/>
              </w:rPr>
              <w:t>•</w:t>
            </w:r>
            <w:r>
              <w:rPr>
                <w:sz w:val="18"/>
                <w:szCs w:val="18"/>
              </w:rPr>
              <w:tab/>
              <w:t>Certain provisions of the Belgian Companies Code and the Articles of Association may affect potential takeover attempts and may affect the market price of the Shares.</w:t>
            </w:r>
          </w:p>
          <w:tbl>
            <w:tblPr>
              <w:tblW w:w="5000" w:type="pct"/>
              <w:jc w:val="center"/>
              <w:tblCellMar>
                <w:left w:w="0" w:type="dxa"/>
                <w:right w:w="0" w:type="dxa"/>
              </w:tblCellMar>
              <w:tblLook w:val="04A0" w:firstRow="1" w:lastRow="0" w:firstColumn="1" w:lastColumn="0" w:noHBand="0" w:noVBand="1"/>
            </w:tblPr>
            <w:tblGrid>
              <w:gridCol w:w="8953"/>
            </w:tblGrid>
            <w:tr w:rsidR="00F76607" w14:paraId="200D364F" w14:textId="77777777">
              <w:trPr>
                <w:cantSplit/>
                <w:jc w:val="center"/>
              </w:trPr>
              <w:tc>
                <w:tcPr>
                  <w:tcW w:w="0" w:type="auto"/>
                  <w:hideMark/>
                </w:tcPr>
                <w:p w14:paraId="07BAB061" w14:textId="77777777" w:rsidR="00F76607" w:rsidRDefault="001863F0">
                  <w:pPr>
                    <w:pStyle w:val="NormalWeb"/>
                    <w:spacing w:before="0" w:beforeAutospacing="0" w:after="0" w:afterAutospacing="0"/>
                    <w:ind w:left="360" w:hanging="360"/>
                    <w:rPr>
                      <w:rFonts w:eastAsiaTheme="minorEastAsia"/>
                      <w:sz w:val="18"/>
                      <w:szCs w:val="18"/>
                    </w:rPr>
                  </w:pPr>
                  <w:r>
                    <w:rPr>
                      <w:sz w:val="18"/>
                      <w:szCs w:val="18"/>
                    </w:rPr>
                    <w:t>•</w:t>
                  </w:r>
                  <w:r>
                    <w:rPr>
                      <w:sz w:val="18"/>
                      <w:szCs w:val="18"/>
                    </w:rPr>
                    <w:tab/>
                    <w:t>The market price of the Shares may prove to be highly volatile and may fluctuate significantly in response to a number of factors, many of which are beyond the Group’s control, including new government regulation, variations in operating results in the Company’s reporting periods, changes in financial estimates by securities analysts, changes in market valuation of similar companies, announcements by the Company or its competitors of significant contracts, acquisitions, strategic alliances, joint ventures, capital commitments or new services, loss of major customers, additions or departures of key personnel, any shortfall in revenue or net income or any increase in losses from levels expected by securities analysts, future issues or sales of ordinary shares, and stock market price and volume fluctuations. Any of these events could result in a material decline in the price of the Shares.</w:t>
                  </w:r>
                </w:p>
              </w:tc>
            </w:tr>
          </w:tbl>
          <w:p w14:paraId="35E92999" w14:textId="77777777" w:rsidR="00F76607" w:rsidRDefault="00F76607">
            <w:pPr>
              <w:pStyle w:val="NormalWeb"/>
              <w:spacing w:before="0" w:beforeAutospacing="0" w:after="0" w:afterAutospacing="0"/>
              <w:rPr>
                <w:sz w:val="18"/>
                <w:szCs w:val="18"/>
              </w:rPr>
            </w:pPr>
          </w:p>
        </w:tc>
      </w:tr>
      <w:tr w:rsidR="00F76607" w14:paraId="44E83272" w14:textId="77777777">
        <w:trPr>
          <w:cantSplit/>
          <w:jc w:val="center"/>
        </w:trPr>
        <w:tc>
          <w:tcPr>
            <w:tcW w:w="0" w:type="auto"/>
            <w:tcMar>
              <w:top w:w="0" w:type="dxa"/>
              <w:left w:w="144" w:type="dxa"/>
              <w:bottom w:w="0" w:type="dxa"/>
              <w:right w:w="0" w:type="dxa"/>
            </w:tcMar>
          </w:tcPr>
          <w:p w14:paraId="565B2D21" w14:textId="77777777" w:rsidR="00F76607" w:rsidRDefault="00F76607">
            <w:pPr>
              <w:pStyle w:val="la2"/>
              <w:rPr>
                <w:sz w:val="18"/>
                <w:szCs w:val="18"/>
              </w:rPr>
            </w:pPr>
          </w:p>
        </w:tc>
        <w:tc>
          <w:tcPr>
            <w:tcW w:w="0" w:type="auto"/>
          </w:tcPr>
          <w:p w14:paraId="02DF2056" w14:textId="77777777" w:rsidR="00F76607" w:rsidRDefault="001863F0">
            <w:pPr>
              <w:pStyle w:val="NormalWeb"/>
              <w:spacing w:before="0" w:beforeAutospacing="0" w:after="0" w:afterAutospacing="0"/>
              <w:ind w:left="360" w:hanging="360"/>
              <w:rPr>
                <w:sz w:val="18"/>
                <w:szCs w:val="18"/>
              </w:rPr>
            </w:pPr>
            <w:r>
              <w:rPr>
                <w:sz w:val="18"/>
                <w:szCs w:val="18"/>
              </w:rPr>
              <w:t>•</w:t>
            </w:r>
            <w:r>
              <w:rPr>
                <w:sz w:val="18"/>
                <w:szCs w:val="18"/>
              </w:rPr>
              <w:tab/>
              <w:t xml:space="preserve">The Group is subject to risks relating to related party transactions as it has maintained and continues to maintain relationships with related parties. </w:t>
            </w:r>
          </w:p>
        </w:tc>
      </w:tr>
    </w:tbl>
    <w:p w14:paraId="1AE429E4" w14:textId="77777777" w:rsidR="00F76607" w:rsidRDefault="001863F0">
      <w:pPr>
        <w:pStyle w:val="NormalWeb"/>
        <w:keepNext/>
        <w:spacing w:before="0" w:beforeAutospacing="0" w:after="0" w:afterAutospacing="0"/>
        <w:rPr>
          <w:rFonts w:eastAsiaTheme="minorEastAsia"/>
          <w:sz w:val="2"/>
          <w:szCs w:val="2"/>
        </w:rPr>
      </w:pPr>
      <w:r>
        <w:rPr>
          <w:sz w:val="2"/>
          <w:szCs w:val="2"/>
        </w:rPr>
        <w:t> </w:t>
      </w:r>
    </w:p>
    <w:p w14:paraId="3E27DE94" w14:textId="77777777" w:rsidR="00F76607" w:rsidRDefault="001863F0">
      <w:pPr>
        <w:pStyle w:val="NormalWeb"/>
        <w:keepNext/>
        <w:spacing w:before="240" w:beforeAutospacing="0" w:after="0" w:afterAutospacing="0"/>
        <w:jc w:val="center"/>
      </w:pPr>
      <w:r>
        <w:rPr>
          <w:b/>
          <w:bCs/>
          <w:sz w:val="18"/>
          <w:szCs w:val="18"/>
        </w:rPr>
        <w:t xml:space="preserve">Section E—The Offering </w:t>
      </w:r>
    </w:p>
    <w:p w14:paraId="1A92A9F0" w14:textId="77777777" w:rsidR="00F76607" w:rsidRDefault="001863F0">
      <w:pPr>
        <w:pStyle w:val="NormalWeb"/>
        <w:keepNext/>
        <w:spacing w:before="0" w:beforeAutospacing="0" w:after="0" w:afterAutospacing="0"/>
      </w:pPr>
      <w:r>
        <w:t> </w:t>
      </w:r>
    </w:p>
    <w:p w14:paraId="078E0B52" w14:textId="77777777" w:rsidR="00F76607" w:rsidRDefault="001863F0">
      <w:pPr>
        <w:pStyle w:val="NormalWeb"/>
        <w:keepNext/>
        <w:spacing w:before="0" w:beforeAutospacing="0" w:after="0" w:afterAutospacing="0"/>
        <w:rPr>
          <w:sz w:val="2"/>
          <w:szCs w:val="2"/>
        </w:rPr>
      </w:pPr>
      <w:r>
        <w:rPr>
          <w:sz w:val="2"/>
          <w:szCs w:val="2"/>
        </w:rPr>
        <w:t> </w:t>
      </w:r>
    </w:p>
    <w:tbl>
      <w:tblPr>
        <w:tblW w:w="5000" w:type="pct"/>
        <w:jc w:val="center"/>
        <w:tblLayout w:type="fixed"/>
        <w:tblCellMar>
          <w:left w:w="0" w:type="dxa"/>
          <w:right w:w="0" w:type="dxa"/>
        </w:tblCellMar>
        <w:tblLook w:val="04A0" w:firstRow="1" w:lastRow="0" w:firstColumn="1" w:lastColumn="0" w:noHBand="0" w:noVBand="1"/>
      </w:tblPr>
      <w:tblGrid>
        <w:gridCol w:w="567"/>
        <w:gridCol w:w="9186"/>
      </w:tblGrid>
      <w:tr w:rsidR="00F76607" w14:paraId="1A042E3D" w14:textId="77777777" w:rsidTr="00046D29">
        <w:trPr>
          <w:jc w:val="center"/>
        </w:trPr>
        <w:tc>
          <w:tcPr>
            <w:tcW w:w="567" w:type="dxa"/>
            <w:vAlign w:val="center"/>
            <w:hideMark/>
          </w:tcPr>
          <w:p w14:paraId="6F5505EE" w14:textId="77777777" w:rsidR="00F76607" w:rsidRDefault="00F76607">
            <w:pPr>
              <w:rPr>
                <w:sz w:val="1"/>
                <w:szCs w:val="18"/>
              </w:rPr>
            </w:pPr>
          </w:p>
        </w:tc>
        <w:tc>
          <w:tcPr>
            <w:tcW w:w="9186" w:type="dxa"/>
            <w:vAlign w:val="center"/>
            <w:hideMark/>
          </w:tcPr>
          <w:p w14:paraId="2BD15DB2" w14:textId="77777777" w:rsidR="00F76607" w:rsidRDefault="00F76607">
            <w:pPr>
              <w:rPr>
                <w:sz w:val="1"/>
                <w:szCs w:val="18"/>
              </w:rPr>
            </w:pPr>
          </w:p>
        </w:tc>
      </w:tr>
      <w:tr w:rsidR="00F76607" w14:paraId="11577718" w14:textId="77777777" w:rsidTr="00046D29">
        <w:trPr>
          <w:trHeight w:val="75"/>
          <w:jc w:val="center"/>
        </w:trPr>
        <w:tc>
          <w:tcPr>
            <w:tcW w:w="567" w:type="dxa"/>
            <w:tcBorders>
              <w:top w:val="single" w:sz="6" w:space="0" w:color="000000"/>
              <w:left w:val="single" w:sz="6" w:space="0" w:color="000000"/>
            </w:tcBorders>
            <w:shd w:val="clear" w:color="auto" w:fill="D8D8D8"/>
            <w:tcMar>
              <w:top w:w="0" w:type="dxa"/>
              <w:left w:w="160" w:type="dxa"/>
              <w:bottom w:w="0" w:type="dxa"/>
              <w:right w:w="0" w:type="dxa"/>
            </w:tcMar>
            <w:vAlign w:val="center"/>
            <w:hideMark/>
          </w:tcPr>
          <w:p w14:paraId="2D6E92F5" w14:textId="77777777" w:rsidR="00F76607" w:rsidRDefault="001863F0">
            <w:pPr>
              <w:rPr>
                <w:sz w:val="2"/>
                <w:szCs w:val="2"/>
              </w:rPr>
            </w:pPr>
            <w:r>
              <w:rPr>
                <w:sz w:val="2"/>
                <w:szCs w:val="2"/>
              </w:rPr>
              <w:t> </w:t>
            </w:r>
          </w:p>
        </w:tc>
        <w:tc>
          <w:tcPr>
            <w:tcW w:w="9186" w:type="dxa"/>
            <w:tcBorders>
              <w:top w:val="single" w:sz="6" w:space="0" w:color="000000"/>
              <w:left w:val="single" w:sz="6" w:space="0" w:color="000000"/>
              <w:right w:val="single" w:sz="6" w:space="0" w:color="000000"/>
            </w:tcBorders>
            <w:shd w:val="clear" w:color="auto" w:fill="D8D8D8"/>
            <w:vAlign w:val="center"/>
            <w:hideMark/>
          </w:tcPr>
          <w:p w14:paraId="06088EB5" w14:textId="77777777" w:rsidR="00F76607" w:rsidRDefault="001863F0">
            <w:pPr>
              <w:rPr>
                <w:sz w:val="2"/>
                <w:szCs w:val="2"/>
              </w:rPr>
            </w:pPr>
            <w:r>
              <w:rPr>
                <w:sz w:val="2"/>
                <w:szCs w:val="2"/>
              </w:rPr>
              <w:t> </w:t>
            </w:r>
          </w:p>
        </w:tc>
      </w:tr>
      <w:tr w:rsidR="00F76607" w14:paraId="58DF5743" w14:textId="77777777" w:rsidTr="00046D29">
        <w:trPr>
          <w:cantSplit/>
          <w:jc w:val="center"/>
        </w:trPr>
        <w:tc>
          <w:tcPr>
            <w:tcW w:w="567" w:type="dxa"/>
            <w:tcBorders>
              <w:left w:val="single" w:sz="6" w:space="0" w:color="000000"/>
              <w:bottom w:val="single" w:sz="6" w:space="0" w:color="000000"/>
            </w:tcBorders>
            <w:shd w:val="clear" w:color="auto" w:fill="D8D8D8"/>
            <w:tcMar>
              <w:top w:w="0" w:type="dxa"/>
              <w:left w:w="160" w:type="dxa"/>
              <w:bottom w:w="0" w:type="dxa"/>
              <w:right w:w="0" w:type="dxa"/>
            </w:tcMar>
            <w:hideMark/>
          </w:tcPr>
          <w:p w14:paraId="6380962E" w14:textId="77777777" w:rsidR="00F76607" w:rsidRDefault="001863F0">
            <w:pPr>
              <w:rPr>
                <w:sz w:val="18"/>
                <w:szCs w:val="18"/>
              </w:rPr>
            </w:pPr>
            <w:r>
              <w:rPr>
                <w:b/>
                <w:bCs/>
                <w:sz w:val="18"/>
                <w:szCs w:val="18"/>
              </w:rPr>
              <w:t>Element</w:t>
            </w:r>
          </w:p>
        </w:tc>
        <w:tc>
          <w:tcPr>
            <w:tcW w:w="9186" w:type="dxa"/>
            <w:tcBorders>
              <w:bottom w:val="single" w:sz="6" w:space="0" w:color="000000"/>
              <w:right w:val="single" w:sz="6" w:space="0" w:color="000000"/>
            </w:tcBorders>
            <w:shd w:val="clear" w:color="auto" w:fill="D8D8D8"/>
            <w:tcMar>
              <w:top w:w="0" w:type="dxa"/>
              <w:left w:w="0" w:type="dxa"/>
              <w:bottom w:w="0" w:type="dxa"/>
              <w:right w:w="40" w:type="dxa"/>
            </w:tcMar>
            <w:hideMark/>
          </w:tcPr>
          <w:p w14:paraId="570E40F8" w14:textId="77777777" w:rsidR="00F76607" w:rsidRDefault="001863F0">
            <w:pPr>
              <w:rPr>
                <w:sz w:val="18"/>
                <w:szCs w:val="18"/>
              </w:rPr>
            </w:pPr>
            <w:r>
              <w:rPr>
                <w:b/>
                <w:bCs/>
                <w:sz w:val="18"/>
                <w:szCs w:val="18"/>
              </w:rPr>
              <w:t>Disclosure requirement</w:t>
            </w:r>
          </w:p>
        </w:tc>
      </w:tr>
      <w:tr w:rsidR="00F76607" w14:paraId="04821B96" w14:textId="77777777" w:rsidTr="00046D29">
        <w:trPr>
          <w:cantSplit/>
          <w:jc w:val="center"/>
        </w:trPr>
        <w:tc>
          <w:tcPr>
            <w:tcW w:w="567" w:type="dxa"/>
            <w:hideMark/>
          </w:tcPr>
          <w:p w14:paraId="0B239822" w14:textId="77777777" w:rsidR="00F76607" w:rsidRDefault="001863F0">
            <w:pPr>
              <w:rPr>
                <w:sz w:val="18"/>
                <w:szCs w:val="18"/>
              </w:rPr>
            </w:pPr>
            <w:r>
              <w:rPr>
                <w:b/>
                <w:bCs/>
                <w:sz w:val="18"/>
                <w:szCs w:val="18"/>
              </w:rPr>
              <w:t>E.1</w:t>
            </w:r>
          </w:p>
        </w:tc>
        <w:tc>
          <w:tcPr>
            <w:tcW w:w="9186" w:type="dxa"/>
            <w:hideMark/>
          </w:tcPr>
          <w:p w14:paraId="6F900E51" w14:textId="77777777" w:rsidR="00F76607" w:rsidRDefault="001863F0">
            <w:pPr>
              <w:rPr>
                <w:sz w:val="18"/>
                <w:szCs w:val="18"/>
              </w:rPr>
            </w:pPr>
            <w:r>
              <w:rPr>
                <w:b/>
                <w:bCs/>
                <w:sz w:val="18"/>
                <w:szCs w:val="18"/>
              </w:rPr>
              <w:t>Net proceeds and expenses of the Offering</w:t>
            </w:r>
          </w:p>
        </w:tc>
      </w:tr>
      <w:tr w:rsidR="00F76607" w14:paraId="67745637" w14:textId="77777777" w:rsidTr="00046D29">
        <w:trPr>
          <w:cantSplit/>
          <w:jc w:val="center"/>
        </w:trPr>
        <w:tc>
          <w:tcPr>
            <w:tcW w:w="567" w:type="dxa"/>
            <w:tcMar>
              <w:top w:w="0" w:type="dxa"/>
              <w:left w:w="144" w:type="dxa"/>
              <w:bottom w:w="0" w:type="dxa"/>
              <w:right w:w="0" w:type="dxa"/>
            </w:tcMar>
            <w:hideMark/>
          </w:tcPr>
          <w:p w14:paraId="0E68FB2C" w14:textId="77777777" w:rsidR="00F76607" w:rsidRDefault="001863F0">
            <w:pPr>
              <w:pStyle w:val="la2"/>
              <w:rPr>
                <w:rFonts w:eastAsiaTheme="minorEastAsia"/>
                <w:sz w:val="18"/>
                <w:szCs w:val="18"/>
              </w:rPr>
            </w:pPr>
            <w:r>
              <w:rPr>
                <w:sz w:val="18"/>
                <w:szCs w:val="18"/>
              </w:rPr>
              <w:t> </w:t>
            </w:r>
          </w:p>
        </w:tc>
        <w:tc>
          <w:tcPr>
            <w:tcW w:w="9186" w:type="dxa"/>
            <w:hideMark/>
          </w:tcPr>
          <w:p w14:paraId="6C788ADE" w14:textId="589E7518" w:rsidR="00F76607" w:rsidRDefault="001863F0">
            <w:pPr>
              <w:rPr>
                <w:sz w:val="18"/>
                <w:szCs w:val="18"/>
              </w:rPr>
            </w:pPr>
            <w:r>
              <w:rPr>
                <w:sz w:val="18"/>
                <w:szCs w:val="18"/>
              </w:rPr>
              <w:t xml:space="preserve">Based on </w:t>
            </w:r>
            <w:r w:rsidR="00ED34B9">
              <w:rPr>
                <w:sz w:val="18"/>
                <w:szCs w:val="18"/>
              </w:rPr>
              <w:t>expected gross proceeds of € 266,949,571</w:t>
            </w:r>
            <w:r>
              <w:rPr>
                <w:sz w:val="18"/>
                <w:szCs w:val="18"/>
              </w:rPr>
              <w:t>, the Selling Shareholders estimate that they will receive net proceeds from the</w:t>
            </w:r>
            <w:r w:rsidR="00ED34B9">
              <w:rPr>
                <w:sz w:val="18"/>
                <w:szCs w:val="18"/>
              </w:rPr>
              <w:t xml:space="preserve"> Offering of approximately € 255,057,827.45</w:t>
            </w:r>
            <w:r>
              <w:rPr>
                <w:sz w:val="18"/>
                <w:szCs w:val="18"/>
              </w:rPr>
              <w:t>, following the deduction of fees and expenses and underwriting commissions (including discretionary incentive fees, if any) in t</w:t>
            </w:r>
            <w:r w:rsidR="00ED34B9">
              <w:rPr>
                <w:sz w:val="18"/>
                <w:szCs w:val="18"/>
              </w:rPr>
              <w:t>he amount of approximately € 11,891,743.55</w:t>
            </w:r>
            <w:r>
              <w:rPr>
                <w:sz w:val="18"/>
                <w:szCs w:val="18"/>
              </w:rPr>
              <w:t xml:space="preserve">. Assuming a full placement of the Offer Shares (including the full exercise of the Increase Option), that the Offer Price is at the mid-point of the Price Range and that the Over-allotment Option is exercised in full, the Selling Shareholders will pay approximately € </w:t>
            </w:r>
            <w:r w:rsidR="00ED34B9">
              <w:rPr>
                <w:sz w:val="18"/>
                <w:szCs w:val="18"/>
              </w:rPr>
              <w:t>11,891,743.55</w:t>
            </w:r>
            <w:r>
              <w:rPr>
                <w:sz w:val="18"/>
                <w:szCs w:val="18"/>
              </w:rPr>
              <w:t xml:space="preserve"> in expenses and commissions from cash on hand.</w:t>
            </w:r>
          </w:p>
        </w:tc>
      </w:tr>
      <w:tr w:rsidR="00F76607" w14:paraId="5B946ABC" w14:textId="77777777" w:rsidTr="00046D29">
        <w:trPr>
          <w:cantSplit/>
          <w:jc w:val="center"/>
        </w:trPr>
        <w:tc>
          <w:tcPr>
            <w:tcW w:w="567" w:type="dxa"/>
            <w:tcMar>
              <w:top w:w="0" w:type="dxa"/>
              <w:left w:w="144" w:type="dxa"/>
              <w:bottom w:w="0" w:type="dxa"/>
              <w:right w:w="0" w:type="dxa"/>
            </w:tcMar>
            <w:hideMark/>
          </w:tcPr>
          <w:p w14:paraId="751C67A6" w14:textId="77777777" w:rsidR="00F76607" w:rsidRDefault="001863F0">
            <w:pPr>
              <w:pStyle w:val="la2"/>
              <w:rPr>
                <w:rFonts w:eastAsiaTheme="minorEastAsia"/>
                <w:sz w:val="18"/>
                <w:szCs w:val="18"/>
              </w:rPr>
            </w:pPr>
            <w:r>
              <w:rPr>
                <w:sz w:val="18"/>
                <w:szCs w:val="18"/>
              </w:rPr>
              <w:t> </w:t>
            </w:r>
          </w:p>
        </w:tc>
        <w:tc>
          <w:tcPr>
            <w:tcW w:w="9186" w:type="dxa"/>
            <w:hideMark/>
          </w:tcPr>
          <w:p w14:paraId="5DC14C2E" w14:textId="77777777" w:rsidR="00F76607" w:rsidRDefault="001863F0">
            <w:pPr>
              <w:rPr>
                <w:sz w:val="18"/>
                <w:szCs w:val="18"/>
              </w:rPr>
            </w:pPr>
            <w:r>
              <w:rPr>
                <w:sz w:val="18"/>
                <w:szCs w:val="18"/>
              </w:rPr>
              <w:t>All fees and expenses related to the Offering will be borne by the Selling Shareholders.</w:t>
            </w:r>
          </w:p>
        </w:tc>
      </w:tr>
      <w:tr w:rsidR="00F76607" w14:paraId="0D6BD428" w14:textId="77777777" w:rsidTr="00046D29">
        <w:trPr>
          <w:cantSplit/>
          <w:jc w:val="center"/>
        </w:trPr>
        <w:tc>
          <w:tcPr>
            <w:tcW w:w="567" w:type="dxa"/>
            <w:hideMark/>
          </w:tcPr>
          <w:p w14:paraId="67CF88F5" w14:textId="77777777" w:rsidR="00F76607" w:rsidRDefault="001863F0">
            <w:pPr>
              <w:rPr>
                <w:sz w:val="18"/>
                <w:szCs w:val="18"/>
              </w:rPr>
            </w:pPr>
            <w:r>
              <w:rPr>
                <w:b/>
                <w:bCs/>
                <w:sz w:val="18"/>
                <w:szCs w:val="18"/>
              </w:rPr>
              <w:t>E.2a</w:t>
            </w:r>
          </w:p>
        </w:tc>
        <w:tc>
          <w:tcPr>
            <w:tcW w:w="9186" w:type="dxa"/>
            <w:hideMark/>
          </w:tcPr>
          <w:p w14:paraId="1FC616F7" w14:textId="77777777" w:rsidR="00F76607" w:rsidRDefault="001863F0">
            <w:pPr>
              <w:rPr>
                <w:sz w:val="18"/>
                <w:szCs w:val="18"/>
              </w:rPr>
            </w:pPr>
            <w:r>
              <w:rPr>
                <w:b/>
                <w:bCs/>
                <w:sz w:val="18"/>
                <w:szCs w:val="18"/>
              </w:rPr>
              <w:t>Use of proceeds and rationale of the Offering</w:t>
            </w:r>
          </w:p>
        </w:tc>
      </w:tr>
      <w:tr w:rsidR="00F76607" w14:paraId="6DBD0DBB" w14:textId="77777777" w:rsidTr="00046D29">
        <w:trPr>
          <w:cantSplit/>
          <w:jc w:val="center"/>
        </w:trPr>
        <w:tc>
          <w:tcPr>
            <w:tcW w:w="567" w:type="dxa"/>
            <w:tcMar>
              <w:top w:w="0" w:type="dxa"/>
              <w:left w:w="144" w:type="dxa"/>
              <w:bottom w:w="0" w:type="dxa"/>
              <w:right w:w="0" w:type="dxa"/>
            </w:tcMar>
            <w:hideMark/>
          </w:tcPr>
          <w:p w14:paraId="7CB6AE83" w14:textId="77777777" w:rsidR="00F76607" w:rsidRDefault="001863F0">
            <w:pPr>
              <w:pStyle w:val="la2"/>
              <w:rPr>
                <w:rFonts w:eastAsiaTheme="minorEastAsia"/>
                <w:sz w:val="18"/>
                <w:szCs w:val="18"/>
              </w:rPr>
            </w:pPr>
            <w:r>
              <w:rPr>
                <w:sz w:val="18"/>
                <w:szCs w:val="18"/>
              </w:rPr>
              <w:lastRenderedPageBreak/>
              <w:t> </w:t>
            </w:r>
          </w:p>
        </w:tc>
        <w:tc>
          <w:tcPr>
            <w:tcW w:w="9186" w:type="dxa"/>
            <w:hideMark/>
          </w:tcPr>
          <w:p w14:paraId="0751C956" w14:textId="77777777" w:rsidR="00F76607" w:rsidRDefault="001863F0">
            <w:pPr>
              <w:rPr>
                <w:sz w:val="18"/>
                <w:szCs w:val="18"/>
              </w:rPr>
            </w:pPr>
            <w:r>
              <w:rPr>
                <w:sz w:val="18"/>
                <w:szCs w:val="18"/>
              </w:rPr>
              <w:t>The net proceeds are intended to be used by the Selling Shareholders to be invested in their other businesses and activities or to support the Offering and increase the additional liquidity of the Shares to the benefit of all shareholders.</w:t>
            </w:r>
          </w:p>
          <w:p w14:paraId="67A59187" w14:textId="77777777" w:rsidR="00F76607" w:rsidRDefault="001863F0">
            <w:pPr>
              <w:rPr>
                <w:sz w:val="18"/>
                <w:szCs w:val="18"/>
              </w:rPr>
            </w:pPr>
            <w:r>
              <w:rPr>
                <w:sz w:val="18"/>
                <w:szCs w:val="18"/>
              </w:rPr>
              <w:t>The Selling Shareholders Bart Van Malderen and VM Invest NV are historic investors and shareholders of the Company who have provided the Company with the relevant funds during the initial start-up phase of the Company. Since these Selling Shareholders believe that the Group is now sufficiently mature and has the capabilities to finance its obligations and activities on a stand-alone basis, these Selling Shareholders wish to decrease their participation in the Company and redeploy their initial investment in the Group into their other businesses and activities.</w:t>
            </w:r>
          </w:p>
          <w:p w14:paraId="55CCC51A" w14:textId="77777777" w:rsidR="00F76607" w:rsidRDefault="001863F0">
            <w:pPr>
              <w:rPr>
                <w:sz w:val="18"/>
                <w:szCs w:val="18"/>
              </w:rPr>
            </w:pPr>
            <w:r>
              <w:rPr>
                <w:sz w:val="18"/>
                <w:szCs w:val="18"/>
              </w:rPr>
              <w:t>The Selling Shareholder Little Rock SA, controlled by Jan Van Geet, wishes to remain an important shareholder of the Company and Jan Van Geet wishes to remain CEO of the Group. Accordingly, this Selling Shareholder only wishes to divest a small part of the Shares it currently holds in order to support the Offering and the additional liquidity of the Shares on the trading market it believes the Offering will realize.</w:t>
            </w:r>
          </w:p>
          <w:p w14:paraId="2BB26737" w14:textId="77777777" w:rsidR="00F76607" w:rsidRDefault="001863F0">
            <w:pPr>
              <w:rPr>
                <w:sz w:val="18"/>
                <w:szCs w:val="18"/>
              </w:rPr>
            </w:pPr>
            <w:r>
              <w:rPr>
                <w:sz w:val="18"/>
                <w:szCs w:val="18"/>
              </w:rPr>
              <w:t>The Company will not receive any proceeds from the Offering.</w:t>
            </w:r>
          </w:p>
          <w:p w14:paraId="762E6A9D" w14:textId="3C908C91" w:rsidR="00F76607" w:rsidRDefault="001863F0">
            <w:pPr>
              <w:rPr>
                <w:sz w:val="18"/>
                <w:szCs w:val="18"/>
              </w:rPr>
            </w:pPr>
            <w:r>
              <w:rPr>
                <w:sz w:val="18"/>
                <w:szCs w:val="18"/>
              </w:rPr>
              <w:t>The Company believes that the Offering is in its interest. Among the benefits for the Company to be expected as a result of the Offering are the following: (</w:t>
            </w:r>
            <w:proofErr w:type="spellStart"/>
            <w:r>
              <w:rPr>
                <w:sz w:val="18"/>
                <w:szCs w:val="18"/>
              </w:rPr>
              <w:t>i</w:t>
            </w:r>
            <w:proofErr w:type="spellEnd"/>
            <w:r>
              <w:rPr>
                <w:sz w:val="18"/>
                <w:szCs w:val="18"/>
              </w:rPr>
              <w:t>) increase of the free float (from current 10</w:t>
            </w:r>
            <w:r w:rsidR="00002719">
              <w:rPr>
                <w:sz w:val="18"/>
                <w:szCs w:val="18"/>
              </w:rPr>
              <w:t>.14% of outst</w:t>
            </w:r>
            <w:r w:rsidR="00ED34B9">
              <w:rPr>
                <w:sz w:val="18"/>
                <w:szCs w:val="18"/>
              </w:rPr>
              <w:t>anding shares to 34.49</w:t>
            </w:r>
            <w:r>
              <w:rPr>
                <w:sz w:val="18"/>
                <w:szCs w:val="18"/>
              </w:rPr>
              <w:t>%) without additional shareholder dilution should enable the Company to reach more market standard trading volumes, (ii) increase of visibility of the Company on the equity markets, (iii) potential for inclusion/eligibility to be included in European Public Real Estate Association (EPRA) indices and hence further potential to increase visibility, and (iv) following the expiration of the lock-up provisions entered into by the Selling Shareholders and the Company, the Company could start using more equity financing as a financial instrument to finance future growth.</w:t>
            </w:r>
          </w:p>
        </w:tc>
      </w:tr>
      <w:tr w:rsidR="00F76607" w14:paraId="578927B8" w14:textId="77777777" w:rsidTr="00046D29">
        <w:trPr>
          <w:cantSplit/>
          <w:jc w:val="center"/>
        </w:trPr>
        <w:tc>
          <w:tcPr>
            <w:tcW w:w="567" w:type="dxa"/>
            <w:hideMark/>
          </w:tcPr>
          <w:p w14:paraId="08C4B327" w14:textId="77777777" w:rsidR="00F76607" w:rsidRDefault="001863F0">
            <w:pPr>
              <w:rPr>
                <w:sz w:val="18"/>
                <w:szCs w:val="18"/>
              </w:rPr>
            </w:pPr>
            <w:r>
              <w:rPr>
                <w:b/>
                <w:bCs/>
                <w:sz w:val="18"/>
                <w:szCs w:val="18"/>
              </w:rPr>
              <w:t>E.3</w:t>
            </w:r>
          </w:p>
        </w:tc>
        <w:tc>
          <w:tcPr>
            <w:tcW w:w="9186" w:type="dxa"/>
            <w:hideMark/>
          </w:tcPr>
          <w:p w14:paraId="7D198826" w14:textId="77777777" w:rsidR="00F76607" w:rsidRDefault="001863F0">
            <w:pPr>
              <w:rPr>
                <w:sz w:val="18"/>
                <w:szCs w:val="18"/>
              </w:rPr>
            </w:pPr>
            <w:r>
              <w:rPr>
                <w:b/>
                <w:bCs/>
                <w:sz w:val="18"/>
                <w:szCs w:val="18"/>
              </w:rPr>
              <w:t>Terms and conditions of the Offering</w:t>
            </w:r>
          </w:p>
        </w:tc>
      </w:tr>
      <w:tr w:rsidR="00F76607" w14:paraId="141A037A" w14:textId="77777777" w:rsidTr="00046D29">
        <w:trPr>
          <w:cantSplit/>
          <w:jc w:val="center"/>
        </w:trPr>
        <w:tc>
          <w:tcPr>
            <w:tcW w:w="567" w:type="dxa"/>
            <w:tcMar>
              <w:top w:w="0" w:type="dxa"/>
              <w:left w:w="144" w:type="dxa"/>
              <w:bottom w:w="0" w:type="dxa"/>
              <w:right w:w="0" w:type="dxa"/>
            </w:tcMar>
            <w:hideMark/>
          </w:tcPr>
          <w:p w14:paraId="43C598E2" w14:textId="77777777" w:rsidR="00F76607" w:rsidRDefault="001863F0">
            <w:pPr>
              <w:pStyle w:val="la2"/>
              <w:rPr>
                <w:rFonts w:eastAsiaTheme="minorEastAsia"/>
                <w:sz w:val="18"/>
                <w:szCs w:val="18"/>
              </w:rPr>
            </w:pPr>
            <w:r>
              <w:rPr>
                <w:sz w:val="18"/>
                <w:szCs w:val="18"/>
              </w:rPr>
              <w:t> </w:t>
            </w:r>
          </w:p>
        </w:tc>
        <w:tc>
          <w:tcPr>
            <w:tcW w:w="9186" w:type="dxa"/>
            <w:hideMark/>
          </w:tcPr>
          <w:p w14:paraId="0E86E42E" w14:textId="77777777" w:rsidR="00F76607" w:rsidRDefault="001863F0">
            <w:pPr>
              <w:rPr>
                <w:b/>
                <w:sz w:val="18"/>
                <w:szCs w:val="18"/>
                <w:u w:val="single"/>
              </w:rPr>
            </w:pPr>
            <w:r>
              <w:rPr>
                <w:b/>
                <w:sz w:val="18"/>
                <w:szCs w:val="18"/>
                <w:u w:val="single"/>
              </w:rPr>
              <w:t>Offer Shares</w:t>
            </w:r>
          </w:p>
          <w:p w14:paraId="67EC7686" w14:textId="7B1BF65E" w:rsidR="00F76607" w:rsidRDefault="001863F0">
            <w:pPr>
              <w:rPr>
                <w:sz w:val="18"/>
                <w:szCs w:val="18"/>
              </w:rPr>
            </w:pPr>
            <w:r>
              <w:rPr>
                <w:sz w:val="18"/>
                <w:szCs w:val="18"/>
              </w:rPr>
              <w:t xml:space="preserve">The Offering relates to the offering by the </w:t>
            </w:r>
            <w:r w:rsidR="00573949">
              <w:rPr>
                <w:sz w:val="18"/>
                <w:szCs w:val="18"/>
              </w:rPr>
              <w:t xml:space="preserve">Selling Shareholders of up to </w:t>
            </w:r>
            <w:r w:rsidR="00ED34B9">
              <w:rPr>
                <w:sz w:val="18"/>
                <w:szCs w:val="18"/>
              </w:rPr>
              <w:t>4,524,569</w:t>
            </w:r>
            <w:r w:rsidR="00E25786">
              <w:rPr>
                <w:sz w:val="18"/>
                <w:szCs w:val="18"/>
              </w:rPr>
              <w:t xml:space="preserve"> </w:t>
            </w:r>
            <w:r w:rsidR="006C2358">
              <w:rPr>
                <w:sz w:val="18"/>
                <w:szCs w:val="18"/>
              </w:rPr>
              <w:t xml:space="preserve">existing </w:t>
            </w:r>
            <w:r w:rsidR="00E25786">
              <w:rPr>
                <w:sz w:val="18"/>
                <w:szCs w:val="18"/>
              </w:rPr>
              <w:t xml:space="preserve">Shares, being </w:t>
            </w:r>
            <w:r w:rsidR="00FF66F1">
              <w:rPr>
                <w:sz w:val="18"/>
                <w:szCs w:val="18"/>
              </w:rPr>
              <w:t xml:space="preserve">approximately </w:t>
            </w:r>
            <w:r w:rsidR="00ED34B9">
              <w:rPr>
                <w:sz w:val="18"/>
                <w:szCs w:val="18"/>
              </w:rPr>
              <w:t>24.35</w:t>
            </w:r>
            <w:r w:rsidR="00573949">
              <w:rPr>
                <w:sz w:val="18"/>
                <w:szCs w:val="18"/>
              </w:rPr>
              <w:t>%</w:t>
            </w:r>
            <w:r w:rsidR="00E25786">
              <w:rPr>
                <w:sz w:val="18"/>
                <w:szCs w:val="18"/>
              </w:rPr>
              <w:t xml:space="preserve"> of the aggregate</w:t>
            </w:r>
            <w:r>
              <w:rPr>
                <w:sz w:val="18"/>
                <w:szCs w:val="18"/>
              </w:rPr>
              <w:t xml:space="preserve"> existing Shares</w:t>
            </w:r>
            <w:r w:rsidR="00065025">
              <w:rPr>
                <w:sz w:val="18"/>
                <w:szCs w:val="18"/>
              </w:rPr>
              <w:t xml:space="preserve"> </w:t>
            </w:r>
            <w:r w:rsidR="00EF7EB9">
              <w:rPr>
                <w:sz w:val="18"/>
                <w:szCs w:val="18"/>
              </w:rPr>
              <w:t>of which VM Invest NV and Bart Van Malderen will jointly offer</w:t>
            </w:r>
            <w:r w:rsidR="00C516F9">
              <w:rPr>
                <w:sz w:val="18"/>
                <w:szCs w:val="18"/>
              </w:rPr>
              <w:t xml:space="preserve"> up to</w:t>
            </w:r>
            <w:r w:rsidR="00EF7EB9">
              <w:rPr>
                <w:sz w:val="18"/>
                <w:szCs w:val="18"/>
              </w:rPr>
              <w:t xml:space="preserve"> </w:t>
            </w:r>
            <w:r w:rsidR="00ED34B9">
              <w:rPr>
                <w:sz w:val="18"/>
                <w:szCs w:val="18"/>
              </w:rPr>
              <w:t>3,781,247</w:t>
            </w:r>
            <w:r w:rsidR="006C2358">
              <w:rPr>
                <w:sz w:val="18"/>
                <w:szCs w:val="18"/>
              </w:rPr>
              <w:t xml:space="preserve"> Shares</w:t>
            </w:r>
            <w:r w:rsidR="00E25786">
              <w:rPr>
                <w:sz w:val="18"/>
                <w:szCs w:val="18"/>
              </w:rPr>
              <w:t xml:space="preserve">, being </w:t>
            </w:r>
            <w:r w:rsidR="00FF66F1">
              <w:rPr>
                <w:sz w:val="18"/>
                <w:szCs w:val="18"/>
              </w:rPr>
              <w:t xml:space="preserve">approximately </w:t>
            </w:r>
            <w:r w:rsidR="00ED34B9">
              <w:rPr>
                <w:sz w:val="18"/>
                <w:szCs w:val="18"/>
              </w:rPr>
              <w:t>20,35</w:t>
            </w:r>
            <w:r w:rsidR="00EF7EB9">
              <w:rPr>
                <w:sz w:val="18"/>
                <w:szCs w:val="18"/>
              </w:rPr>
              <w:t xml:space="preserve">% </w:t>
            </w:r>
            <w:r w:rsidR="00E25786">
              <w:rPr>
                <w:sz w:val="18"/>
                <w:szCs w:val="18"/>
              </w:rPr>
              <w:t xml:space="preserve">of the aggregate existing Shares </w:t>
            </w:r>
            <w:r w:rsidR="00EF7EB9">
              <w:rPr>
                <w:sz w:val="18"/>
                <w:szCs w:val="18"/>
              </w:rPr>
              <w:t>and Little Rock SA</w:t>
            </w:r>
            <w:r w:rsidR="00C516F9">
              <w:rPr>
                <w:sz w:val="18"/>
                <w:szCs w:val="18"/>
              </w:rPr>
              <w:t xml:space="preserve"> up to</w:t>
            </w:r>
            <w:r w:rsidR="00EF7EB9">
              <w:rPr>
                <w:sz w:val="18"/>
                <w:szCs w:val="18"/>
              </w:rPr>
              <w:t xml:space="preserve"> </w:t>
            </w:r>
            <w:r w:rsidR="00ED34B9">
              <w:rPr>
                <w:sz w:val="18"/>
                <w:szCs w:val="18"/>
              </w:rPr>
              <w:t>743,322</w:t>
            </w:r>
            <w:r w:rsidR="006C2358">
              <w:rPr>
                <w:sz w:val="18"/>
                <w:szCs w:val="18"/>
              </w:rPr>
              <w:t xml:space="preserve"> Shares</w:t>
            </w:r>
            <w:r w:rsidR="00E25786" w:rsidRPr="00E25786">
              <w:rPr>
                <w:sz w:val="18"/>
                <w:szCs w:val="18"/>
              </w:rPr>
              <w:t xml:space="preserve">, being </w:t>
            </w:r>
            <w:r w:rsidR="00FF66F1">
              <w:rPr>
                <w:sz w:val="18"/>
                <w:szCs w:val="18"/>
              </w:rPr>
              <w:t xml:space="preserve">approximately </w:t>
            </w:r>
            <w:r w:rsidR="00ED34B9">
              <w:rPr>
                <w:sz w:val="18"/>
                <w:szCs w:val="18"/>
              </w:rPr>
              <w:t>4</w:t>
            </w:r>
            <w:r w:rsidR="00E25786" w:rsidRPr="00E25786">
              <w:rPr>
                <w:sz w:val="18"/>
                <w:szCs w:val="18"/>
              </w:rPr>
              <w:t>% of the aggregate existing Shares</w:t>
            </w:r>
            <w:r>
              <w:rPr>
                <w:sz w:val="18"/>
                <w:szCs w:val="18"/>
              </w:rPr>
              <w:t>. The Offering consists of (</w:t>
            </w:r>
            <w:proofErr w:type="spellStart"/>
            <w:r>
              <w:rPr>
                <w:sz w:val="18"/>
                <w:szCs w:val="18"/>
              </w:rPr>
              <w:t>i</w:t>
            </w:r>
            <w:proofErr w:type="spellEnd"/>
            <w:r>
              <w:rPr>
                <w:sz w:val="18"/>
                <w:szCs w:val="18"/>
              </w:rPr>
              <w:t>) the Belgian Offering (i.e., a secondary public offering to retail and institutional investors in Belgium); (ii) a private placement in the United States to persons who are reasonably believed to be “qualified institutional buyers” or “QIBs” (as defined in Rule 144A under the U.S. Securities Act), in reliance on Rule 144A or pursuant to another exemption from or transaction not subject to the registration requirements under the U.S. Securities Act; and (iii) private placements to institutional investors in certain other jurisdictions. The Offering outside the United States will be made in compliance with Regulation S under the U.S. Securities Act.</w:t>
            </w:r>
            <w:r>
              <w:t xml:space="preserve"> </w:t>
            </w:r>
            <w:r>
              <w:rPr>
                <w:sz w:val="18"/>
                <w:szCs w:val="18"/>
              </w:rPr>
              <w:t>The Offer Shares are being offered only in those jurisdictions in which, and only to those persons to whom, offers of Offer Shares may be lawfully made.</w:t>
            </w:r>
          </w:p>
          <w:p w14:paraId="758BED42" w14:textId="77777777" w:rsidR="00F76607" w:rsidRDefault="00F76607">
            <w:pPr>
              <w:rPr>
                <w:sz w:val="18"/>
                <w:szCs w:val="18"/>
              </w:rPr>
            </w:pPr>
          </w:p>
        </w:tc>
      </w:tr>
      <w:tr w:rsidR="00F76607" w14:paraId="608AE24B" w14:textId="77777777" w:rsidTr="00046D29">
        <w:trPr>
          <w:cantSplit/>
          <w:jc w:val="center"/>
        </w:trPr>
        <w:tc>
          <w:tcPr>
            <w:tcW w:w="567" w:type="dxa"/>
            <w:tcMar>
              <w:top w:w="0" w:type="dxa"/>
              <w:left w:w="144" w:type="dxa"/>
              <w:bottom w:w="0" w:type="dxa"/>
              <w:right w:w="0" w:type="dxa"/>
            </w:tcMar>
            <w:hideMark/>
          </w:tcPr>
          <w:p w14:paraId="45041498" w14:textId="77777777" w:rsidR="00F76607" w:rsidRDefault="001863F0">
            <w:pPr>
              <w:pStyle w:val="la2"/>
              <w:rPr>
                <w:rFonts w:eastAsiaTheme="minorEastAsia"/>
                <w:sz w:val="18"/>
                <w:szCs w:val="18"/>
              </w:rPr>
            </w:pPr>
            <w:r>
              <w:rPr>
                <w:sz w:val="18"/>
                <w:szCs w:val="18"/>
              </w:rPr>
              <w:t> </w:t>
            </w:r>
          </w:p>
        </w:tc>
        <w:tc>
          <w:tcPr>
            <w:tcW w:w="9186" w:type="dxa"/>
            <w:hideMark/>
          </w:tcPr>
          <w:p w14:paraId="4896EAAD" w14:textId="77777777" w:rsidR="00F76607" w:rsidRDefault="001863F0">
            <w:pPr>
              <w:rPr>
                <w:b/>
                <w:sz w:val="18"/>
                <w:szCs w:val="18"/>
                <w:u w:val="single"/>
              </w:rPr>
            </w:pPr>
            <w:r>
              <w:rPr>
                <w:b/>
                <w:sz w:val="18"/>
                <w:szCs w:val="18"/>
                <w:u w:val="single"/>
              </w:rPr>
              <w:t>Retail allocation</w:t>
            </w:r>
          </w:p>
          <w:p w14:paraId="60B5D86C" w14:textId="482954EA" w:rsidR="00F76607" w:rsidRDefault="001863F0">
            <w:pPr>
              <w:rPr>
                <w:sz w:val="18"/>
                <w:szCs w:val="18"/>
              </w:rPr>
            </w:pPr>
            <w:r>
              <w:rPr>
                <w:sz w:val="18"/>
                <w:szCs w:val="18"/>
              </w:rPr>
              <w:t>Provided that there is sufficient demand, it is intended that at least</w:t>
            </w:r>
            <w:r w:rsidR="00CA4EA5">
              <w:rPr>
                <w:sz w:val="18"/>
                <w:szCs w:val="18"/>
              </w:rPr>
              <w:t xml:space="preserve"> </w:t>
            </w:r>
            <w:r w:rsidR="00573949">
              <w:rPr>
                <w:sz w:val="18"/>
                <w:szCs w:val="18"/>
              </w:rPr>
              <w:t>10</w:t>
            </w:r>
            <w:r>
              <w:rPr>
                <w:sz w:val="18"/>
                <w:szCs w:val="18"/>
              </w:rPr>
              <w:t>% of the Offer Shares will be allocated to retail investors in Belgium. The proportion of Offer Shares allocated to retail investors in Belgium may be increased or reduced if applications received from them exceed o</w:t>
            </w:r>
            <w:r w:rsidR="00CA4EA5">
              <w:rPr>
                <w:sz w:val="18"/>
                <w:szCs w:val="18"/>
              </w:rPr>
              <w:t xml:space="preserve">r do not reach, respectively, </w:t>
            </w:r>
            <w:r w:rsidR="00573949">
              <w:rPr>
                <w:sz w:val="18"/>
                <w:szCs w:val="18"/>
              </w:rPr>
              <w:t>10</w:t>
            </w:r>
            <w:r>
              <w:rPr>
                <w:sz w:val="18"/>
                <w:szCs w:val="18"/>
              </w:rPr>
              <w:t>% of the Offer Shares. Retail investors in Belgium will be treated equally in terms of allocation in case of an oversubscription of the Offering.</w:t>
            </w:r>
          </w:p>
          <w:p w14:paraId="3B3C7E74" w14:textId="77777777" w:rsidR="00F76607" w:rsidRDefault="001863F0">
            <w:pPr>
              <w:rPr>
                <w:sz w:val="18"/>
                <w:szCs w:val="18"/>
              </w:rPr>
            </w:pPr>
            <w:r>
              <w:rPr>
                <w:sz w:val="18"/>
                <w:szCs w:val="18"/>
              </w:rPr>
              <w:t>In case of over-subscription of the Offer Shares reserved for retail investors, the allocation to retail investors will be made on the basis of objective and quantitative allocation criteria, i.e. the number of shares for which applications are submitted by retail investors. Therefore, retail investors may receive fewer Offer Shares than they subscribed for.</w:t>
            </w:r>
          </w:p>
          <w:p w14:paraId="1ACBEC1A" w14:textId="77777777" w:rsidR="00F76607" w:rsidRDefault="00F76607">
            <w:pPr>
              <w:rPr>
                <w:sz w:val="18"/>
                <w:szCs w:val="18"/>
              </w:rPr>
            </w:pPr>
          </w:p>
          <w:p w14:paraId="1C2D719F" w14:textId="77777777" w:rsidR="00F76607" w:rsidRDefault="001863F0">
            <w:pPr>
              <w:rPr>
                <w:b/>
                <w:sz w:val="18"/>
                <w:szCs w:val="18"/>
              </w:rPr>
            </w:pPr>
            <w:r>
              <w:rPr>
                <w:b/>
                <w:sz w:val="18"/>
                <w:szCs w:val="18"/>
              </w:rPr>
              <w:t>Offer Price and number of Offer Shares</w:t>
            </w:r>
          </w:p>
          <w:p w14:paraId="166CA1E1" w14:textId="7A2C9B79" w:rsidR="00F76607" w:rsidRDefault="001863F0">
            <w:pPr>
              <w:rPr>
                <w:sz w:val="18"/>
                <w:szCs w:val="18"/>
              </w:rPr>
            </w:pPr>
            <w:r>
              <w:rPr>
                <w:sz w:val="18"/>
                <w:szCs w:val="18"/>
              </w:rPr>
              <w:t xml:space="preserve">The aggregate number of Offer Shares may, pursuant to the Increase </w:t>
            </w:r>
            <w:r w:rsidR="00ED34B9">
              <w:rPr>
                <w:sz w:val="18"/>
                <w:szCs w:val="18"/>
              </w:rPr>
              <w:t xml:space="preserve">Option, be increased by up to </w:t>
            </w:r>
            <w:r w:rsidR="00594A71">
              <w:rPr>
                <w:sz w:val="18"/>
                <w:szCs w:val="18"/>
              </w:rPr>
              <w:t>2</w:t>
            </w:r>
            <w:r w:rsidR="00573949">
              <w:rPr>
                <w:sz w:val="18"/>
                <w:szCs w:val="18"/>
              </w:rPr>
              <w:t>5</w:t>
            </w:r>
            <w:r>
              <w:rPr>
                <w:sz w:val="18"/>
                <w:szCs w:val="18"/>
              </w:rPr>
              <w:t>% of the aggregate number of Offer Shares initially offered. Any decision to exercise the Increase Option will be communicated, at the latest, on the date of the announcement of the Offer Price.</w:t>
            </w:r>
          </w:p>
        </w:tc>
      </w:tr>
      <w:tr w:rsidR="00F76607" w14:paraId="3316FCA8" w14:textId="77777777" w:rsidTr="00046D29">
        <w:trPr>
          <w:cantSplit/>
          <w:jc w:val="center"/>
        </w:trPr>
        <w:tc>
          <w:tcPr>
            <w:tcW w:w="567" w:type="dxa"/>
            <w:tcMar>
              <w:top w:w="0" w:type="dxa"/>
              <w:left w:w="144" w:type="dxa"/>
              <w:bottom w:w="0" w:type="dxa"/>
              <w:right w:w="0" w:type="dxa"/>
            </w:tcMar>
            <w:hideMark/>
          </w:tcPr>
          <w:p w14:paraId="4B1841DE" w14:textId="77777777" w:rsidR="00F76607" w:rsidRDefault="001863F0">
            <w:pPr>
              <w:pStyle w:val="la2"/>
              <w:rPr>
                <w:rFonts w:eastAsiaTheme="minorEastAsia"/>
                <w:sz w:val="18"/>
                <w:szCs w:val="18"/>
              </w:rPr>
            </w:pPr>
            <w:r>
              <w:rPr>
                <w:sz w:val="18"/>
                <w:szCs w:val="18"/>
              </w:rPr>
              <w:t> </w:t>
            </w:r>
          </w:p>
        </w:tc>
        <w:tc>
          <w:tcPr>
            <w:tcW w:w="9186" w:type="dxa"/>
            <w:hideMark/>
          </w:tcPr>
          <w:p w14:paraId="7CA3CDB1" w14:textId="3721E199" w:rsidR="00F76607" w:rsidRDefault="00573949" w:rsidP="006B1C59">
            <w:pPr>
              <w:rPr>
                <w:sz w:val="18"/>
                <w:szCs w:val="18"/>
              </w:rPr>
            </w:pPr>
            <w:r>
              <w:rPr>
                <w:sz w:val="18"/>
                <w:szCs w:val="18"/>
              </w:rPr>
              <w:t>There is no minimum size of the Offering</w:t>
            </w:r>
            <w:r w:rsidR="001863F0">
              <w:rPr>
                <w:sz w:val="18"/>
                <w:szCs w:val="18"/>
              </w:rPr>
              <w:t>.</w:t>
            </w:r>
            <w:r w:rsidR="001863F0">
              <w:t xml:space="preserve"> </w:t>
            </w:r>
            <w:r w:rsidR="001863F0">
              <w:rPr>
                <w:sz w:val="18"/>
                <w:szCs w:val="18"/>
              </w:rPr>
              <w:t>The Selling Shareholders reserve the right to reduce the maximum number of Offer Shares at any time prior to the allocation of the Offer Shares</w:t>
            </w:r>
            <w:r w:rsidR="00DE6F7D">
              <w:rPr>
                <w:sz w:val="18"/>
                <w:szCs w:val="18"/>
              </w:rPr>
              <w:t>. T</w:t>
            </w:r>
            <w:r w:rsidR="00002719">
              <w:rPr>
                <w:sz w:val="18"/>
                <w:szCs w:val="18"/>
              </w:rPr>
              <w:t xml:space="preserve">he Offering </w:t>
            </w:r>
            <w:r w:rsidR="00DE6F7D">
              <w:rPr>
                <w:sz w:val="18"/>
                <w:szCs w:val="18"/>
              </w:rPr>
              <w:t xml:space="preserve">will be withdrawn </w:t>
            </w:r>
            <w:r w:rsidR="00002719">
              <w:rPr>
                <w:sz w:val="18"/>
                <w:szCs w:val="18"/>
              </w:rPr>
              <w:t xml:space="preserve">in the event no underwriting agreement is executed or </w:t>
            </w:r>
            <w:r w:rsidR="006B1C59">
              <w:rPr>
                <w:sz w:val="18"/>
                <w:szCs w:val="18"/>
              </w:rPr>
              <w:t xml:space="preserve">in the event the underwriting agreement </w:t>
            </w:r>
            <w:r w:rsidR="00002719">
              <w:rPr>
                <w:sz w:val="18"/>
                <w:szCs w:val="18"/>
              </w:rPr>
              <w:t>is executed but subsequently</w:t>
            </w:r>
            <w:r w:rsidR="006B1C59">
              <w:rPr>
                <w:sz w:val="18"/>
                <w:szCs w:val="18"/>
              </w:rPr>
              <w:t xml:space="preserve"> is terminated</w:t>
            </w:r>
            <w:r w:rsidR="001863F0">
              <w:rPr>
                <w:sz w:val="18"/>
                <w:szCs w:val="18"/>
              </w:rPr>
              <w:t xml:space="preserve">. Any withdrawal of the Offering </w:t>
            </w:r>
            <w:r>
              <w:rPr>
                <w:sz w:val="18"/>
                <w:szCs w:val="18"/>
              </w:rPr>
              <w:t xml:space="preserve">or reduction of the maximum amount of Offer Shares </w:t>
            </w:r>
            <w:r w:rsidR="001863F0">
              <w:rPr>
                <w:sz w:val="18"/>
                <w:szCs w:val="18"/>
              </w:rPr>
              <w:t xml:space="preserve">will be announced by means of a Company press release </w:t>
            </w:r>
            <w:r w:rsidR="006B1C59" w:rsidRPr="006B1C59">
              <w:rPr>
                <w:sz w:val="18"/>
                <w:szCs w:val="18"/>
              </w:rPr>
              <w:t xml:space="preserve">through electronic information services such as Reuters or Bloomberg </w:t>
            </w:r>
            <w:r w:rsidR="001863F0">
              <w:rPr>
                <w:sz w:val="18"/>
                <w:szCs w:val="18"/>
              </w:rPr>
              <w:t>and in a supplement to the Prospectus. If the Offering is withdrawn, the bank accounts of the retail investors having submitted purchase orders will not be debited. Any changes to the maximum number of Offer Shares will not void purchase orders that have already been submitted.</w:t>
            </w:r>
          </w:p>
        </w:tc>
      </w:tr>
      <w:tr w:rsidR="00F76607" w14:paraId="6182834E" w14:textId="77777777" w:rsidTr="00046D29">
        <w:trPr>
          <w:cantSplit/>
          <w:jc w:val="center"/>
        </w:trPr>
        <w:tc>
          <w:tcPr>
            <w:tcW w:w="567" w:type="dxa"/>
            <w:tcMar>
              <w:top w:w="0" w:type="dxa"/>
              <w:left w:w="144" w:type="dxa"/>
              <w:bottom w:w="0" w:type="dxa"/>
              <w:right w:w="0" w:type="dxa"/>
            </w:tcMar>
            <w:hideMark/>
          </w:tcPr>
          <w:p w14:paraId="13E78E87" w14:textId="77777777" w:rsidR="00F76607" w:rsidRDefault="001863F0">
            <w:pPr>
              <w:pStyle w:val="la2"/>
              <w:rPr>
                <w:rFonts w:eastAsiaTheme="minorEastAsia"/>
                <w:sz w:val="18"/>
                <w:szCs w:val="18"/>
              </w:rPr>
            </w:pPr>
            <w:r>
              <w:rPr>
                <w:sz w:val="18"/>
                <w:szCs w:val="18"/>
              </w:rPr>
              <w:t> </w:t>
            </w:r>
          </w:p>
        </w:tc>
        <w:tc>
          <w:tcPr>
            <w:tcW w:w="9186" w:type="dxa"/>
            <w:hideMark/>
          </w:tcPr>
          <w:p w14:paraId="35538E2F" w14:textId="77777777" w:rsidR="00F76607" w:rsidRDefault="001863F0">
            <w:pPr>
              <w:rPr>
                <w:sz w:val="18"/>
                <w:szCs w:val="18"/>
              </w:rPr>
            </w:pPr>
            <w:r>
              <w:rPr>
                <w:sz w:val="18"/>
                <w:szCs w:val="18"/>
              </w:rPr>
              <w:t xml:space="preserve">The Offer Price will be determined on the basis of a </w:t>
            </w:r>
            <w:proofErr w:type="spellStart"/>
            <w:r>
              <w:rPr>
                <w:sz w:val="18"/>
                <w:szCs w:val="18"/>
              </w:rPr>
              <w:t>bookbuilding</w:t>
            </w:r>
            <w:proofErr w:type="spellEnd"/>
            <w:r>
              <w:rPr>
                <w:sz w:val="18"/>
                <w:szCs w:val="18"/>
              </w:rPr>
              <w:t xml:space="preserve"> process in which only institutional investors can participate, taking into account various relevant qualitative and quantitative elements, including but not limited to the number of Offer Shares requested, the size of purchase orders received, the quality of the investors submitting such purchase orders and the prices at which the purchase orders were made, as well as market conditions at that time. If the Price Range is modified, the change will be published by means of a Company press release, but the Offer Price but will not exceed the higher end of the Price Range. Any changes to narrow the Price Range will not void purchase orders that have already been submitted.</w:t>
            </w:r>
          </w:p>
        </w:tc>
      </w:tr>
      <w:tr w:rsidR="00F76607" w14:paraId="660188E1" w14:textId="77777777" w:rsidTr="00046D29">
        <w:trPr>
          <w:cantSplit/>
          <w:jc w:val="center"/>
        </w:trPr>
        <w:tc>
          <w:tcPr>
            <w:tcW w:w="567" w:type="dxa"/>
            <w:tcMar>
              <w:top w:w="0" w:type="dxa"/>
              <w:left w:w="144" w:type="dxa"/>
              <w:bottom w:w="0" w:type="dxa"/>
              <w:right w:w="0" w:type="dxa"/>
            </w:tcMar>
            <w:hideMark/>
          </w:tcPr>
          <w:p w14:paraId="66F42631" w14:textId="77777777" w:rsidR="00F76607" w:rsidRDefault="001863F0">
            <w:pPr>
              <w:pStyle w:val="la2"/>
              <w:rPr>
                <w:rFonts w:eastAsiaTheme="minorEastAsia"/>
                <w:sz w:val="18"/>
                <w:szCs w:val="18"/>
              </w:rPr>
            </w:pPr>
            <w:r>
              <w:rPr>
                <w:sz w:val="18"/>
                <w:szCs w:val="18"/>
              </w:rPr>
              <w:t> </w:t>
            </w:r>
          </w:p>
        </w:tc>
        <w:tc>
          <w:tcPr>
            <w:tcW w:w="9186" w:type="dxa"/>
            <w:hideMark/>
          </w:tcPr>
          <w:p w14:paraId="3F6A245B" w14:textId="33510FC2" w:rsidR="00F76607" w:rsidRDefault="001863F0">
            <w:pPr>
              <w:rPr>
                <w:sz w:val="18"/>
                <w:szCs w:val="18"/>
              </w:rPr>
            </w:pPr>
            <w:r>
              <w:rPr>
                <w:sz w:val="18"/>
                <w:szCs w:val="18"/>
              </w:rPr>
              <w:t>The Offering Period will begi</w:t>
            </w:r>
            <w:r w:rsidR="00ED34B9">
              <w:rPr>
                <w:sz w:val="18"/>
                <w:szCs w:val="18"/>
              </w:rPr>
              <w:t>n on 12</w:t>
            </w:r>
            <w:r w:rsidR="00573949">
              <w:rPr>
                <w:sz w:val="18"/>
                <w:szCs w:val="18"/>
              </w:rPr>
              <w:t xml:space="preserve"> October 2017</w:t>
            </w:r>
            <w:r>
              <w:rPr>
                <w:sz w:val="18"/>
                <w:szCs w:val="18"/>
              </w:rPr>
              <w:t xml:space="preserve"> and is ex</w:t>
            </w:r>
            <w:r w:rsidR="00ED34B9">
              <w:rPr>
                <w:sz w:val="18"/>
                <w:szCs w:val="18"/>
              </w:rPr>
              <w:t xml:space="preserve">pected to close no later than 1 p.m. on </w:t>
            </w:r>
            <w:r w:rsidR="001146AD">
              <w:rPr>
                <w:sz w:val="18"/>
                <w:szCs w:val="18"/>
              </w:rPr>
              <w:t>25</w:t>
            </w:r>
            <w:r w:rsidR="00573949">
              <w:rPr>
                <w:sz w:val="18"/>
                <w:szCs w:val="18"/>
              </w:rPr>
              <w:t xml:space="preserve"> October 2017</w:t>
            </w:r>
            <w:r>
              <w:rPr>
                <w:sz w:val="18"/>
                <w:szCs w:val="18"/>
              </w:rPr>
              <w:t>, subject to the possibility of an early closing, provided that the Offering Period will in any event be open for at least three business days from the availability of this Prospectus. The Prospectus will be made available as of the first day of the Offering Period. The Offering Period can be closed, at the earliest, three business days after the start of the Offering Period and, hence, prospective investors can submit their orders at least during three business days after the start of</w:t>
            </w:r>
            <w:r w:rsidR="006B1C59">
              <w:rPr>
                <w:sz w:val="18"/>
                <w:szCs w:val="18"/>
              </w:rPr>
              <w:t xml:space="preserve"> the Offering Period. However, </w:t>
            </w:r>
            <w:r>
              <w:rPr>
                <w:sz w:val="18"/>
                <w:szCs w:val="18"/>
              </w:rPr>
              <w:t>and with</w:t>
            </w:r>
            <w:r w:rsidR="006B1C59">
              <w:rPr>
                <w:sz w:val="18"/>
                <w:szCs w:val="18"/>
              </w:rPr>
              <w:t>out prejudice to the foregoing,</w:t>
            </w:r>
            <w:r>
              <w:rPr>
                <w:sz w:val="18"/>
                <w:szCs w:val="18"/>
              </w:rPr>
              <w:t xml:space="preserve"> in accordance with the possibility provided for in art. 3, § 2 of the Royal Decree of 17 May 2007 on primary market practices, the Selling Shareholders expect the subscription period for the retail offering to end </w:t>
            </w:r>
            <w:r w:rsidR="00ED34B9">
              <w:rPr>
                <w:sz w:val="18"/>
                <w:szCs w:val="18"/>
              </w:rPr>
              <w:t xml:space="preserve">no later than </w:t>
            </w:r>
            <w:r w:rsidR="0008334F">
              <w:rPr>
                <w:sz w:val="18"/>
                <w:szCs w:val="18"/>
              </w:rPr>
              <w:t>4</w:t>
            </w:r>
            <w:r w:rsidR="00ED34B9">
              <w:rPr>
                <w:sz w:val="18"/>
                <w:szCs w:val="18"/>
              </w:rPr>
              <w:t xml:space="preserve"> p.</w:t>
            </w:r>
            <w:r w:rsidR="001146AD">
              <w:rPr>
                <w:sz w:val="18"/>
                <w:szCs w:val="18"/>
              </w:rPr>
              <w:t>m. CET on 24</w:t>
            </w:r>
            <w:r w:rsidR="00ED34B9">
              <w:rPr>
                <w:sz w:val="18"/>
                <w:szCs w:val="18"/>
              </w:rPr>
              <w:t xml:space="preserve"> October</w:t>
            </w:r>
            <w:r w:rsidR="00594A71" w:rsidRPr="00594A71">
              <w:rPr>
                <w:sz w:val="18"/>
                <w:szCs w:val="18"/>
              </w:rPr>
              <w:t xml:space="preserve"> 2017</w:t>
            </w:r>
            <w:r w:rsidR="00594A71">
              <w:rPr>
                <w:sz w:val="18"/>
                <w:szCs w:val="18"/>
              </w:rPr>
              <w:t>,</w:t>
            </w:r>
            <w:r w:rsidR="00594A71" w:rsidRPr="00594A71">
              <w:rPr>
                <w:sz w:val="18"/>
                <w:szCs w:val="18"/>
              </w:rPr>
              <w:t xml:space="preserve"> </w:t>
            </w:r>
            <w:r>
              <w:rPr>
                <w:sz w:val="18"/>
                <w:szCs w:val="18"/>
              </w:rPr>
              <w:t xml:space="preserve">the day before the end of the institutional </w:t>
            </w:r>
            <w:proofErr w:type="spellStart"/>
            <w:r>
              <w:rPr>
                <w:sz w:val="18"/>
                <w:szCs w:val="18"/>
              </w:rPr>
              <w:t>bookbuilding</w:t>
            </w:r>
            <w:proofErr w:type="spellEnd"/>
            <w:r>
              <w:rPr>
                <w:sz w:val="18"/>
                <w:szCs w:val="18"/>
              </w:rPr>
              <w:t xml:space="preserve"> period, due to the timing and logistical constraints associated with the centralization of the subscriptions placed by retail investors with the Underwriters and with other financial institutions.</w:t>
            </w:r>
          </w:p>
        </w:tc>
      </w:tr>
      <w:tr w:rsidR="00F76607" w14:paraId="62153A65" w14:textId="77777777" w:rsidTr="00046D29">
        <w:trPr>
          <w:cantSplit/>
          <w:jc w:val="center"/>
        </w:trPr>
        <w:tc>
          <w:tcPr>
            <w:tcW w:w="567" w:type="dxa"/>
            <w:tcMar>
              <w:top w:w="0" w:type="dxa"/>
              <w:left w:w="144" w:type="dxa"/>
              <w:bottom w:w="0" w:type="dxa"/>
              <w:right w:w="0" w:type="dxa"/>
            </w:tcMar>
            <w:hideMark/>
          </w:tcPr>
          <w:p w14:paraId="63ED0710" w14:textId="77777777" w:rsidR="00F76607" w:rsidRDefault="001863F0">
            <w:pPr>
              <w:pStyle w:val="la2"/>
              <w:rPr>
                <w:rFonts w:eastAsiaTheme="minorEastAsia"/>
                <w:sz w:val="18"/>
                <w:szCs w:val="18"/>
              </w:rPr>
            </w:pPr>
            <w:r>
              <w:rPr>
                <w:sz w:val="18"/>
                <w:szCs w:val="18"/>
              </w:rPr>
              <w:lastRenderedPageBreak/>
              <w:t> </w:t>
            </w:r>
          </w:p>
        </w:tc>
        <w:tc>
          <w:tcPr>
            <w:tcW w:w="9186" w:type="dxa"/>
            <w:hideMark/>
          </w:tcPr>
          <w:p w14:paraId="1734DD29" w14:textId="77777777" w:rsidR="00F76607" w:rsidRDefault="001863F0">
            <w:pPr>
              <w:rPr>
                <w:sz w:val="18"/>
                <w:szCs w:val="18"/>
              </w:rPr>
            </w:pPr>
            <w:r>
              <w:rPr>
                <w:sz w:val="18"/>
                <w:szCs w:val="18"/>
              </w:rPr>
              <w:t>Any early closing of the Offering Period will be announced by means of a Company press release, and the dates for each of pricing, allocation, publication of the Offer Price and the results of the Offering and closing of the Offering will in such case be adjusted accordingly. The Offering Period can only be closed earlier in case of a coordinated action between the Underwriters. Prospective investors can submit their purchase orders during the Offering Period. Taking into account the fact that the Offering Period may be closed early, investors are invited to submit their applications as promptly as possible.</w:t>
            </w:r>
          </w:p>
        </w:tc>
      </w:tr>
      <w:tr w:rsidR="00F76607" w14:paraId="0586BE2F" w14:textId="77777777" w:rsidTr="00046D29">
        <w:trPr>
          <w:cantSplit/>
          <w:jc w:val="center"/>
        </w:trPr>
        <w:tc>
          <w:tcPr>
            <w:tcW w:w="567" w:type="dxa"/>
            <w:tcMar>
              <w:top w:w="0" w:type="dxa"/>
              <w:left w:w="144" w:type="dxa"/>
              <w:bottom w:w="0" w:type="dxa"/>
              <w:right w:w="0" w:type="dxa"/>
            </w:tcMar>
            <w:hideMark/>
          </w:tcPr>
          <w:p w14:paraId="636E1FFD" w14:textId="77777777" w:rsidR="00F76607" w:rsidRDefault="001863F0">
            <w:pPr>
              <w:pStyle w:val="la2"/>
              <w:rPr>
                <w:rFonts w:eastAsiaTheme="minorEastAsia"/>
                <w:sz w:val="18"/>
                <w:szCs w:val="18"/>
              </w:rPr>
            </w:pPr>
            <w:r>
              <w:rPr>
                <w:sz w:val="18"/>
                <w:szCs w:val="18"/>
              </w:rPr>
              <w:t> </w:t>
            </w:r>
          </w:p>
        </w:tc>
        <w:tc>
          <w:tcPr>
            <w:tcW w:w="9186" w:type="dxa"/>
            <w:hideMark/>
          </w:tcPr>
          <w:p w14:paraId="12CE0AF3" w14:textId="752F5AAF" w:rsidR="00F76607" w:rsidRDefault="001863F0">
            <w:pPr>
              <w:rPr>
                <w:sz w:val="18"/>
                <w:szCs w:val="18"/>
              </w:rPr>
            </w:pPr>
            <w:r>
              <w:rPr>
                <w:sz w:val="18"/>
                <w:szCs w:val="18"/>
              </w:rPr>
              <w:t>If an important new factor, material mistake or inaccuracy relating to information contained in the Prospectus, which could influence the investors’ evaluation of the securities, occurs before the end of the Offering Period, a supplement to the Prospectus shall b</w:t>
            </w:r>
            <w:r w:rsidR="006B1C59">
              <w:rPr>
                <w:sz w:val="18"/>
                <w:szCs w:val="18"/>
              </w:rPr>
              <w:t>e published in accordance with a</w:t>
            </w:r>
            <w:r>
              <w:rPr>
                <w:sz w:val="18"/>
                <w:szCs w:val="18"/>
              </w:rPr>
              <w:t>rticle 34 of the Prospectus Law.</w:t>
            </w:r>
          </w:p>
        </w:tc>
      </w:tr>
      <w:tr w:rsidR="00F76607" w14:paraId="0A6E2E1D" w14:textId="77777777" w:rsidTr="00046D29">
        <w:trPr>
          <w:cantSplit/>
          <w:jc w:val="center"/>
        </w:trPr>
        <w:tc>
          <w:tcPr>
            <w:tcW w:w="567" w:type="dxa"/>
            <w:tcMar>
              <w:top w:w="0" w:type="dxa"/>
              <w:left w:w="144" w:type="dxa"/>
              <w:bottom w:w="0" w:type="dxa"/>
              <w:right w:w="0" w:type="dxa"/>
            </w:tcMar>
            <w:hideMark/>
          </w:tcPr>
          <w:p w14:paraId="1D3AC381" w14:textId="77777777" w:rsidR="00F76607" w:rsidRDefault="001863F0">
            <w:pPr>
              <w:pStyle w:val="la2"/>
              <w:rPr>
                <w:rFonts w:eastAsiaTheme="minorEastAsia"/>
                <w:sz w:val="18"/>
                <w:szCs w:val="18"/>
              </w:rPr>
            </w:pPr>
            <w:r>
              <w:rPr>
                <w:sz w:val="18"/>
                <w:szCs w:val="18"/>
              </w:rPr>
              <w:t> </w:t>
            </w:r>
          </w:p>
        </w:tc>
        <w:tc>
          <w:tcPr>
            <w:tcW w:w="9186" w:type="dxa"/>
            <w:hideMark/>
          </w:tcPr>
          <w:p w14:paraId="726AE8B4" w14:textId="517ACAAC" w:rsidR="00F76607" w:rsidRDefault="001863F0" w:rsidP="00065025">
            <w:pPr>
              <w:rPr>
                <w:sz w:val="18"/>
                <w:szCs w:val="18"/>
              </w:rPr>
            </w:pPr>
            <w:r>
              <w:rPr>
                <w:sz w:val="18"/>
                <w:szCs w:val="18"/>
              </w:rPr>
              <w:t>A supplement to this Prospectus will b</w:t>
            </w:r>
            <w:r w:rsidR="00577A36">
              <w:rPr>
                <w:sz w:val="18"/>
                <w:szCs w:val="18"/>
              </w:rPr>
              <w:t>e published in accordance with a</w:t>
            </w:r>
            <w:r>
              <w:rPr>
                <w:sz w:val="18"/>
                <w:szCs w:val="18"/>
              </w:rPr>
              <w:t>rticle 34 of the Prospectus Law in the event (</w:t>
            </w:r>
            <w:proofErr w:type="spellStart"/>
            <w:r>
              <w:rPr>
                <w:sz w:val="18"/>
                <w:szCs w:val="18"/>
              </w:rPr>
              <w:t>i</w:t>
            </w:r>
            <w:proofErr w:type="spellEnd"/>
            <w:r>
              <w:rPr>
                <w:sz w:val="18"/>
                <w:szCs w:val="18"/>
              </w:rPr>
              <w:t xml:space="preserve">) the Offering Period is extended, (ii) the lower limit of the Price Range is decreased or the Offer Price is set below the lower end of the Price Range, or (iii) the maximum number of Offer Shares is reduced, including due to an early closing of the Offering Period without placement of the total number of </w:t>
            </w:r>
            <w:r w:rsidR="00046D29">
              <w:rPr>
                <w:sz w:val="18"/>
                <w:szCs w:val="18"/>
              </w:rPr>
              <w:t>Offer Share</w:t>
            </w:r>
            <w:r>
              <w:rPr>
                <w:sz w:val="18"/>
                <w:szCs w:val="18"/>
              </w:rPr>
              <w:t>s</w:t>
            </w:r>
            <w:r w:rsidR="00046D29">
              <w:rPr>
                <w:sz w:val="18"/>
                <w:szCs w:val="18"/>
              </w:rPr>
              <w:t xml:space="preserve"> (excluding the Increase Option),</w:t>
            </w:r>
            <w:r>
              <w:rPr>
                <w:sz w:val="18"/>
                <w:szCs w:val="18"/>
              </w:rPr>
              <w:t xml:space="preserve"> or (iv) the underwriting agreement is not executed or is executed but subsequently terminated</w:t>
            </w:r>
            <w:r w:rsidR="006B1C59">
              <w:rPr>
                <w:sz w:val="18"/>
                <w:szCs w:val="18"/>
              </w:rPr>
              <w:t xml:space="preserve"> and</w:t>
            </w:r>
            <w:r w:rsidR="00594A71">
              <w:rPr>
                <w:sz w:val="18"/>
                <w:szCs w:val="18"/>
              </w:rPr>
              <w:t xml:space="preserve"> the Offering is withdrawn</w:t>
            </w:r>
            <w:r>
              <w:rPr>
                <w:sz w:val="18"/>
                <w:szCs w:val="18"/>
              </w:rPr>
              <w:t>.</w:t>
            </w:r>
          </w:p>
        </w:tc>
      </w:tr>
      <w:tr w:rsidR="00F76607" w14:paraId="29AF326B" w14:textId="77777777" w:rsidTr="00046D29">
        <w:trPr>
          <w:cantSplit/>
          <w:jc w:val="center"/>
        </w:trPr>
        <w:tc>
          <w:tcPr>
            <w:tcW w:w="567" w:type="dxa"/>
            <w:tcMar>
              <w:top w:w="0" w:type="dxa"/>
              <w:left w:w="144" w:type="dxa"/>
              <w:bottom w:w="0" w:type="dxa"/>
              <w:right w:w="0" w:type="dxa"/>
            </w:tcMar>
            <w:hideMark/>
          </w:tcPr>
          <w:p w14:paraId="3FEBD797" w14:textId="77777777" w:rsidR="00F76607" w:rsidRDefault="001863F0">
            <w:pPr>
              <w:pStyle w:val="la2"/>
              <w:rPr>
                <w:rFonts w:eastAsiaTheme="minorEastAsia"/>
                <w:sz w:val="18"/>
                <w:szCs w:val="18"/>
              </w:rPr>
            </w:pPr>
            <w:r>
              <w:rPr>
                <w:sz w:val="18"/>
                <w:szCs w:val="18"/>
              </w:rPr>
              <w:t> </w:t>
            </w:r>
          </w:p>
        </w:tc>
        <w:tc>
          <w:tcPr>
            <w:tcW w:w="9186" w:type="dxa"/>
            <w:hideMark/>
          </w:tcPr>
          <w:p w14:paraId="55BA9984" w14:textId="77777777" w:rsidR="00F76607" w:rsidRDefault="001863F0">
            <w:pPr>
              <w:rPr>
                <w:sz w:val="18"/>
                <w:szCs w:val="18"/>
              </w:rPr>
            </w:pPr>
            <w:r>
              <w:rPr>
                <w:sz w:val="18"/>
                <w:szCs w:val="18"/>
              </w:rPr>
              <w:t>If such supplement to the Prospectus is published, investors will have the right to withdraw their orders made prior to the publication of the supplement. Such withdrawal must be done within the time period set forth in the supplement (which shall not be shorter than two business days after publication of the supplement).</w:t>
            </w:r>
          </w:p>
          <w:p w14:paraId="72A038BD" w14:textId="77777777" w:rsidR="00F76607" w:rsidRDefault="00F76607">
            <w:pPr>
              <w:rPr>
                <w:sz w:val="18"/>
                <w:szCs w:val="18"/>
              </w:rPr>
            </w:pPr>
          </w:p>
          <w:p w14:paraId="07AD980F" w14:textId="77777777" w:rsidR="00F76607" w:rsidRDefault="001863F0">
            <w:pPr>
              <w:rPr>
                <w:b/>
                <w:sz w:val="18"/>
                <w:szCs w:val="18"/>
                <w:u w:val="single"/>
              </w:rPr>
            </w:pPr>
            <w:r>
              <w:rPr>
                <w:b/>
                <w:sz w:val="18"/>
                <w:szCs w:val="18"/>
                <w:u w:val="single"/>
              </w:rPr>
              <w:t>Over-allotment Option</w:t>
            </w:r>
          </w:p>
        </w:tc>
      </w:tr>
      <w:tr w:rsidR="00F76607" w14:paraId="458FD616" w14:textId="77777777" w:rsidTr="00046D29">
        <w:trPr>
          <w:cantSplit/>
          <w:jc w:val="center"/>
        </w:trPr>
        <w:tc>
          <w:tcPr>
            <w:tcW w:w="567" w:type="dxa"/>
            <w:tcMar>
              <w:top w:w="0" w:type="dxa"/>
              <w:left w:w="144" w:type="dxa"/>
              <w:bottom w:w="0" w:type="dxa"/>
              <w:right w:w="0" w:type="dxa"/>
            </w:tcMar>
            <w:hideMark/>
          </w:tcPr>
          <w:p w14:paraId="412E0AD6" w14:textId="77777777" w:rsidR="00F76607" w:rsidRDefault="001863F0">
            <w:pPr>
              <w:pStyle w:val="la2"/>
              <w:rPr>
                <w:rFonts w:eastAsiaTheme="minorEastAsia"/>
                <w:sz w:val="18"/>
                <w:szCs w:val="18"/>
              </w:rPr>
            </w:pPr>
            <w:r>
              <w:rPr>
                <w:sz w:val="18"/>
                <w:szCs w:val="18"/>
              </w:rPr>
              <w:t> </w:t>
            </w:r>
          </w:p>
        </w:tc>
        <w:tc>
          <w:tcPr>
            <w:tcW w:w="9186" w:type="dxa"/>
            <w:hideMark/>
          </w:tcPr>
          <w:p w14:paraId="1E629706" w14:textId="744389AC" w:rsidR="00F76607" w:rsidRDefault="001863F0">
            <w:pPr>
              <w:rPr>
                <w:sz w:val="18"/>
                <w:szCs w:val="18"/>
              </w:rPr>
            </w:pPr>
            <w:r>
              <w:rPr>
                <w:sz w:val="18"/>
                <w:szCs w:val="18"/>
              </w:rPr>
              <w:t>The Selling Sharehold</w:t>
            </w:r>
            <w:r w:rsidR="00594A71">
              <w:rPr>
                <w:sz w:val="18"/>
                <w:szCs w:val="18"/>
              </w:rPr>
              <w:t xml:space="preserve">ers are expected to grant to </w:t>
            </w:r>
            <w:r w:rsidR="00CA4EA5">
              <w:rPr>
                <w:sz w:val="18"/>
                <w:szCs w:val="18"/>
              </w:rPr>
              <w:t>KBC Securities</w:t>
            </w:r>
            <w:r>
              <w:rPr>
                <w:sz w:val="18"/>
                <w:szCs w:val="18"/>
              </w:rPr>
              <w:t>, as Stabilization Manager, on behalf of itself and the Underwriters, an Over-allotment Option, i.e., an option to purchase additional Shares in an ag</w:t>
            </w:r>
            <w:r w:rsidR="00ED34B9">
              <w:rPr>
                <w:sz w:val="18"/>
                <w:szCs w:val="18"/>
              </w:rPr>
              <w:t xml:space="preserve">gregate amount equal to up to </w:t>
            </w:r>
            <w:r w:rsidR="00594A71">
              <w:rPr>
                <w:sz w:val="18"/>
                <w:szCs w:val="18"/>
              </w:rPr>
              <w:t>15</w:t>
            </w:r>
            <w:r>
              <w:rPr>
                <w:sz w:val="18"/>
                <w:szCs w:val="18"/>
              </w:rPr>
              <w:t>% of the aggregate number of subscribed Offer Shares (including the Offer Shares sold pursuant to the effective exercise of the Increase Option) to cover over-allotments or short positions, if any, at the Offer Price. The Over-allotment Option may be exercised for a period of 30 days following the Pricing Date.</w:t>
            </w:r>
          </w:p>
          <w:p w14:paraId="47488E81" w14:textId="77777777" w:rsidR="00F76607" w:rsidRDefault="00F76607">
            <w:pPr>
              <w:rPr>
                <w:sz w:val="18"/>
                <w:szCs w:val="18"/>
              </w:rPr>
            </w:pPr>
          </w:p>
        </w:tc>
      </w:tr>
      <w:tr w:rsidR="00F76607" w14:paraId="62840EF9" w14:textId="77777777" w:rsidTr="00046D29">
        <w:trPr>
          <w:cantSplit/>
          <w:jc w:val="center"/>
        </w:trPr>
        <w:tc>
          <w:tcPr>
            <w:tcW w:w="567" w:type="dxa"/>
            <w:tcMar>
              <w:top w:w="0" w:type="dxa"/>
              <w:left w:w="144" w:type="dxa"/>
              <w:bottom w:w="0" w:type="dxa"/>
              <w:right w:w="0" w:type="dxa"/>
            </w:tcMar>
            <w:hideMark/>
          </w:tcPr>
          <w:p w14:paraId="3A14E10F" w14:textId="77777777" w:rsidR="00F76607" w:rsidRDefault="001863F0">
            <w:pPr>
              <w:pStyle w:val="la2"/>
              <w:rPr>
                <w:rFonts w:eastAsiaTheme="minorEastAsia"/>
                <w:sz w:val="18"/>
                <w:szCs w:val="18"/>
              </w:rPr>
            </w:pPr>
            <w:r>
              <w:rPr>
                <w:sz w:val="18"/>
                <w:szCs w:val="18"/>
              </w:rPr>
              <w:t> </w:t>
            </w:r>
          </w:p>
        </w:tc>
        <w:tc>
          <w:tcPr>
            <w:tcW w:w="9186" w:type="dxa"/>
            <w:hideMark/>
          </w:tcPr>
          <w:p w14:paraId="4E0AD8D6" w14:textId="77777777" w:rsidR="00F76607" w:rsidRDefault="001863F0">
            <w:pPr>
              <w:pStyle w:val="NormalWeb"/>
              <w:keepNext/>
              <w:spacing w:before="0" w:beforeAutospacing="0" w:after="0" w:afterAutospacing="0"/>
            </w:pPr>
            <w:r>
              <w:rPr>
                <w:b/>
                <w:bCs/>
                <w:sz w:val="18"/>
                <w:szCs w:val="18"/>
              </w:rPr>
              <w:t xml:space="preserve">Payment and Taxes </w:t>
            </w:r>
          </w:p>
          <w:p w14:paraId="112D6229" w14:textId="77777777" w:rsidR="00F76607" w:rsidRDefault="001863F0">
            <w:r>
              <w:rPr>
                <w:sz w:val="18"/>
                <w:szCs w:val="18"/>
              </w:rPr>
              <w:t xml:space="preserve">The Offer Price must be paid by the investors in full, in Euro, together with any applicable stock exchange taxes and costs. </w:t>
            </w:r>
          </w:p>
          <w:p w14:paraId="151B7F43" w14:textId="77777777" w:rsidR="00F76607" w:rsidRDefault="001863F0">
            <w:pPr>
              <w:rPr>
                <w:sz w:val="18"/>
                <w:szCs w:val="18"/>
              </w:rPr>
            </w:pPr>
            <w:r>
              <w:rPr>
                <w:sz w:val="18"/>
                <w:szCs w:val="18"/>
              </w:rPr>
              <w:t xml:space="preserve"> The Offer Price must be paid by investors by authorizing their financial institutions to debit their bank accounts with such amount for value on the Closing Date, unless the Offering has been withdrawn.</w:t>
            </w:r>
          </w:p>
          <w:p w14:paraId="5AEDE1F0" w14:textId="77777777" w:rsidR="00F76607" w:rsidRDefault="00F76607">
            <w:pPr>
              <w:rPr>
                <w:sz w:val="18"/>
                <w:szCs w:val="18"/>
              </w:rPr>
            </w:pPr>
          </w:p>
          <w:p w14:paraId="7301A1A8" w14:textId="77777777" w:rsidR="00F76607" w:rsidRDefault="001863F0">
            <w:pPr>
              <w:pStyle w:val="NormalWeb"/>
              <w:keepNext/>
              <w:spacing w:before="0" w:beforeAutospacing="0" w:after="0" w:afterAutospacing="0"/>
            </w:pPr>
            <w:r>
              <w:rPr>
                <w:b/>
                <w:bCs/>
                <w:sz w:val="18"/>
                <w:szCs w:val="18"/>
              </w:rPr>
              <w:t xml:space="preserve">Form of the Offer Shares and Delivery </w:t>
            </w:r>
          </w:p>
          <w:p w14:paraId="20A39255" w14:textId="59D7C886" w:rsidR="00F76607" w:rsidRDefault="001863F0">
            <w:r>
              <w:rPr>
                <w:sz w:val="18"/>
                <w:szCs w:val="18"/>
              </w:rPr>
              <w:t>The Offer Shares will have the same rights and benefits as the Shares, including the right to</w:t>
            </w:r>
            <w:r w:rsidR="00AF7864">
              <w:rPr>
                <w:sz w:val="18"/>
                <w:szCs w:val="18"/>
              </w:rPr>
              <w:t xml:space="preserve"> receive</w:t>
            </w:r>
            <w:r>
              <w:rPr>
                <w:sz w:val="18"/>
                <w:szCs w:val="18"/>
              </w:rPr>
              <w:t xml:space="preserve"> dividends for the financial year ending 31 December 2017 and future years. </w:t>
            </w:r>
          </w:p>
          <w:p w14:paraId="3E319AB9" w14:textId="77777777" w:rsidR="00F76607" w:rsidRDefault="001863F0">
            <w:r>
              <w:rPr>
                <w:sz w:val="18"/>
                <w:szCs w:val="18"/>
              </w:rPr>
              <w:t xml:space="preserve">All Offer Shares will be delivered in book-entry form only, and will be credited on or around the Closing Date to investors’ securities accounts via Euroclear Belgium, the Belgian central securities depository, </w:t>
            </w:r>
            <w:proofErr w:type="spellStart"/>
            <w:r>
              <w:rPr>
                <w:sz w:val="18"/>
                <w:szCs w:val="18"/>
              </w:rPr>
              <w:t>Koning</w:t>
            </w:r>
            <w:proofErr w:type="spellEnd"/>
            <w:r>
              <w:rPr>
                <w:sz w:val="18"/>
                <w:szCs w:val="18"/>
              </w:rPr>
              <w:t xml:space="preserve"> Albert II </w:t>
            </w:r>
            <w:proofErr w:type="spellStart"/>
            <w:r>
              <w:rPr>
                <w:sz w:val="18"/>
                <w:szCs w:val="18"/>
              </w:rPr>
              <w:t>laan</w:t>
            </w:r>
            <w:proofErr w:type="spellEnd"/>
            <w:r>
              <w:rPr>
                <w:sz w:val="18"/>
                <w:szCs w:val="18"/>
              </w:rPr>
              <w:t xml:space="preserve"> 1, B-1210 Brussels, Belgium. </w:t>
            </w:r>
          </w:p>
          <w:p w14:paraId="10098EDD" w14:textId="77777777" w:rsidR="00F76607" w:rsidRDefault="001863F0">
            <w:r>
              <w:rPr>
                <w:sz w:val="18"/>
                <w:szCs w:val="18"/>
              </w:rPr>
              <w:t xml:space="preserve">Investors who, after delivery, wish to have their shares registered, should request that the Company record the Shares in the Company’s share register. </w:t>
            </w:r>
          </w:p>
          <w:p w14:paraId="59BA7E17" w14:textId="77777777" w:rsidR="00F76607" w:rsidRDefault="001863F0">
            <w:pPr>
              <w:rPr>
                <w:sz w:val="18"/>
                <w:szCs w:val="18"/>
              </w:rPr>
            </w:pPr>
            <w:r>
              <w:rPr>
                <w:sz w:val="18"/>
                <w:szCs w:val="18"/>
              </w:rPr>
              <w:t>Holders of registered shares may request that their registered shares be converted into dematerialized shares and vice versa. Any costs incurred in connection with the conversion of Shares into another form will be borne by such shareholders.</w:t>
            </w:r>
          </w:p>
        </w:tc>
      </w:tr>
      <w:tr w:rsidR="00F76607" w14:paraId="3A5D2E02" w14:textId="77777777" w:rsidTr="00046D29">
        <w:trPr>
          <w:cantSplit/>
          <w:jc w:val="center"/>
        </w:trPr>
        <w:tc>
          <w:tcPr>
            <w:tcW w:w="567" w:type="dxa"/>
            <w:hideMark/>
          </w:tcPr>
          <w:p w14:paraId="7F3F3F65" w14:textId="77777777" w:rsidR="00F76607" w:rsidRDefault="001863F0">
            <w:pPr>
              <w:rPr>
                <w:sz w:val="18"/>
                <w:szCs w:val="18"/>
              </w:rPr>
            </w:pPr>
            <w:r>
              <w:rPr>
                <w:b/>
                <w:bCs/>
                <w:sz w:val="18"/>
                <w:szCs w:val="18"/>
              </w:rPr>
              <w:t>E.4</w:t>
            </w:r>
          </w:p>
        </w:tc>
        <w:tc>
          <w:tcPr>
            <w:tcW w:w="9186" w:type="dxa"/>
            <w:hideMark/>
          </w:tcPr>
          <w:p w14:paraId="386FF6D5" w14:textId="77777777" w:rsidR="00F76607" w:rsidRDefault="001863F0">
            <w:pPr>
              <w:rPr>
                <w:sz w:val="18"/>
                <w:szCs w:val="18"/>
              </w:rPr>
            </w:pPr>
            <w:r>
              <w:rPr>
                <w:b/>
                <w:bCs/>
                <w:sz w:val="18"/>
                <w:szCs w:val="18"/>
              </w:rPr>
              <w:t>Material interests to the Offering</w:t>
            </w:r>
          </w:p>
        </w:tc>
      </w:tr>
      <w:tr w:rsidR="00F76607" w14:paraId="3F97C8E5" w14:textId="77777777" w:rsidTr="00046D29">
        <w:trPr>
          <w:cantSplit/>
          <w:jc w:val="center"/>
        </w:trPr>
        <w:tc>
          <w:tcPr>
            <w:tcW w:w="567" w:type="dxa"/>
            <w:tcMar>
              <w:top w:w="0" w:type="dxa"/>
              <w:left w:w="144" w:type="dxa"/>
              <w:bottom w:w="0" w:type="dxa"/>
              <w:right w:w="0" w:type="dxa"/>
            </w:tcMar>
            <w:hideMark/>
          </w:tcPr>
          <w:p w14:paraId="23BADA65" w14:textId="77777777" w:rsidR="00F76607" w:rsidRDefault="001863F0">
            <w:pPr>
              <w:pStyle w:val="la2"/>
              <w:rPr>
                <w:rFonts w:eastAsiaTheme="minorEastAsia"/>
                <w:sz w:val="18"/>
                <w:szCs w:val="18"/>
              </w:rPr>
            </w:pPr>
            <w:r>
              <w:rPr>
                <w:sz w:val="18"/>
                <w:szCs w:val="18"/>
              </w:rPr>
              <w:t> </w:t>
            </w:r>
          </w:p>
        </w:tc>
        <w:tc>
          <w:tcPr>
            <w:tcW w:w="9186" w:type="dxa"/>
            <w:hideMark/>
          </w:tcPr>
          <w:p w14:paraId="52591C19" w14:textId="424D4CB8" w:rsidR="00F76607" w:rsidRDefault="001863F0">
            <w:pPr>
              <w:rPr>
                <w:sz w:val="18"/>
                <w:szCs w:val="18"/>
              </w:rPr>
            </w:pPr>
            <w:r>
              <w:rPr>
                <w:sz w:val="18"/>
                <w:szCs w:val="18"/>
              </w:rPr>
              <w:t xml:space="preserve">Assuming placement of the maximum number of Offer Shares (including the full exercise of the Increase Option), that the Offer Price is at the mid-point of the Price Range and that the Over-allotment Option is exercised in full, the underwriting fees will </w:t>
            </w:r>
            <w:r w:rsidR="00ED34B9">
              <w:rPr>
                <w:sz w:val="18"/>
                <w:szCs w:val="18"/>
              </w:rPr>
              <w:t>be € 13,430,898.36</w:t>
            </w:r>
            <w:r>
              <w:rPr>
                <w:sz w:val="18"/>
                <w:szCs w:val="18"/>
              </w:rPr>
              <w:t>. This does not include any incentive fees which may be paid at the discretion of the Selling Shareholders. The underwriting fees of 3.50% of the gross proceeds of the Offering, plus any discretionary incentive fees up to 0.50% of the gross proceeds of the Offering, will be paid by the Selling Shareholders. The Selling Shareholders have also agreed to reimburse the Underwriters for certain expenses incurred by them i</w:t>
            </w:r>
            <w:r w:rsidR="00ED34B9">
              <w:rPr>
                <w:sz w:val="18"/>
                <w:szCs w:val="18"/>
              </w:rPr>
              <w:t>n connection with the Offering.</w:t>
            </w:r>
          </w:p>
        </w:tc>
      </w:tr>
      <w:tr w:rsidR="00F76607" w14:paraId="334D0EF5" w14:textId="77777777" w:rsidTr="00046D29">
        <w:trPr>
          <w:cantSplit/>
          <w:jc w:val="center"/>
        </w:trPr>
        <w:tc>
          <w:tcPr>
            <w:tcW w:w="567" w:type="dxa"/>
            <w:tcMar>
              <w:top w:w="0" w:type="dxa"/>
              <w:left w:w="144" w:type="dxa"/>
              <w:bottom w:w="0" w:type="dxa"/>
              <w:right w:w="0" w:type="dxa"/>
            </w:tcMar>
            <w:hideMark/>
          </w:tcPr>
          <w:p w14:paraId="3D02BC8D" w14:textId="77777777" w:rsidR="00F76607" w:rsidRDefault="001863F0">
            <w:pPr>
              <w:pStyle w:val="la2"/>
              <w:rPr>
                <w:rFonts w:eastAsiaTheme="minorEastAsia"/>
                <w:sz w:val="18"/>
                <w:szCs w:val="18"/>
              </w:rPr>
            </w:pPr>
            <w:r>
              <w:rPr>
                <w:sz w:val="18"/>
                <w:szCs w:val="18"/>
              </w:rPr>
              <w:t> </w:t>
            </w:r>
          </w:p>
        </w:tc>
        <w:tc>
          <w:tcPr>
            <w:tcW w:w="9186" w:type="dxa"/>
            <w:vMerge w:val="restart"/>
            <w:hideMark/>
          </w:tcPr>
          <w:p w14:paraId="2D085261" w14:textId="6C590930" w:rsidR="00F76607" w:rsidRDefault="001863F0" w:rsidP="00624F6B">
            <w:pPr>
              <w:pStyle w:val="NormalWeb"/>
              <w:keepNext/>
              <w:spacing w:before="0" w:after="0"/>
              <w:rPr>
                <w:sz w:val="18"/>
                <w:szCs w:val="18"/>
              </w:rPr>
            </w:pPr>
            <w:r>
              <w:rPr>
                <w:sz w:val="18"/>
                <w:szCs w:val="18"/>
              </w:rPr>
              <w:t>Certain of the Underwriters and/or their respective affiliates have engaged or may in the future, from time to time, engage in commercial banking (including loans and credit facilities), investment banking and financial advisory and ancillary activities in the ordinary course of their business with the Company or any parties related to it, in respect of which they have received or may in the future receive customary fees and commissions. Such agreements include the following: (</w:t>
            </w:r>
            <w:proofErr w:type="spellStart"/>
            <w:r>
              <w:rPr>
                <w:sz w:val="18"/>
                <w:szCs w:val="18"/>
              </w:rPr>
              <w:t>i</w:t>
            </w:r>
            <w:proofErr w:type="spellEnd"/>
            <w:r>
              <w:rPr>
                <w:sz w:val="18"/>
                <w:szCs w:val="18"/>
              </w:rPr>
              <w:t xml:space="preserve">) in June 2017, September 2016 and November 2013, KBC Securities acted as lead manager and bookrunner with respect to the public offering of bonds issued by the Company; (ii) in March 2017, KBC Bank NV acted as sole manager and bookrunner for the private placement of bonds issued by the Company, and (iii) the Company entered into an interest rate swap with KBC Bank NV, for a notional amount of € 75 million during the first half of 2015. </w:t>
            </w:r>
            <w:r>
              <w:rPr>
                <w:bCs/>
                <w:sz w:val="18"/>
                <w:szCs w:val="18"/>
              </w:rPr>
              <w:t>This interest rate swap will start in December 2018 and will run until December 2023. The interest rate swap is intended to cover future, expected floating interest rate exposures. The</w:t>
            </w:r>
            <w:r w:rsidR="006B106F">
              <w:rPr>
                <w:bCs/>
                <w:sz w:val="18"/>
                <w:szCs w:val="18"/>
              </w:rPr>
              <w:t xml:space="preserve"> </w:t>
            </w:r>
            <w:r>
              <w:rPr>
                <w:bCs/>
                <w:sz w:val="18"/>
                <w:szCs w:val="18"/>
              </w:rPr>
              <w:t>interest r</w:t>
            </w:r>
            <w:r w:rsidR="00093CC8">
              <w:rPr>
                <w:bCs/>
                <w:sz w:val="18"/>
                <w:szCs w:val="18"/>
              </w:rPr>
              <w:t>ate which has been fixed is 0.965</w:t>
            </w:r>
            <w:r>
              <w:rPr>
                <w:bCs/>
                <w:sz w:val="18"/>
                <w:szCs w:val="18"/>
              </w:rPr>
              <w:t>% per annum</w:t>
            </w:r>
            <w:r>
              <w:rPr>
                <w:sz w:val="18"/>
                <w:szCs w:val="18"/>
              </w:rPr>
              <w:t xml:space="preserve">. </w:t>
            </w:r>
          </w:p>
        </w:tc>
      </w:tr>
      <w:tr w:rsidR="00F76607" w14:paraId="0B8CCB7B" w14:textId="77777777" w:rsidTr="00046D29">
        <w:trPr>
          <w:cantSplit/>
          <w:jc w:val="center"/>
        </w:trPr>
        <w:tc>
          <w:tcPr>
            <w:tcW w:w="567" w:type="dxa"/>
            <w:tcMar>
              <w:top w:w="0" w:type="dxa"/>
              <w:left w:w="144" w:type="dxa"/>
              <w:bottom w:w="0" w:type="dxa"/>
              <w:right w:w="0" w:type="dxa"/>
            </w:tcMar>
            <w:hideMark/>
          </w:tcPr>
          <w:p w14:paraId="2E439DEE" w14:textId="77777777" w:rsidR="00F76607" w:rsidRDefault="001863F0">
            <w:pPr>
              <w:pStyle w:val="la2"/>
              <w:rPr>
                <w:rFonts w:eastAsiaTheme="minorEastAsia"/>
                <w:sz w:val="18"/>
                <w:szCs w:val="18"/>
              </w:rPr>
            </w:pPr>
            <w:r>
              <w:rPr>
                <w:sz w:val="18"/>
                <w:szCs w:val="18"/>
              </w:rPr>
              <w:t> </w:t>
            </w:r>
          </w:p>
        </w:tc>
        <w:tc>
          <w:tcPr>
            <w:tcW w:w="9186" w:type="dxa"/>
            <w:vMerge/>
            <w:hideMark/>
          </w:tcPr>
          <w:p w14:paraId="730E6D87" w14:textId="77777777" w:rsidR="00F76607" w:rsidRDefault="00F76607">
            <w:pPr>
              <w:pStyle w:val="NormalWeb"/>
              <w:keepNext/>
              <w:spacing w:before="0" w:beforeAutospacing="0" w:after="0" w:afterAutospacing="0"/>
              <w:rPr>
                <w:rFonts w:eastAsiaTheme="minorEastAsia"/>
                <w:sz w:val="18"/>
                <w:szCs w:val="18"/>
              </w:rPr>
            </w:pPr>
          </w:p>
        </w:tc>
      </w:tr>
      <w:tr w:rsidR="00F76607" w14:paraId="5457C4E3" w14:textId="77777777" w:rsidTr="00046D29">
        <w:trPr>
          <w:cantSplit/>
          <w:jc w:val="center"/>
        </w:trPr>
        <w:tc>
          <w:tcPr>
            <w:tcW w:w="567" w:type="dxa"/>
            <w:tcMar>
              <w:top w:w="0" w:type="dxa"/>
              <w:left w:w="144" w:type="dxa"/>
              <w:bottom w:w="0" w:type="dxa"/>
              <w:right w:w="0" w:type="dxa"/>
            </w:tcMar>
            <w:hideMark/>
          </w:tcPr>
          <w:p w14:paraId="3366F5D7" w14:textId="77777777" w:rsidR="00F76607" w:rsidRDefault="001863F0">
            <w:pPr>
              <w:pStyle w:val="la2"/>
              <w:rPr>
                <w:rFonts w:eastAsiaTheme="minorEastAsia"/>
                <w:sz w:val="18"/>
                <w:szCs w:val="18"/>
              </w:rPr>
            </w:pPr>
            <w:r>
              <w:rPr>
                <w:sz w:val="18"/>
                <w:szCs w:val="18"/>
              </w:rPr>
              <w:t> </w:t>
            </w:r>
          </w:p>
        </w:tc>
        <w:tc>
          <w:tcPr>
            <w:tcW w:w="9186" w:type="dxa"/>
            <w:hideMark/>
          </w:tcPr>
          <w:p w14:paraId="0FF20FE0" w14:textId="77777777" w:rsidR="00F76607" w:rsidRDefault="001863F0">
            <w:pPr>
              <w:rPr>
                <w:sz w:val="18"/>
                <w:szCs w:val="18"/>
              </w:rPr>
            </w:pPr>
            <w:r>
              <w:rPr>
                <w:sz w:val="18"/>
                <w:szCs w:val="18"/>
              </w:rPr>
              <w:t>Except as disclosed above, no other party has a material interest in the Offering other than the Selling Shareholders and the Company.</w:t>
            </w:r>
          </w:p>
        </w:tc>
      </w:tr>
      <w:tr w:rsidR="00F76607" w14:paraId="0212A625" w14:textId="77777777" w:rsidTr="00046D29">
        <w:trPr>
          <w:cantSplit/>
          <w:jc w:val="center"/>
        </w:trPr>
        <w:tc>
          <w:tcPr>
            <w:tcW w:w="567" w:type="dxa"/>
            <w:tcMar>
              <w:top w:w="0" w:type="dxa"/>
              <w:left w:w="144" w:type="dxa"/>
              <w:bottom w:w="0" w:type="dxa"/>
              <w:right w:w="0" w:type="dxa"/>
            </w:tcMar>
            <w:hideMark/>
          </w:tcPr>
          <w:p w14:paraId="4629215D" w14:textId="77777777" w:rsidR="00F76607" w:rsidRDefault="001863F0">
            <w:pPr>
              <w:pStyle w:val="la2"/>
              <w:rPr>
                <w:rFonts w:eastAsiaTheme="minorEastAsia"/>
                <w:sz w:val="18"/>
                <w:szCs w:val="18"/>
              </w:rPr>
            </w:pPr>
            <w:r>
              <w:rPr>
                <w:sz w:val="18"/>
                <w:szCs w:val="18"/>
              </w:rPr>
              <w:t> </w:t>
            </w:r>
          </w:p>
        </w:tc>
        <w:tc>
          <w:tcPr>
            <w:tcW w:w="9186" w:type="dxa"/>
            <w:hideMark/>
          </w:tcPr>
          <w:p w14:paraId="32F1D204" w14:textId="77777777" w:rsidR="00F76607" w:rsidRDefault="001863F0">
            <w:pPr>
              <w:rPr>
                <w:sz w:val="18"/>
                <w:szCs w:val="18"/>
              </w:rPr>
            </w:pPr>
            <w:r>
              <w:rPr>
                <w:sz w:val="18"/>
                <w:szCs w:val="18"/>
              </w:rPr>
              <w:t>All fees and expenses related to the Offering will be borne by the Selling Shareholders.</w:t>
            </w:r>
          </w:p>
        </w:tc>
      </w:tr>
      <w:tr w:rsidR="00F76607" w14:paraId="1221CE6B" w14:textId="77777777" w:rsidTr="00046D29">
        <w:trPr>
          <w:cantSplit/>
          <w:jc w:val="center"/>
        </w:trPr>
        <w:tc>
          <w:tcPr>
            <w:tcW w:w="567" w:type="dxa"/>
            <w:hideMark/>
          </w:tcPr>
          <w:p w14:paraId="207C7FE2" w14:textId="77777777" w:rsidR="00F76607" w:rsidRDefault="001863F0">
            <w:pPr>
              <w:rPr>
                <w:sz w:val="18"/>
                <w:szCs w:val="18"/>
              </w:rPr>
            </w:pPr>
            <w:r>
              <w:rPr>
                <w:b/>
                <w:bCs/>
                <w:sz w:val="18"/>
                <w:szCs w:val="18"/>
              </w:rPr>
              <w:t>E.5</w:t>
            </w:r>
          </w:p>
        </w:tc>
        <w:tc>
          <w:tcPr>
            <w:tcW w:w="9186" w:type="dxa"/>
            <w:hideMark/>
          </w:tcPr>
          <w:p w14:paraId="6342BB8C" w14:textId="77777777" w:rsidR="00F76607" w:rsidRDefault="001863F0">
            <w:pPr>
              <w:rPr>
                <w:sz w:val="18"/>
                <w:szCs w:val="18"/>
              </w:rPr>
            </w:pPr>
            <w:r>
              <w:rPr>
                <w:b/>
                <w:bCs/>
                <w:sz w:val="18"/>
                <w:szCs w:val="18"/>
              </w:rPr>
              <w:t>Selling Shareholders and Lock-ups</w:t>
            </w:r>
          </w:p>
        </w:tc>
      </w:tr>
      <w:tr w:rsidR="00F76607" w14:paraId="19E3B318" w14:textId="77777777" w:rsidTr="00046D29">
        <w:trPr>
          <w:cantSplit/>
          <w:jc w:val="center"/>
        </w:trPr>
        <w:tc>
          <w:tcPr>
            <w:tcW w:w="567" w:type="dxa"/>
            <w:tcMar>
              <w:top w:w="0" w:type="dxa"/>
              <w:left w:w="144" w:type="dxa"/>
              <w:bottom w:w="0" w:type="dxa"/>
              <w:right w:w="0" w:type="dxa"/>
            </w:tcMar>
            <w:hideMark/>
          </w:tcPr>
          <w:p w14:paraId="35F88935" w14:textId="77777777" w:rsidR="00F76607" w:rsidRDefault="001863F0">
            <w:pPr>
              <w:pStyle w:val="la2"/>
              <w:rPr>
                <w:rFonts w:eastAsiaTheme="minorEastAsia"/>
                <w:sz w:val="18"/>
                <w:szCs w:val="18"/>
              </w:rPr>
            </w:pPr>
            <w:r>
              <w:rPr>
                <w:sz w:val="18"/>
                <w:szCs w:val="18"/>
              </w:rPr>
              <w:lastRenderedPageBreak/>
              <w:t> </w:t>
            </w:r>
          </w:p>
        </w:tc>
        <w:tc>
          <w:tcPr>
            <w:tcW w:w="9186" w:type="dxa"/>
            <w:hideMark/>
          </w:tcPr>
          <w:p w14:paraId="1AB481C9" w14:textId="48D1B4F3" w:rsidR="00F76607" w:rsidRDefault="001863F0">
            <w:pPr>
              <w:rPr>
                <w:sz w:val="18"/>
                <w:szCs w:val="18"/>
              </w:rPr>
            </w:pPr>
            <w:r>
              <w:rPr>
                <w:sz w:val="18"/>
                <w:szCs w:val="18"/>
              </w:rPr>
              <w:t xml:space="preserve">The Company is expected to agree pursuant to the Underwriting Agreement (which is expected to be entered into </w:t>
            </w:r>
            <w:r w:rsidR="00ED34B9">
              <w:rPr>
                <w:sz w:val="18"/>
                <w:szCs w:val="18"/>
              </w:rPr>
              <w:t xml:space="preserve">on or about </w:t>
            </w:r>
            <w:r w:rsidR="001146AD">
              <w:rPr>
                <w:sz w:val="18"/>
                <w:szCs w:val="18"/>
              </w:rPr>
              <w:t>25</w:t>
            </w:r>
            <w:r w:rsidR="00594A71">
              <w:rPr>
                <w:sz w:val="18"/>
                <w:szCs w:val="18"/>
              </w:rPr>
              <w:t xml:space="preserve"> October 2017</w:t>
            </w:r>
            <w:r>
              <w:rPr>
                <w:sz w:val="18"/>
                <w:szCs w:val="18"/>
              </w:rPr>
              <w:t>) that it will not, and will procure that none of its subsidiaries will, for a period of 180 days from the Closing Date, without the prior written consent of the Joint Global Coordinators, acting on behalf of the Underwriters (subject to certain limited exceptions): (</w:t>
            </w:r>
            <w:proofErr w:type="spellStart"/>
            <w:r>
              <w:rPr>
                <w:sz w:val="18"/>
                <w:szCs w:val="18"/>
              </w:rPr>
              <w:t>i</w:t>
            </w:r>
            <w:proofErr w:type="spellEnd"/>
            <w:r>
              <w:rPr>
                <w:sz w:val="18"/>
                <w:szCs w:val="18"/>
              </w:rPr>
              <w:t>) directly or indirectly, issue, offer, pledge, sell, contract to sell, sell or grant any option, right, warrant or contract to purchase, exercise any option to sell, purchase any option or contract to sell, or lend or otherwise transfer or dispose of any Shares or other shares of the Company, or any securities convertible into or exercisable or exchangeable for Shares or other shares of the Company, or file any registration statement under the U.S. Securities Act or any similar document with any other securities regulator, stock exchange or listing authority with respect to any of the foregoing; (ii) enter into any swap or any other agreement or any transaction that transfers, in whole or in part, directly or indirectly, the economic consequence of ownership of any Shares or other shares of the Company, whether any such transaction described in (</w:t>
            </w:r>
            <w:proofErr w:type="spellStart"/>
            <w:r>
              <w:rPr>
                <w:sz w:val="18"/>
                <w:szCs w:val="18"/>
              </w:rPr>
              <w:t>i</w:t>
            </w:r>
            <w:proofErr w:type="spellEnd"/>
            <w:r>
              <w:rPr>
                <w:sz w:val="18"/>
                <w:szCs w:val="18"/>
              </w:rPr>
              <w:t>) or (ii) above is to be settled by delivery of Shares or other securities, in cash or otherwise; or (iii) publicly announce such an intention to effect any such transaction. The foregoing shall not apply to: (</w:t>
            </w:r>
            <w:proofErr w:type="spellStart"/>
            <w:r>
              <w:rPr>
                <w:sz w:val="18"/>
                <w:szCs w:val="18"/>
              </w:rPr>
              <w:t>i</w:t>
            </w:r>
            <w:proofErr w:type="spellEnd"/>
            <w:r>
              <w:rPr>
                <w:sz w:val="18"/>
                <w:szCs w:val="18"/>
              </w:rPr>
              <w:t>) any corporate action in connection with a takeover offer, capital reorganization, legal merger, split up or similar transaction or process, in each case to the extent involving the Company; (ii) the issuance of any non-convertible bonds or other financial instruments by the Company for the purposes of financing or refinancing its outstanding obligations, (iii) the granting of awards in options or Shares by the Company or the issuance of Shares upon exercise of options granted by the Company pursuant to employee incentive schemes, or (iv) the disposal of any Shares by the Associate.</w:t>
            </w:r>
          </w:p>
        </w:tc>
      </w:tr>
      <w:tr w:rsidR="00F76607" w14:paraId="70B6EAD0" w14:textId="77777777" w:rsidTr="00046D29">
        <w:trPr>
          <w:cantSplit/>
          <w:jc w:val="center"/>
        </w:trPr>
        <w:tc>
          <w:tcPr>
            <w:tcW w:w="567" w:type="dxa"/>
            <w:tcMar>
              <w:top w:w="0" w:type="dxa"/>
              <w:left w:w="144" w:type="dxa"/>
              <w:bottom w:w="0" w:type="dxa"/>
              <w:right w:w="0" w:type="dxa"/>
            </w:tcMar>
            <w:hideMark/>
          </w:tcPr>
          <w:p w14:paraId="4F5A669A" w14:textId="77777777" w:rsidR="00F76607" w:rsidRDefault="001863F0">
            <w:pPr>
              <w:pStyle w:val="la2"/>
              <w:rPr>
                <w:rFonts w:eastAsiaTheme="minorEastAsia"/>
                <w:sz w:val="18"/>
                <w:szCs w:val="18"/>
              </w:rPr>
            </w:pPr>
            <w:r>
              <w:rPr>
                <w:sz w:val="18"/>
                <w:szCs w:val="18"/>
              </w:rPr>
              <w:t> </w:t>
            </w:r>
          </w:p>
        </w:tc>
        <w:tc>
          <w:tcPr>
            <w:tcW w:w="9186" w:type="dxa"/>
            <w:hideMark/>
          </w:tcPr>
          <w:p w14:paraId="5A1EF557" w14:textId="63382D24" w:rsidR="00F76607" w:rsidRDefault="001863F0">
            <w:pPr>
              <w:rPr>
                <w:sz w:val="18"/>
                <w:szCs w:val="18"/>
              </w:rPr>
            </w:pPr>
            <w:r>
              <w:rPr>
                <w:sz w:val="18"/>
                <w:szCs w:val="18"/>
              </w:rPr>
              <w:t>In addition, the Selling Shareholders are expected to agree pursuant to the Underwriting Agreement (which is expected t</w:t>
            </w:r>
            <w:r w:rsidR="00ED34B9">
              <w:rPr>
                <w:sz w:val="18"/>
                <w:szCs w:val="18"/>
              </w:rPr>
              <w:t xml:space="preserve">o be entered into on or about </w:t>
            </w:r>
            <w:r w:rsidR="001146AD">
              <w:rPr>
                <w:sz w:val="18"/>
                <w:szCs w:val="18"/>
              </w:rPr>
              <w:t>25</w:t>
            </w:r>
            <w:r w:rsidR="00594A71">
              <w:rPr>
                <w:sz w:val="18"/>
                <w:szCs w:val="18"/>
              </w:rPr>
              <w:t xml:space="preserve"> October 2017</w:t>
            </w:r>
            <w:r>
              <w:rPr>
                <w:sz w:val="18"/>
                <w:szCs w:val="18"/>
              </w:rPr>
              <w:t>) that for a period of 180 days from the Closing Date, they will not, without the prior written consent of the Joint Global Coordinators, acting on behalf of the Underwriters (</w:t>
            </w:r>
            <w:proofErr w:type="spellStart"/>
            <w:r>
              <w:rPr>
                <w:sz w:val="18"/>
                <w:szCs w:val="18"/>
              </w:rPr>
              <w:t>i</w:t>
            </w:r>
            <w:proofErr w:type="spellEnd"/>
            <w:r>
              <w:rPr>
                <w:sz w:val="18"/>
                <w:szCs w:val="18"/>
              </w:rPr>
              <w:t>) directly or indirectly, issue, offer, pledge, sell, contract to sell, sell or grant any option, right, warrant or contract to purchase, exercise any option to sell, purchase any option or contract to sell, or lend or otherwise transfer or dispose of any Shares or other shares of the Company, or any securities convertible into or exercisable or exchangeable for Shares or other shares of the Company, or request or demand that the Company file any registration statement under the U.S. Securities Act or any similar document with any other securities regulator, stock exchange or listing authority with respect to any of the foregoing; or (ii) enter into any swap or any other agreement or any transaction that transfers, in whole or in part, directly or indirectly, the economic consequence of ownership of any Shares or other shares of the Company, whether any such transaction described in (</w:t>
            </w:r>
            <w:proofErr w:type="spellStart"/>
            <w:r>
              <w:rPr>
                <w:sz w:val="18"/>
                <w:szCs w:val="18"/>
              </w:rPr>
              <w:t>i</w:t>
            </w:r>
            <w:proofErr w:type="spellEnd"/>
            <w:r>
              <w:rPr>
                <w:sz w:val="18"/>
                <w:szCs w:val="18"/>
              </w:rPr>
              <w:t>) or (ii) above is to be settled by delivery of Shares or other securities, in cash or otherwise; or (iii) publicly announce such an intention to effect any such transaction. The restrictions to which the Selling Shareholders are subject shall not prohibit any Selling Shareholder or its relevant shareholders from (</w:t>
            </w:r>
            <w:proofErr w:type="spellStart"/>
            <w:r>
              <w:rPr>
                <w:sz w:val="18"/>
                <w:szCs w:val="18"/>
              </w:rPr>
              <w:t>i</w:t>
            </w:r>
            <w:proofErr w:type="spellEnd"/>
            <w:r>
              <w:rPr>
                <w:sz w:val="18"/>
                <w:szCs w:val="18"/>
              </w:rPr>
              <w:t>) disposing or lending of Shares for the purposes of the Offering; (ii) accepting a general offer for all of the ordinary share capital of the Company, giving an irrevocable commitment to accept such an offer, or disposing of shares to an offeror or potential offeror during the period of such an offer; (iii) any disposal required by law, regulation or a court of competent jurisdiction; (iv) transferring Shares intra-group or intra-family</w:t>
            </w:r>
            <w:r w:rsidR="00046D29" w:rsidRPr="00046D29">
              <w:rPr>
                <w:sz w:val="18"/>
                <w:szCs w:val="18"/>
              </w:rPr>
              <w:t xml:space="preserve"> provided that the transferees or recipients of such Shares agree to enter into an equivalent lock-up agreement for the remainder of the lock-up period</w:t>
            </w:r>
            <w:r>
              <w:rPr>
                <w:sz w:val="18"/>
                <w:szCs w:val="18"/>
              </w:rPr>
              <w:t>; (v) transferring Shares to managers pursuant to management incentive schemes established prior to the Closing of the Offering, and (vi) any transaction entered into by Little Rock SA to the extent such transaction does not lead to the shareholding of Jan Van Geet, directly or indirectly, in the Company to drop below 25% of the outstanding share capital of the Company and provided that the transferees or recipients of such Shares agree to enter into an equivalent lock-up agreement for the remainder of the lock-up period.</w:t>
            </w:r>
          </w:p>
        </w:tc>
      </w:tr>
      <w:tr w:rsidR="00F76607" w14:paraId="268842EF" w14:textId="77777777" w:rsidTr="00046D29">
        <w:trPr>
          <w:cantSplit/>
          <w:jc w:val="center"/>
        </w:trPr>
        <w:tc>
          <w:tcPr>
            <w:tcW w:w="567" w:type="dxa"/>
            <w:tcMar>
              <w:top w:w="0" w:type="dxa"/>
              <w:left w:w="144" w:type="dxa"/>
              <w:bottom w:w="0" w:type="dxa"/>
              <w:right w:w="0" w:type="dxa"/>
            </w:tcMar>
            <w:hideMark/>
          </w:tcPr>
          <w:p w14:paraId="345B1018" w14:textId="77777777" w:rsidR="00F76607" w:rsidRDefault="001863F0">
            <w:pPr>
              <w:pStyle w:val="la2"/>
              <w:rPr>
                <w:rFonts w:eastAsiaTheme="minorEastAsia"/>
                <w:sz w:val="18"/>
                <w:szCs w:val="18"/>
              </w:rPr>
            </w:pPr>
            <w:r>
              <w:rPr>
                <w:sz w:val="18"/>
                <w:szCs w:val="18"/>
              </w:rPr>
              <w:t> </w:t>
            </w:r>
          </w:p>
        </w:tc>
        <w:tc>
          <w:tcPr>
            <w:tcW w:w="9186" w:type="dxa"/>
            <w:hideMark/>
          </w:tcPr>
          <w:p w14:paraId="24853D2A" w14:textId="77777777" w:rsidR="00F76607" w:rsidRDefault="00F76607">
            <w:pPr>
              <w:rPr>
                <w:sz w:val="18"/>
                <w:szCs w:val="18"/>
              </w:rPr>
            </w:pPr>
          </w:p>
        </w:tc>
      </w:tr>
      <w:tr w:rsidR="00F76607" w14:paraId="330A9BE1" w14:textId="77777777" w:rsidTr="00046D29">
        <w:trPr>
          <w:cantSplit/>
          <w:jc w:val="center"/>
        </w:trPr>
        <w:tc>
          <w:tcPr>
            <w:tcW w:w="567" w:type="dxa"/>
            <w:hideMark/>
          </w:tcPr>
          <w:p w14:paraId="547C9A06" w14:textId="77777777" w:rsidR="00F76607" w:rsidRDefault="001863F0">
            <w:pPr>
              <w:rPr>
                <w:sz w:val="18"/>
                <w:szCs w:val="18"/>
              </w:rPr>
            </w:pPr>
            <w:r>
              <w:rPr>
                <w:b/>
                <w:bCs/>
                <w:sz w:val="18"/>
                <w:szCs w:val="18"/>
              </w:rPr>
              <w:t>E.6</w:t>
            </w:r>
          </w:p>
        </w:tc>
        <w:tc>
          <w:tcPr>
            <w:tcW w:w="9186" w:type="dxa"/>
            <w:hideMark/>
          </w:tcPr>
          <w:p w14:paraId="4B2DB1CB" w14:textId="77777777" w:rsidR="00F76607" w:rsidRDefault="001863F0">
            <w:pPr>
              <w:rPr>
                <w:sz w:val="18"/>
                <w:szCs w:val="18"/>
              </w:rPr>
            </w:pPr>
            <w:r>
              <w:rPr>
                <w:b/>
                <w:bCs/>
                <w:sz w:val="18"/>
                <w:szCs w:val="18"/>
              </w:rPr>
              <w:t>Dilution resulting from the Offering</w:t>
            </w:r>
          </w:p>
        </w:tc>
      </w:tr>
      <w:tr w:rsidR="00F76607" w14:paraId="0A8021AD" w14:textId="77777777" w:rsidTr="00046D29">
        <w:trPr>
          <w:cantSplit/>
          <w:jc w:val="center"/>
        </w:trPr>
        <w:tc>
          <w:tcPr>
            <w:tcW w:w="567" w:type="dxa"/>
            <w:tcMar>
              <w:top w:w="0" w:type="dxa"/>
              <w:left w:w="144" w:type="dxa"/>
              <w:bottom w:w="0" w:type="dxa"/>
              <w:right w:w="0" w:type="dxa"/>
            </w:tcMar>
            <w:hideMark/>
          </w:tcPr>
          <w:p w14:paraId="390AC621" w14:textId="77777777" w:rsidR="00F76607" w:rsidRDefault="001863F0">
            <w:pPr>
              <w:pStyle w:val="la2"/>
              <w:rPr>
                <w:rFonts w:eastAsiaTheme="minorEastAsia"/>
                <w:sz w:val="18"/>
                <w:szCs w:val="18"/>
              </w:rPr>
            </w:pPr>
            <w:r>
              <w:rPr>
                <w:sz w:val="18"/>
                <w:szCs w:val="18"/>
              </w:rPr>
              <w:t> </w:t>
            </w:r>
          </w:p>
        </w:tc>
        <w:tc>
          <w:tcPr>
            <w:tcW w:w="9186" w:type="dxa"/>
            <w:hideMark/>
          </w:tcPr>
          <w:p w14:paraId="6D5FAD16" w14:textId="77777777" w:rsidR="00F76607" w:rsidRDefault="001863F0">
            <w:pPr>
              <w:rPr>
                <w:sz w:val="18"/>
                <w:szCs w:val="18"/>
              </w:rPr>
            </w:pPr>
            <w:r>
              <w:rPr>
                <w:sz w:val="18"/>
                <w:szCs w:val="18"/>
              </w:rPr>
              <w:t>Not applicable, no new shares will be issued in connection with the Offering.</w:t>
            </w:r>
          </w:p>
        </w:tc>
      </w:tr>
      <w:tr w:rsidR="00F76607" w14:paraId="0CF04C33" w14:textId="77777777" w:rsidTr="00046D29">
        <w:trPr>
          <w:cantSplit/>
          <w:jc w:val="center"/>
        </w:trPr>
        <w:tc>
          <w:tcPr>
            <w:tcW w:w="567" w:type="dxa"/>
            <w:hideMark/>
          </w:tcPr>
          <w:p w14:paraId="7098A6E9" w14:textId="77777777" w:rsidR="00F76607" w:rsidRDefault="001863F0">
            <w:pPr>
              <w:rPr>
                <w:sz w:val="18"/>
                <w:szCs w:val="18"/>
              </w:rPr>
            </w:pPr>
            <w:r>
              <w:rPr>
                <w:b/>
                <w:bCs/>
                <w:sz w:val="18"/>
                <w:szCs w:val="18"/>
              </w:rPr>
              <w:t>E.7</w:t>
            </w:r>
          </w:p>
        </w:tc>
        <w:tc>
          <w:tcPr>
            <w:tcW w:w="9186" w:type="dxa"/>
            <w:hideMark/>
          </w:tcPr>
          <w:p w14:paraId="2B483A46" w14:textId="77777777" w:rsidR="00F76607" w:rsidRDefault="001863F0">
            <w:pPr>
              <w:rPr>
                <w:sz w:val="18"/>
                <w:szCs w:val="18"/>
              </w:rPr>
            </w:pPr>
            <w:r>
              <w:rPr>
                <w:b/>
                <w:bCs/>
                <w:sz w:val="18"/>
                <w:szCs w:val="18"/>
              </w:rPr>
              <w:t>Estimated expenses charged to the investor by the Company or the Selling Shareholder</w:t>
            </w:r>
          </w:p>
        </w:tc>
      </w:tr>
      <w:tr w:rsidR="00F76607" w14:paraId="6952A359" w14:textId="77777777" w:rsidTr="004F203C">
        <w:trPr>
          <w:cantSplit/>
          <w:trHeight w:val="736"/>
          <w:jc w:val="center"/>
        </w:trPr>
        <w:tc>
          <w:tcPr>
            <w:tcW w:w="567" w:type="dxa"/>
            <w:tcMar>
              <w:top w:w="0" w:type="dxa"/>
              <w:left w:w="144" w:type="dxa"/>
              <w:bottom w:w="0" w:type="dxa"/>
              <w:right w:w="0" w:type="dxa"/>
            </w:tcMar>
            <w:hideMark/>
          </w:tcPr>
          <w:p w14:paraId="79A7FFEA" w14:textId="77777777" w:rsidR="00F76607" w:rsidRDefault="001863F0">
            <w:pPr>
              <w:pStyle w:val="la2"/>
              <w:rPr>
                <w:rFonts w:eastAsiaTheme="minorEastAsia"/>
                <w:sz w:val="18"/>
                <w:szCs w:val="18"/>
              </w:rPr>
            </w:pPr>
            <w:r>
              <w:rPr>
                <w:sz w:val="18"/>
                <w:szCs w:val="18"/>
              </w:rPr>
              <w:t> </w:t>
            </w:r>
          </w:p>
        </w:tc>
        <w:tc>
          <w:tcPr>
            <w:tcW w:w="9186" w:type="dxa"/>
            <w:hideMark/>
          </w:tcPr>
          <w:p w14:paraId="3D11A779" w14:textId="59F326AE" w:rsidR="00F76607" w:rsidRDefault="001863F0" w:rsidP="00AA22C0">
            <w:pPr>
              <w:rPr>
                <w:sz w:val="18"/>
                <w:szCs w:val="18"/>
              </w:rPr>
            </w:pPr>
            <w:r>
              <w:rPr>
                <w:sz w:val="18"/>
                <w:szCs w:val="18"/>
              </w:rPr>
              <w:t>Not applicable. No fees or expenses in connection with the Offering will be charged to the investors by the Company or the Selling Shareholders.</w:t>
            </w:r>
            <w:r w:rsidR="008236F1" w:rsidRPr="008236F1">
              <w:rPr>
                <w:sz w:val="18"/>
                <w:szCs w:val="18"/>
              </w:rPr>
              <w:t xml:space="preserve"> The</w:t>
            </w:r>
            <w:r w:rsidR="008236F1">
              <w:rPr>
                <w:sz w:val="18"/>
                <w:szCs w:val="18"/>
              </w:rPr>
              <w:t>re is however a</w:t>
            </w:r>
            <w:r w:rsidR="008236F1" w:rsidRPr="008236F1">
              <w:rPr>
                <w:sz w:val="18"/>
                <w:szCs w:val="18"/>
              </w:rPr>
              <w:t xml:space="preserve"> tax on stock exchange transactions </w:t>
            </w:r>
            <w:r w:rsidR="008236F1">
              <w:rPr>
                <w:sz w:val="18"/>
                <w:szCs w:val="18"/>
              </w:rPr>
              <w:t xml:space="preserve">that </w:t>
            </w:r>
            <w:r w:rsidR="008236F1" w:rsidRPr="008236F1">
              <w:rPr>
                <w:sz w:val="18"/>
                <w:szCs w:val="18"/>
              </w:rPr>
              <w:t>is levied at a rate of 0.27% of the purchase price, capped at € 1,600 per transaction and per party</w:t>
            </w:r>
            <w:r w:rsidR="00AA22C0">
              <w:rPr>
                <w:sz w:val="18"/>
                <w:szCs w:val="18"/>
              </w:rPr>
              <w:t>. Investors should request details of the costs</w:t>
            </w:r>
            <w:r w:rsidR="007A139C">
              <w:rPr>
                <w:sz w:val="18"/>
                <w:szCs w:val="18"/>
              </w:rPr>
              <w:t xml:space="preserve"> and fees (including custody fees)</w:t>
            </w:r>
            <w:r w:rsidR="00AA22C0">
              <w:rPr>
                <w:sz w:val="18"/>
                <w:szCs w:val="18"/>
              </w:rPr>
              <w:t xml:space="preserve">, if any, which financial intermediaries may charge, which </w:t>
            </w:r>
            <w:r w:rsidR="007A139C">
              <w:rPr>
                <w:sz w:val="18"/>
                <w:szCs w:val="18"/>
              </w:rPr>
              <w:t xml:space="preserve">investors </w:t>
            </w:r>
            <w:r w:rsidR="00AA22C0">
              <w:rPr>
                <w:sz w:val="18"/>
                <w:szCs w:val="18"/>
              </w:rPr>
              <w:t>will have to pay themselves.</w:t>
            </w:r>
          </w:p>
        </w:tc>
      </w:tr>
    </w:tbl>
    <w:p w14:paraId="225177BB" w14:textId="77777777" w:rsidR="00F76607" w:rsidRDefault="001863F0">
      <w:pPr>
        <w:pStyle w:val="NormalWeb"/>
        <w:keepNext/>
        <w:spacing w:before="0" w:beforeAutospacing="0" w:after="0" w:afterAutospacing="0"/>
        <w:rPr>
          <w:rFonts w:eastAsiaTheme="minorEastAsia"/>
          <w:sz w:val="2"/>
          <w:szCs w:val="2"/>
        </w:rPr>
      </w:pPr>
      <w:r>
        <w:rPr>
          <w:sz w:val="2"/>
          <w:szCs w:val="2"/>
        </w:rPr>
        <w:t> </w:t>
      </w:r>
    </w:p>
    <w:p w14:paraId="2A6B1814" w14:textId="77777777" w:rsidR="00F76607" w:rsidRDefault="001863F0">
      <w:pPr>
        <w:pStyle w:val="NormalWeb"/>
        <w:spacing w:before="240" w:beforeAutospacing="0" w:after="0" w:afterAutospacing="0"/>
        <w:rPr>
          <w:sz w:val="2"/>
          <w:szCs w:val="2"/>
        </w:rPr>
      </w:pPr>
      <w:r>
        <w:rPr>
          <w:sz w:val="2"/>
          <w:szCs w:val="2"/>
        </w:rPr>
        <w:t> </w:t>
      </w:r>
    </w:p>
    <w:p w14:paraId="69877441" w14:textId="77777777" w:rsidR="00F76607" w:rsidRDefault="001863F0">
      <w:pPr>
        <w:pStyle w:val="VulcanIISectionTitle"/>
      </w:pPr>
      <w:bookmarkStart w:id="2" w:name="_Toc493194604"/>
      <w:r>
        <w:lastRenderedPageBreak/>
        <w:t>RISK FACTORS</w:t>
      </w:r>
      <w:bookmarkEnd w:id="2"/>
    </w:p>
    <w:p w14:paraId="0C83DC46" w14:textId="77777777" w:rsidR="00F76607" w:rsidRDefault="001863F0">
      <w:pPr>
        <w:pStyle w:val="NormalWeb"/>
        <w:spacing w:before="240" w:beforeAutospacing="0" w:after="0" w:afterAutospacing="0"/>
        <w:ind w:firstLine="857"/>
      </w:pPr>
      <w:r>
        <w:rPr>
          <w:i/>
          <w:iCs/>
          <w:sz w:val="18"/>
          <w:szCs w:val="18"/>
        </w:rPr>
        <w:t xml:space="preserve">The Offering and an investment in the Offer Shares involve a substantial degree of risk. You should carefully consider the risks and uncertainties described below, together with other information described elsewhere in this Prospectus, including VGP’s consolidated financial statements and the related notes contained elsewhere in this Prospectus, before you decide to purchase the Offer Shares. If any of the following risks or uncertainties actually occurs, VGP’s business, financial condition and results of operations could be materially adversely affected. Consequently, the price of the Offer Shares could decline and you could lose all or part of your investment in the Offer Shares. Although the Company believes that the risks and uncertainties described below are the most material risks and uncertainties facing VGP’s business and the Offer Shares, they are not the only ones relating to VGP and the Offer Shares. Additional risks and uncertainties could also have a material adverse effect on VGP’s business, financial condition, results of operations or prospects, and could negatively affect the price of the Offer Shares. </w:t>
      </w:r>
    </w:p>
    <w:p w14:paraId="39A62A2B" w14:textId="77777777" w:rsidR="00F76607" w:rsidRDefault="001863F0">
      <w:pPr>
        <w:pStyle w:val="NormalWeb"/>
        <w:spacing w:before="240" w:beforeAutospacing="0" w:after="0" w:afterAutospacing="0"/>
        <w:ind w:firstLine="857"/>
      </w:pPr>
      <w:r>
        <w:rPr>
          <w:i/>
          <w:iCs/>
          <w:sz w:val="18"/>
          <w:szCs w:val="18"/>
        </w:rPr>
        <w:t xml:space="preserve">You should read and carefully review the entire Prospectus and should reach your own views before making an investment decision with respect to any Offer Shares. Furthermore, before making an investment decision with respect to any Offer Shares, you should consult your own stockbroker, bank manager, lawyer, auditor or other financial, legal and tax advisers and carefully review the risks associated with an investment in the Offer Shares and consider such an investment decision in light of your personal circumstances. </w:t>
      </w:r>
    </w:p>
    <w:p w14:paraId="36AC8B10" w14:textId="77777777" w:rsidR="00F76607" w:rsidRDefault="001863F0">
      <w:pPr>
        <w:pStyle w:val="NormalWeb"/>
        <w:spacing w:before="240" w:after="0"/>
        <w:rPr>
          <w:b/>
          <w:bCs/>
          <w:sz w:val="18"/>
          <w:szCs w:val="18"/>
          <w:lang w:val="en-GB"/>
        </w:rPr>
      </w:pPr>
      <w:bookmarkStart w:id="3" w:name="_Toc460854120"/>
      <w:r>
        <w:rPr>
          <w:b/>
          <w:bCs/>
          <w:sz w:val="18"/>
          <w:szCs w:val="18"/>
          <w:lang w:val="en-GB"/>
        </w:rPr>
        <w:t xml:space="preserve">Risks related to the Group’s industry, properties and operations </w:t>
      </w:r>
      <w:bookmarkEnd w:id="3"/>
    </w:p>
    <w:p w14:paraId="145FBDAE" w14:textId="77777777" w:rsidR="00F76607" w:rsidRDefault="001863F0">
      <w:pPr>
        <w:pStyle w:val="VulcanIILevel2"/>
      </w:pPr>
      <w:bookmarkStart w:id="4" w:name="_Toc460854121"/>
      <w:r>
        <w:t xml:space="preserve">The Group’s business, operations and financial conditions are significantly affected by the Joint Venture </w:t>
      </w:r>
    </w:p>
    <w:p w14:paraId="37FC8006" w14:textId="77777777" w:rsidR="00F76607" w:rsidRDefault="001863F0">
      <w:pPr>
        <w:pStyle w:val="NormalWeb"/>
        <w:spacing w:before="240" w:beforeAutospacing="0" w:after="0" w:afterAutospacing="0"/>
        <w:ind w:firstLine="857"/>
        <w:rPr>
          <w:sz w:val="18"/>
          <w:szCs w:val="18"/>
        </w:rPr>
      </w:pPr>
      <w:r>
        <w:rPr>
          <w:sz w:val="18"/>
          <w:szCs w:val="18"/>
        </w:rPr>
        <w:t>The Joint Venture has an exclusive right of first refusal (in accordance with the conditions as set forth in the JVA) in relation to acquiring the Czech, German, Hungarian and Slovak income generating assets of the Group. The Joint Venture does not have any contractual or legal obligation to acquire the income generating assets proposed by VGP. There is therefore a risk that the Joint Venture would discontinue acquiring the completed assets from the Group. In such an event, VGP is entitled under the terms of the JVA to dispose of such income-generating assets itself. Any delay in the disposal of such income-generating asserts could have a material adverse effect on the short-term cash position of VGP which may in turn have a negative impact on the Group’s business, financial condition and results of operations.</w:t>
      </w:r>
    </w:p>
    <w:p w14:paraId="6CC8286A" w14:textId="7D4CDBEF" w:rsidR="00F76607" w:rsidRDefault="001863F0">
      <w:pPr>
        <w:pStyle w:val="NormalWeb"/>
        <w:spacing w:before="240" w:beforeAutospacing="0" w:after="0" w:afterAutospacing="0"/>
        <w:ind w:firstLine="857"/>
        <w:rPr>
          <w:sz w:val="18"/>
          <w:szCs w:val="18"/>
        </w:rPr>
      </w:pPr>
      <w:r>
        <w:rPr>
          <w:sz w:val="18"/>
          <w:szCs w:val="18"/>
        </w:rPr>
        <w:t>The properties that have on the date of this Prospectus already been sold to the Joint Venture generated a significant contribution to the i</w:t>
      </w:r>
      <w:r w:rsidR="006525D0">
        <w:rPr>
          <w:sz w:val="18"/>
          <w:szCs w:val="18"/>
        </w:rPr>
        <w:t>ncome and result of the Group. P</w:t>
      </w:r>
      <w:r>
        <w:rPr>
          <w:sz w:val="18"/>
          <w:szCs w:val="18"/>
        </w:rPr>
        <w:t>rior to their sale, and their deconsolidation has resulted and will further result in a decrease of the reported gross rental income of the Group. As at 31 December 2016 the € 16.8 million total gross rental income (€ 17.1 million as at 31 December 2015) was made up of € 10.2 million gross rental income generated by the sold portfolios to the Joint Venture in the First JV Closing and in the Second JV Closing and € 6.6 million from gross rental income generated by the remaining VGP portfolio (€ 4.4 million as at 31 December 2015). The portfolio sold to the Joint Venture in the Third JV Closing represented a gross rental income for the Group of € 1.7 million in 2017.</w:t>
      </w:r>
    </w:p>
    <w:p w14:paraId="55C35A3A" w14:textId="77777777" w:rsidR="00F76607" w:rsidRDefault="001863F0">
      <w:pPr>
        <w:pStyle w:val="NormalWeb"/>
        <w:spacing w:before="240" w:beforeAutospacing="0" w:after="0" w:afterAutospacing="0"/>
        <w:ind w:firstLine="857"/>
        <w:rPr>
          <w:sz w:val="18"/>
          <w:szCs w:val="18"/>
        </w:rPr>
      </w:pPr>
      <w:r>
        <w:rPr>
          <w:sz w:val="18"/>
          <w:szCs w:val="18"/>
        </w:rPr>
        <w:t>If Jan Van Geet, as CEO of the Group, would no longer devote sufficient time to the development of the portfolio of the Joint Venture, Allianz can, upon notice thereof, stop the acquisition process of the proposed income-generating assets, until Jan Van Geet has been replaced to the satisfaction of Allianz. Such temporary standstill of Allianz’s investment obligation might negatively impact the short-term cash position of the Group. Prospective investors should furthermore note that the Joint Venture Agreement between VGP and Allianz may be subject to amendment or may be terminated in accordance with the provisions thereof. Any such amendment or termination may have a material adverse impact on VGP’s financial position and income.</w:t>
      </w:r>
    </w:p>
    <w:p w14:paraId="42693651" w14:textId="0ABF4F06" w:rsidR="00F76607" w:rsidRDefault="006525D0">
      <w:pPr>
        <w:pStyle w:val="NormalWeb"/>
        <w:spacing w:before="240" w:beforeAutospacing="0" w:after="0" w:afterAutospacing="0"/>
        <w:ind w:firstLine="857"/>
        <w:rPr>
          <w:sz w:val="18"/>
          <w:szCs w:val="18"/>
        </w:rPr>
      </w:pPr>
      <w:r>
        <w:rPr>
          <w:sz w:val="18"/>
          <w:szCs w:val="18"/>
        </w:rPr>
        <w:t>T</w:t>
      </w:r>
      <w:r w:rsidR="001863F0">
        <w:rPr>
          <w:sz w:val="18"/>
          <w:szCs w:val="18"/>
        </w:rPr>
        <w:t>he Group acts as development manager vis-à-vis the Joint Venture and in such capacity, the Group is responsible for ensuring that any development is being made within the initially agreed construction price/budget. In case the actual construction cost would be higher than the initial construction budget, any top-up payment to which VGP would be entitled under the terms of its agreements wit</w:t>
      </w:r>
      <w:r>
        <w:rPr>
          <w:sz w:val="18"/>
          <w:szCs w:val="18"/>
        </w:rPr>
        <w:t>h the Joint Venture and Allianz</w:t>
      </w:r>
      <w:r w:rsidR="001863F0">
        <w:rPr>
          <w:sz w:val="18"/>
          <w:szCs w:val="18"/>
        </w:rPr>
        <w:t xml:space="preserve"> will be adversely affected</w:t>
      </w:r>
      <w:r>
        <w:rPr>
          <w:sz w:val="18"/>
          <w:szCs w:val="18"/>
        </w:rPr>
        <w:t>. I</w:t>
      </w:r>
      <w:r w:rsidR="001863F0">
        <w:rPr>
          <w:sz w:val="18"/>
          <w:szCs w:val="18"/>
        </w:rPr>
        <w:t>n case the actual construction costs would be higher than the market value of the completed building, then such difference would need to be fully borne by the Group (provided this was due to the Group), which could have a material adverse effect on the Group’s business, financial condition and results of operations.</w:t>
      </w:r>
    </w:p>
    <w:p w14:paraId="595593B2" w14:textId="77777777" w:rsidR="00F76607" w:rsidRDefault="001863F0">
      <w:pPr>
        <w:pStyle w:val="NormalWeb"/>
        <w:spacing w:before="240" w:beforeAutospacing="0" w:after="0" w:afterAutospacing="0"/>
        <w:ind w:firstLine="857"/>
        <w:rPr>
          <w:sz w:val="18"/>
          <w:szCs w:val="18"/>
        </w:rPr>
      </w:pPr>
      <w:r>
        <w:rPr>
          <w:sz w:val="18"/>
          <w:szCs w:val="18"/>
        </w:rPr>
        <w:t>Any failure by the Company to provide funds to the Joint Venture that were committed under the terms of the Joint Venture Agreement towards Allianz (i.e. for financing of the relevant top-up payment (if any), the repayment of construction and development loans to the Group upon the acquisition by the Joint Venture of completed assets, capital expenditures in relation to repairs and maintenance of such assets and the purchase price for any future completed assets which the Joint Venture would acquire or any other financing required by Allianz or VGP under the terms of the JVA (such as replacement of bank debt) and acknowledged by an appointed third-party financial expert), entitles Allianz to either exclusively subscribe to three times the number of shares that represents the amount of the funds not provided by the Company or alternatively to provide itself funding to the Joint Venture on preferential interest terms and repayment conditions. For instance: if there are five hundred (500) issued shares, and if the default amount (the amount which would have otherwise been financed by VGP for example) is equal to 2% of the fair market value of the Joint Venture, Allianz shall be entitled to subscribe for and acquire, following payment therefore in cash, thirty (three times ten) newly issued shares of the Joint Venture, which is equal to three times 2% of the outstanding shares of the Joint Venture on a pre-dilution basis.</w:t>
      </w:r>
      <w:r>
        <w:t xml:space="preserve"> </w:t>
      </w:r>
      <w:r>
        <w:rPr>
          <w:sz w:val="18"/>
          <w:szCs w:val="18"/>
        </w:rPr>
        <w:t>This might impact the Company’s ability to retain joint control over the Joint Venture and its ability to generate sufficient dividend income out of the Joint Venture and in turn could have a material adverse effect on the Group’s business, financial condition and results of operations.</w:t>
      </w:r>
    </w:p>
    <w:p w14:paraId="430FFE70" w14:textId="77777777" w:rsidR="00F76607" w:rsidRDefault="001863F0">
      <w:pPr>
        <w:pStyle w:val="NormalWeb"/>
        <w:spacing w:before="240" w:beforeAutospacing="0" w:after="0" w:afterAutospacing="0"/>
        <w:ind w:firstLine="857"/>
        <w:rPr>
          <w:sz w:val="18"/>
          <w:szCs w:val="18"/>
        </w:rPr>
      </w:pPr>
      <w:r>
        <w:rPr>
          <w:sz w:val="18"/>
          <w:szCs w:val="18"/>
        </w:rPr>
        <w:lastRenderedPageBreak/>
        <w:t>In the event that Allianz would be subject to an obligation to consolidate the Joint Venture (for instance after a change in accounting rules or other regulations) within its companies’ group, the Joint Venture Agreement provides that Allianz has the right to replace the existing debt financing in the Joint Venture by equity, which might result in a dilution of the Company if the Company is unable to fund its commensurate part of the equity. This might impact the Company’s ability to retain joint control over the Joint Venture and its ability to generate sufficient dividend income out of the Joint Venture</w:t>
      </w:r>
      <w:r>
        <w:t xml:space="preserve"> </w:t>
      </w:r>
      <w:r>
        <w:rPr>
          <w:sz w:val="18"/>
          <w:szCs w:val="18"/>
        </w:rPr>
        <w:t>and in turn could have a material adverse effect on the Group’s business, financial condition and results of operations. However, as the debt position of the Joint Venture would be replaced by equity financing by Allianz on a 1:1 basis, in such case, the Net Asset Value of the Company’s stake in the Joint venture would not be affected.</w:t>
      </w:r>
    </w:p>
    <w:p w14:paraId="57A0E24E" w14:textId="77777777" w:rsidR="00F76607" w:rsidRDefault="001863F0">
      <w:pPr>
        <w:pStyle w:val="NormalWeb"/>
        <w:spacing w:before="240" w:beforeAutospacing="0" w:after="0" w:afterAutospacing="0"/>
        <w:ind w:firstLine="857"/>
        <w:rPr>
          <w:sz w:val="18"/>
          <w:szCs w:val="18"/>
        </w:rPr>
      </w:pPr>
      <w:r>
        <w:rPr>
          <w:sz w:val="18"/>
          <w:szCs w:val="18"/>
        </w:rPr>
        <w:t>The Group is required to comply with the provisions of several management agreements pursuant to which it is acting as exclusive asset manager, property manager and development manager of the Joint Venture and of the Joint Venture’s subsidiaries. Should a member of the Group materially breach its obligations under a management agreement which is not remedied within a certain period in time following a notification thereof, or should the Company breach its exclusivity obligations under the Joint Venture Agreement in relation to the offering of income-generating assets, then Allianz is entitled to terminate all the management agreements with immediate effect, to terminate the Joint Venture Agreement and/or to exercise a call option on all the shares the Company holds in the Joint Venture against payment of a purchase price of 90% of the fair market value of these shares, which entails a discount of 10% of the fair market value of these shares. The occurrence of any of the aforementioned events might materially impact VGP’s ability to generate sufficient dividend income out of the Joint Venture and/or to retain joint control over the Joint Venture and in turn could have a material adverse effect on the Group’s business, financial condition and results of operations.</w:t>
      </w:r>
    </w:p>
    <w:p w14:paraId="5216BF73" w14:textId="24281527" w:rsidR="00F76607" w:rsidRDefault="001863F0">
      <w:pPr>
        <w:pStyle w:val="NormalWeb"/>
        <w:spacing w:before="240" w:beforeAutospacing="0" w:after="0" w:afterAutospacing="0"/>
        <w:ind w:firstLine="857"/>
        <w:rPr>
          <w:sz w:val="18"/>
          <w:szCs w:val="18"/>
        </w:rPr>
      </w:pPr>
      <w:r>
        <w:rPr>
          <w:sz w:val="18"/>
          <w:szCs w:val="18"/>
        </w:rPr>
        <w:t xml:space="preserve">If at any time during the term of the Joint Venture Agreement, </w:t>
      </w:r>
      <w:r w:rsidRPr="00E3089A">
        <w:rPr>
          <w:sz w:val="18"/>
          <w:szCs w:val="18"/>
        </w:rPr>
        <w:t xml:space="preserve">the participation that </w:t>
      </w:r>
      <w:r>
        <w:rPr>
          <w:sz w:val="18"/>
          <w:szCs w:val="18"/>
        </w:rPr>
        <w:t>Jan Van Geet</w:t>
      </w:r>
      <w:r w:rsidRPr="00E3089A">
        <w:rPr>
          <w:sz w:val="18"/>
          <w:szCs w:val="18"/>
        </w:rPr>
        <w:t xml:space="preserve">, </w:t>
      </w:r>
      <w:r>
        <w:rPr>
          <w:sz w:val="18"/>
          <w:szCs w:val="18"/>
        </w:rPr>
        <w:t>directly or indirectly</w:t>
      </w:r>
      <w:r w:rsidRPr="00E3089A">
        <w:rPr>
          <w:sz w:val="18"/>
          <w:szCs w:val="18"/>
        </w:rPr>
        <w:t>,</w:t>
      </w:r>
      <w:r>
        <w:rPr>
          <w:sz w:val="18"/>
          <w:szCs w:val="18"/>
        </w:rPr>
        <w:t xml:space="preserve"> holds in the Company fall</w:t>
      </w:r>
      <w:r w:rsidRPr="00E3089A">
        <w:rPr>
          <w:sz w:val="18"/>
          <w:szCs w:val="18"/>
        </w:rPr>
        <w:t>s</w:t>
      </w:r>
      <w:r>
        <w:rPr>
          <w:sz w:val="18"/>
          <w:szCs w:val="18"/>
        </w:rPr>
        <w:t xml:space="preserve"> below 25% of the total outstanding Shares</w:t>
      </w:r>
      <w:r w:rsidR="006B106F">
        <w:rPr>
          <w:sz w:val="18"/>
          <w:szCs w:val="18"/>
        </w:rPr>
        <w:t xml:space="preserve"> (other than due to the dilution of his participation as a result of capital increases or similar transactions at the level of the Company in which he would not participate)</w:t>
      </w:r>
      <w:r>
        <w:rPr>
          <w:sz w:val="18"/>
          <w:szCs w:val="18"/>
        </w:rPr>
        <w:t>,</w:t>
      </w:r>
      <w:r>
        <w:t xml:space="preserve"> </w:t>
      </w:r>
      <w:r>
        <w:rPr>
          <w:sz w:val="18"/>
          <w:szCs w:val="18"/>
        </w:rPr>
        <w:t>then Allianz is entitled to terminate all the management agreements with immediate effect and to terminate the Joint Venture Agreement. The occurrence of such aforementioned event might materially impact VGP’s ability to generate sufficient dividend income out of the Joint Venture and/or to retain joint control over the Joint Venture and in turn could have a material adverse effect on the Group’s business, financial condition and results of operations.</w:t>
      </w:r>
    </w:p>
    <w:p w14:paraId="4DBB74F2" w14:textId="77777777" w:rsidR="00F76607" w:rsidRDefault="001863F0">
      <w:pPr>
        <w:pStyle w:val="NormalWeb"/>
        <w:spacing w:before="240" w:beforeAutospacing="0" w:after="0" w:afterAutospacing="0"/>
        <w:ind w:firstLine="857"/>
        <w:rPr>
          <w:sz w:val="18"/>
          <w:szCs w:val="18"/>
        </w:rPr>
      </w:pPr>
      <w:r>
        <w:rPr>
          <w:sz w:val="18"/>
          <w:szCs w:val="18"/>
        </w:rPr>
        <w:t>The Group has recognized that it has a de facto constructive obligation towards the Joint Venture (of up to its proportional share) as it will always seek to ensure that the Joint Venture and its subsidiaries will be in a position to fulfill their respective obligations, since the proper functioning is material for the Group in realizing its expected capital gains. There is however no contractual obligation to provide capital contributions or funds to financially support the Joint Venture, other than what is set out in the JVA, i.e. the Group’s funding obligations under the JVA towards the Joint Venture as mentioned in this section</w:t>
      </w:r>
      <w:r>
        <w:t xml:space="preserve"> </w:t>
      </w:r>
      <w:r>
        <w:rPr>
          <w:sz w:val="18"/>
          <w:szCs w:val="18"/>
        </w:rPr>
        <w:t>“</w:t>
      </w:r>
      <w:r>
        <w:rPr>
          <w:i/>
          <w:sz w:val="18"/>
          <w:szCs w:val="18"/>
        </w:rPr>
        <w:t>Risk Factors –</w:t>
      </w:r>
      <w:r>
        <w:rPr>
          <w:sz w:val="18"/>
          <w:szCs w:val="18"/>
        </w:rPr>
        <w:t xml:space="preserve"> </w:t>
      </w:r>
      <w:r>
        <w:rPr>
          <w:i/>
          <w:sz w:val="18"/>
          <w:szCs w:val="18"/>
        </w:rPr>
        <w:t>The Group’s business, operations and financial conditions are significantly affected by the Joint Venture – Risks related to the Group’s industry, properties and operations</w:t>
      </w:r>
      <w:r>
        <w:rPr>
          <w:sz w:val="18"/>
          <w:szCs w:val="18"/>
        </w:rPr>
        <w:t>”. This entails that ultimately any payment due by the Joint Venture to the Group will either be borne by the Joint Venture’s shareholders, i.e. VGP and Allianz, pro rata their shareholding, or in the event that VGP does not comply with its aforementioned funding obligations under the JVA, will lead to VGP being diluted by Allianz in accordance with the provisions of the JVA</w:t>
      </w:r>
      <w:r>
        <w:t xml:space="preserve"> </w:t>
      </w:r>
      <w:r>
        <w:rPr>
          <w:sz w:val="18"/>
          <w:szCs w:val="18"/>
        </w:rPr>
        <w:t>or alternatively Allianz providing funding to the Joint Venture on preferential interest terms and repayment conditions.</w:t>
      </w:r>
    </w:p>
    <w:p w14:paraId="2B823D69" w14:textId="77777777" w:rsidR="00F76607" w:rsidRDefault="001863F0">
      <w:pPr>
        <w:pStyle w:val="NormalWeb"/>
        <w:spacing w:before="240" w:beforeAutospacing="0" w:after="0" w:afterAutospacing="0"/>
        <w:ind w:firstLine="857"/>
        <w:rPr>
          <w:sz w:val="18"/>
          <w:szCs w:val="18"/>
        </w:rPr>
      </w:pPr>
      <w:r>
        <w:rPr>
          <w:sz w:val="18"/>
          <w:szCs w:val="18"/>
        </w:rPr>
        <w:t>For further details on the Joint Venture please see section “</w:t>
      </w:r>
      <w:r>
        <w:rPr>
          <w:i/>
          <w:sz w:val="18"/>
          <w:szCs w:val="18"/>
        </w:rPr>
        <w:t>Business –</w:t>
      </w:r>
      <w:r>
        <w:rPr>
          <w:sz w:val="18"/>
          <w:szCs w:val="18"/>
        </w:rPr>
        <w:t xml:space="preserve"> </w:t>
      </w:r>
      <w:r>
        <w:rPr>
          <w:i/>
          <w:sz w:val="18"/>
          <w:szCs w:val="18"/>
        </w:rPr>
        <w:t>The Joint Venture with Allianz</w:t>
      </w:r>
      <w:r>
        <w:rPr>
          <w:sz w:val="18"/>
          <w:szCs w:val="18"/>
        </w:rPr>
        <w:t>”.</w:t>
      </w:r>
    </w:p>
    <w:p w14:paraId="3E7AA249" w14:textId="77777777" w:rsidR="00F76607" w:rsidRDefault="001863F0">
      <w:pPr>
        <w:pStyle w:val="NormalWeb"/>
        <w:spacing w:before="240" w:after="0"/>
        <w:rPr>
          <w:b/>
          <w:bCs/>
          <w:i/>
          <w:sz w:val="18"/>
          <w:szCs w:val="18"/>
        </w:rPr>
      </w:pPr>
      <w:r>
        <w:rPr>
          <w:b/>
          <w:bCs/>
          <w:i/>
          <w:sz w:val="18"/>
          <w:szCs w:val="18"/>
        </w:rPr>
        <w:t>The inability of the Joint Venture to generate sufficient income may adversely affect the Group’s financial position</w:t>
      </w:r>
    </w:p>
    <w:p w14:paraId="01B0ACC1" w14:textId="77777777" w:rsidR="00F76607" w:rsidRDefault="001863F0">
      <w:pPr>
        <w:pStyle w:val="NormalWeb"/>
        <w:spacing w:before="240" w:beforeAutospacing="0" w:after="0" w:afterAutospacing="0"/>
        <w:ind w:firstLine="857"/>
        <w:rPr>
          <w:sz w:val="18"/>
          <w:szCs w:val="18"/>
        </w:rPr>
      </w:pPr>
      <w:r>
        <w:rPr>
          <w:sz w:val="18"/>
          <w:szCs w:val="18"/>
        </w:rPr>
        <w:t>The Joint Venture is exposed to many of the risks to which the Group is exposed, including amongst others the risks for the Group as described in the following sections: (</w:t>
      </w:r>
      <w:proofErr w:type="spellStart"/>
      <w:r>
        <w:rPr>
          <w:sz w:val="18"/>
          <w:szCs w:val="18"/>
        </w:rPr>
        <w:t>i</w:t>
      </w:r>
      <w:proofErr w:type="spellEnd"/>
      <w:r>
        <w:rPr>
          <w:sz w:val="18"/>
          <w:szCs w:val="18"/>
        </w:rPr>
        <w:t>) “</w:t>
      </w:r>
      <w:r>
        <w:rPr>
          <w:i/>
          <w:sz w:val="18"/>
          <w:szCs w:val="18"/>
        </w:rPr>
        <w:t>The Group may depend on its ability to execute new lease agreements and successfully dispose of its real estate assets</w:t>
      </w:r>
      <w:r>
        <w:rPr>
          <w:sz w:val="18"/>
          <w:szCs w:val="18"/>
        </w:rPr>
        <w:t>”, (ii) “</w:t>
      </w:r>
      <w:r>
        <w:rPr>
          <w:i/>
          <w:sz w:val="18"/>
          <w:szCs w:val="18"/>
        </w:rPr>
        <w:t>Risks related to the nature of the Group’s business: acquiring, developing, owning, managing a logistic real estate portfolio</w:t>
      </w:r>
      <w:r>
        <w:rPr>
          <w:sz w:val="18"/>
          <w:szCs w:val="18"/>
        </w:rPr>
        <w:t>”, (iii) “</w:t>
      </w:r>
      <w:r>
        <w:rPr>
          <w:i/>
          <w:sz w:val="18"/>
          <w:szCs w:val="18"/>
        </w:rPr>
        <w:t>Real estate valuations are based on methods and other considerations that may not accurately reflect the value of the real estate at which the property could be sold</w:t>
      </w:r>
      <w:r>
        <w:rPr>
          <w:sz w:val="18"/>
          <w:szCs w:val="18"/>
        </w:rPr>
        <w:t>”, (iv) “</w:t>
      </w:r>
      <w:r>
        <w:rPr>
          <w:i/>
          <w:sz w:val="18"/>
          <w:szCs w:val="18"/>
        </w:rPr>
        <w:t>Risks related to the Group’s development activities</w:t>
      </w:r>
      <w:r>
        <w:rPr>
          <w:sz w:val="18"/>
          <w:szCs w:val="18"/>
        </w:rPr>
        <w:t>”, (v) “</w:t>
      </w:r>
      <w:r>
        <w:rPr>
          <w:i/>
          <w:sz w:val="18"/>
          <w:szCs w:val="18"/>
        </w:rPr>
        <w:t>Increased maintenance, refurbishment and property management service costs may adversely affect the Group’s results</w:t>
      </w:r>
      <w:r>
        <w:rPr>
          <w:sz w:val="18"/>
          <w:szCs w:val="18"/>
        </w:rPr>
        <w:t>”, (vi) “</w:t>
      </w:r>
      <w:r>
        <w:rPr>
          <w:i/>
          <w:sz w:val="18"/>
          <w:szCs w:val="18"/>
        </w:rPr>
        <w:t>The Group’s insurance cover may be insufficient</w:t>
      </w:r>
      <w:r>
        <w:rPr>
          <w:sz w:val="18"/>
          <w:szCs w:val="18"/>
        </w:rPr>
        <w:t>”, and (vii) “</w:t>
      </w:r>
      <w:r>
        <w:rPr>
          <w:i/>
          <w:sz w:val="18"/>
          <w:szCs w:val="18"/>
        </w:rPr>
        <w:t>Increased competition for acquiring new land plots may adversely affect the Group’s financial results</w:t>
      </w:r>
      <w:r>
        <w:rPr>
          <w:sz w:val="18"/>
          <w:szCs w:val="18"/>
        </w:rPr>
        <w:t>”, all as in this section “</w:t>
      </w:r>
      <w:r>
        <w:rPr>
          <w:i/>
          <w:sz w:val="18"/>
          <w:szCs w:val="18"/>
        </w:rPr>
        <w:t>Risk Factors</w:t>
      </w:r>
      <w:r>
        <w:rPr>
          <w:sz w:val="18"/>
          <w:szCs w:val="18"/>
        </w:rPr>
        <w:t>”.</w:t>
      </w:r>
    </w:p>
    <w:p w14:paraId="71E0209B" w14:textId="4DCFD04B" w:rsidR="00F76607" w:rsidRDefault="001863F0">
      <w:pPr>
        <w:pStyle w:val="NormalWeb"/>
        <w:spacing w:before="240" w:beforeAutospacing="0" w:after="0" w:afterAutospacing="0"/>
        <w:ind w:firstLine="857"/>
        <w:rPr>
          <w:sz w:val="18"/>
          <w:szCs w:val="18"/>
        </w:rPr>
      </w:pPr>
      <w:r>
        <w:rPr>
          <w:sz w:val="18"/>
          <w:szCs w:val="18"/>
        </w:rPr>
        <w:t>A</w:t>
      </w:r>
      <w:r w:rsidRPr="00E3089A">
        <w:rPr>
          <w:sz w:val="18"/>
          <w:szCs w:val="18"/>
        </w:rPr>
        <w:t>ny or all</w:t>
      </w:r>
      <w:r>
        <w:rPr>
          <w:sz w:val="18"/>
          <w:szCs w:val="18"/>
        </w:rPr>
        <w:t xml:space="preserve"> such risks could have a material adverse effect on the Joint Venture’s business, financial condition and results of operations, which might materially impact VGP’s ability to generate sufficient dividend income out of the Joint Venture and in turn could have a material adverse effect on the Group’s business, financial condition and results of operations.</w:t>
      </w:r>
    </w:p>
    <w:p w14:paraId="3E4FD8DE" w14:textId="77777777" w:rsidR="00F76607" w:rsidRDefault="001863F0">
      <w:pPr>
        <w:pStyle w:val="NormalWeb"/>
        <w:spacing w:before="240" w:after="0"/>
        <w:rPr>
          <w:b/>
          <w:bCs/>
          <w:i/>
          <w:sz w:val="18"/>
          <w:szCs w:val="18"/>
          <w:lang w:val="en-GB"/>
        </w:rPr>
      </w:pPr>
      <w:r>
        <w:rPr>
          <w:b/>
          <w:bCs/>
          <w:i/>
          <w:sz w:val="18"/>
          <w:szCs w:val="18"/>
          <w:lang w:val="en-GB"/>
        </w:rPr>
        <w:t>The inability of VGP to recover the aggregate amount under the loans granted to the Joint Venture and the Joint Venture’s subsidiaries may adversely affect the Group’s financial position</w:t>
      </w:r>
    </w:p>
    <w:p w14:paraId="183F7F1D" w14:textId="77777777" w:rsidR="00F76607" w:rsidRDefault="001863F0">
      <w:pPr>
        <w:pStyle w:val="NormalWeb"/>
        <w:spacing w:before="240" w:beforeAutospacing="0" w:after="0" w:afterAutospacing="0"/>
        <w:ind w:firstLine="857"/>
        <w:rPr>
          <w:sz w:val="18"/>
          <w:szCs w:val="18"/>
        </w:rPr>
      </w:pPr>
      <w:r>
        <w:rPr>
          <w:sz w:val="18"/>
          <w:szCs w:val="18"/>
        </w:rPr>
        <w:t xml:space="preserve">The Group has granted significant loans to the Joint Venture and to the Joint Venture’s subsidiaries. These comprise development and construction loans granted directly to the project companies of the Joint Venture as well as other shareholder loans granted to the Joint Venture in a total amount of € 105.6 million as at 30 June 2017 (of which € 89.4 million constituted construction and development loans) and € 89.9 million as at 31 December 2016 (of which € 81.6 million constituted construction and development loans). The purpose of the Joint Venture is only to invest in income generating assets and both Joint Venture’s partners have agreed that as a result, any development undertaken within the Joint Venture will be in first instance pre-financed by VGP. The repayment of these construction and development loans will be principally driven by the subsequent refinancing of the Joint Venture’s assets upon their completion. Should the proceeds of such refinancing be significantly lower than the development costs, VGP may be unable to </w:t>
      </w:r>
      <w:r>
        <w:rPr>
          <w:sz w:val="18"/>
          <w:szCs w:val="18"/>
        </w:rPr>
        <w:lastRenderedPageBreak/>
        <w:t>recover the total amount of these construction and development loans granted to the Joint Venture, as the Joint Venture would not be able to draw the entire amount of such construction and development loans under its existing credit facilities and whereby consequently such shortfall would have to be funded by additional shareholder loans granted to the Joint Venture by VGP and Allianz pro rata their shareholding, which could have a material adverse effect on the Group’s business, financial condition and results of operations.</w:t>
      </w:r>
    </w:p>
    <w:bookmarkEnd w:id="4"/>
    <w:p w14:paraId="56FC336E" w14:textId="77777777" w:rsidR="00F76607" w:rsidRDefault="001863F0">
      <w:pPr>
        <w:pStyle w:val="NormalWeb"/>
        <w:spacing w:before="240" w:after="0"/>
        <w:rPr>
          <w:b/>
          <w:bCs/>
          <w:i/>
          <w:sz w:val="18"/>
          <w:szCs w:val="18"/>
          <w:lang w:val="en-GB"/>
        </w:rPr>
      </w:pPr>
      <w:r>
        <w:rPr>
          <w:b/>
          <w:bCs/>
          <w:i/>
          <w:sz w:val="18"/>
          <w:szCs w:val="18"/>
          <w:lang w:val="en-GB"/>
        </w:rPr>
        <w:t>The Group’s development projects require large initial investments while they will start generating income only after a period in time</w:t>
      </w:r>
    </w:p>
    <w:p w14:paraId="244DF022" w14:textId="2F917C4B" w:rsidR="00F76607" w:rsidRDefault="001863F0">
      <w:pPr>
        <w:pStyle w:val="NormalWeb"/>
        <w:spacing w:before="240" w:beforeAutospacing="0" w:after="0" w:afterAutospacing="0"/>
        <w:ind w:firstLine="857"/>
        <w:rPr>
          <w:sz w:val="18"/>
          <w:szCs w:val="18"/>
        </w:rPr>
      </w:pPr>
      <w:r>
        <w:rPr>
          <w:bCs/>
          <w:sz w:val="18"/>
          <w:szCs w:val="18"/>
          <w:lang w:val="en-GB"/>
        </w:rPr>
        <w:t xml:space="preserve">The Group may divest real estate in its portfolio, i.e. the income-generating assets, as a result of which its </w:t>
      </w:r>
      <w:r w:rsidR="00A5572A">
        <w:rPr>
          <w:bCs/>
          <w:sz w:val="18"/>
          <w:szCs w:val="18"/>
          <w:lang w:val="en-GB"/>
        </w:rPr>
        <w:t>rental</w:t>
      </w:r>
      <w:r>
        <w:rPr>
          <w:bCs/>
          <w:sz w:val="18"/>
          <w:szCs w:val="18"/>
          <w:lang w:val="en-GB"/>
        </w:rPr>
        <w:t xml:space="preserve"> income would decrease. </w:t>
      </w:r>
      <w:r>
        <w:rPr>
          <w:bCs/>
          <w:iCs/>
          <w:sz w:val="18"/>
          <w:szCs w:val="18"/>
          <w:lang w:val="en-GB"/>
        </w:rPr>
        <w:t xml:space="preserve">As at 31 December 2016, the Group’s total gross rental income of € 16.8 million included the gross rental income of the portfolio sold to the Joint Venture in the First JV Closing and of the portfolio sold to the Joint Venture in the Second JV Closing, for an aggregate amount of € 10.2 million. As at 30 June 2017, the Group’s total gross rental income of € 9.1 million included the gross rental income of portfolio sold to the Joint Venture in the Third JV Closing for an aggregate amount of € 1.7 million. </w:t>
      </w:r>
      <w:r>
        <w:rPr>
          <w:bCs/>
          <w:sz w:val="18"/>
          <w:szCs w:val="18"/>
          <w:lang w:val="en-GB"/>
        </w:rPr>
        <w:t xml:space="preserve">The proceeds of such divestments may be used for a new development cycle, i.e. to fund the acquisition and development of new plots of land. During the first phase of the development of a new project, however, no income will be generated by the new </w:t>
      </w:r>
      <w:r>
        <w:rPr>
          <w:sz w:val="18"/>
          <w:szCs w:val="18"/>
        </w:rPr>
        <w:t>development until such project is completed and delivered to a tenant or sold to either the Joint Venture or any other party, notwithstanding the fact that during such phase significant investments by the Group are made in relation to the development of such project. Any delay in the development of such projects or the lease or sale of developed income-generating assets could have an adverse effect on the Group’s business, financial condition and results of operations.</w:t>
      </w:r>
    </w:p>
    <w:p w14:paraId="5D0214C7" w14:textId="0FB3459C" w:rsidR="00F76607" w:rsidRDefault="001863F0">
      <w:pPr>
        <w:pStyle w:val="VulcanIILevel2"/>
      </w:pPr>
      <w:bookmarkStart w:id="5" w:name="_Toc460854165"/>
      <w:r>
        <w:t xml:space="preserve">The Group </w:t>
      </w:r>
      <w:bookmarkEnd w:id="5"/>
      <w:r w:rsidR="00A5572A">
        <w:t>depends</w:t>
      </w:r>
      <w:r>
        <w:t xml:space="preserve"> on its ability to execute new lease agreements and successfully dispose of its real estate assets</w:t>
      </w:r>
    </w:p>
    <w:p w14:paraId="33E3FA9F" w14:textId="77777777" w:rsidR="00F76607" w:rsidRDefault="001863F0">
      <w:pPr>
        <w:pStyle w:val="NormalWeb"/>
        <w:spacing w:before="240" w:beforeAutospacing="0" w:after="0" w:afterAutospacing="0"/>
        <w:ind w:firstLine="857"/>
        <w:rPr>
          <w:sz w:val="18"/>
          <w:szCs w:val="18"/>
        </w:rPr>
      </w:pPr>
      <w:r>
        <w:rPr>
          <w:sz w:val="18"/>
          <w:szCs w:val="18"/>
        </w:rPr>
        <w:t>The Group’s revenues are determined by the ability to sign new lease contracts and by the disposal of real estate assets, in particular to the Joint Venture. The Group’s short term cash flow may be affected if it is unable to continue successfully signing new lease contracts and successfully dispose of real estate assets, which could have an adverse effect on the Group’s business, financial condition and results of operations.</w:t>
      </w:r>
    </w:p>
    <w:p w14:paraId="4C1287EB" w14:textId="77777777" w:rsidR="00F76607" w:rsidRDefault="001863F0">
      <w:pPr>
        <w:pStyle w:val="NormalWeb"/>
        <w:spacing w:before="240" w:beforeAutospacing="0" w:after="0" w:afterAutospacing="0"/>
        <w:ind w:firstLine="857"/>
        <w:rPr>
          <w:sz w:val="18"/>
          <w:szCs w:val="18"/>
        </w:rPr>
      </w:pPr>
      <w:bookmarkStart w:id="6" w:name="_Toc460854166"/>
      <w:r>
        <w:rPr>
          <w:sz w:val="18"/>
          <w:szCs w:val="18"/>
        </w:rPr>
        <w:t xml:space="preserve">In the medium term the Group’s results and cash flows may fluctuate significantly depending on the projects/parks which can be put up for sale and sold in a given year. The inability to generate sufficient cash in the medium term may affect the debt repayment capacity of the Group, which could have an adverse effect on the Group’s business, financial condition and results of operations. </w:t>
      </w:r>
    </w:p>
    <w:p w14:paraId="7DF51A42" w14:textId="77777777" w:rsidR="00F76607" w:rsidRDefault="001863F0">
      <w:pPr>
        <w:pStyle w:val="NormalWeb"/>
        <w:keepNext/>
        <w:rPr>
          <w:b/>
          <w:bCs/>
          <w:i/>
          <w:sz w:val="18"/>
          <w:szCs w:val="18"/>
          <w:lang w:val="en-GB"/>
        </w:rPr>
      </w:pPr>
      <w:r>
        <w:rPr>
          <w:b/>
          <w:bCs/>
          <w:i/>
          <w:sz w:val="18"/>
          <w:szCs w:val="18"/>
          <w:lang w:val="en-GB"/>
        </w:rPr>
        <w:t>Risks related to the nature of the Group’s business: acquiring, developing, owning, managing a logistic real estate portfolio</w:t>
      </w:r>
      <w:bookmarkEnd w:id="6"/>
    </w:p>
    <w:p w14:paraId="3EFD58A7" w14:textId="77777777" w:rsidR="00F76607" w:rsidRDefault="001863F0">
      <w:pPr>
        <w:pStyle w:val="NormalWeb"/>
        <w:spacing w:before="240" w:beforeAutospacing="0" w:after="0" w:afterAutospacing="0"/>
        <w:ind w:firstLine="857"/>
        <w:rPr>
          <w:sz w:val="18"/>
          <w:szCs w:val="18"/>
        </w:rPr>
      </w:pPr>
      <w:r>
        <w:rPr>
          <w:sz w:val="18"/>
          <w:szCs w:val="18"/>
        </w:rPr>
        <w:t xml:space="preserve">The Group’s assets (including the assets developed for the intended disposal to the Joint Venture) are currently geographically concentrated in Germany, Spain, the Czech Republic, and to a lesser extent, in Latvia, Slovakia, Hungary and Romania. </w:t>
      </w:r>
    </w:p>
    <w:p w14:paraId="183ED01E" w14:textId="77777777" w:rsidR="00F76607" w:rsidRDefault="001863F0">
      <w:pPr>
        <w:pStyle w:val="NormalWeb"/>
        <w:spacing w:before="240" w:beforeAutospacing="0" w:after="0" w:afterAutospacing="0"/>
        <w:ind w:firstLine="857"/>
        <w:rPr>
          <w:sz w:val="18"/>
          <w:szCs w:val="18"/>
        </w:rPr>
      </w:pPr>
      <w:r>
        <w:rPr>
          <w:sz w:val="18"/>
          <w:szCs w:val="18"/>
        </w:rPr>
        <w:t>Since the Group’s business involves the acquisition, development and operation of real estate, it is subject to real estate operating risks, of which some are outside the Group’s control, including risks relating to:</w:t>
      </w:r>
    </w:p>
    <w:p w14:paraId="3CC2D362" w14:textId="77777777" w:rsidR="00F76607" w:rsidRDefault="001863F0">
      <w:pPr>
        <w:pStyle w:val="VulcanIIbullet"/>
        <w:rPr>
          <w:lang w:val="en-GB"/>
        </w:rPr>
      </w:pPr>
      <w:r>
        <w:rPr>
          <w:lang w:val="en-GB"/>
        </w:rPr>
        <w:t>changes in the general economic conditions, or the local property markets;</w:t>
      </w:r>
    </w:p>
    <w:p w14:paraId="19343131" w14:textId="77777777" w:rsidR="00F76607" w:rsidRDefault="001863F0">
      <w:pPr>
        <w:pStyle w:val="VulcanIIbullet"/>
        <w:rPr>
          <w:lang w:val="en-GB"/>
        </w:rPr>
      </w:pPr>
      <w:r>
        <w:rPr>
          <w:lang w:val="en-GB"/>
        </w:rPr>
        <w:t>local conditions, such as an oversupply of logistic property or a reduction in demand for such property;</w:t>
      </w:r>
    </w:p>
    <w:p w14:paraId="024FEF6F" w14:textId="77777777" w:rsidR="00F76607" w:rsidRDefault="001863F0">
      <w:pPr>
        <w:pStyle w:val="VulcanIIbullet"/>
        <w:rPr>
          <w:lang w:val="en-GB"/>
        </w:rPr>
      </w:pPr>
      <w:r>
        <w:rPr>
          <w:lang w:val="en-GB"/>
        </w:rPr>
        <w:t>the Group’s ability to provide adequate maintenance of the buildings;</w:t>
      </w:r>
    </w:p>
    <w:p w14:paraId="4FA12581" w14:textId="77777777" w:rsidR="00F76607" w:rsidRDefault="001863F0">
      <w:pPr>
        <w:pStyle w:val="VulcanIIbullet"/>
        <w:rPr>
          <w:lang w:val="en-GB"/>
        </w:rPr>
      </w:pPr>
      <w:r>
        <w:rPr>
          <w:lang w:val="en-GB"/>
        </w:rPr>
        <w:t>impact of environmental protection, planning and health and safety laws;</w:t>
      </w:r>
    </w:p>
    <w:p w14:paraId="742897D6" w14:textId="77777777" w:rsidR="00F76607" w:rsidRDefault="001863F0">
      <w:pPr>
        <w:pStyle w:val="VulcanIIbullet"/>
        <w:rPr>
          <w:lang w:val="en-GB"/>
        </w:rPr>
      </w:pPr>
      <w:r>
        <w:rPr>
          <w:lang w:val="en-GB"/>
        </w:rPr>
        <w:t>changes in tax, real estate and planning laws and regulations;</w:t>
      </w:r>
    </w:p>
    <w:p w14:paraId="5455D2A5" w14:textId="77777777" w:rsidR="00F76607" w:rsidRDefault="001863F0">
      <w:pPr>
        <w:pStyle w:val="VulcanIIbullet"/>
        <w:rPr>
          <w:lang w:val="en-GB"/>
        </w:rPr>
      </w:pPr>
      <w:r>
        <w:rPr>
          <w:lang w:val="en-GB"/>
        </w:rPr>
        <w:t>the Group’s ability to achieve optimal rental growth and control operating costs;</w:t>
      </w:r>
    </w:p>
    <w:p w14:paraId="7B7EDEFA" w14:textId="77777777" w:rsidR="00F76607" w:rsidRDefault="001863F0">
      <w:pPr>
        <w:pStyle w:val="VulcanIIbullet"/>
        <w:rPr>
          <w:lang w:val="en-GB"/>
        </w:rPr>
      </w:pPr>
      <w:r>
        <w:rPr>
          <w:lang w:val="en-GB"/>
        </w:rPr>
        <w:t>the Group’s ability to obtain project financing on economically viable terms;</w:t>
      </w:r>
    </w:p>
    <w:p w14:paraId="4D3D1142" w14:textId="77777777" w:rsidR="00F76607" w:rsidRDefault="001863F0">
      <w:pPr>
        <w:pStyle w:val="VulcanIIbullet"/>
        <w:rPr>
          <w:lang w:val="en-GB"/>
        </w:rPr>
      </w:pPr>
      <w:r>
        <w:rPr>
          <w:lang w:val="en-GB"/>
        </w:rPr>
        <w:t>the Group’s ability to timely obtain all necessary permits and consents;</w:t>
      </w:r>
    </w:p>
    <w:p w14:paraId="3ACBF54E" w14:textId="77777777" w:rsidR="00F76607" w:rsidRDefault="001863F0">
      <w:pPr>
        <w:pStyle w:val="VulcanIIbullet"/>
        <w:rPr>
          <w:lang w:val="en-GB"/>
        </w:rPr>
      </w:pPr>
      <w:r>
        <w:rPr>
          <w:lang w:val="en-GB"/>
        </w:rPr>
        <w:t>inherent risks in respect of ownership title in certain jurisdictions;</w:t>
      </w:r>
    </w:p>
    <w:p w14:paraId="3D8E937E" w14:textId="77777777" w:rsidR="00F76607" w:rsidRDefault="001863F0">
      <w:pPr>
        <w:pStyle w:val="VulcanIIbullet"/>
        <w:rPr>
          <w:lang w:val="en-GB"/>
        </w:rPr>
      </w:pPr>
      <w:r>
        <w:rPr>
          <w:lang w:val="en-GB"/>
        </w:rPr>
        <w:t>currency exchange rate fluctuations;</w:t>
      </w:r>
    </w:p>
    <w:p w14:paraId="21BD20AB" w14:textId="77777777" w:rsidR="00F76607" w:rsidRDefault="001863F0">
      <w:pPr>
        <w:pStyle w:val="VulcanIIbullet"/>
        <w:rPr>
          <w:lang w:val="en-GB"/>
        </w:rPr>
      </w:pPr>
      <w:r>
        <w:rPr>
          <w:lang w:val="en-GB"/>
        </w:rPr>
        <w:t>construction delays and construction budget overruns;</w:t>
      </w:r>
    </w:p>
    <w:p w14:paraId="6F9AF611" w14:textId="77777777" w:rsidR="00F76607" w:rsidRDefault="001863F0">
      <w:pPr>
        <w:pStyle w:val="VulcanIIbullet"/>
        <w:rPr>
          <w:lang w:val="en-GB"/>
        </w:rPr>
      </w:pPr>
      <w:r>
        <w:rPr>
          <w:lang w:val="en-GB"/>
        </w:rPr>
        <w:t>contamination of sites and soil pollution;</w:t>
      </w:r>
    </w:p>
    <w:p w14:paraId="26DEE1FD" w14:textId="77777777" w:rsidR="00F76607" w:rsidRDefault="001863F0">
      <w:pPr>
        <w:pStyle w:val="VulcanIIbullet"/>
        <w:rPr>
          <w:lang w:val="en-GB"/>
        </w:rPr>
      </w:pPr>
      <w:r>
        <w:rPr>
          <w:lang w:val="en-GB"/>
        </w:rPr>
        <w:t>opposition from civic or environmental groups;</w:t>
      </w:r>
    </w:p>
    <w:p w14:paraId="4F906B78" w14:textId="77777777" w:rsidR="00F76607" w:rsidRDefault="001863F0">
      <w:pPr>
        <w:pStyle w:val="VulcanIIbullet"/>
        <w:rPr>
          <w:lang w:val="en-GB"/>
        </w:rPr>
      </w:pPr>
      <w:r>
        <w:rPr>
          <w:lang w:val="en-GB"/>
        </w:rPr>
        <w:t>defects in or damages to buildings under construction or income-generating assets;</w:t>
      </w:r>
    </w:p>
    <w:p w14:paraId="7277BC26" w14:textId="77777777" w:rsidR="00F76607" w:rsidRDefault="001863F0">
      <w:pPr>
        <w:pStyle w:val="VulcanIIbullet"/>
        <w:rPr>
          <w:lang w:val="en-GB"/>
        </w:rPr>
      </w:pPr>
      <w:r>
        <w:rPr>
          <w:lang w:val="en-GB"/>
        </w:rPr>
        <w:t>tenant claims;</w:t>
      </w:r>
    </w:p>
    <w:p w14:paraId="7679EAAC" w14:textId="77777777" w:rsidR="00F76607" w:rsidRDefault="001863F0">
      <w:pPr>
        <w:pStyle w:val="VulcanIIbullet"/>
        <w:rPr>
          <w:lang w:val="en-GB"/>
        </w:rPr>
      </w:pPr>
      <w:r>
        <w:rPr>
          <w:lang w:val="en-GB"/>
        </w:rPr>
        <w:t>natural disasters or catastrophic property damage (e.g. caused by fire);</w:t>
      </w:r>
    </w:p>
    <w:p w14:paraId="3E2CC5D7" w14:textId="77777777" w:rsidR="00F76607" w:rsidRDefault="001863F0">
      <w:pPr>
        <w:pStyle w:val="VulcanIIbullet"/>
        <w:rPr>
          <w:lang w:val="en-GB"/>
        </w:rPr>
      </w:pPr>
      <w:r>
        <w:rPr>
          <w:lang w:val="en-GB"/>
        </w:rPr>
        <w:t>potential compulsory purchase or expropriation of one or more property by government agencies; and</w:t>
      </w:r>
    </w:p>
    <w:p w14:paraId="56AE9E99" w14:textId="77777777" w:rsidR="00F76607" w:rsidRDefault="001863F0">
      <w:pPr>
        <w:pStyle w:val="VulcanIIbullet"/>
        <w:rPr>
          <w:lang w:val="en-GB"/>
        </w:rPr>
      </w:pPr>
      <w:r>
        <w:rPr>
          <w:lang w:val="en-GB"/>
        </w:rPr>
        <w:t>potential terrorist attacks.</w:t>
      </w:r>
    </w:p>
    <w:p w14:paraId="04073717" w14:textId="7070374A" w:rsidR="00F76607" w:rsidRDefault="001863F0">
      <w:pPr>
        <w:pStyle w:val="NormalWeb"/>
        <w:spacing w:before="240" w:beforeAutospacing="0" w:after="0" w:afterAutospacing="0"/>
        <w:ind w:firstLine="857"/>
        <w:rPr>
          <w:sz w:val="18"/>
          <w:szCs w:val="18"/>
          <w:lang w:val="en-GB"/>
        </w:rPr>
      </w:pPr>
      <w:r>
        <w:rPr>
          <w:sz w:val="18"/>
          <w:szCs w:val="18"/>
          <w:lang w:val="en-GB"/>
        </w:rPr>
        <w:lastRenderedPageBreak/>
        <w:t>The occurrence of any of these events in any of the geographic markets where the Group is active could result in a material adverse effect on the Group’s future business, financial condition, operating results, reputation</w:t>
      </w:r>
      <w:r w:rsidR="00FF2ECC">
        <w:rPr>
          <w:sz w:val="18"/>
          <w:szCs w:val="18"/>
          <w:lang w:val="en-GB"/>
        </w:rPr>
        <w:t xml:space="preserve"> </w:t>
      </w:r>
      <w:r>
        <w:rPr>
          <w:sz w:val="18"/>
          <w:szCs w:val="18"/>
          <w:lang w:val="en-GB"/>
        </w:rPr>
        <w:t>and cash flows.</w:t>
      </w:r>
    </w:p>
    <w:p w14:paraId="23D9293A" w14:textId="77777777" w:rsidR="00F76607" w:rsidRDefault="001863F0">
      <w:pPr>
        <w:pStyle w:val="NormalWeb"/>
        <w:spacing w:before="240" w:after="0"/>
        <w:rPr>
          <w:b/>
          <w:bCs/>
          <w:i/>
          <w:sz w:val="18"/>
          <w:szCs w:val="18"/>
          <w:lang w:val="en-GB"/>
        </w:rPr>
      </w:pPr>
      <w:r>
        <w:rPr>
          <w:b/>
          <w:bCs/>
          <w:i/>
          <w:sz w:val="18"/>
          <w:szCs w:val="18"/>
          <w:lang w:val="en-GB"/>
        </w:rPr>
        <w:t>Real estate valuations are based on methods and other considerations that may not accurately reflect the value of the real estate at which the property could be sold</w:t>
      </w:r>
    </w:p>
    <w:p w14:paraId="5D0F4E91" w14:textId="77777777" w:rsidR="00F76607" w:rsidRDefault="001863F0">
      <w:pPr>
        <w:pStyle w:val="NormalWeb"/>
        <w:spacing w:before="240" w:beforeAutospacing="0" w:after="0" w:afterAutospacing="0"/>
        <w:ind w:firstLine="857"/>
        <w:rPr>
          <w:sz w:val="18"/>
          <w:szCs w:val="18"/>
        </w:rPr>
      </w:pPr>
      <w:r>
        <w:rPr>
          <w:sz w:val="18"/>
          <w:szCs w:val="18"/>
        </w:rPr>
        <w:t>The valuation of a property depends largely on national and regional economic conditions. The value of the Group’s portfolio may be affected by a downturn of the property market or a change in the economic condition of the countries where the Group is present. Also, the level of the interest rates is an important parameter for the valuation of real estate. A change in one of the assumptions used or factors considered in making a property’s valuation could considerably decrease the value of the property, which could have an adverse effect on the Group’s business, financial condition and results of operations.</w:t>
      </w:r>
    </w:p>
    <w:p w14:paraId="2F45E8DE" w14:textId="61CFF196" w:rsidR="00F76607" w:rsidRDefault="001863F0">
      <w:pPr>
        <w:pStyle w:val="NormalWeb"/>
        <w:spacing w:before="240" w:beforeAutospacing="0" w:after="0" w:afterAutospacing="0"/>
        <w:ind w:firstLine="857"/>
        <w:rPr>
          <w:sz w:val="18"/>
          <w:szCs w:val="18"/>
        </w:rPr>
      </w:pPr>
      <w:r>
        <w:rPr>
          <w:sz w:val="18"/>
          <w:szCs w:val="18"/>
        </w:rPr>
        <w:t>The Group’s intention is to construct primarily logistic properties and ancillary offices. In case of termination of a lease of logistic property with ancillary offices, it may be difficult to attract a new tenant requiring all of the ancillary office space, in view of different tenants’ requirements and activities th</w:t>
      </w:r>
      <w:r w:rsidR="006525D0">
        <w:rPr>
          <w:sz w:val="18"/>
          <w:szCs w:val="18"/>
        </w:rPr>
        <w:t>a</w:t>
      </w:r>
      <w:r>
        <w:rPr>
          <w:sz w:val="18"/>
          <w:szCs w:val="18"/>
        </w:rPr>
        <w:t>n the initial tenant. Due to the nature of the real estate and the lack of alternative uses of logistic properties and to a more limited extent the offices, the ability to respond to adverse changes in the performance of the properties could be limited, which could impact the business, financial condition, operating results and cash flows of the Group.</w:t>
      </w:r>
    </w:p>
    <w:p w14:paraId="28035E79" w14:textId="77777777" w:rsidR="00F76607" w:rsidRDefault="001863F0">
      <w:pPr>
        <w:pStyle w:val="NormalWeb"/>
        <w:spacing w:before="240" w:beforeAutospacing="0" w:after="0" w:afterAutospacing="0"/>
        <w:ind w:firstLine="857"/>
        <w:rPr>
          <w:bCs/>
          <w:sz w:val="18"/>
          <w:szCs w:val="18"/>
          <w:lang w:val="en-GB"/>
        </w:rPr>
      </w:pPr>
      <w:r>
        <w:rPr>
          <w:sz w:val="18"/>
          <w:szCs w:val="18"/>
        </w:rPr>
        <w:t>Valuation gains and losses (which are not realized) are recognized in the Company’s income statement. Consequently, a downturn of the property market or a negative change in one of the assumptions used or factors considered in making a property’s valuation (such as interest rates, local economic situation, market sentiment, market yield expectations, inflation) could decrease the value of the property and may have an adverse effect on the operating results of the Group. These factors are not under the Group’s control.</w:t>
      </w:r>
      <w:r>
        <w:rPr>
          <w:bCs/>
          <w:sz w:val="18"/>
          <w:szCs w:val="18"/>
          <w:lang w:val="en-GB"/>
        </w:rPr>
        <w:t xml:space="preserve"> Furthermore, the Group may not be able to offset valuation losses through expected future rental income or development activity gains, which may adversely affect the operating results. </w:t>
      </w:r>
    </w:p>
    <w:p w14:paraId="244C08EC" w14:textId="77777777" w:rsidR="00F76607" w:rsidRDefault="001863F0">
      <w:pPr>
        <w:pStyle w:val="NormalWeb"/>
        <w:spacing w:before="240" w:beforeAutospacing="0" w:after="0" w:afterAutospacing="0"/>
        <w:ind w:firstLine="857"/>
        <w:rPr>
          <w:sz w:val="18"/>
          <w:szCs w:val="18"/>
        </w:rPr>
      </w:pPr>
      <w:r>
        <w:rPr>
          <w:sz w:val="18"/>
          <w:szCs w:val="18"/>
        </w:rPr>
        <w:t>The Group’s real estate portfolio is concentrated on logistic property. Due to this concentration, an economic downturn in this sector could have a material adverse effect on the Group’s business, financial condition, operating results and cash flows.</w:t>
      </w:r>
    </w:p>
    <w:p w14:paraId="13FF0BB8" w14:textId="77777777" w:rsidR="00F76607" w:rsidRDefault="001863F0">
      <w:pPr>
        <w:pStyle w:val="NormalWeb"/>
        <w:spacing w:before="240" w:after="0"/>
        <w:rPr>
          <w:b/>
          <w:bCs/>
          <w:i/>
          <w:sz w:val="18"/>
          <w:szCs w:val="18"/>
          <w:lang w:val="en-GB"/>
        </w:rPr>
      </w:pPr>
      <w:r>
        <w:rPr>
          <w:b/>
          <w:bCs/>
          <w:i/>
          <w:sz w:val="18"/>
          <w:szCs w:val="18"/>
          <w:lang w:val="en-GB"/>
        </w:rPr>
        <w:t>The Group is exposed to credit risks on rental payments from its tenants and failure by its tenants to pay rent when due could adversely affect the Group’s business, financial condition and results of operations</w:t>
      </w:r>
    </w:p>
    <w:p w14:paraId="3A715E59" w14:textId="77777777" w:rsidR="00F76607" w:rsidRDefault="001863F0">
      <w:pPr>
        <w:pStyle w:val="NormalWeb"/>
        <w:spacing w:before="240" w:beforeAutospacing="0" w:after="0" w:afterAutospacing="0"/>
        <w:ind w:firstLine="857"/>
        <w:rPr>
          <w:sz w:val="18"/>
          <w:szCs w:val="18"/>
        </w:rPr>
      </w:pPr>
      <w:r>
        <w:rPr>
          <w:sz w:val="18"/>
          <w:szCs w:val="18"/>
        </w:rPr>
        <w:t>The logistic property lease market also depends largely on the economic conditions and parameters relating specifically to the property such as location and the condition of the property. In addition, the legal context or regulatory changes may impose amongst others constraints on the Indexation of lease income.</w:t>
      </w:r>
    </w:p>
    <w:p w14:paraId="2A3D4145" w14:textId="2E3D5ECA" w:rsidR="00F76607" w:rsidRDefault="001863F0">
      <w:pPr>
        <w:pStyle w:val="NormalWeb"/>
        <w:spacing w:before="240" w:beforeAutospacing="0" w:after="0" w:afterAutospacing="0"/>
        <w:ind w:firstLine="857"/>
        <w:rPr>
          <w:sz w:val="18"/>
          <w:szCs w:val="18"/>
        </w:rPr>
      </w:pPr>
      <w:r>
        <w:rPr>
          <w:sz w:val="18"/>
          <w:szCs w:val="18"/>
        </w:rPr>
        <w:t>The value of a rental property depends largely on the remaining term of the related rental agreements as well as the creditworthiness of the tenants. The Group concludes contracts with reputable companies that have a solid financial reputation in order to assure itself of a recurrent rental income. Contracts are secured by standby letters of credit</w:t>
      </w:r>
      <w:r w:rsidR="006525D0">
        <w:rPr>
          <w:sz w:val="18"/>
          <w:szCs w:val="18"/>
        </w:rPr>
        <w:t>, cash deposits</w:t>
      </w:r>
      <w:r>
        <w:rPr>
          <w:sz w:val="18"/>
          <w:szCs w:val="18"/>
        </w:rPr>
        <w:t xml:space="preserve"> and/or parent guarantees covering in general a six-month lease period. If a significant number of customers, or one or more of its largest customers, were unable to meet their lease obligations, this could materially adversely affect the Group’s business, financial condition, operating results and cash flows.</w:t>
      </w:r>
    </w:p>
    <w:p w14:paraId="0AFDABBE" w14:textId="77777777" w:rsidR="00F76607" w:rsidRDefault="001863F0">
      <w:pPr>
        <w:pStyle w:val="NormalWeb"/>
        <w:spacing w:before="240" w:after="0"/>
        <w:rPr>
          <w:b/>
          <w:bCs/>
          <w:i/>
          <w:sz w:val="18"/>
          <w:szCs w:val="18"/>
          <w:lang w:val="en-GB"/>
        </w:rPr>
      </w:pPr>
      <w:bookmarkStart w:id="7" w:name="_Toc460854169"/>
      <w:r>
        <w:rPr>
          <w:b/>
          <w:bCs/>
          <w:i/>
          <w:sz w:val="18"/>
          <w:szCs w:val="18"/>
          <w:lang w:val="en-GB"/>
        </w:rPr>
        <w:t>Risks related to the Group’s development activities</w:t>
      </w:r>
      <w:bookmarkEnd w:id="7"/>
    </w:p>
    <w:p w14:paraId="40B249ED" w14:textId="77777777" w:rsidR="00F76607" w:rsidRDefault="001863F0">
      <w:pPr>
        <w:pStyle w:val="NormalWeb"/>
        <w:spacing w:before="240" w:beforeAutospacing="0" w:after="0" w:afterAutospacing="0"/>
        <w:ind w:firstLine="857"/>
        <w:rPr>
          <w:sz w:val="18"/>
          <w:szCs w:val="18"/>
        </w:rPr>
      </w:pPr>
      <w:r>
        <w:rPr>
          <w:sz w:val="18"/>
          <w:szCs w:val="18"/>
        </w:rPr>
        <w:t>The Group’s strategy focuses on development and a pro-active approach in respect of potential disposal of the Group’s income generating assets once such assets have reached a mature stage.</w:t>
      </w:r>
    </w:p>
    <w:p w14:paraId="12CAE1E4" w14:textId="4D198D4C" w:rsidR="00F76607" w:rsidRDefault="001863F0">
      <w:pPr>
        <w:pStyle w:val="NormalWeb"/>
        <w:spacing w:before="240" w:beforeAutospacing="0" w:after="0" w:afterAutospacing="0"/>
        <w:ind w:firstLine="857"/>
        <w:rPr>
          <w:sz w:val="18"/>
          <w:szCs w:val="18"/>
        </w:rPr>
      </w:pPr>
      <w:r>
        <w:rPr>
          <w:sz w:val="18"/>
          <w:szCs w:val="18"/>
        </w:rPr>
        <w:t xml:space="preserve">Development of the Group’s logistic property involves risks in addition to those involved in owning and operating the Group’s existing logistic property, particularly with respect to developing logistic property in new markets. During the initial phases of development projects, the Group normally carries the costs of the project and begins to receive revenues only at a later point in time. Development projects sometimes face cost overruns and delays in completion, many of which are caused by factors that are not directly within the control of the developer. Unfamiliarity with local regulations, delays in obtaining construction permits or contract and </w:t>
      </w:r>
      <w:proofErr w:type="spellStart"/>
      <w:r>
        <w:rPr>
          <w:sz w:val="18"/>
          <w:szCs w:val="18"/>
        </w:rPr>
        <w:t>labour</w:t>
      </w:r>
      <w:proofErr w:type="spellEnd"/>
      <w:r>
        <w:rPr>
          <w:sz w:val="18"/>
          <w:szCs w:val="18"/>
        </w:rPr>
        <w:t xml:space="preserve"> disputes with construction contractors or subcontractors and unforeseen site conditions may require additional work and construction delays. Failure of the Group to perform as expected or the cost of unforeseen significant capital improvements could decrease the Group’s cash flows. The Group could also underestimate the cost of improvements needed to market the property effectively to potential tenants. Any of these events could result in a material adverse effect on the Group’s future business, financial condition, operating results and cash flows.</w:t>
      </w:r>
    </w:p>
    <w:p w14:paraId="0C48A4AC" w14:textId="77777777" w:rsidR="00F76607" w:rsidRDefault="001863F0">
      <w:pPr>
        <w:pStyle w:val="NormalWeb"/>
        <w:spacing w:before="240" w:beforeAutospacing="0" w:after="0" w:afterAutospacing="0"/>
        <w:ind w:firstLine="857"/>
        <w:rPr>
          <w:sz w:val="18"/>
          <w:szCs w:val="18"/>
        </w:rPr>
      </w:pPr>
      <w:r>
        <w:rPr>
          <w:sz w:val="18"/>
          <w:szCs w:val="18"/>
        </w:rPr>
        <w:t>When considering property development investments, the Group makes certain estimates as to the economic, market and other conditions, including estimates relating to the value or potential value of a property and the potential return on investment. These estimates may prove to be incorrect, rendering the Group’s strategy inappropriate with consequent negative effects on the Group’s business, results of operations, financial conditions and prospects.</w:t>
      </w:r>
    </w:p>
    <w:p w14:paraId="59E220D7" w14:textId="77777777" w:rsidR="00F76607" w:rsidRDefault="001863F0">
      <w:pPr>
        <w:pStyle w:val="NormalWeb"/>
        <w:spacing w:before="240" w:after="0"/>
        <w:rPr>
          <w:b/>
          <w:bCs/>
          <w:i/>
          <w:sz w:val="18"/>
          <w:szCs w:val="18"/>
          <w:lang w:val="en-GB"/>
        </w:rPr>
      </w:pPr>
      <w:bookmarkStart w:id="8" w:name="_Toc460854170"/>
      <w:r>
        <w:rPr>
          <w:b/>
          <w:bCs/>
          <w:i/>
          <w:sz w:val="18"/>
          <w:szCs w:val="18"/>
          <w:lang w:val="en-GB"/>
        </w:rPr>
        <w:t>Risks associated with the disposal of projects</w:t>
      </w:r>
      <w:bookmarkEnd w:id="8"/>
    </w:p>
    <w:p w14:paraId="5312C773" w14:textId="60EFC045" w:rsidR="00F76607" w:rsidRDefault="001863F0">
      <w:pPr>
        <w:pStyle w:val="NormalWeb"/>
        <w:spacing w:before="240" w:beforeAutospacing="0" w:after="0" w:afterAutospacing="0"/>
        <w:ind w:firstLine="857"/>
        <w:rPr>
          <w:sz w:val="18"/>
          <w:szCs w:val="18"/>
        </w:rPr>
      </w:pPr>
      <w:r>
        <w:rPr>
          <w:bCs/>
          <w:sz w:val="18"/>
          <w:szCs w:val="18"/>
          <w:lang w:val="en-GB"/>
        </w:rPr>
        <w:lastRenderedPageBreak/>
        <w:t>Upon</w:t>
      </w:r>
      <w:r>
        <w:rPr>
          <w:sz w:val="18"/>
          <w:szCs w:val="18"/>
        </w:rPr>
        <w:t xml:space="preserve"> completion of real estate projects, VGP has usually a considerable amount of own funds invested in the project. The Group therefore adopts a pro-active strategy towards disposal of the assets, in particular within the Joint Venture, in order to partially recycle the invested funds and free up these funds to re-invest in the development pipeline.</w:t>
      </w:r>
    </w:p>
    <w:p w14:paraId="127A5D79" w14:textId="77777777" w:rsidR="00F76607" w:rsidRDefault="001863F0">
      <w:pPr>
        <w:pStyle w:val="NormalWeb"/>
        <w:spacing w:before="240" w:beforeAutospacing="0" w:after="0" w:afterAutospacing="0"/>
        <w:ind w:firstLine="857"/>
        <w:rPr>
          <w:sz w:val="18"/>
          <w:szCs w:val="18"/>
        </w:rPr>
      </w:pPr>
      <w:r>
        <w:rPr>
          <w:sz w:val="18"/>
          <w:szCs w:val="18"/>
        </w:rPr>
        <w:t>The Group’s revenues will as a result be partly determined by disposals of real estate projects, in particular to the Joint Venture. This means that the Group’s results and cash flow can fluctuate considerably from year to year depending on the number of projects that can be put up for sale and can be sold, in particular to the Joint Venture, in a given year. The Group’s inability to conclude sales can give rise to significant fluctuations of the cash flows of the Company, which could have an adverse effect on the Group’s business, financial condition and results of operations.</w:t>
      </w:r>
    </w:p>
    <w:p w14:paraId="7B60A480" w14:textId="77777777" w:rsidR="00F76607" w:rsidRDefault="001863F0">
      <w:pPr>
        <w:pStyle w:val="NormalWeb"/>
        <w:rPr>
          <w:b/>
          <w:bCs/>
          <w:i/>
          <w:sz w:val="18"/>
          <w:szCs w:val="18"/>
          <w:lang w:val="en-GB"/>
        </w:rPr>
      </w:pPr>
      <w:bookmarkStart w:id="9" w:name="_Toc460854171"/>
      <w:r>
        <w:rPr>
          <w:b/>
          <w:bCs/>
          <w:i/>
          <w:sz w:val="18"/>
          <w:szCs w:val="18"/>
          <w:lang w:val="en-GB"/>
        </w:rPr>
        <w:t>Increased maintenance, refurbishment and property management service costs may adversely affect the Group’s results</w:t>
      </w:r>
    </w:p>
    <w:bookmarkEnd w:id="9"/>
    <w:p w14:paraId="4593AF85"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The desirability of rental property depends not only on its location but also on its condition. To remain attractive and to generate a revenue stream over the longer term, a property’s condition must be maintained or, in some cases, improved to meet the changing needs of the market. Most of the Group’s properties are new, and are expected to require only standard maintenance in the near term. As these properties age, or as market requirements change, maintaining or upgrading these properties in accordance with market standards may entail significant costs, which are typically borne primarily by the property owner, not the tenants. If the actual costs of maintaining or upgrading a property exceed the Group’s estimates, or if hidden defects are discovered during maintenance or upgrading that are not covered by insurance or contractual warranties, or if the Group is not permitted to raise its rents, the Group will have to bear the additional costs. Furthermore, any failure by the Group to undertake relevant repair work in response to the factors described above could adversely affect the income earned from affected properties. </w:t>
      </w:r>
    </w:p>
    <w:p w14:paraId="4DC1663F" w14:textId="7CF52CD1"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Property management services are mainly provided internally and to a lesser extent externally whereby the respective Group property management company is responsible for the proper and undisturbed operation of the buildings. As part of its offered services the Group’s property management companies will also perform Project Management services. These services cover the performance of capital improvements and any other construction works as may be requested by the owner of the buildings. This scope covers the full range of Project Management services (supervision and coordination of the contractors for design, advising on obtaining permits, advising on the works and any tenders relating thereto). </w:t>
      </w:r>
    </w:p>
    <w:p w14:paraId="0F7C4C11" w14:textId="44C206BA"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The Group has regrouped the Facility Management services in the Czech Republic in SUTA </w:t>
      </w:r>
      <w:proofErr w:type="spellStart"/>
      <w:r>
        <w:rPr>
          <w:bCs/>
          <w:sz w:val="18"/>
          <w:szCs w:val="18"/>
          <w:lang w:val="en-GB"/>
        </w:rPr>
        <w:t>s.r.o</w:t>
      </w:r>
      <w:proofErr w:type="spellEnd"/>
      <w:r>
        <w:rPr>
          <w:bCs/>
          <w:sz w:val="18"/>
          <w:szCs w:val="18"/>
          <w:lang w:val="en-GB"/>
        </w:rPr>
        <w:t xml:space="preserve">. (“SUTA”) and in Germany in FM </w:t>
      </w:r>
      <w:proofErr w:type="spellStart"/>
      <w:r>
        <w:rPr>
          <w:bCs/>
          <w:sz w:val="18"/>
          <w:szCs w:val="18"/>
          <w:lang w:val="en-GB"/>
        </w:rPr>
        <w:t>Log.In.GmbH</w:t>
      </w:r>
      <w:proofErr w:type="spellEnd"/>
      <w:r>
        <w:rPr>
          <w:bCs/>
          <w:sz w:val="18"/>
          <w:szCs w:val="18"/>
          <w:lang w:val="en-GB"/>
        </w:rPr>
        <w:t xml:space="preserve"> (“FM Log”). Facility Management services are provided internally as well as externally whereby SUTA and FM Log</w:t>
      </w:r>
      <w:r w:rsidR="00D11DE1">
        <w:rPr>
          <w:bCs/>
          <w:sz w:val="18"/>
          <w:szCs w:val="18"/>
          <w:lang w:val="en-GB"/>
        </w:rPr>
        <w:t xml:space="preserve"> provide facility management services and</w:t>
      </w:r>
      <w:r>
        <w:rPr>
          <w:bCs/>
          <w:sz w:val="18"/>
          <w:szCs w:val="18"/>
          <w:lang w:val="en-GB"/>
        </w:rPr>
        <w:t xml:space="preserve">, depending on </w:t>
      </w:r>
      <w:r w:rsidR="006B106F">
        <w:rPr>
          <w:bCs/>
          <w:sz w:val="18"/>
          <w:szCs w:val="18"/>
          <w:lang w:val="en-GB"/>
        </w:rPr>
        <w:t xml:space="preserve">the </w:t>
      </w:r>
      <w:r>
        <w:rPr>
          <w:bCs/>
          <w:sz w:val="18"/>
          <w:szCs w:val="18"/>
          <w:lang w:val="en-GB"/>
        </w:rPr>
        <w:t xml:space="preserve">particular location, various activities, such as maintenance services, </w:t>
      </w:r>
      <w:r w:rsidR="00D11DE1">
        <w:rPr>
          <w:bCs/>
          <w:sz w:val="18"/>
          <w:szCs w:val="18"/>
          <w:lang w:val="en-GB"/>
        </w:rPr>
        <w:t xml:space="preserve">defect reporting, </w:t>
      </w:r>
      <w:r>
        <w:rPr>
          <w:bCs/>
          <w:sz w:val="18"/>
          <w:szCs w:val="18"/>
          <w:lang w:val="en-GB"/>
        </w:rPr>
        <w:t>waste management services, maintenance of greenery etc. that may be necessary in this respect. In the Czech Republic and Slovakia, approximately 30% (based on incurred costs) of the facility management services required for the operation of the properties in the own portfolio as well as in the Joint Venture portfolio are provided internally with the remaining portion being contracted to third parties. In Germany, this figure corresponds to 20%, whereby the facility management function is being built up. In other countries where no specific Facility Management team is in place, the Group uses third party Facility Management services companies to perform these activities.</w:t>
      </w:r>
    </w:p>
    <w:p w14:paraId="2E7EDF1A"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The property management and Facility Management companies of the Group will therefore be potentially liable for the quality and or non-performance of their services, which could have an adverse effect on the Group’s business, financial condition and results of operations. In order to minimise this risk a professional indemnity insurance cover has been taken out.</w:t>
      </w:r>
    </w:p>
    <w:p w14:paraId="5441A164" w14:textId="77777777" w:rsidR="00F76607" w:rsidRDefault="001863F0">
      <w:pPr>
        <w:pStyle w:val="NormalWeb"/>
        <w:spacing w:before="240" w:beforeAutospacing="0" w:after="0" w:afterAutospacing="0"/>
        <w:rPr>
          <w:b/>
          <w:bCs/>
          <w:i/>
          <w:sz w:val="18"/>
          <w:szCs w:val="18"/>
          <w:lang w:val="en-GB"/>
        </w:rPr>
      </w:pPr>
      <w:bookmarkStart w:id="10" w:name="_Toc460854172"/>
      <w:r>
        <w:rPr>
          <w:b/>
          <w:bCs/>
          <w:i/>
          <w:sz w:val="18"/>
          <w:szCs w:val="18"/>
          <w:lang w:val="en-GB"/>
        </w:rPr>
        <w:t xml:space="preserve">The Group’s insurance cover may be insufficient </w:t>
      </w:r>
      <w:bookmarkEnd w:id="10"/>
    </w:p>
    <w:p w14:paraId="74D954F6"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The Group’s real estate can be damaged or destroyed by acts of violence, natural disasters, civil unrest or terrorist attacks or accidents, including accidents linked to the goods stored. Certain types of losses, however, may be either uninsurable or not economically insurable in some countries, such as losses due to floods, riots, acts of war or terrorism. In such circumstances, the Group would remain liable for any debt or other financial obligation related to that property. Inflation, changes in building codes and ordinances, environmental considerations and other factors also might make insurance proceeds insufficient to cover the cost of restoring or replacing a property after it has been damaged or destroyed. The Group’s business, financial condition, operating results and cash flows may be adversely affected in such circumstances.</w:t>
      </w:r>
    </w:p>
    <w:p w14:paraId="509D6730" w14:textId="77777777" w:rsidR="00F76607" w:rsidRDefault="001863F0">
      <w:pPr>
        <w:pStyle w:val="NormalWeb"/>
        <w:spacing w:before="240" w:beforeAutospacing="0" w:after="0" w:afterAutospacing="0"/>
        <w:ind w:firstLine="857"/>
        <w:rPr>
          <w:bCs/>
          <w:sz w:val="18"/>
          <w:szCs w:val="18"/>
          <w:lang w:val="en-GB"/>
        </w:rPr>
      </w:pPr>
      <w:bookmarkStart w:id="11" w:name="_Toc460854173"/>
      <w:r>
        <w:rPr>
          <w:bCs/>
          <w:sz w:val="18"/>
          <w:szCs w:val="18"/>
          <w:lang w:val="en-GB"/>
        </w:rPr>
        <w:t>If after damage or destruction, the property cannot be rebuilt or achieve former occupancy and profitability levels within the period of coverage, this could result in a material adverse effect on the Group’s future business, financial condition, operating results and cash flows. While all of the Group’s buildings are insured against such risks as the Group considers customary in the same geographic area by companies engaged in the same or similar business, there can be no assurances that its insurance coverage will be sufficient or effective under all circumstances and against all liabilities to which it may subject. Liabilities that are not covered by insurance or the Group’s inability to maintain its current insurance coverage could have a material adverse effect on its business, results of operations, financial condition and prospects.</w:t>
      </w:r>
    </w:p>
    <w:p w14:paraId="418C8629" w14:textId="77777777" w:rsidR="00F76607" w:rsidRDefault="001863F0">
      <w:pPr>
        <w:pStyle w:val="NormalWeb"/>
        <w:spacing w:before="240" w:after="0"/>
        <w:rPr>
          <w:b/>
          <w:bCs/>
          <w:i/>
          <w:sz w:val="18"/>
          <w:szCs w:val="18"/>
          <w:lang w:val="en-GB"/>
        </w:rPr>
      </w:pPr>
      <w:r>
        <w:rPr>
          <w:b/>
          <w:bCs/>
          <w:i/>
          <w:sz w:val="18"/>
          <w:szCs w:val="18"/>
          <w:lang w:val="en-GB"/>
        </w:rPr>
        <w:t>Risks related to legal and regulatory matters</w:t>
      </w:r>
      <w:bookmarkEnd w:id="11"/>
    </w:p>
    <w:p w14:paraId="4703B80C" w14:textId="77777777" w:rsidR="00F76607" w:rsidRDefault="001863F0">
      <w:pPr>
        <w:pStyle w:val="NormalWeb"/>
        <w:spacing w:before="240" w:beforeAutospacing="0" w:after="0" w:afterAutospacing="0"/>
        <w:ind w:firstLine="857"/>
        <w:rPr>
          <w:bCs/>
          <w:sz w:val="18"/>
          <w:szCs w:val="18"/>
          <w:lang w:val="en-GB"/>
        </w:rPr>
      </w:pPr>
      <w:bookmarkStart w:id="12" w:name="_Toc460854174"/>
      <w:r>
        <w:rPr>
          <w:bCs/>
          <w:sz w:val="18"/>
          <w:szCs w:val="18"/>
          <w:lang w:val="en-GB"/>
        </w:rPr>
        <w:t xml:space="preserve">As the Group is active and intends to further develop business in the mid-European countries (whereby the Group’s current focus is on Latvia, the Czech Republic, Slovakia, Hungary and Romania), Germany and Spain, the Group is subject to a wide range of EU, national and local laws and regulations. These include requirements in terms of building and occupancy permits (which must be obtained in order for projects to be developed and let), as well as zoning, health and safety, environmental, monument protection, tax, planning, foreign ownership limitations and other laws and regulations. Because of the complexities involved in procuring and </w:t>
      </w:r>
      <w:r>
        <w:rPr>
          <w:bCs/>
          <w:sz w:val="18"/>
          <w:szCs w:val="18"/>
          <w:lang w:val="en-GB"/>
        </w:rPr>
        <w:lastRenderedPageBreak/>
        <w:t>maintaining numerous licenses and permits, there can be no assurance that the Group will at all times be in compliance with all of the requirements imposed on properties and the Group’s business.</w:t>
      </w:r>
    </w:p>
    <w:p w14:paraId="74B88670" w14:textId="05D9DCBF"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The Group applies for the permits necessary to construct and exploit its real estate. Because of bureaucracy, environmental and heritage protection laws, and time constraints with the administrative authorities in the relevant jurisdictions, the Group may encounter difficulties in timely obtaining the relevant permits, if at all. The lead time to obtain necessary permits varies across the Central and Eastern Europe (“CEE”), South East Europe (“SEE”) and Baltic regions, ranging from a few months to up to 18 months. Delay and/or changes in the construction process and plans might occur as a result of external factors, e.g. the discovery of archaeological sites. Any failure </w:t>
      </w:r>
      <w:r w:rsidR="00823A53">
        <w:rPr>
          <w:bCs/>
          <w:sz w:val="18"/>
          <w:szCs w:val="18"/>
          <w:lang w:val="en-GB"/>
        </w:rPr>
        <w:t xml:space="preserve">to, </w:t>
      </w:r>
      <w:r>
        <w:rPr>
          <w:bCs/>
          <w:sz w:val="18"/>
          <w:szCs w:val="18"/>
          <w:lang w:val="en-GB"/>
        </w:rPr>
        <w:t>or delay in</w:t>
      </w:r>
      <w:r w:rsidR="00823A53">
        <w:rPr>
          <w:bCs/>
          <w:sz w:val="18"/>
          <w:szCs w:val="18"/>
          <w:lang w:val="en-GB"/>
        </w:rPr>
        <w:t>,</w:t>
      </w:r>
      <w:r>
        <w:rPr>
          <w:bCs/>
          <w:sz w:val="18"/>
          <w:szCs w:val="18"/>
          <w:lang w:val="en-GB"/>
        </w:rPr>
        <w:t xml:space="preserve"> comply</w:t>
      </w:r>
      <w:r w:rsidR="00823A53">
        <w:rPr>
          <w:bCs/>
          <w:sz w:val="18"/>
          <w:szCs w:val="18"/>
          <w:lang w:val="en-GB"/>
        </w:rPr>
        <w:t>ing</w:t>
      </w:r>
      <w:r>
        <w:rPr>
          <w:bCs/>
          <w:sz w:val="18"/>
          <w:szCs w:val="18"/>
          <w:lang w:val="en-GB"/>
        </w:rPr>
        <w:t xml:space="preserve"> with applicable laws and regulations or</w:t>
      </w:r>
      <w:r w:rsidR="00823A53">
        <w:rPr>
          <w:bCs/>
          <w:sz w:val="18"/>
          <w:szCs w:val="18"/>
          <w:lang w:val="en-GB"/>
        </w:rPr>
        <w:t xml:space="preserve"> failure</w:t>
      </w:r>
      <w:r>
        <w:rPr>
          <w:bCs/>
          <w:sz w:val="18"/>
          <w:szCs w:val="18"/>
          <w:lang w:val="en-GB"/>
        </w:rPr>
        <w:t xml:space="preserve"> to obtain and maintain the requisite approvals and permits could have a material adverse effect on the Group’s business, results of operations, financial condition and prospects.</w:t>
      </w:r>
    </w:p>
    <w:p w14:paraId="660A6DF9"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Furthermore, changes in laws and governmental regulations, or their interpretation by agencies or the courts, could occur. Such regulatory changes and other economic and political factors, including civil unrest, governmental changes and restrictions on the ability to transfer capital in the foreign countries in which the Group has invested, could have a materially adverse effect on the Group’s business, financial condition, operating results and cash flows.</w:t>
      </w:r>
    </w:p>
    <w:bookmarkEnd w:id="12"/>
    <w:p w14:paraId="3929C9E4" w14:textId="77777777" w:rsidR="00F76607" w:rsidRDefault="001863F0">
      <w:pPr>
        <w:pStyle w:val="NormalWeb"/>
        <w:rPr>
          <w:b/>
          <w:bCs/>
          <w:i/>
          <w:sz w:val="18"/>
          <w:szCs w:val="18"/>
          <w:lang w:val="en-GB"/>
        </w:rPr>
      </w:pPr>
      <w:r>
        <w:rPr>
          <w:b/>
          <w:bCs/>
          <w:i/>
          <w:sz w:val="18"/>
          <w:szCs w:val="18"/>
          <w:lang w:val="en-GB"/>
        </w:rPr>
        <w:t>Increased competition for acquiring new land plots may adversely affect the Group’s financial results</w:t>
      </w:r>
    </w:p>
    <w:p w14:paraId="133300E7" w14:textId="77777777" w:rsidR="00F76607" w:rsidRDefault="001863F0">
      <w:pPr>
        <w:pStyle w:val="NormalWeb"/>
        <w:spacing w:before="240" w:beforeAutospacing="0" w:after="0" w:afterAutospacing="0"/>
        <w:ind w:firstLine="857"/>
        <w:rPr>
          <w:bCs/>
          <w:sz w:val="18"/>
          <w:szCs w:val="18"/>
          <w:lang w:val="en-GB"/>
        </w:rPr>
      </w:pPr>
      <w:bookmarkStart w:id="13" w:name="_Toc460854176"/>
      <w:r>
        <w:rPr>
          <w:bCs/>
          <w:sz w:val="18"/>
          <w:szCs w:val="18"/>
          <w:lang w:val="en-GB"/>
        </w:rPr>
        <w:t xml:space="preserve">The markets in which the Group operates are exposed to local and international competition. Competition among property developers and operators may result in, among other things, increased costs for the acquisitions of land for development, increased costs for raw material, shortages of skilled contractors, oversupply of properties and/or saturation of certain market segments, reduced rental rates, decrease in property prices and a slowdown in the rate at which new property developments are approved, any of which could have a material adverse effect on the Group’s business, results of operations, financial condition and results of operations. </w:t>
      </w:r>
    </w:p>
    <w:p w14:paraId="26B665ED"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The Group’s competitors and potential competitors may have significantly greater financial, technical, marketing, service or resources than the Group and have a longer operating history in certain countries or regions or greater name recognition. The Group’s smaller size may therefore be considered negatively by prospective customers. In addition, the Group’s competitors may be able to respond more quickly than the Group can to changes in customer requirements and devote greater resources to the enhancement, promotion and rental of its logistic real estate. If competition intensifies and the Group’s Occupancy Rates or rental revenues decline, this could have a material adverse effect on the Group’s business, financial condition, operating results and cash flows.</w:t>
      </w:r>
    </w:p>
    <w:p w14:paraId="3F82C995" w14:textId="77777777" w:rsidR="000F2F68" w:rsidRDefault="001863F0">
      <w:pPr>
        <w:pStyle w:val="NormalWeb"/>
        <w:spacing w:before="240" w:after="0"/>
        <w:rPr>
          <w:bCs/>
          <w:sz w:val="18"/>
          <w:szCs w:val="18"/>
          <w:lang w:val="en-GB"/>
        </w:rPr>
      </w:pPr>
      <w:r>
        <w:rPr>
          <w:bCs/>
          <w:sz w:val="18"/>
          <w:szCs w:val="18"/>
          <w:lang w:val="en-GB"/>
        </w:rPr>
        <w:t>Furthermore, the Group’s growth and profitability to date have been attributable, in part, to its ability to locate and acquire land in attractive locations, at attractive prices and on favourable terms and conditions, and the Group’s strategy and future profitability depends in part on its continued ability to do so. There can be no assurance that in the future the Group will be able to acquire land in sizes and locations suitable for development, at attractive prices or on favourable terms and conditions in the event of increased competition. Any inability to identify and acquire sufficient sites for the Group’s land bank at commercially acceptable prices, terms and conditions could have a material adverse effect on the Group’s business, results of operations, financial condition and results of operations.</w:t>
      </w:r>
    </w:p>
    <w:p w14:paraId="0FCA5C38" w14:textId="1E22FE4E" w:rsidR="00F76607" w:rsidRDefault="001863F0">
      <w:pPr>
        <w:pStyle w:val="NormalWeb"/>
        <w:spacing w:before="240" w:after="0"/>
        <w:rPr>
          <w:b/>
          <w:bCs/>
          <w:i/>
          <w:sz w:val="18"/>
          <w:szCs w:val="18"/>
          <w:lang w:val="en-GB"/>
        </w:rPr>
      </w:pPr>
      <w:r>
        <w:rPr>
          <w:b/>
          <w:bCs/>
          <w:i/>
          <w:sz w:val="18"/>
          <w:szCs w:val="18"/>
          <w:lang w:val="en-GB"/>
        </w:rPr>
        <w:t>The Group may not be able to manage growth and to continue adequate and efficient monitoring of the portfolio</w:t>
      </w:r>
      <w:bookmarkEnd w:id="13"/>
    </w:p>
    <w:p w14:paraId="61409221"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The Group’s success depends in part on its ability to manage future expansion and to identify attractive investment opportunities. Such expansion is expected to place significant demands on management, support functions, accounting and financial control, sales and marketing and other resources and would involve a number of risks, including: the difficulty of assimilating operations and personnel in the Group’s operations, the potential disruption of ongoing business and distraction of management; expenses related to such integration and in the case of acquisitions in certain mid-European countries </w:t>
      </w:r>
      <w:r>
        <w:rPr>
          <w:sz w:val="18"/>
          <w:szCs w:val="18"/>
          <w:lang w:val="en-GB"/>
        </w:rPr>
        <w:t>(whereby the Group’s current focus is on Latvia, the Czech Republic, Slovakia, Hungary and Romania)</w:t>
      </w:r>
      <w:r>
        <w:rPr>
          <w:bCs/>
          <w:sz w:val="18"/>
          <w:szCs w:val="18"/>
          <w:lang w:val="en-GB"/>
        </w:rPr>
        <w:t xml:space="preserve">, uncertainty regarding foreign laws and regulations, which could have an adverse effect on the Group’s business, financial condition and results of operations. As at 30 June 2017, the Group had 126 employees. The Group’s aim is to have a sufficiently large team to support the current growth rate of the Group. </w:t>
      </w:r>
    </w:p>
    <w:p w14:paraId="0532E843" w14:textId="77777777" w:rsidR="00F76607" w:rsidRDefault="001863F0">
      <w:pPr>
        <w:pStyle w:val="NormalWeb"/>
        <w:spacing w:before="240" w:after="0"/>
        <w:rPr>
          <w:b/>
          <w:bCs/>
          <w:i/>
          <w:sz w:val="18"/>
          <w:szCs w:val="18"/>
          <w:lang w:val="en-GB"/>
        </w:rPr>
      </w:pPr>
      <w:r>
        <w:rPr>
          <w:b/>
          <w:bCs/>
          <w:i/>
          <w:sz w:val="18"/>
          <w:szCs w:val="18"/>
          <w:lang w:val="en-GB"/>
        </w:rPr>
        <w:t>The Group may be liable for environmental remediation or may be exposed to environmental claims</w:t>
      </w:r>
    </w:p>
    <w:p w14:paraId="0D0517E0" w14:textId="0964B8F6"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Although the Group has so far realised </w:t>
      </w:r>
      <w:r w:rsidR="00823A53">
        <w:rPr>
          <w:bCs/>
          <w:sz w:val="18"/>
          <w:szCs w:val="18"/>
          <w:lang w:val="en-GB"/>
        </w:rPr>
        <w:t>most</w:t>
      </w:r>
      <w:r>
        <w:rPr>
          <w:bCs/>
          <w:sz w:val="18"/>
          <w:szCs w:val="18"/>
          <w:lang w:val="en-GB"/>
        </w:rPr>
        <w:t xml:space="preserve"> of its projects on </w:t>
      </w:r>
      <w:proofErr w:type="spellStart"/>
      <w:r>
        <w:rPr>
          <w:bCs/>
          <w:sz w:val="18"/>
          <w:szCs w:val="18"/>
          <w:lang w:val="en-GB"/>
        </w:rPr>
        <w:t>greenfields</w:t>
      </w:r>
      <w:proofErr w:type="spellEnd"/>
      <w:r>
        <w:rPr>
          <w:bCs/>
          <w:sz w:val="18"/>
          <w:szCs w:val="18"/>
          <w:lang w:val="en-GB"/>
        </w:rPr>
        <w:t xml:space="preserve"> where the presence of environmental pollutants is unlikely, when acquiring new plots of land, the Group runs the risk of acquiring land which contains environmental pollutants (e.g. waste, oil or toxic chemicals) which are harmful to the environment or to the health of workmen on the sites. The removal and disposal of such hazardous substances, along with the associated maintenance and repair work, could entail significant costs and it may be impossible for the Subsidiaries to obtain recourse against the party responsible for the pollution or against prior owners.</w:t>
      </w:r>
    </w:p>
    <w:p w14:paraId="1771B56F" w14:textId="7A3F877F" w:rsidR="00F76607" w:rsidRDefault="001863F0">
      <w:pPr>
        <w:pStyle w:val="NormalWeb"/>
        <w:spacing w:before="240" w:beforeAutospacing="0" w:after="0" w:afterAutospacing="0"/>
        <w:ind w:firstLine="857"/>
        <w:rPr>
          <w:bCs/>
          <w:sz w:val="18"/>
          <w:szCs w:val="18"/>
          <w:lang w:val="en-GB"/>
        </w:rPr>
      </w:pPr>
      <w:r>
        <w:rPr>
          <w:bCs/>
          <w:sz w:val="18"/>
          <w:szCs w:val="18"/>
          <w:lang w:val="en-GB"/>
        </w:rPr>
        <w:t>These environmental risks are particularly acute with respect to plots of land located in countries where reliable documentation for past contamination does not exist or where the laws governing environmental matters are in development or unclear, as is more often the case in the mid-European countries (</w:t>
      </w:r>
      <w:r>
        <w:rPr>
          <w:sz w:val="18"/>
          <w:szCs w:val="18"/>
          <w:lang w:val="en-GB"/>
        </w:rPr>
        <w:t>the Group’s current focus in central Europe is on Latvia, the Czech Republic, Slovakia, Hungary and Romania)</w:t>
      </w:r>
      <w:r>
        <w:rPr>
          <w:bCs/>
          <w:sz w:val="18"/>
          <w:szCs w:val="18"/>
          <w:lang w:val="en-GB"/>
        </w:rPr>
        <w:t>. These risks associated with environmental claims are not always predictable or under the Group’s control. The incurrence of environmental claims or unforeseen costs to remove or dispose of these substances or to repair resultant damage caused by them could adversely affect the Group’s business, financial condition, results of operations and prospects.</w:t>
      </w:r>
    </w:p>
    <w:p w14:paraId="004A1AA0" w14:textId="77777777" w:rsidR="00F76607" w:rsidRDefault="001863F0">
      <w:pPr>
        <w:pStyle w:val="NormalWeb"/>
        <w:spacing w:before="240" w:after="0"/>
        <w:rPr>
          <w:b/>
          <w:bCs/>
          <w:i/>
          <w:sz w:val="18"/>
          <w:szCs w:val="18"/>
          <w:lang w:val="en-GB"/>
        </w:rPr>
      </w:pPr>
      <w:r>
        <w:rPr>
          <w:b/>
          <w:bCs/>
          <w:i/>
          <w:sz w:val="18"/>
          <w:szCs w:val="18"/>
          <w:lang w:val="en-GB"/>
        </w:rPr>
        <w:lastRenderedPageBreak/>
        <w:t>The Group may be liable for environmental illegal and other goods storage by its tenants</w:t>
      </w:r>
    </w:p>
    <w:p w14:paraId="35EC218D" w14:textId="195C8DEF"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Generally, the Group does not have </w:t>
      </w:r>
      <w:r w:rsidR="00823A53">
        <w:rPr>
          <w:bCs/>
          <w:sz w:val="18"/>
          <w:szCs w:val="18"/>
          <w:lang w:val="en-GB"/>
        </w:rPr>
        <w:t>full control over</w:t>
      </w:r>
      <w:r>
        <w:rPr>
          <w:bCs/>
          <w:sz w:val="18"/>
          <w:szCs w:val="18"/>
          <w:lang w:val="en-GB"/>
        </w:rPr>
        <w:t xml:space="preserve"> its leased-out propert</w:t>
      </w:r>
      <w:r w:rsidR="00823A53">
        <w:rPr>
          <w:bCs/>
          <w:sz w:val="18"/>
          <w:szCs w:val="18"/>
          <w:lang w:val="en-GB"/>
        </w:rPr>
        <w:t>ies</w:t>
      </w:r>
      <w:r>
        <w:rPr>
          <w:bCs/>
          <w:sz w:val="18"/>
          <w:szCs w:val="18"/>
          <w:lang w:val="en-GB"/>
        </w:rPr>
        <w:t xml:space="preserve"> and cannot prevent its tenants from storing hazardous materials, stolen goods, counterfeit goods, drugs or other illegal substances. Although the terms of the standard lease contracts for customers </w:t>
      </w:r>
      <w:r w:rsidR="00AF7864">
        <w:rPr>
          <w:bCs/>
          <w:sz w:val="18"/>
          <w:szCs w:val="18"/>
          <w:lang w:val="en-GB"/>
        </w:rPr>
        <w:t xml:space="preserve">require tenants to use the </w:t>
      </w:r>
      <w:r>
        <w:rPr>
          <w:bCs/>
          <w:sz w:val="18"/>
          <w:szCs w:val="18"/>
          <w:lang w:val="en-GB"/>
        </w:rPr>
        <w:t>premises</w:t>
      </w:r>
      <w:r w:rsidR="00AF7864">
        <w:rPr>
          <w:bCs/>
          <w:sz w:val="18"/>
          <w:szCs w:val="18"/>
          <w:lang w:val="en-GB"/>
        </w:rPr>
        <w:t xml:space="preserve"> only for authorized activities and for purposes agreed in the respective lease agreement</w:t>
      </w:r>
      <w:r>
        <w:rPr>
          <w:bCs/>
          <w:sz w:val="18"/>
          <w:szCs w:val="18"/>
          <w:lang w:val="en-GB"/>
        </w:rPr>
        <w:t>, the Group cannot exclude the possibility that the Group may be held ultimately liable with respect to the goods stored by its customers. In addition, unfavourable publicity as a result of illegal contents stored at one of the Group’s property could have a material adverse effect on the Group’s business, financial condition, operating results and cash flows.</w:t>
      </w:r>
    </w:p>
    <w:p w14:paraId="3ECFE542" w14:textId="77777777" w:rsidR="00F76607" w:rsidRDefault="001863F0">
      <w:pPr>
        <w:pStyle w:val="NormalWeb"/>
        <w:spacing w:before="240" w:after="0"/>
        <w:rPr>
          <w:b/>
          <w:bCs/>
          <w:i/>
          <w:sz w:val="18"/>
          <w:szCs w:val="18"/>
          <w:lang w:val="en-GB"/>
        </w:rPr>
      </w:pPr>
      <w:bookmarkStart w:id="14" w:name="_Toc460854179"/>
      <w:r>
        <w:rPr>
          <w:b/>
          <w:bCs/>
          <w:i/>
          <w:sz w:val="18"/>
          <w:szCs w:val="18"/>
          <w:lang w:val="en-GB"/>
        </w:rPr>
        <w:t>Dependency on key personnel</w:t>
      </w:r>
      <w:bookmarkEnd w:id="14"/>
    </w:p>
    <w:p w14:paraId="489ADE55"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The Group depends to a large degree on the expertise and commercial qualities of its management, commercial and technical team and in particular on its Chief Executive Officer, Jan Van Geet. Experienced technical, marketing and support personnel in the real estate development industry are in high demand and competition for their talent is intense. The loss of services of any members of the management or failure to attract and retain sufficiently qualified personnel may have a material adverse effect on the Group’s business, financial condition, operating results and cash flows.</w:t>
      </w:r>
    </w:p>
    <w:p w14:paraId="7850360C" w14:textId="3904B7AD" w:rsidR="00F76607" w:rsidRDefault="001863F0">
      <w:pPr>
        <w:pStyle w:val="NormalWeb"/>
        <w:spacing w:before="240" w:beforeAutospacing="0" w:after="0" w:afterAutospacing="0"/>
        <w:ind w:firstLine="857"/>
        <w:rPr>
          <w:bCs/>
          <w:sz w:val="18"/>
          <w:szCs w:val="18"/>
          <w:lang w:val="en-GB"/>
        </w:rPr>
      </w:pPr>
      <w:r>
        <w:rPr>
          <w:bCs/>
          <w:sz w:val="18"/>
          <w:szCs w:val="18"/>
          <w:lang w:val="en-GB"/>
        </w:rPr>
        <w:t>In order to retain personnel, the Selling Shareholders have put a long-term incentive plan in place through a separate vehicle, VGP </w:t>
      </w:r>
      <w:proofErr w:type="spellStart"/>
      <w:r>
        <w:rPr>
          <w:bCs/>
          <w:sz w:val="18"/>
          <w:szCs w:val="18"/>
          <w:lang w:val="en-GB"/>
        </w:rPr>
        <w:t>Misv</w:t>
      </w:r>
      <w:proofErr w:type="spellEnd"/>
      <w:r>
        <w:rPr>
          <w:bCs/>
          <w:sz w:val="18"/>
          <w:szCs w:val="18"/>
          <w:lang w:val="en-GB"/>
        </w:rPr>
        <w:t>. Comm. VA (see section “</w:t>
      </w:r>
      <w:r>
        <w:rPr>
          <w:bCs/>
          <w:i/>
          <w:sz w:val="18"/>
          <w:szCs w:val="18"/>
          <w:lang w:val="en-GB"/>
        </w:rPr>
        <w:t>Business –</w:t>
      </w:r>
      <w:r>
        <w:rPr>
          <w:bCs/>
          <w:sz w:val="18"/>
          <w:szCs w:val="18"/>
          <w:lang w:val="en-GB"/>
        </w:rPr>
        <w:t xml:space="preserve"> </w:t>
      </w:r>
      <w:r>
        <w:rPr>
          <w:bCs/>
          <w:i/>
          <w:sz w:val="18"/>
          <w:szCs w:val="18"/>
          <w:lang w:val="en-GB"/>
        </w:rPr>
        <w:t xml:space="preserve">Snow Crystal </w:t>
      </w:r>
      <w:proofErr w:type="spellStart"/>
      <w:r>
        <w:rPr>
          <w:bCs/>
          <w:i/>
          <w:sz w:val="18"/>
          <w:szCs w:val="18"/>
          <w:lang w:val="en-GB"/>
        </w:rPr>
        <w:t>S.à</w:t>
      </w:r>
      <w:proofErr w:type="spellEnd"/>
      <w:r>
        <w:rPr>
          <w:bCs/>
          <w:i/>
          <w:sz w:val="18"/>
          <w:szCs w:val="18"/>
          <w:lang w:val="en-GB"/>
        </w:rPr>
        <w:t xml:space="preserve"> </w:t>
      </w:r>
      <w:proofErr w:type="spellStart"/>
      <w:r>
        <w:rPr>
          <w:bCs/>
          <w:i/>
          <w:sz w:val="18"/>
          <w:szCs w:val="18"/>
          <w:lang w:val="en-GB"/>
        </w:rPr>
        <w:t>r.l</w:t>
      </w:r>
      <w:proofErr w:type="spellEnd"/>
      <w:r>
        <w:rPr>
          <w:bCs/>
          <w:i/>
          <w:sz w:val="18"/>
          <w:szCs w:val="18"/>
          <w:lang w:val="en-GB"/>
        </w:rPr>
        <w:t xml:space="preserve">., SUN </w:t>
      </w:r>
      <w:proofErr w:type="spellStart"/>
      <w:r>
        <w:rPr>
          <w:bCs/>
          <w:i/>
          <w:sz w:val="18"/>
          <w:szCs w:val="18"/>
          <w:lang w:val="en-GB"/>
        </w:rPr>
        <w:t>S.à</w:t>
      </w:r>
      <w:proofErr w:type="spellEnd"/>
      <w:r>
        <w:rPr>
          <w:bCs/>
          <w:i/>
          <w:sz w:val="18"/>
          <w:szCs w:val="18"/>
          <w:lang w:val="en-GB"/>
        </w:rPr>
        <w:t xml:space="preserve"> </w:t>
      </w:r>
      <w:proofErr w:type="spellStart"/>
      <w:r>
        <w:rPr>
          <w:bCs/>
          <w:i/>
          <w:sz w:val="18"/>
          <w:szCs w:val="18"/>
          <w:lang w:val="en-GB"/>
        </w:rPr>
        <w:t>r.l</w:t>
      </w:r>
      <w:proofErr w:type="spellEnd"/>
      <w:r>
        <w:rPr>
          <w:bCs/>
          <w:i/>
          <w:sz w:val="18"/>
          <w:szCs w:val="18"/>
          <w:lang w:val="en-GB"/>
        </w:rPr>
        <w:t>. and VGP MISV Comm. VA</w:t>
      </w:r>
      <w:r>
        <w:rPr>
          <w:bCs/>
          <w:sz w:val="18"/>
          <w:szCs w:val="18"/>
          <w:lang w:val="en-GB"/>
        </w:rPr>
        <w:t>”).</w:t>
      </w:r>
    </w:p>
    <w:p w14:paraId="05074CC8" w14:textId="44FEF60A" w:rsidR="007D69EB" w:rsidRDefault="007D69EB">
      <w:pPr>
        <w:pStyle w:val="NormalWeb"/>
        <w:spacing w:before="240" w:beforeAutospacing="0" w:after="0" w:afterAutospacing="0"/>
        <w:ind w:firstLine="857"/>
        <w:rPr>
          <w:bCs/>
          <w:sz w:val="18"/>
          <w:szCs w:val="18"/>
          <w:lang w:val="en-GB"/>
        </w:rPr>
      </w:pPr>
      <w:r>
        <w:rPr>
          <w:bCs/>
          <w:sz w:val="18"/>
          <w:szCs w:val="18"/>
          <w:lang w:val="en-GB"/>
        </w:rPr>
        <w:t>In the Joint Venture Agreement, the Group and Allianz have agreed that</w:t>
      </w:r>
      <w:r w:rsidRPr="007D69EB">
        <w:rPr>
          <w:bCs/>
          <w:sz w:val="18"/>
          <w:szCs w:val="18"/>
          <w:lang w:val="en-GB"/>
        </w:rPr>
        <w:t xml:space="preserve"> if Jan Van Geet, as CEO of the Group, would no longer devote sufficient time to the development of the portfolio of the Joint Venture, Allianz can, upon notice thereof, stop the acquisition process of the proposed income-generating assets, until Jan Van Geet has been replaced to the satisfaction of Allianz. Such temporary standstill of Allianz’s investment obligation </w:t>
      </w:r>
      <w:r w:rsidR="006B106F">
        <w:rPr>
          <w:bCs/>
          <w:sz w:val="18"/>
          <w:szCs w:val="18"/>
          <w:lang w:val="en-GB"/>
        </w:rPr>
        <w:t>could</w:t>
      </w:r>
      <w:r w:rsidRPr="007D69EB">
        <w:rPr>
          <w:bCs/>
          <w:sz w:val="18"/>
          <w:szCs w:val="18"/>
          <w:lang w:val="en-GB"/>
        </w:rPr>
        <w:t xml:space="preserve"> negatively impact the cash position of the Group</w:t>
      </w:r>
      <w:r w:rsidR="006B106F">
        <w:rPr>
          <w:bCs/>
          <w:sz w:val="18"/>
          <w:szCs w:val="18"/>
          <w:lang w:val="en-GB"/>
        </w:rPr>
        <w:t>, which could have a material adverse effect on the Group’s business, financial condition, operating results and cash flows.</w:t>
      </w:r>
    </w:p>
    <w:p w14:paraId="38365C07" w14:textId="77777777" w:rsidR="00F76607" w:rsidRDefault="001863F0">
      <w:pPr>
        <w:pStyle w:val="NormalWeb"/>
        <w:spacing w:before="240" w:after="0"/>
        <w:rPr>
          <w:b/>
          <w:bCs/>
          <w:i/>
          <w:sz w:val="18"/>
          <w:szCs w:val="18"/>
          <w:lang w:val="en-GB"/>
        </w:rPr>
      </w:pPr>
      <w:r>
        <w:rPr>
          <w:b/>
          <w:bCs/>
          <w:i/>
          <w:sz w:val="18"/>
          <w:szCs w:val="18"/>
          <w:lang w:val="en-GB"/>
        </w:rPr>
        <w:t>The Group may be subject to litigation and other disputes</w:t>
      </w:r>
    </w:p>
    <w:p w14:paraId="18754127"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The Group may become subject to disputes with tenants, commercial parties with whom the Group maintains relationships or other commercial parties in the rental or related businesses. Any such dispute could result in litigation between the Group and such commercial parties, which could have an adverse effect on the Group’s business, financial condition and results of operations. Whether or not any dispute actually proceeds to litigation, the Group may be required to devote significant management time and attention to its successful resolution (through litigation, settlement or otherwise), which would detract from the Group management’s ability to focus on its business. Any such resolution could involve the payment of damages or expenses by the Group, which may be significant. In addition, any such resolution could involve the Group agreeing to terms that restrict the operation of the Group’s business. </w:t>
      </w:r>
    </w:p>
    <w:p w14:paraId="65512904"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The occurrence of any of these events in any of the geographic markets where the Group is active could result in a material adverse effect on the Group’s future business, financial condition, operating results and cash flows.</w:t>
      </w:r>
    </w:p>
    <w:p w14:paraId="759F72F7" w14:textId="4E5F99B1"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As at the date of this Prospectus, VGP is not aware of any </w:t>
      </w:r>
      <w:r w:rsidR="006B106F">
        <w:rPr>
          <w:bCs/>
          <w:sz w:val="18"/>
          <w:szCs w:val="18"/>
          <w:lang w:val="en-GB"/>
        </w:rPr>
        <w:t xml:space="preserve">governmental, legal or arbitration proceedings (including such proceedings which are </w:t>
      </w:r>
      <w:r>
        <w:rPr>
          <w:bCs/>
          <w:sz w:val="18"/>
          <w:szCs w:val="18"/>
          <w:lang w:val="en-GB"/>
        </w:rPr>
        <w:t xml:space="preserve">pending </w:t>
      </w:r>
      <w:r w:rsidR="006B106F">
        <w:rPr>
          <w:bCs/>
          <w:sz w:val="18"/>
          <w:szCs w:val="18"/>
          <w:lang w:val="en-GB"/>
        </w:rPr>
        <w:t xml:space="preserve">or threatened of which the Company is aware) </w:t>
      </w:r>
      <w:r>
        <w:rPr>
          <w:bCs/>
          <w:sz w:val="18"/>
          <w:szCs w:val="18"/>
          <w:lang w:val="en-GB"/>
        </w:rPr>
        <w:t>which could have a material adverse effect on the Group’s future business, financial condition and/or operating results.</w:t>
      </w:r>
    </w:p>
    <w:p w14:paraId="010A58E2" w14:textId="77777777" w:rsidR="00F76607" w:rsidRDefault="001863F0">
      <w:pPr>
        <w:pStyle w:val="NormalWeb"/>
        <w:spacing w:before="240" w:after="0"/>
        <w:rPr>
          <w:b/>
          <w:bCs/>
          <w:i/>
          <w:sz w:val="18"/>
          <w:szCs w:val="18"/>
          <w:lang w:val="en-GB"/>
        </w:rPr>
      </w:pPr>
      <w:bookmarkStart w:id="15" w:name="_Toc460854181"/>
      <w:r>
        <w:rPr>
          <w:b/>
          <w:bCs/>
          <w:i/>
          <w:sz w:val="18"/>
          <w:szCs w:val="18"/>
          <w:lang w:val="en-GB"/>
        </w:rPr>
        <w:t>VGP is exposed to counterparty risk</w:t>
      </w:r>
      <w:bookmarkEnd w:id="15"/>
    </w:p>
    <w:p w14:paraId="05007FFE" w14:textId="70307E48" w:rsidR="00F76607" w:rsidRDefault="00A01869">
      <w:pPr>
        <w:pStyle w:val="NormalWeb"/>
        <w:spacing w:before="240" w:beforeAutospacing="0" w:after="0" w:afterAutospacing="0"/>
        <w:ind w:firstLine="857"/>
        <w:rPr>
          <w:iCs/>
          <w:sz w:val="18"/>
          <w:szCs w:val="18"/>
          <w:lang w:val="en-GB"/>
        </w:rPr>
      </w:pPr>
      <w:r>
        <w:rPr>
          <w:bCs/>
          <w:sz w:val="18"/>
          <w:szCs w:val="18"/>
          <w:lang w:val="en-GB"/>
        </w:rPr>
        <w:t>VGP has contractual relationships with multiple parties, such as partners, investors, tenants, contractors, architects, financial institutions, as well as the Joint Venture. The inability of such counterparties to live up to their contractual (financial or otherwise) obligations could have a significant impact on VGP’s financial and operational position. For example, a signifi</w:t>
      </w:r>
      <w:r w:rsidR="00560571">
        <w:rPr>
          <w:bCs/>
          <w:sz w:val="18"/>
          <w:szCs w:val="18"/>
          <w:lang w:val="en-GB"/>
        </w:rPr>
        <w:t xml:space="preserve">cant portion of the Annualized </w:t>
      </w:r>
      <w:r>
        <w:rPr>
          <w:bCs/>
          <w:sz w:val="18"/>
          <w:szCs w:val="18"/>
          <w:lang w:val="en-GB"/>
        </w:rPr>
        <w:t>Committed Leases (for the combined own and</w:t>
      </w:r>
      <w:r w:rsidR="00A5572A">
        <w:rPr>
          <w:bCs/>
          <w:sz w:val="18"/>
          <w:szCs w:val="18"/>
          <w:lang w:val="en-GB"/>
        </w:rPr>
        <w:t xml:space="preserve"> Joint Venture portfolio), (accounting to </w:t>
      </w:r>
      <w:r>
        <w:rPr>
          <w:bCs/>
          <w:sz w:val="18"/>
          <w:szCs w:val="18"/>
          <w:lang w:val="en-GB"/>
        </w:rPr>
        <w:t xml:space="preserve">12.2% of </w:t>
      </w:r>
      <w:r w:rsidR="007A3C71">
        <w:rPr>
          <w:bCs/>
          <w:sz w:val="18"/>
          <w:szCs w:val="18"/>
          <w:lang w:val="en-GB"/>
        </w:rPr>
        <w:t>the Annualised Committed Leases</w:t>
      </w:r>
      <w:r>
        <w:rPr>
          <w:bCs/>
          <w:sz w:val="18"/>
          <w:szCs w:val="18"/>
          <w:lang w:val="en-GB"/>
        </w:rPr>
        <w:t xml:space="preserve"> (excluding Estonia) </w:t>
      </w:r>
      <w:r w:rsidRPr="00A01869">
        <w:rPr>
          <w:bCs/>
          <w:sz w:val="18"/>
          <w:szCs w:val="18"/>
          <w:lang w:val="en-GB"/>
        </w:rPr>
        <w:t>as at 30 June 2017)</w:t>
      </w:r>
      <w:r w:rsidR="00A5572A">
        <w:rPr>
          <w:bCs/>
          <w:sz w:val="18"/>
          <w:szCs w:val="18"/>
          <w:lang w:val="en-GB"/>
        </w:rPr>
        <w:t>,</w:t>
      </w:r>
      <w:r>
        <w:rPr>
          <w:bCs/>
          <w:sz w:val="18"/>
          <w:szCs w:val="18"/>
          <w:lang w:val="en-GB"/>
        </w:rPr>
        <w:t xml:space="preserve"> results from the lease of a warehouse in Barcelona to Punto Fa S.L. (</w:t>
      </w:r>
      <w:r w:rsidR="00A5572A">
        <w:rPr>
          <w:bCs/>
          <w:sz w:val="18"/>
          <w:szCs w:val="18"/>
          <w:lang w:val="en-GB"/>
        </w:rPr>
        <w:t xml:space="preserve">part </w:t>
      </w:r>
      <w:r>
        <w:rPr>
          <w:bCs/>
          <w:sz w:val="18"/>
          <w:szCs w:val="18"/>
          <w:lang w:val="en-GB"/>
        </w:rPr>
        <w:t>of the Mango group). The Group could therefore be adversely affected by the financial difficulties of the Mango group</w:t>
      </w:r>
      <w:r>
        <w:rPr>
          <w:iCs/>
          <w:sz w:val="18"/>
          <w:szCs w:val="18"/>
          <w:lang w:val="en-GB"/>
        </w:rPr>
        <w:t>.</w:t>
      </w:r>
    </w:p>
    <w:p w14:paraId="7F3AD4FD"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Furthermore, the completion of the Group’s developments could be delayed if the Group is unable to appoint suitable contractors, or if one or more of the appointed contractors is unable to meet the development timetable or otherwise defaults on their construction obligations, including as a result of: (</w:t>
      </w:r>
      <w:proofErr w:type="spellStart"/>
      <w:r>
        <w:rPr>
          <w:bCs/>
          <w:sz w:val="18"/>
          <w:szCs w:val="18"/>
          <w:lang w:val="en-GB"/>
        </w:rPr>
        <w:t>i</w:t>
      </w:r>
      <w:proofErr w:type="spellEnd"/>
      <w:r>
        <w:rPr>
          <w:bCs/>
          <w:sz w:val="18"/>
          <w:szCs w:val="18"/>
          <w:lang w:val="en-GB"/>
        </w:rPr>
        <w:t>) labour shortages or disputes; (ii) the failure of any sub-contractors to provide the standard of construction expected or required; (iii) delays arising due to the complexity or technical demands of certain developments; (iv) bankruptcy; or (v) insolvency. Any such delay or default by a contractor or sub-contractor could result in damage to the Group’s relationships with its customers and could cause disruptions to the Group’s business, any of which could have a material adverse effect on the Group’s business, financial condition, operating results and cash flows.</w:t>
      </w:r>
    </w:p>
    <w:p w14:paraId="0F09EF92" w14:textId="77777777" w:rsidR="00F76607" w:rsidRDefault="001863F0">
      <w:pPr>
        <w:pStyle w:val="NormalWeb"/>
        <w:spacing w:before="240" w:after="0"/>
        <w:rPr>
          <w:b/>
          <w:bCs/>
          <w:i/>
          <w:sz w:val="18"/>
          <w:szCs w:val="18"/>
        </w:rPr>
      </w:pPr>
      <w:bookmarkStart w:id="16" w:name="_Toc460854213"/>
      <w:r>
        <w:rPr>
          <w:b/>
          <w:bCs/>
          <w:i/>
          <w:sz w:val="18"/>
          <w:szCs w:val="18"/>
        </w:rPr>
        <w:t>Risks related to tax aspects</w:t>
      </w:r>
      <w:bookmarkEnd w:id="16"/>
    </w:p>
    <w:p w14:paraId="0B387FCC"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New tax legislation as well as changing interpretation of tax regulations in the different countries in which the Company is operating could have an impact on the tax position of the Group.</w:t>
      </w:r>
    </w:p>
    <w:p w14:paraId="118B5ABA"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lastRenderedPageBreak/>
        <w:t>Each of the Group’s properties is subject to real estate and property taxes. These taxes may increase in the future as tax rates change and as the Group’s property values are assessed or reassessed by tax authorities. Depending on local market conditions, the Group may not be able to offset the tax increases through increases in rent or other income, which may adversely affect the yields on the Group’s investments and business, financial condition, operating results and cash flows. These risks are monitored on an on-going basis and where necessary, the Group will use external advisers to advise on tax matters.</w:t>
      </w:r>
    </w:p>
    <w:p w14:paraId="2A244C17" w14:textId="77777777" w:rsidR="00F76607" w:rsidRDefault="001863F0">
      <w:pPr>
        <w:pStyle w:val="NormalWeb"/>
        <w:spacing w:before="240" w:after="0"/>
        <w:rPr>
          <w:b/>
          <w:bCs/>
          <w:i/>
          <w:sz w:val="18"/>
          <w:szCs w:val="18"/>
        </w:rPr>
      </w:pPr>
      <w:r>
        <w:rPr>
          <w:b/>
          <w:bCs/>
          <w:i/>
          <w:sz w:val="18"/>
          <w:szCs w:val="18"/>
        </w:rPr>
        <w:t>The Group is exposed to liability claims</w:t>
      </w:r>
    </w:p>
    <w:p w14:paraId="4D87E2E0"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The nature of the Group’s business exposes it to potential liability claims by third parties. The Group may face contractual disputes which may or may not lead to legal proceedings as the result of a wide range of events, including, among other things: (</w:t>
      </w:r>
      <w:proofErr w:type="spellStart"/>
      <w:r>
        <w:rPr>
          <w:bCs/>
          <w:sz w:val="18"/>
          <w:szCs w:val="18"/>
          <w:lang w:val="en-GB"/>
        </w:rPr>
        <w:t>i</w:t>
      </w:r>
      <w:proofErr w:type="spellEnd"/>
      <w:r>
        <w:rPr>
          <w:bCs/>
          <w:sz w:val="18"/>
          <w:szCs w:val="18"/>
          <w:lang w:val="en-GB"/>
        </w:rPr>
        <w:t>) actual or alleged deficiencies in its execution of construction projects (including relating to the design, installation or repair of works); (ii) defects in the building materials the Group uses; or (iii) deficiencies in the goods and services provided by suppliers, contractors, and sub-contractors used by the Group. As a result, events, accidents, injuries or damage at or relating to one of the Group’s ongoing or completed projects resulting from the Group’s actual or alleged deficient actions could result in significant liability, warranty or other civil and criminal claims, as well as reputational harm, especially if public safety is impacted. These liabilities may not be insurable or could exceed the Group’s insurance limits and therefore could have a material adverse effect on the Group’s business, financial condition, operating results and cash flows.</w:t>
      </w:r>
    </w:p>
    <w:p w14:paraId="71178104" w14:textId="77777777" w:rsidR="00F76607" w:rsidRDefault="001863F0">
      <w:pPr>
        <w:pStyle w:val="NormalWeb"/>
        <w:spacing w:before="0" w:after="0"/>
        <w:rPr>
          <w:b/>
          <w:bCs/>
          <w:sz w:val="18"/>
          <w:szCs w:val="18"/>
        </w:rPr>
      </w:pPr>
      <w:bookmarkStart w:id="17" w:name="_Ref453856870"/>
      <w:bookmarkStart w:id="18" w:name="_Toc460854122"/>
      <w:bookmarkStart w:id="19" w:name="_Toc460854209"/>
      <w:bookmarkStart w:id="20" w:name="_Ref484617144"/>
      <w:r>
        <w:rPr>
          <w:b/>
          <w:bCs/>
          <w:sz w:val="18"/>
          <w:szCs w:val="18"/>
        </w:rPr>
        <w:t>Financial risks to which the Group is exposed</w:t>
      </w:r>
    </w:p>
    <w:bookmarkEnd w:id="17"/>
    <w:bookmarkEnd w:id="18"/>
    <w:p w14:paraId="2DBD67E5" w14:textId="77777777" w:rsidR="00F76607" w:rsidRDefault="001863F0">
      <w:pPr>
        <w:pStyle w:val="NormalWeb"/>
        <w:spacing w:after="0"/>
        <w:rPr>
          <w:b/>
          <w:i/>
          <w:sz w:val="18"/>
          <w:szCs w:val="18"/>
        </w:rPr>
      </w:pPr>
      <w:r>
        <w:rPr>
          <w:b/>
          <w:i/>
          <w:sz w:val="18"/>
          <w:szCs w:val="18"/>
        </w:rPr>
        <w:t>The Group is materially indebted</w:t>
      </w:r>
    </w:p>
    <w:p w14:paraId="56479654" w14:textId="10813C86" w:rsidR="00F76607" w:rsidRDefault="001863F0">
      <w:pPr>
        <w:pStyle w:val="NormalWeb"/>
        <w:spacing w:before="240" w:beforeAutospacing="0" w:after="0" w:afterAutospacing="0"/>
        <w:ind w:firstLine="857"/>
        <w:rPr>
          <w:bCs/>
          <w:sz w:val="18"/>
          <w:szCs w:val="18"/>
          <w:lang w:val="en-GB"/>
        </w:rPr>
      </w:pPr>
      <w:r>
        <w:rPr>
          <w:bCs/>
          <w:sz w:val="18"/>
          <w:szCs w:val="18"/>
          <w:lang w:val="en-GB"/>
        </w:rPr>
        <w:t>The Group has incurred significant borrowings in order to finance its growth via its currently outstanding bonds and/or via bank credit facilities. Under the terms of these bonds and bank credit facilities, the Group needs to ensure that it all times complies with the Gearing Ratio(s) set forth therein, failing which the Group will be in default under several (if not all) of the outstanding bonds and/or bank credit facilities. This may lead to an obligation of the Group to repay in full all outstanding financial indebtedness thereunder, which might have a material adverse effect on the Group’s business, financial condition, operating results and cash flows. Please</w:t>
      </w:r>
      <w:r w:rsidR="00823A53">
        <w:rPr>
          <w:bCs/>
          <w:sz w:val="18"/>
          <w:szCs w:val="18"/>
          <w:lang w:val="en-GB"/>
        </w:rPr>
        <w:t xml:space="preserve"> see</w:t>
      </w:r>
      <w:r>
        <w:rPr>
          <w:bCs/>
          <w:sz w:val="18"/>
          <w:szCs w:val="18"/>
          <w:lang w:val="en-GB"/>
        </w:rPr>
        <w:t xml:space="preserve"> also “</w:t>
      </w:r>
      <w:r>
        <w:rPr>
          <w:bCs/>
          <w:i/>
          <w:sz w:val="18"/>
          <w:szCs w:val="18"/>
          <w:lang w:val="en-GB"/>
        </w:rPr>
        <w:t>The Group’s borrowings are subject to certain restrictive covenants</w:t>
      </w:r>
      <w:r>
        <w:rPr>
          <w:bCs/>
          <w:sz w:val="18"/>
          <w:szCs w:val="18"/>
          <w:lang w:val="en-GB"/>
        </w:rPr>
        <w:t>” in this section “</w:t>
      </w:r>
      <w:r>
        <w:rPr>
          <w:bCs/>
          <w:i/>
          <w:sz w:val="18"/>
          <w:szCs w:val="18"/>
          <w:lang w:val="en-GB"/>
        </w:rPr>
        <w:t>Risk Factors</w:t>
      </w:r>
      <w:r>
        <w:rPr>
          <w:bCs/>
          <w:sz w:val="18"/>
          <w:szCs w:val="18"/>
          <w:lang w:val="en-GB"/>
        </w:rPr>
        <w:t>” for more details on the Gearing Ratios to which the Group needs to adhere</w:t>
      </w:r>
      <w:r w:rsidR="00823A53">
        <w:rPr>
          <w:bCs/>
          <w:sz w:val="18"/>
          <w:szCs w:val="18"/>
          <w:lang w:val="en-GB"/>
        </w:rPr>
        <w:t xml:space="preserve"> to</w:t>
      </w:r>
      <w:r>
        <w:rPr>
          <w:bCs/>
          <w:sz w:val="18"/>
          <w:szCs w:val="18"/>
          <w:lang w:val="en-GB"/>
        </w:rPr>
        <w:t xml:space="preserve"> under the provisions of the bonds.</w:t>
      </w:r>
    </w:p>
    <w:p w14:paraId="135F0210"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Among other things, the Group’s indebtedness (and position of its Gearing Ratio) could potentially:</w:t>
      </w:r>
    </w:p>
    <w:p w14:paraId="3EDEE8B8" w14:textId="77777777" w:rsidR="00F76607" w:rsidRDefault="001863F0">
      <w:pPr>
        <w:pStyle w:val="VulcanIIbullet"/>
        <w:rPr>
          <w:lang w:val="en-GB"/>
        </w:rPr>
      </w:pPr>
      <w:r>
        <w:rPr>
          <w:lang w:val="en-GB"/>
        </w:rPr>
        <w:t>limit its ability to fund its strategic capital expenditure program;</w:t>
      </w:r>
    </w:p>
    <w:p w14:paraId="0892AA92" w14:textId="77777777" w:rsidR="00F76607" w:rsidRDefault="001863F0">
      <w:pPr>
        <w:pStyle w:val="VulcanIIbullet"/>
        <w:rPr>
          <w:lang w:val="en-GB"/>
        </w:rPr>
      </w:pPr>
      <w:r>
        <w:rPr>
          <w:lang w:val="en-GB"/>
        </w:rPr>
        <w:t>limit its ability to obtain additional financing;</w:t>
      </w:r>
    </w:p>
    <w:p w14:paraId="7DA660B4" w14:textId="77777777" w:rsidR="00F76607" w:rsidRDefault="001863F0">
      <w:pPr>
        <w:pStyle w:val="VulcanIIbullet"/>
        <w:rPr>
          <w:lang w:val="en-GB"/>
        </w:rPr>
      </w:pPr>
      <w:r>
        <w:rPr>
          <w:lang w:val="en-GB"/>
        </w:rPr>
        <w:t>limit its flexibility in planning for, or reacting to, changes in the markets in which it competes;</w:t>
      </w:r>
    </w:p>
    <w:p w14:paraId="72D8C609" w14:textId="77777777" w:rsidR="00F76607" w:rsidRDefault="001863F0">
      <w:pPr>
        <w:pStyle w:val="VulcanIIbullet"/>
        <w:rPr>
          <w:lang w:val="en-GB"/>
        </w:rPr>
      </w:pPr>
      <w:r>
        <w:rPr>
          <w:lang w:val="en-GB"/>
        </w:rPr>
        <w:t>place it at a competitive disadvantage relative to its competitors with less indebtedness;</w:t>
      </w:r>
    </w:p>
    <w:p w14:paraId="01322FCC" w14:textId="77777777" w:rsidR="00F76607" w:rsidRDefault="001863F0">
      <w:pPr>
        <w:pStyle w:val="VulcanIIbullet"/>
        <w:rPr>
          <w:lang w:val="en-GB"/>
        </w:rPr>
      </w:pPr>
      <w:r>
        <w:rPr>
          <w:lang w:val="en-GB"/>
        </w:rPr>
        <w:t>render it more vulnerable to general adverse economic and industry conditions; and</w:t>
      </w:r>
    </w:p>
    <w:p w14:paraId="7D606791" w14:textId="77777777" w:rsidR="00F76607" w:rsidRDefault="001863F0">
      <w:pPr>
        <w:pStyle w:val="VulcanIIbullet"/>
        <w:rPr>
          <w:lang w:val="en-GB"/>
        </w:rPr>
      </w:pPr>
      <w:r>
        <w:rPr>
          <w:lang w:val="en-GB"/>
        </w:rPr>
        <w:t>require it to dedicate all or a substantial part of its cash flow to service its debt.</w:t>
      </w:r>
    </w:p>
    <w:p w14:paraId="76722A4C"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The Group’s ability to make payments on its indebtedness depends upon its ability to maintain its operating performance at a certain level, which is subject to general economic and market conditions and to financial, business and other factors, many of which the Group cannot control. If the Group’s cash flow generated from operating activities becomes insufficient, the Group may be required to take certain actions, including delaying or reducing capital or other expenditure in an attempt to restructure or refinance its indebtedness, selling its investment properties or other assets or seeking additional equity capital. The Group may be unable to take any of these actions on favourable terms or in a timely manner.</w:t>
      </w:r>
    </w:p>
    <w:p w14:paraId="14CD9E52"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Furthermore, such actions may not be sufficient to allow the Group to service its debt obligations in full and, in any event, may have a material adverse effect on its business, financial condition, results of operations and prospects. The Group’s inability to service its debt through internally generated cash flow or such other sources of liquidity may put it in default of its obligations to its creditors.</w:t>
      </w:r>
    </w:p>
    <w:p w14:paraId="2F3F7B3E"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Furthermore, any refinancing of the Group’s indebtedness could be at higher interest rates and may require the Group to comply with more onerous covenants, which could further restrict its business and could have a material adverse effect on its financial condition and results of operations.</w:t>
      </w:r>
    </w:p>
    <w:p w14:paraId="3167CFFE" w14:textId="58C6D1F8" w:rsidR="00F76607" w:rsidRDefault="001863F0">
      <w:pPr>
        <w:pStyle w:val="NormalWeb"/>
        <w:spacing w:before="240" w:beforeAutospacing="0" w:after="0" w:afterAutospacing="0"/>
        <w:ind w:firstLine="857"/>
        <w:rPr>
          <w:bCs/>
          <w:sz w:val="18"/>
          <w:szCs w:val="18"/>
          <w:lang w:val="en-GB"/>
        </w:rPr>
      </w:pPr>
      <w:r>
        <w:rPr>
          <w:bCs/>
          <w:sz w:val="18"/>
          <w:szCs w:val="18"/>
          <w:lang w:val="en-GB"/>
        </w:rPr>
        <w:t>In addition, certain of the Group’s material loan agreements currently include certain financial covenants. Please see “</w:t>
      </w:r>
      <w:r>
        <w:rPr>
          <w:bCs/>
          <w:i/>
          <w:sz w:val="18"/>
          <w:szCs w:val="18"/>
          <w:lang w:val="en-GB"/>
        </w:rPr>
        <w:t>The Group’s borrowings are subject to certain restrictive covenants</w:t>
      </w:r>
      <w:r>
        <w:rPr>
          <w:bCs/>
          <w:sz w:val="18"/>
          <w:szCs w:val="18"/>
          <w:lang w:val="en-GB"/>
        </w:rPr>
        <w:t>” in this section “</w:t>
      </w:r>
      <w:r>
        <w:rPr>
          <w:bCs/>
          <w:i/>
          <w:sz w:val="18"/>
          <w:szCs w:val="18"/>
          <w:lang w:val="en-GB"/>
        </w:rPr>
        <w:t>Risk Factors</w:t>
      </w:r>
      <w:r w:rsidR="00AF7864">
        <w:rPr>
          <w:bCs/>
          <w:i/>
          <w:sz w:val="18"/>
          <w:szCs w:val="18"/>
          <w:lang w:val="en-GB"/>
        </w:rPr>
        <w:t xml:space="preserve"> - </w:t>
      </w:r>
      <w:r w:rsidR="00AF7864" w:rsidRPr="00AF7864">
        <w:rPr>
          <w:bCs/>
          <w:i/>
          <w:sz w:val="18"/>
          <w:szCs w:val="18"/>
          <w:lang w:val="en-GB"/>
        </w:rPr>
        <w:t>Financial risks to which the Group is exposed</w:t>
      </w:r>
      <w:r>
        <w:rPr>
          <w:bCs/>
          <w:sz w:val="18"/>
          <w:szCs w:val="18"/>
          <w:lang w:val="en-GB"/>
        </w:rPr>
        <w:t>”.</w:t>
      </w:r>
    </w:p>
    <w:p w14:paraId="76A30E46" w14:textId="77777777" w:rsidR="00F76607" w:rsidRDefault="001863F0">
      <w:pPr>
        <w:pStyle w:val="NormalWeb"/>
        <w:spacing w:before="240" w:beforeAutospacing="0" w:after="0" w:afterAutospacing="0"/>
        <w:rPr>
          <w:b/>
          <w:i/>
          <w:sz w:val="18"/>
          <w:szCs w:val="18"/>
          <w:lang w:val="en-GB"/>
        </w:rPr>
      </w:pPr>
      <w:bookmarkStart w:id="21" w:name="_Ref484876159"/>
      <w:r>
        <w:rPr>
          <w:b/>
          <w:i/>
          <w:sz w:val="18"/>
          <w:szCs w:val="18"/>
          <w:lang w:val="en-GB"/>
        </w:rPr>
        <w:t xml:space="preserve">The Group's borrowings are subject to certain restrictive covenants </w:t>
      </w:r>
      <w:bookmarkEnd w:id="19"/>
      <w:bookmarkEnd w:id="20"/>
      <w:bookmarkEnd w:id="21"/>
    </w:p>
    <w:p w14:paraId="68678CD0"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The loan agreements of the Group and of the Joint Venture, as well as the 2018 Bond, the 2023 Bond, the 2024 Bond and the 2025 Bond, include financial covenants, which could limit the Group and/or the Joint Venture’s ability to finance their respective future operations and capital needs and their ability to pursue business opportunities and activities that may be in their interest. In addition, any breach of covenants could have an adverse effect on the financial position of the Group. While the Group monitors its </w:t>
      </w:r>
      <w:r>
        <w:rPr>
          <w:bCs/>
          <w:sz w:val="18"/>
          <w:szCs w:val="18"/>
          <w:lang w:val="en-GB"/>
        </w:rPr>
        <w:lastRenderedPageBreak/>
        <w:t xml:space="preserve">covenants on-going basis in order to ensure compliance and to anticipatively identify any potential problems of non-compliance for action, there can be no assurances that the Group will at all times be able to comply with these covenants. During 2014, 2015 and 2016, the Group remained well within its covenants. </w:t>
      </w:r>
    </w:p>
    <w:p w14:paraId="6791EB4A"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The terms and conditions of the 2018 Bond, the 2023 Bond, the 2024 Bond and the 2025 Bond include following financial covenants, evaluated at the level of the Company: </w:t>
      </w:r>
    </w:p>
    <w:p w14:paraId="63FC6D04" w14:textId="77777777" w:rsidR="00F76607" w:rsidRDefault="001863F0">
      <w:pPr>
        <w:pStyle w:val="VulcanIIbullet"/>
        <w:rPr>
          <w:lang w:val="en-GB"/>
        </w:rPr>
      </w:pPr>
      <w:r>
        <w:rPr>
          <w:lang w:val="en-GB"/>
        </w:rPr>
        <w:t xml:space="preserve">Consolidated Gearing to equal or to be below 55% (as regards the 2018 Bond); </w:t>
      </w:r>
    </w:p>
    <w:p w14:paraId="65EF2B4F" w14:textId="77777777" w:rsidR="00F76607" w:rsidRDefault="001863F0">
      <w:pPr>
        <w:pStyle w:val="VulcanIIbullet"/>
        <w:rPr>
          <w:lang w:val="en-GB"/>
        </w:rPr>
      </w:pPr>
      <w:r>
        <w:rPr>
          <w:lang w:val="en-GB"/>
        </w:rPr>
        <w:t xml:space="preserve">Consolidated Gearing to equal or to be below 65% (as regards the 2023 Bond, the 2024 Bond and the 2025 Bond); </w:t>
      </w:r>
    </w:p>
    <w:p w14:paraId="235D7561" w14:textId="77777777" w:rsidR="00F76607" w:rsidRDefault="001863F0">
      <w:pPr>
        <w:pStyle w:val="VulcanIIbullet"/>
        <w:rPr>
          <w:lang w:val="en-GB"/>
        </w:rPr>
      </w:pPr>
      <w:r>
        <w:rPr>
          <w:lang w:val="en-GB"/>
        </w:rPr>
        <w:t xml:space="preserve">Interest Cover Ratio to equal or to be above 1.2; </w:t>
      </w:r>
    </w:p>
    <w:p w14:paraId="536CD17F" w14:textId="77777777" w:rsidR="00F76607" w:rsidRDefault="001863F0">
      <w:pPr>
        <w:pStyle w:val="VulcanIIbullet"/>
        <w:rPr>
          <w:lang w:val="en-GB"/>
        </w:rPr>
      </w:pPr>
      <w:r>
        <w:rPr>
          <w:lang w:val="en-GB"/>
        </w:rPr>
        <w:t xml:space="preserve">Debt Service Cover Ratio (or DSCR) to be equal or to be above 1.2. </w:t>
      </w:r>
    </w:p>
    <w:p w14:paraId="10ADC503"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The above-mentioned ratios are tested semi-annually based on a 12 - month period and are calculated as follows: </w:t>
      </w:r>
    </w:p>
    <w:p w14:paraId="756BCFB1" w14:textId="77777777" w:rsidR="00F76607" w:rsidRDefault="001863F0">
      <w:pPr>
        <w:pStyle w:val="VulcanIIbullet"/>
        <w:rPr>
          <w:lang w:val="en-GB"/>
        </w:rPr>
      </w:pPr>
      <w:r>
        <w:rPr>
          <w:lang w:val="en-GB"/>
        </w:rPr>
        <w:t xml:space="preserve">Consolidated Gearing means consolidated Total Net Debt divided by the sum of the equity and total liabilities; </w:t>
      </w:r>
    </w:p>
    <w:p w14:paraId="440B9DB4" w14:textId="77777777" w:rsidR="00F76607" w:rsidRDefault="001863F0">
      <w:pPr>
        <w:pStyle w:val="VulcanIIbullet"/>
        <w:rPr>
          <w:lang w:val="en-GB"/>
        </w:rPr>
      </w:pPr>
      <w:r>
        <w:rPr>
          <w:lang w:val="en-GB"/>
        </w:rPr>
        <w:t xml:space="preserve">Interest Cover Ratio means the aggregate net rental income (increased with the available cash and cash equivalents) divided by the net Finance Charges; </w:t>
      </w:r>
    </w:p>
    <w:p w14:paraId="0CADEB85" w14:textId="77777777" w:rsidR="00F76607" w:rsidRDefault="001863F0">
      <w:pPr>
        <w:pStyle w:val="VulcanIIbullet"/>
        <w:rPr>
          <w:lang w:val="en-GB"/>
        </w:rPr>
      </w:pPr>
      <w:r>
        <w:rPr>
          <w:lang w:val="en-GB"/>
        </w:rPr>
        <w:t>Debt Service Cover Ratio means Cash Available for Debt Service divided by Net Debt Service.</w:t>
      </w:r>
    </w:p>
    <w:p w14:paraId="7854C428" w14:textId="3751A9D2" w:rsidR="005409D5" w:rsidRDefault="001863F0" w:rsidP="00AE7C9B">
      <w:pPr>
        <w:pStyle w:val="VulcanIIbody"/>
        <w:rPr>
          <w:lang w:val="en-GB"/>
        </w:rPr>
      </w:pPr>
      <w:r>
        <w:rPr>
          <w:lang w:val="en-GB"/>
        </w:rPr>
        <w:t>As at 30 June 2017 the Consolidated Gearing stood at 34.9% compared to 39.4%</w:t>
      </w:r>
      <w:r>
        <w:rPr>
          <w:rStyle w:val="FootnoteReference"/>
          <w:rFonts w:ascii="Arial" w:hAnsi="Arial"/>
          <w:sz w:val="20"/>
          <w:szCs w:val="20"/>
          <w:lang w:val="en-GB"/>
        </w:rPr>
        <w:t xml:space="preserve"> </w:t>
      </w:r>
      <w:r>
        <w:rPr>
          <w:rStyle w:val="FootnoteReference"/>
          <w:rFonts w:ascii="Arial" w:hAnsi="Arial"/>
          <w:sz w:val="16"/>
          <w:szCs w:val="16"/>
          <w:lang w:val="nl-BE"/>
        </w:rPr>
        <w:footnoteReference w:id="1"/>
      </w:r>
      <w:r>
        <w:rPr>
          <w:rStyle w:val="FootnoteReference"/>
          <w:rFonts w:ascii="Arial" w:hAnsi="Arial"/>
          <w:sz w:val="16"/>
          <w:szCs w:val="16"/>
          <w:lang w:val="en-GB"/>
        </w:rPr>
        <w:t xml:space="preserve"> </w:t>
      </w:r>
      <w:r>
        <w:rPr>
          <w:lang w:val="en-GB"/>
        </w:rPr>
        <w:t>as at 31 December 2016. The Interest Cover Ratio was 60.8 as at 30 June 2017 compared to 5.47 as at 31 December 2016 and finally the Debt Service Cover Ratio was 29.2 as at 30 June 2017 compared to 3.36 as at 31 December 2016. This Gearing Ratio would increase to 40.3%, once all the proceeds of the 2024 Bond are invested, i.e. in repayment of all outstanding debt under the 2017 Bond, and all current cash balances having been applied towards the financing of the development pipeline.</w:t>
      </w:r>
      <w:r w:rsidR="005409D5">
        <w:rPr>
          <w:lang w:val="en-GB"/>
        </w:rPr>
        <w:t xml:space="preserve"> </w:t>
      </w:r>
    </w:p>
    <w:p w14:paraId="52EC9E67" w14:textId="68C0A9A7" w:rsidR="000949E0" w:rsidRPr="005409D5" w:rsidRDefault="000949E0" w:rsidP="00AE7C9B">
      <w:pPr>
        <w:pStyle w:val="VulcanIIbody"/>
        <w:rPr>
          <w:lang w:val="en-GB"/>
        </w:rPr>
      </w:pPr>
      <w:r>
        <w:rPr>
          <w:lang w:val="en-GB"/>
        </w:rPr>
        <w:t xml:space="preserve">The change of the shareholder structure of the Company following the Offering will not qualify as a change of control as defined in the terms and conditions of the </w:t>
      </w:r>
      <w:r>
        <w:rPr>
          <w:bCs/>
          <w:lang w:val="en-GB"/>
        </w:rPr>
        <w:t>2018 Bond, the 2023 Bond, the 2024 Bond and the 2025 Bond, entitling the holders of such bonds to request redemption of their bonds.</w:t>
      </w:r>
    </w:p>
    <w:p w14:paraId="7D0F67E4"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The credit agreement entered into with </w:t>
      </w:r>
      <w:proofErr w:type="spellStart"/>
      <w:r>
        <w:rPr>
          <w:bCs/>
          <w:sz w:val="18"/>
          <w:szCs w:val="18"/>
          <w:lang w:val="en-GB"/>
        </w:rPr>
        <w:t>Raiffeisen</w:t>
      </w:r>
      <w:proofErr w:type="spellEnd"/>
      <w:r>
        <w:rPr>
          <w:bCs/>
          <w:sz w:val="18"/>
          <w:szCs w:val="18"/>
          <w:lang w:val="en-GB"/>
        </w:rPr>
        <w:t xml:space="preserve"> (Romania) bank includes following financial covenants:</w:t>
      </w:r>
    </w:p>
    <w:p w14:paraId="53118A1E" w14:textId="77777777" w:rsidR="00F76607" w:rsidRDefault="001863F0">
      <w:pPr>
        <w:pStyle w:val="VulcanIIbullet"/>
        <w:rPr>
          <w:lang w:val="en-GB"/>
        </w:rPr>
      </w:pPr>
      <w:r>
        <w:rPr>
          <w:lang w:val="en-GB"/>
        </w:rPr>
        <w:t>Loan to Value: lower than or equal to 65.0%; and</w:t>
      </w:r>
    </w:p>
    <w:p w14:paraId="62EC7724" w14:textId="77777777" w:rsidR="00F76607" w:rsidRDefault="001863F0">
      <w:pPr>
        <w:pStyle w:val="VulcanIIbullet"/>
        <w:rPr>
          <w:lang w:val="en-GB"/>
        </w:rPr>
      </w:pPr>
      <w:r>
        <w:rPr>
          <w:lang w:val="en-GB"/>
        </w:rPr>
        <w:t>Debt Service Cover Ratio: higher than or equal to 1.25.</w:t>
      </w:r>
    </w:p>
    <w:p w14:paraId="24A37C8B" w14:textId="77777777" w:rsidR="00F76607" w:rsidRDefault="001863F0">
      <w:pPr>
        <w:pStyle w:val="VulcanIIbody"/>
        <w:rPr>
          <w:lang w:val="en-GB"/>
        </w:rPr>
      </w:pPr>
      <w:r>
        <w:rPr>
          <w:lang w:val="en-GB"/>
        </w:rPr>
        <w:t>As at 30 June 2017 (first testing date for this credit facility), the Loan to Value stood at 33.1% and the Debt Service Cover Ratio stood at 1.91.</w:t>
      </w:r>
    </w:p>
    <w:p w14:paraId="2EED9985" w14:textId="4A263B26" w:rsidR="00F76607" w:rsidRDefault="001863F0">
      <w:pPr>
        <w:pStyle w:val="VulcanIIbody"/>
        <w:rPr>
          <w:lang w:val="en-GB"/>
        </w:rPr>
      </w:pPr>
      <w:r>
        <w:rPr>
          <w:lang w:val="en-GB"/>
        </w:rPr>
        <w:t xml:space="preserve">As at 31 December 2016 there were credit facilities outstanding with </w:t>
      </w:r>
      <w:proofErr w:type="spellStart"/>
      <w:r>
        <w:rPr>
          <w:lang w:val="en-GB"/>
        </w:rPr>
        <w:t>Swedbank</w:t>
      </w:r>
      <w:proofErr w:type="spellEnd"/>
      <w:r>
        <w:rPr>
          <w:lang w:val="en-GB"/>
        </w:rPr>
        <w:t xml:space="preserve"> (Estonia) for </w:t>
      </w:r>
      <w:r w:rsidR="00D665D2">
        <w:rPr>
          <w:lang w:val="en-GB"/>
        </w:rPr>
        <w:t xml:space="preserve">a maximum drawdown amount of </w:t>
      </w:r>
      <w:r>
        <w:rPr>
          <w:lang w:val="en-GB"/>
        </w:rPr>
        <w:t>€</w:t>
      </w:r>
      <w:r w:rsidR="00C92AC8">
        <w:rPr>
          <w:lang w:val="en-GB"/>
        </w:rPr>
        <w:t xml:space="preserve"> </w:t>
      </w:r>
      <w:r w:rsidR="00823A53">
        <w:rPr>
          <w:lang w:val="en-GB"/>
        </w:rPr>
        <w:t>19</w:t>
      </w:r>
      <w:r>
        <w:rPr>
          <w:lang w:val="en-GB"/>
        </w:rPr>
        <w:t>.</w:t>
      </w:r>
      <w:r w:rsidR="00823A53">
        <w:rPr>
          <w:lang w:val="en-GB"/>
        </w:rPr>
        <w:t>5</w:t>
      </w:r>
      <w:r>
        <w:rPr>
          <w:lang w:val="en-GB"/>
        </w:rPr>
        <w:t xml:space="preserve"> million and </w:t>
      </w:r>
      <w:proofErr w:type="spellStart"/>
      <w:r>
        <w:rPr>
          <w:lang w:val="en-GB"/>
        </w:rPr>
        <w:t>Unicred</w:t>
      </w:r>
      <w:r w:rsidR="00823A53">
        <w:rPr>
          <w:lang w:val="en-GB"/>
        </w:rPr>
        <w:t>it</w:t>
      </w:r>
      <w:proofErr w:type="spellEnd"/>
      <w:r w:rsidR="00823A53">
        <w:rPr>
          <w:lang w:val="en-GB"/>
        </w:rPr>
        <w:t xml:space="preserve"> Bank (Czech Republic) for </w:t>
      </w:r>
      <w:r w:rsidR="00D665D2">
        <w:rPr>
          <w:lang w:val="en-GB"/>
        </w:rPr>
        <w:t xml:space="preserve">a maximum drawdown amount of </w:t>
      </w:r>
      <w:r w:rsidR="00823A53">
        <w:rPr>
          <w:lang w:val="en-GB"/>
        </w:rPr>
        <w:t>€ 3</w:t>
      </w:r>
      <w:r>
        <w:rPr>
          <w:lang w:val="en-GB"/>
        </w:rPr>
        <w:t>.</w:t>
      </w:r>
      <w:r w:rsidR="00823A53">
        <w:rPr>
          <w:lang w:val="en-GB"/>
        </w:rPr>
        <w:t>0</w:t>
      </w:r>
      <w:r>
        <w:rPr>
          <w:lang w:val="en-GB"/>
        </w:rPr>
        <w:t xml:space="preserve"> million which were prepaid during 2017. As at 31 December 2016 VGP was in compliance </w:t>
      </w:r>
      <w:r w:rsidR="006B106F">
        <w:rPr>
          <w:lang w:val="en-GB"/>
        </w:rPr>
        <w:t>with</w:t>
      </w:r>
      <w:r>
        <w:rPr>
          <w:lang w:val="en-GB"/>
        </w:rPr>
        <w:t xml:space="preserve"> all </w:t>
      </w:r>
      <w:r w:rsidR="006B106F">
        <w:rPr>
          <w:lang w:val="en-GB"/>
        </w:rPr>
        <w:t xml:space="preserve">of </w:t>
      </w:r>
      <w:r>
        <w:rPr>
          <w:lang w:val="en-GB"/>
        </w:rPr>
        <w:t>its bank covenants.</w:t>
      </w:r>
    </w:p>
    <w:p w14:paraId="6C273F8E" w14:textId="77777777" w:rsidR="00F76607" w:rsidRDefault="001863F0">
      <w:pPr>
        <w:pStyle w:val="NormalWeb"/>
        <w:rPr>
          <w:b/>
          <w:bCs/>
          <w:i/>
          <w:sz w:val="18"/>
          <w:szCs w:val="18"/>
          <w:lang w:val="en-GB"/>
        </w:rPr>
      </w:pPr>
      <w:bookmarkStart w:id="22" w:name="_Toc460854182"/>
      <w:bookmarkStart w:id="23" w:name="_Ref484617141"/>
      <w:bookmarkStart w:id="24" w:name="_Ref484876140"/>
      <w:bookmarkStart w:id="25" w:name="_Toc460854210"/>
      <w:r>
        <w:rPr>
          <w:b/>
          <w:bCs/>
          <w:i/>
          <w:sz w:val="18"/>
          <w:szCs w:val="18"/>
          <w:lang w:val="en-GB"/>
        </w:rPr>
        <w:t>Availability of adequate credit facilities or shareholder loans</w:t>
      </w:r>
      <w:bookmarkEnd w:id="22"/>
      <w:bookmarkEnd w:id="23"/>
      <w:bookmarkEnd w:id="24"/>
    </w:p>
    <w:p w14:paraId="38BE2C4A"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Apart from the funds generated by the bonds, the Group has from time to time been financed by shareholder loans and bank credit facilities. Currently, there are no shareholder loans outstanding against the Company. </w:t>
      </w:r>
    </w:p>
    <w:p w14:paraId="72B5D68A" w14:textId="77777777" w:rsidR="00F76607" w:rsidRDefault="001863F0">
      <w:pPr>
        <w:pStyle w:val="NormalWeb"/>
        <w:spacing w:before="240" w:beforeAutospacing="0" w:after="0" w:afterAutospacing="0"/>
        <w:ind w:firstLine="857"/>
        <w:rPr>
          <w:bCs/>
          <w:i/>
          <w:sz w:val="18"/>
          <w:szCs w:val="18"/>
          <w:lang w:val="en-GB"/>
        </w:rPr>
      </w:pPr>
      <w:r>
        <w:rPr>
          <w:bCs/>
          <w:sz w:val="18"/>
          <w:szCs w:val="18"/>
          <w:lang w:val="en-GB"/>
        </w:rPr>
        <w:t xml:space="preserve">Most of the credit facilities of the Group were repaid upon the First JV Closing and the subsequent closings with the Joint Venture. As at 30 June 2017 the Group had € 34.9 million committed credit facilities in place with an average maturity of 1.7 years and which were drawn for 90%. </w:t>
      </w:r>
    </w:p>
    <w:p w14:paraId="44F46D29"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The non-availability of adequate credit facilities could have an adverse effect on the growth of the Group as well as on its financial condition in case bank credit facilities cannot be extended at their maturity date or replaced by other bank credit facilities. Furthermore, any refinancing of the Group’s indebtedness could be at higher interest rates and may require the Group to comply with more onerous covenants, which could further restrict its business and could have a material adverse effect on its financial condition and results of operations. </w:t>
      </w:r>
    </w:p>
    <w:p w14:paraId="700C8FA4" w14:textId="77777777" w:rsidR="00F76607" w:rsidRDefault="001863F0">
      <w:pPr>
        <w:pStyle w:val="NormalWeb"/>
        <w:spacing w:after="0"/>
        <w:rPr>
          <w:i/>
          <w:sz w:val="18"/>
          <w:szCs w:val="18"/>
          <w:lang w:val="en-GB"/>
        </w:rPr>
      </w:pPr>
      <w:r>
        <w:rPr>
          <w:b/>
          <w:i/>
          <w:sz w:val="18"/>
          <w:szCs w:val="18"/>
          <w:lang w:val="en-GB"/>
        </w:rPr>
        <w:t>Evolution of interest rates</w:t>
      </w:r>
      <w:bookmarkEnd w:id="25"/>
    </w:p>
    <w:p w14:paraId="2CEF66F0" w14:textId="6DD061E5"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Changes in interest rates could have an adverse effect on the Group’s ability to obtain or service debt and other financing on favourable terms. While the Group has historically and may in the future enter into certain hedging arrangements with respect to its interest obligations, hedging itself carries certain risks, including that the Group may need to pay a significant amount (including costs) to terminate any hedging arrangements. As at 30 June 2017, 96.1% of the financial debt was at a fixed interest rate (compared to </w:t>
      </w:r>
      <w:r>
        <w:rPr>
          <w:bCs/>
          <w:sz w:val="18"/>
          <w:szCs w:val="18"/>
          <w:lang w:val="en-GB"/>
        </w:rPr>
        <w:lastRenderedPageBreak/>
        <w:t xml:space="preserve">95.2% as at 31 December 2016). Following the repayment of the </w:t>
      </w:r>
      <w:proofErr w:type="spellStart"/>
      <w:r>
        <w:rPr>
          <w:bCs/>
          <w:sz w:val="18"/>
          <w:szCs w:val="18"/>
          <w:lang w:val="en-GB"/>
        </w:rPr>
        <w:t>Swedbank</w:t>
      </w:r>
      <w:proofErr w:type="spellEnd"/>
      <w:r>
        <w:rPr>
          <w:bCs/>
          <w:sz w:val="18"/>
          <w:szCs w:val="18"/>
          <w:lang w:val="en-GB"/>
        </w:rPr>
        <w:t xml:space="preserve"> credit facility </w:t>
      </w:r>
      <w:r w:rsidR="00823A53">
        <w:rPr>
          <w:bCs/>
          <w:sz w:val="18"/>
          <w:szCs w:val="18"/>
          <w:lang w:val="en-GB"/>
        </w:rPr>
        <w:t>on 14</w:t>
      </w:r>
      <w:r w:rsidR="006B106F">
        <w:rPr>
          <w:bCs/>
          <w:sz w:val="18"/>
          <w:szCs w:val="18"/>
          <w:lang w:val="en-GB"/>
        </w:rPr>
        <w:t xml:space="preserve"> September</w:t>
      </w:r>
      <w:r>
        <w:rPr>
          <w:bCs/>
          <w:sz w:val="18"/>
          <w:szCs w:val="18"/>
          <w:lang w:val="en-GB"/>
        </w:rPr>
        <w:t xml:space="preserve"> 2017, all financial debt </w:t>
      </w:r>
      <w:r w:rsidR="008427D7">
        <w:rPr>
          <w:bCs/>
          <w:sz w:val="18"/>
          <w:szCs w:val="18"/>
          <w:lang w:val="en-GB"/>
        </w:rPr>
        <w:t xml:space="preserve">is </w:t>
      </w:r>
      <w:r>
        <w:rPr>
          <w:bCs/>
          <w:sz w:val="18"/>
          <w:szCs w:val="18"/>
          <w:lang w:val="en-GB"/>
        </w:rPr>
        <w:t>fixed.</w:t>
      </w:r>
    </w:p>
    <w:p w14:paraId="774CCF70" w14:textId="77777777" w:rsidR="00F76607" w:rsidRDefault="001863F0">
      <w:pPr>
        <w:pStyle w:val="NormalWeb"/>
        <w:spacing w:after="0"/>
        <w:rPr>
          <w:i/>
          <w:sz w:val="18"/>
          <w:szCs w:val="18"/>
          <w:lang w:val="en-GB"/>
        </w:rPr>
      </w:pPr>
      <w:r>
        <w:rPr>
          <w:b/>
          <w:i/>
          <w:sz w:val="18"/>
          <w:szCs w:val="18"/>
          <w:lang w:val="en-GB"/>
        </w:rPr>
        <w:t>The Group is exposed to interest rate and currency risks related to fluctuation in currency exchange rates</w:t>
      </w:r>
    </w:p>
    <w:p w14:paraId="58BEFC1D"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The Group publishes its financial statements in Euro. The Group’s revenues and the majority of its expense are denominated in Euro. However, certain expenses, assets and liabilities are recorded in a number of different currencies other than the Euro, in particular the Czech crown. Assets and liabilities denominated in local currencies are translated into Euro in connection with the preparation of the Group’s consolidated financial statements. Consequently, variations in the exchange rate of the Euro versus these other currencies will affect the amount of these items in the Group’s consolidated financial statements, even if their value remains unchanged in their original currency.</w:t>
      </w:r>
    </w:p>
    <w:p w14:paraId="31DACB43"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As at 30 June 2017 the Group had a net currency payable exposure of CZK 200.0 million (€ 7.6 million equivalent) and a net currency payable of RON 0.6 million (€ 0.1 million equivalent), compared to a net currency receivable exposure of CZK 131.7 million (€ 4.9 million equivalent), RON 4.7 million (€ 1.0 million equivalent) as at 31 December 2016.</w:t>
      </w:r>
    </w:p>
    <w:p w14:paraId="31B4A44E"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Under the Group’s foreign exchange policy, foreign exchange hedging is mainly confined to hedging transaction exposures exceeding certain thresholds and/or if required under the existing loan agreements. The Group reviews these risks on a regular basis and uses financial instruments to hedge these exposures as appropriate.</w:t>
      </w:r>
    </w:p>
    <w:p w14:paraId="7A100B71"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These translations have in the past resulted and could in the future have an adverse impact on the Group’s results of operations, balance sheet and cash flows from period to period.</w:t>
      </w:r>
    </w:p>
    <w:p w14:paraId="5493D65A"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The Group’s profitability may be impacted by changes in the currency exchange rates. For example, if the Czech crown would weaken materially against the Euro, this would reduce the Group’s revenue. The Group may also not be able to pass along its increased costs pursuant to such currency exchange rate fluctuations in this respect to its lessees.</w:t>
      </w:r>
    </w:p>
    <w:p w14:paraId="46930E8A" w14:textId="77777777" w:rsidR="00F76607" w:rsidRDefault="001863F0">
      <w:pPr>
        <w:pStyle w:val="NormalWeb"/>
        <w:rPr>
          <w:b/>
          <w:i/>
          <w:sz w:val="18"/>
          <w:szCs w:val="18"/>
          <w:lang w:val="en-GB"/>
        </w:rPr>
      </w:pPr>
      <w:r>
        <w:rPr>
          <w:b/>
          <w:i/>
          <w:sz w:val="18"/>
          <w:szCs w:val="18"/>
          <w:lang w:val="en-GB"/>
        </w:rPr>
        <w:t>The Group is subject to risks relating to related-party transactions</w:t>
      </w:r>
    </w:p>
    <w:p w14:paraId="12A1A7CA"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The Group has maintained, and continues to maintain, relationships with related parties. Historically, these relationships have mainly consisted of:</w:t>
      </w:r>
    </w:p>
    <w:p w14:paraId="5EAEBA30" w14:textId="2BAF38AE" w:rsidR="00F76607" w:rsidRDefault="001863F0">
      <w:pPr>
        <w:pStyle w:val="VulcanIIbullet"/>
        <w:rPr>
          <w:lang w:val="en-GB"/>
        </w:rPr>
      </w:pPr>
      <w:r>
        <w:rPr>
          <w:lang w:val="en-GB"/>
        </w:rPr>
        <w:t>providing</w:t>
      </w:r>
      <w:r w:rsidR="00FF2ECC">
        <w:rPr>
          <w:lang w:val="en-GB"/>
        </w:rPr>
        <w:t xml:space="preserve"> </w:t>
      </w:r>
      <w:r>
        <w:rPr>
          <w:lang w:val="en-GB"/>
        </w:rPr>
        <w:t>management services to the Company by Little Rock SA;</w:t>
      </w:r>
    </w:p>
    <w:p w14:paraId="70299A0D" w14:textId="34F0FC03" w:rsidR="00F76607" w:rsidRDefault="001863F0">
      <w:pPr>
        <w:pStyle w:val="VulcanIIbullet"/>
        <w:rPr>
          <w:lang w:val="en-GB"/>
        </w:rPr>
      </w:pPr>
      <w:r>
        <w:rPr>
          <w:lang w:val="en-GB"/>
        </w:rPr>
        <w:t>asset-, property- and development advisory and management services by the Group to the Joint Venture’s property portfolio;</w:t>
      </w:r>
    </w:p>
    <w:p w14:paraId="0707E408" w14:textId="3CC56B1C" w:rsidR="00F76607" w:rsidRPr="0075054B" w:rsidRDefault="001863F0">
      <w:pPr>
        <w:pStyle w:val="VulcanIIbullet"/>
        <w:rPr>
          <w:lang w:val="en-GB"/>
        </w:rPr>
      </w:pPr>
      <w:r>
        <w:rPr>
          <w:lang w:val="en-GB"/>
        </w:rPr>
        <w:t xml:space="preserve">other ordinary course related-party transactions, such as </w:t>
      </w:r>
      <w:r w:rsidR="005E025D">
        <w:rPr>
          <w:lang w:val="en-GB"/>
        </w:rPr>
        <w:t xml:space="preserve">leasing </w:t>
      </w:r>
      <w:r w:rsidR="00BE2976">
        <w:rPr>
          <w:lang w:val="en-GB"/>
        </w:rPr>
        <w:t xml:space="preserve">of offices from VGP’s reference shareholders, cash advances made to cover representation costs and real estate support services provided by Jan Van Geet </w:t>
      </w:r>
      <w:proofErr w:type="spellStart"/>
      <w:r w:rsidR="00BE2976">
        <w:rPr>
          <w:lang w:val="en-GB"/>
        </w:rPr>
        <w:t>s.r.o</w:t>
      </w:r>
      <w:proofErr w:type="spellEnd"/>
      <w:r w:rsidR="00BE2976">
        <w:rPr>
          <w:lang w:val="en-GB"/>
        </w:rPr>
        <w:t>. a company controlled by Jan Van Geet</w:t>
      </w:r>
      <w:r w:rsidR="00BE2976" w:rsidRPr="00D43343">
        <w:rPr>
          <w:sz w:val="20"/>
          <w:szCs w:val="20"/>
        </w:rPr>
        <w:t>.</w:t>
      </w:r>
    </w:p>
    <w:p w14:paraId="7CAAE0BE" w14:textId="15DCC0E2" w:rsidR="0075054B" w:rsidRDefault="0075054B" w:rsidP="0075054B">
      <w:pPr>
        <w:pStyle w:val="NormalWeb"/>
        <w:spacing w:before="240" w:beforeAutospacing="0" w:after="0" w:afterAutospacing="0"/>
        <w:ind w:firstLine="857"/>
        <w:rPr>
          <w:sz w:val="20"/>
          <w:szCs w:val="20"/>
        </w:rPr>
      </w:pPr>
      <w:r w:rsidRPr="0075054B">
        <w:rPr>
          <w:bCs/>
          <w:sz w:val="18"/>
          <w:szCs w:val="18"/>
          <w:lang w:val="en-GB"/>
        </w:rPr>
        <w:t xml:space="preserve">The </w:t>
      </w:r>
      <w:r>
        <w:rPr>
          <w:bCs/>
          <w:sz w:val="18"/>
          <w:szCs w:val="18"/>
          <w:lang w:val="en-GB"/>
        </w:rPr>
        <w:t xml:space="preserve">following </w:t>
      </w:r>
      <w:r w:rsidRPr="0075054B">
        <w:rPr>
          <w:bCs/>
          <w:sz w:val="18"/>
          <w:szCs w:val="18"/>
          <w:lang w:val="en-GB"/>
        </w:rPr>
        <w:t>related-party transactions</w:t>
      </w:r>
      <w:r>
        <w:rPr>
          <w:bCs/>
          <w:sz w:val="18"/>
          <w:szCs w:val="18"/>
          <w:lang w:val="en-GB"/>
        </w:rPr>
        <w:t xml:space="preserve"> have been entered into by the Group in the past</w:t>
      </w:r>
      <w:r w:rsidRPr="0075054B">
        <w:rPr>
          <w:bCs/>
          <w:sz w:val="18"/>
          <w:szCs w:val="18"/>
          <w:lang w:val="en-GB"/>
        </w:rPr>
        <w:t xml:space="preserve">: </w:t>
      </w:r>
    </w:p>
    <w:p w14:paraId="6CCFF71C" w14:textId="23461F97" w:rsidR="0075054B" w:rsidRPr="0075054B" w:rsidRDefault="0075054B" w:rsidP="0075054B">
      <w:pPr>
        <w:pStyle w:val="VulcanIIbullet"/>
        <w:rPr>
          <w:lang w:val="en-GB"/>
        </w:rPr>
      </w:pPr>
      <w:r w:rsidRPr="0075054B">
        <w:rPr>
          <w:i/>
          <w:lang w:val="en-GB"/>
        </w:rPr>
        <w:t>Hybrid securities:</w:t>
      </w:r>
      <w:r w:rsidRPr="0075054B">
        <w:rPr>
          <w:lang w:val="en-GB"/>
        </w:rPr>
        <w:t xml:space="preserve"> Following the completion of the acquisition of the initial Seed Portfolio by the Joint Venture at the end of May 2016, the Board of Directors approved the redemption of all issued hybrid securities against a price equal to the issue price (in total € 60 million) plus the interest accrued (€ 3.0 million) from the issue date of each security, after complying with the conflict of interest procedure in accordance with article 523 of the Belgian Companies Code. The redemption took place on 1 June 2016.</w:t>
      </w:r>
    </w:p>
    <w:p w14:paraId="0147E5BC" w14:textId="1A993C33" w:rsidR="0075054B" w:rsidRPr="0075054B" w:rsidRDefault="0075054B" w:rsidP="0075054B">
      <w:pPr>
        <w:pStyle w:val="VulcanIIbullet"/>
        <w:rPr>
          <w:lang w:val="en-GB"/>
        </w:rPr>
      </w:pPr>
      <w:r w:rsidRPr="0075054B">
        <w:rPr>
          <w:i/>
          <w:lang w:val="en-GB"/>
        </w:rPr>
        <w:t>Lease activities:</w:t>
      </w:r>
      <w:r w:rsidRPr="0075054B">
        <w:rPr>
          <w:lang w:val="en-GB"/>
        </w:rPr>
        <w:t xml:space="preserve"> </w:t>
      </w:r>
      <w:proofErr w:type="spellStart"/>
      <w:r w:rsidRPr="0075054B">
        <w:rPr>
          <w:lang w:val="en-GB"/>
        </w:rPr>
        <w:t>Drylock</w:t>
      </w:r>
      <w:proofErr w:type="spellEnd"/>
      <w:r w:rsidRPr="0075054B">
        <w:rPr>
          <w:lang w:val="en-GB"/>
        </w:rPr>
        <w:t xml:space="preserve"> Technologies </w:t>
      </w:r>
      <w:proofErr w:type="spellStart"/>
      <w:r w:rsidRPr="0075054B">
        <w:rPr>
          <w:lang w:val="en-GB"/>
        </w:rPr>
        <w:t>s.r.o</w:t>
      </w:r>
      <w:proofErr w:type="spellEnd"/>
      <w:r w:rsidRPr="0075054B">
        <w:rPr>
          <w:lang w:val="en-GB"/>
        </w:rPr>
        <w:t xml:space="preserve">, a company controlled by Bart Van Malderen, leases a warehouse from the Joint Venture under a long term lease contract. This lease contract was entered into during the month of May 2012. The rent received over the first half of the year 2017 amounts to € 1,047,000 (compared to € 1,039,000 for the first half of the year 2016 of which € 865,000 was received directly by VGP and € 174,000 received directly by the Joint Venture) and for the entire year 2016, € 2,1 million of which € 0.9 million was received by VGP and € 1.2 million by the Joint Venture (compared to € 2.0 million for the year 2015, all received by VGP). The warehouse was included in the sale of the Seed Portfolio to the Joint Venture at the end of May 2016. VGP leased a small office from VM Invest NV in Belgium for which it paid € 4,000 per annum (same level as in 2015). The lease was terminated at the end of June 2017 following the move of the head office to the </w:t>
      </w:r>
      <w:proofErr w:type="spellStart"/>
      <w:r w:rsidRPr="0075054B">
        <w:rPr>
          <w:lang w:val="en-GB"/>
        </w:rPr>
        <w:t>Machelen</w:t>
      </w:r>
      <w:proofErr w:type="spellEnd"/>
      <w:r w:rsidRPr="0075054B">
        <w:rPr>
          <w:lang w:val="en-GB"/>
        </w:rPr>
        <w:t xml:space="preserve"> (</w:t>
      </w:r>
      <w:proofErr w:type="spellStart"/>
      <w:r w:rsidRPr="0075054B">
        <w:rPr>
          <w:lang w:val="en-GB"/>
        </w:rPr>
        <w:t>Diegem</w:t>
      </w:r>
      <w:proofErr w:type="spellEnd"/>
      <w:r w:rsidRPr="0075054B">
        <w:rPr>
          <w:lang w:val="en-GB"/>
        </w:rPr>
        <w:t xml:space="preserve">) offices. Jan Van Geet </w:t>
      </w:r>
      <w:proofErr w:type="spellStart"/>
      <w:r w:rsidRPr="0075054B">
        <w:rPr>
          <w:lang w:val="en-GB"/>
        </w:rPr>
        <w:t>s.r.o</w:t>
      </w:r>
      <w:proofErr w:type="spellEnd"/>
      <w:r w:rsidRPr="0075054B">
        <w:rPr>
          <w:lang w:val="en-GB"/>
        </w:rPr>
        <w:t>. leases out office spaces to the Group in the Czech Republic used by VGP’s operational team. The leases run until 2018 and 2021 respectively. During the first half of year 2017 the aggregate amount paid under these leases was € 55,000 (€ 46,000 for the first half of the year 2016) and for the entire year 2016 the aggregate amount paid under these leases was € 98,000 compared to € 90,000 in 2015. All lease agreements have been concluded on an arm’s length basis.</w:t>
      </w:r>
    </w:p>
    <w:p w14:paraId="3E451AD0" w14:textId="4755E34D" w:rsidR="0075054B" w:rsidRPr="0075054B" w:rsidRDefault="0075054B" w:rsidP="0075054B">
      <w:pPr>
        <w:pStyle w:val="VulcanIIbullet"/>
        <w:rPr>
          <w:lang w:val="en-GB"/>
        </w:rPr>
      </w:pPr>
      <w:r w:rsidRPr="0075054B">
        <w:rPr>
          <w:i/>
          <w:lang w:val="en-GB"/>
        </w:rPr>
        <w:t>Other services:</w:t>
      </w:r>
      <w:r w:rsidRPr="0075054B">
        <w:rPr>
          <w:lang w:val="en-GB"/>
        </w:rPr>
        <w:t xml:space="preserve"> as at 30 June 2017, the Company had an outstanding payable balance with Jan Van Geet </w:t>
      </w:r>
      <w:proofErr w:type="spellStart"/>
      <w:r w:rsidRPr="0075054B">
        <w:rPr>
          <w:lang w:val="en-GB"/>
        </w:rPr>
        <w:t>s.r.o</w:t>
      </w:r>
      <w:proofErr w:type="spellEnd"/>
      <w:r w:rsidRPr="0075054B">
        <w:rPr>
          <w:lang w:val="en-GB"/>
        </w:rPr>
        <w:t xml:space="preserve">. amounting to € 46,000 relating to unsettled invoices. VGP also provides real estate support services (mainly maintenance work) to Jan Van Geet </w:t>
      </w:r>
      <w:proofErr w:type="spellStart"/>
      <w:r w:rsidRPr="0075054B">
        <w:rPr>
          <w:lang w:val="en-GB"/>
        </w:rPr>
        <w:t>s.r.o</w:t>
      </w:r>
      <w:proofErr w:type="spellEnd"/>
      <w:r w:rsidRPr="0075054B">
        <w:rPr>
          <w:lang w:val="en-GB"/>
        </w:rPr>
        <w:t>. During the first half of the year 2017 VGP recorded a € 11,000 revenue for these activities (€ 11,000 for the first half of the year 2016). For the entire year 2016 the revenue of these services was € 18,000 (which was the same amount as in 2015).</w:t>
      </w:r>
    </w:p>
    <w:p w14:paraId="5EC37D9B" w14:textId="15C88570" w:rsidR="0075054B" w:rsidRPr="0075054B" w:rsidRDefault="0075054B" w:rsidP="0075054B">
      <w:pPr>
        <w:pStyle w:val="VulcanIIbullet"/>
        <w:rPr>
          <w:lang w:val="en-GB"/>
        </w:rPr>
      </w:pPr>
      <w:r w:rsidRPr="0075054B">
        <w:rPr>
          <w:i/>
          <w:lang w:val="en-GB"/>
        </w:rPr>
        <w:t>Management services:</w:t>
      </w:r>
      <w:r w:rsidRPr="0075054B">
        <w:rPr>
          <w:lang w:val="en-GB"/>
        </w:rPr>
        <w:t xml:space="preserve"> Both Jan Van Geet (as permanent representative of Jan Van Geet </w:t>
      </w:r>
      <w:proofErr w:type="spellStart"/>
      <w:r w:rsidRPr="0075054B">
        <w:rPr>
          <w:lang w:val="en-GB"/>
        </w:rPr>
        <w:t>s.r.o</w:t>
      </w:r>
      <w:proofErr w:type="spellEnd"/>
      <w:r w:rsidRPr="0075054B">
        <w:rPr>
          <w:lang w:val="en-GB"/>
        </w:rPr>
        <w:t xml:space="preserve">.) and Bart Van Malderen (as permanent representative of VM Invest NV) hold a director mandate in the Company. Jan Van Geet (as permanent </w:t>
      </w:r>
      <w:r w:rsidRPr="0075054B">
        <w:rPr>
          <w:lang w:val="en-GB"/>
        </w:rPr>
        <w:lastRenderedPageBreak/>
        <w:t xml:space="preserve">representative of Jan Van Geet </w:t>
      </w:r>
      <w:proofErr w:type="spellStart"/>
      <w:r w:rsidRPr="0075054B">
        <w:rPr>
          <w:lang w:val="en-GB"/>
        </w:rPr>
        <w:t>s.r.o</w:t>
      </w:r>
      <w:proofErr w:type="spellEnd"/>
      <w:r w:rsidRPr="0075054B">
        <w:rPr>
          <w:lang w:val="en-GB"/>
        </w:rPr>
        <w:t>.), as CEO, is moreover a member of executive management. In this capacity, these major shareholders receive</w:t>
      </w:r>
      <w:r>
        <w:rPr>
          <w:lang w:val="en-GB"/>
        </w:rPr>
        <w:t xml:space="preserve"> remuneration from the Company. </w:t>
      </w:r>
      <w:r w:rsidRPr="0075054B">
        <w:rPr>
          <w:lang w:val="en-GB"/>
        </w:rPr>
        <w:t>In April 2015, the Board of Directors approved a new management agreement with Little Rock SA, a company controlled by Jan Van Geet, relating to the services rendered by some of VGP’s key managers. Following such decision, Little Rock SA became responsible for the Group’s daily management, financial management and commercial management.</w:t>
      </w:r>
    </w:p>
    <w:p w14:paraId="54C3AB65" w14:textId="283193E6" w:rsidR="00F76607" w:rsidRDefault="001863F0">
      <w:pPr>
        <w:pStyle w:val="NormalWeb"/>
        <w:spacing w:before="240" w:beforeAutospacing="0" w:after="0" w:afterAutospacing="0"/>
        <w:ind w:firstLine="857"/>
        <w:rPr>
          <w:bCs/>
          <w:sz w:val="18"/>
          <w:szCs w:val="18"/>
          <w:lang w:val="en-GB"/>
        </w:rPr>
      </w:pPr>
      <w:r>
        <w:rPr>
          <w:bCs/>
          <w:sz w:val="18"/>
          <w:szCs w:val="18"/>
          <w:lang w:val="en-GB"/>
        </w:rPr>
        <w:t>The Group believes that the terms and conditions of the transactions with related parties are on arm’s length basis. However, there can be no assurance that if such transactions had been concluded between or with third parties, such parties would have negotiated or entered into the agreements or carried out the transactions under the same or substantially similar terms and conditions. For more detail on related party transactions, see “</w:t>
      </w:r>
      <w:r>
        <w:rPr>
          <w:bCs/>
          <w:i/>
          <w:sz w:val="18"/>
          <w:szCs w:val="18"/>
          <w:lang w:val="en-GB"/>
        </w:rPr>
        <w:t>Major Shareholders and Related Party Transactions – Related Party Transactions</w:t>
      </w:r>
      <w:r>
        <w:rPr>
          <w:bCs/>
          <w:sz w:val="18"/>
          <w:szCs w:val="18"/>
          <w:lang w:val="en-GB"/>
        </w:rPr>
        <w:t>”.</w:t>
      </w:r>
    </w:p>
    <w:p w14:paraId="71932D23" w14:textId="77777777" w:rsidR="00F76607" w:rsidRDefault="001863F0">
      <w:pPr>
        <w:pStyle w:val="NormalWeb"/>
        <w:spacing w:before="0" w:after="0"/>
        <w:rPr>
          <w:b/>
          <w:bCs/>
          <w:sz w:val="18"/>
          <w:szCs w:val="18"/>
          <w:lang w:val="en-GB"/>
        </w:rPr>
      </w:pPr>
      <w:bookmarkStart w:id="26" w:name="_Toc460854214"/>
      <w:r>
        <w:rPr>
          <w:b/>
          <w:bCs/>
          <w:sz w:val="18"/>
          <w:szCs w:val="18"/>
          <w:lang w:val="en-GB"/>
        </w:rPr>
        <w:t>Risks relating to the countries</w:t>
      </w:r>
      <w:bookmarkEnd w:id="26"/>
      <w:r>
        <w:rPr>
          <w:b/>
          <w:bCs/>
          <w:sz w:val="18"/>
          <w:szCs w:val="18"/>
          <w:lang w:val="en-GB"/>
        </w:rPr>
        <w:t xml:space="preserve"> in which the Group operates</w:t>
      </w:r>
    </w:p>
    <w:p w14:paraId="363783B0" w14:textId="77777777" w:rsidR="00F76607" w:rsidRDefault="001863F0">
      <w:pPr>
        <w:pStyle w:val="NormalWeb"/>
        <w:rPr>
          <w:b/>
          <w:i/>
          <w:sz w:val="18"/>
          <w:szCs w:val="18"/>
          <w:lang w:val="en-GB"/>
        </w:rPr>
      </w:pPr>
      <w:r>
        <w:rPr>
          <w:b/>
          <w:i/>
          <w:sz w:val="18"/>
          <w:szCs w:val="18"/>
          <w:lang w:val="en-GB"/>
        </w:rPr>
        <w:t>Defects in the ownership title</w:t>
      </w:r>
    </w:p>
    <w:p w14:paraId="0AC3C70A"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Local laws set specific statutory requirements for the acquisition of property (such as approvals of transfers by corporate bodies, obtaining zoning permits for land division, complying with statutory or contractual pre-emption rights, consent of the spouses or municipalities, fulfilment of various contractual conditions). Due to the inconsistency in the interpretation and application of law by the competent authorities, and potential lack of compliance with all legal requirements during the acquisition process, some members of the Group may not have title to some of the plots of land despite being registered as the owners of such plots of land in the relevant real estate registry. The real estate registries in these countries (</w:t>
      </w:r>
      <w:r>
        <w:rPr>
          <w:sz w:val="18"/>
          <w:szCs w:val="18"/>
          <w:lang w:val="en-GB"/>
        </w:rPr>
        <w:t xml:space="preserve">the Group’s current focus in central Europe is on Latvia, the Czech Republic, Slovakia, Hungary and Romania) </w:t>
      </w:r>
      <w:r>
        <w:rPr>
          <w:bCs/>
          <w:sz w:val="18"/>
          <w:szCs w:val="18"/>
          <w:lang w:val="en-GB"/>
        </w:rPr>
        <w:t>may not provide conclusive evidence of ownership title to property, and thus there can be no assurance provided that the person registered in the real estate registry is, in fact, the actual owner of such real estate property.</w:t>
      </w:r>
    </w:p>
    <w:p w14:paraId="13B784C8"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While none of the members of the Group has to date experienced the situation where title to plots of land has been subject to any legal proceedings leading to the loss of the title, and despite the thorough due diligence that is generally carried out by the Group ahead of any acquisition, there can be no assurances that members of the Group may not acquire or have not acquired titles to some of the plots of land, and/or that the relevant member of the Group could be held to be in violation of applicable law. Any such outcome could have a material adverse effect on the Group’s business, financial condition or results of operations.</w:t>
      </w:r>
    </w:p>
    <w:p w14:paraId="026D9E56" w14:textId="77777777" w:rsidR="00F76607" w:rsidRDefault="001863F0">
      <w:pPr>
        <w:pStyle w:val="NormalWeb"/>
        <w:spacing w:after="0"/>
        <w:rPr>
          <w:b/>
          <w:i/>
          <w:sz w:val="18"/>
          <w:szCs w:val="18"/>
          <w:lang w:val="en-GB"/>
        </w:rPr>
      </w:pPr>
      <w:r>
        <w:rPr>
          <w:b/>
          <w:i/>
          <w:sz w:val="18"/>
          <w:szCs w:val="18"/>
          <w:lang w:val="en-GB"/>
        </w:rPr>
        <w:t>Land subject to future purchase agreements</w:t>
      </w:r>
    </w:p>
    <w:p w14:paraId="42600D21" w14:textId="770AE558"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A small number of plots of land intended for a limited number of projects of the relevant member of the Group are subject to agreements on future purchase agreements. The total </w:t>
      </w:r>
      <w:r w:rsidR="007855F4">
        <w:rPr>
          <w:bCs/>
          <w:sz w:val="18"/>
          <w:szCs w:val="18"/>
          <w:lang w:val="en-GB"/>
        </w:rPr>
        <w:t xml:space="preserve">secured </w:t>
      </w:r>
      <w:r>
        <w:rPr>
          <w:bCs/>
          <w:sz w:val="18"/>
          <w:szCs w:val="18"/>
          <w:lang w:val="en-GB"/>
        </w:rPr>
        <w:t xml:space="preserve">land bank </w:t>
      </w:r>
      <w:r w:rsidR="009346E5">
        <w:rPr>
          <w:bCs/>
          <w:sz w:val="18"/>
          <w:szCs w:val="18"/>
          <w:lang w:val="en-GB"/>
        </w:rPr>
        <w:t xml:space="preserve">as </w:t>
      </w:r>
      <w:r>
        <w:rPr>
          <w:bCs/>
          <w:sz w:val="18"/>
          <w:szCs w:val="18"/>
          <w:lang w:val="en-GB"/>
        </w:rPr>
        <w:t xml:space="preserve">at </w:t>
      </w:r>
      <w:r w:rsidR="009346E5">
        <w:rPr>
          <w:bCs/>
          <w:sz w:val="18"/>
          <w:szCs w:val="18"/>
          <w:lang w:val="en-GB"/>
        </w:rPr>
        <w:t>30</w:t>
      </w:r>
      <w:r>
        <w:rPr>
          <w:bCs/>
          <w:sz w:val="18"/>
          <w:szCs w:val="18"/>
          <w:lang w:val="en-GB"/>
        </w:rPr>
        <w:t xml:space="preserve"> Ju</w:t>
      </w:r>
      <w:r w:rsidR="004242AB">
        <w:rPr>
          <w:bCs/>
          <w:sz w:val="18"/>
          <w:szCs w:val="18"/>
          <w:lang w:val="en-GB"/>
        </w:rPr>
        <w:t xml:space="preserve">ne </w:t>
      </w:r>
      <w:r>
        <w:rPr>
          <w:bCs/>
          <w:sz w:val="18"/>
          <w:szCs w:val="18"/>
          <w:lang w:val="en-GB"/>
        </w:rPr>
        <w:t xml:space="preserve">2017 owned by the Group amounted to 3,512,636 m² of which 2,770,995 m² (79%) was in full ownership </w:t>
      </w:r>
      <w:r w:rsidR="00F0739B">
        <w:rPr>
          <w:bCs/>
          <w:sz w:val="18"/>
          <w:szCs w:val="18"/>
          <w:lang w:val="en-GB"/>
        </w:rPr>
        <w:t xml:space="preserve">(including Estonia) </w:t>
      </w:r>
      <w:r w:rsidR="007855F4">
        <w:rPr>
          <w:bCs/>
          <w:sz w:val="18"/>
          <w:szCs w:val="18"/>
          <w:lang w:val="en-GB"/>
        </w:rPr>
        <w:t>and 741,641 m² (21%)</w:t>
      </w:r>
      <w:r w:rsidR="00F43B88">
        <w:rPr>
          <w:bCs/>
          <w:sz w:val="18"/>
          <w:szCs w:val="18"/>
          <w:lang w:val="en-GB"/>
        </w:rPr>
        <w:t xml:space="preserve"> </w:t>
      </w:r>
      <w:r w:rsidR="007855F4">
        <w:rPr>
          <w:bCs/>
          <w:sz w:val="18"/>
          <w:szCs w:val="18"/>
          <w:lang w:val="en-GB"/>
        </w:rPr>
        <w:t xml:space="preserve">was subject to future purchase agreement and hence </w:t>
      </w:r>
      <w:r w:rsidR="006B106F">
        <w:rPr>
          <w:bCs/>
          <w:sz w:val="18"/>
          <w:szCs w:val="18"/>
          <w:lang w:val="en-GB"/>
        </w:rPr>
        <w:t xml:space="preserve">would </w:t>
      </w:r>
      <w:r w:rsidR="007855F4">
        <w:rPr>
          <w:bCs/>
          <w:sz w:val="18"/>
          <w:szCs w:val="18"/>
          <w:lang w:val="en-GB"/>
        </w:rPr>
        <w:t>be acquired and paid for upon the receipt of the necessary permits. These future purchase agreements are binding contracts for VGP and the respective sellers whereby the effective purchase is always triggered once the necessary permits have been obtained.</w:t>
      </w:r>
    </w:p>
    <w:p w14:paraId="79E47431" w14:textId="77777777" w:rsidR="00F76607" w:rsidRDefault="001863F0">
      <w:pPr>
        <w:pStyle w:val="NormalWeb"/>
        <w:spacing w:before="240" w:beforeAutospacing="0" w:after="0" w:afterAutospacing="0"/>
        <w:ind w:firstLine="857"/>
        <w:rPr>
          <w:b/>
          <w:i/>
          <w:sz w:val="18"/>
          <w:szCs w:val="18"/>
          <w:lang w:val="en-GB"/>
        </w:rPr>
      </w:pPr>
      <w:r>
        <w:rPr>
          <w:bCs/>
          <w:sz w:val="18"/>
          <w:szCs w:val="18"/>
          <w:lang w:val="en-GB"/>
        </w:rPr>
        <w:t>A potential breach of the future seller’s obligations to sell the plots of land to the relevant member of the Group may lead to a delay in the time schedule for the realisation of the relevant project or jeopardise the acquisition of such plots of land by the relevant member of the Group, which could have a material adverse effect on the Group’s business, financial condition or results of operations.</w:t>
      </w:r>
    </w:p>
    <w:p w14:paraId="4C4A7E66" w14:textId="77777777" w:rsidR="00F76607" w:rsidRDefault="001863F0">
      <w:pPr>
        <w:pStyle w:val="NormalWeb"/>
        <w:spacing w:after="0"/>
        <w:rPr>
          <w:b/>
          <w:i/>
          <w:sz w:val="18"/>
          <w:szCs w:val="18"/>
          <w:lang w:val="en-GB"/>
        </w:rPr>
      </w:pPr>
      <w:r>
        <w:rPr>
          <w:b/>
          <w:i/>
          <w:sz w:val="18"/>
          <w:szCs w:val="18"/>
          <w:lang w:val="en-GB"/>
        </w:rPr>
        <w:t>The Group may be subject to restitution claims for assets located in the Czech Republic, Slovakia, Latvia, Romania and Hungary</w:t>
      </w:r>
    </w:p>
    <w:p w14:paraId="60DFFFF8"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Under Czech, Slovak, Latvian, Romanian and Hungarian law it was possible to file restitution claims to claim back ownership of previously nationalised property (including real estate) until the end of 2005 and, in the Czech Republic churches were allowed to file restitution claims until 2012. Not all such restitution claims have been fully settled to date, and no assurance can be given that such restitution claim would not be or has not been brought against the plots of land owned (or planned to be acquired) by the VGP Group in the Czech Republic, Slovakia, Latvia, Romania and Hungary. As a result of such restitution claim, the ownership title to the plots of land of the VGP Group in these countries could be adversely affected or additional costs (remediation or compliance) could be incurred. Any such outcome could have a material adverse effect on the Company’s business, financial condition or results of operations.</w:t>
      </w:r>
    </w:p>
    <w:p w14:paraId="0C6BC309" w14:textId="3FF404A9"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The Group is not aware of any outstanding challenges of ownership title to the plots of land owned (or planned to be acquired) by members of the Group or by the Joint Venture in any of the abovementioned countries through a restitution claim. It should be noted that for the </w:t>
      </w:r>
      <w:r w:rsidR="00F0739B">
        <w:rPr>
          <w:bCs/>
          <w:sz w:val="18"/>
          <w:szCs w:val="18"/>
          <w:lang w:val="en-GB"/>
        </w:rPr>
        <w:t xml:space="preserve">Czech, Slovak and Hungarian assets in the </w:t>
      </w:r>
      <w:r>
        <w:rPr>
          <w:bCs/>
          <w:sz w:val="18"/>
          <w:szCs w:val="18"/>
          <w:lang w:val="en-GB"/>
        </w:rPr>
        <w:t>Joint Venture’s portfolio, a title insurance has been obtained by the respective subsidiaries of the Joint Venture which covers this title risk.</w:t>
      </w:r>
    </w:p>
    <w:p w14:paraId="1D25E000" w14:textId="77777777" w:rsidR="00F76607" w:rsidRDefault="001863F0">
      <w:pPr>
        <w:pStyle w:val="NormalWeb"/>
        <w:spacing w:after="0"/>
        <w:rPr>
          <w:i/>
          <w:sz w:val="18"/>
          <w:szCs w:val="18"/>
          <w:lang w:val="en-GB"/>
        </w:rPr>
      </w:pPr>
      <w:bookmarkStart w:id="27" w:name="_Toc460854216"/>
      <w:r>
        <w:rPr>
          <w:b/>
          <w:i/>
          <w:sz w:val="18"/>
          <w:szCs w:val="18"/>
          <w:lang w:val="en-GB"/>
        </w:rPr>
        <w:t>Legal systems are not yet fully developed</w:t>
      </w:r>
      <w:bookmarkEnd w:id="27"/>
    </w:p>
    <w:p w14:paraId="510F2E86"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The legal systems and procedural safeguards in the mid-European countries are not yet fully developed.</w:t>
      </w:r>
    </w:p>
    <w:p w14:paraId="4E78B24E"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lastRenderedPageBreak/>
        <w:t>The legal systems of the mid-European countries have undergone dramatic changes in recent years. In many cases, the interpretation and procedural safeguards of the new legal and regulatory systems are still being developed, which may result in an inconsistent application of existing laws and regulations and uncertainty as to the application and effect of new laws and regulations.</w:t>
      </w:r>
    </w:p>
    <w:p w14:paraId="075D3C32"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Additionally, in some circumstances, it may not be possible to obtain the legal remedies provided for under relevant laws and regulations in a reasonably timely manner or at all. Although institutions and legal and regulatory systems characteristic for parliamentary democracies have been developed in the mid-European countries, they lack an institutional history. As a result, shifts in government policies and regulations tend to be more frequent and less predictable than in the countries of Western Europe, and at the same time the enforceability of law is lower. Moreover, a lack of legal certainty or the inability to obtain effective legal remedies in a reasonably timely manner may have a material adverse effect on the Group’s business, financial condition, results of operations or prospects. For instance, under Slovakian law (and until recently also under Czech law) it is possible that the person registered in real estate register as the owner of the land is not the actual owner, given that the mere reliance on the registration is not sufficient to protect the purchaser (as it is, e.g., in Germany). Similar uncertainties exist under Romanian and Hungarian law. Also, a significant uncertainty exists as to the procedural regime of obtaining zoning and building permits. Therefore, even where such permits are issued, there is a risk of these being withdrawn or cancelled by the authorities.</w:t>
      </w:r>
    </w:p>
    <w:p w14:paraId="1EDB062F" w14:textId="77777777" w:rsidR="00F76607" w:rsidRDefault="001863F0">
      <w:pPr>
        <w:pStyle w:val="NormalWeb"/>
        <w:keepNext/>
        <w:spacing w:before="240" w:beforeAutospacing="0" w:after="0" w:afterAutospacing="0"/>
      </w:pPr>
      <w:r>
        <w:rPr>
          <w:b/>
          <w:bCs/>
          <w:sz w:val="18"/>
          <w:szCs w:val="18"/>
        </w:rPr>
        <w:t xml:space="preserve">Risks Relating to the Shares and the Offering </w:t>
      </w:r>
    </w:p>
    <w:p w14:paraId="5388FF82" w14:textId="77777777" w:rsidR="00F76607" w:rsidRDefault="001863F0">
      <w:pPr>
        <w:pStyle w:val="NormalWeb"/>
        <w:keepNext/>
        <w:spacing w:before="240" w:beforeAutospacing="0" w:after="0" w:afterAutospacing="0"/>
      </w:pPr>
      <w:r>
        <w:rPr>
          <w:b/>
          <w:bCs/>
          <w:i/>
          <w:iCs/>
          <w:sz w:val="18"/>
          <w:szCs w:val="18"/>
        </w:rPr>
        <w:t>The Shares may experience (increased) price and volume fluctuations</w:t>
      </w:r>
    </w:p>
    <w:p w14:paraId="49BEEE2D" w14:textId="32F82148"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At the date of this Prospectus, the trading volumes of the Shares and the volatility of the trading price of the Shares have been affected by the relatively low percentage of free float: since the trading volumes are limited, there is limited volatility in the trading price of the Shares. As a result of the Offering, the free float is expected to increase from 10.14% to </w:t>
      </w:r>
      <w:r w:rsidR="00ED34B9">
        <w:rPr>
          <w:bCs/>
          <w:sz w:val="18"/>
          <w:szCs w:val="18"/>
          <w:lang w:val="en-GB"/>
        </w:rPr>
        <w:t>34.49</w:t>
      </w:r>
      <w:r>
        <w:rPr>
          <w:bCs/>
          <w:sz w:val="18"/>
          <w:szCs w:val="18"/>
          <w:lang w:val="en-GB"/>
        </w:rPr>
        <w:t>%. Such increase in free</w:t>
      </w:r>
      <w:r w:rsidR="00823A53">
        <w:rPr>
          <w:bCs/>
          <w:sz w:val="18"/>
          <w:szCs w:val="18"/>
          <w:lang w:val="en-GB"/>
        </w:rPr>
        <w:t xml:space="preserve"> float</w:t>
      </w:r>
      <w:r>
        <w:rPr>
          <w:bCs/>
          <w:sz w:val="18"/>
          <w:szCs w:val="18"/>
          <w:lang w:val="en-GB"/>
        </w:rPr>
        <w:t xml:space="preserve"> is likely to result in increased volatility in the trading price of the Shares.</w:t>
      </w:r>
    </w:p>
    <w:p w14:paraId="3CC406EB" w14:textId="45BC5B61" w:rsidR="00F76607" w:rsidRDefault="001863F0">
      <w:pPr>
        <w:pStyle w:val="NormalWeb"/>
        <w:spacing w:before="240" w:beforeAutospacing="0" w:after="0" w:afterAutospacing="0"/>
        <w:ind w:firstLine="857"/>
        <w:rPr>
          <w:bCs/>
          <w:sz w:val="18"/>
          <w:szCs w:val="18"/>
          <w:lang w:val="en-GB"/>
        </w:rPr>
      </w:pPr>
      <w:r>
        <w:rPr>
          <w:bCs/>
          <w:sz w:val="18"/>
          <w:szCs w:val="18"/>
          <w:lang w:val="en-GB"/>
        </w:rPr>
        <w:t xml:space="preserve">There can be no assurance that an active trading market for the Shares will be developed, can be sustained or will become more liquid following the closing of the Offering. Furthermore, the Offer Price is not necessarily indicative of the prices at which the Shares will subsequently trade on the stock exchange. If an active trading market is not developed or maintained, the liquidity and trading price of the Shares could be adversely affected. </w:t>
      </w:r>
    </w:p>
    <w:p w14:paraId="2B8A7F1A" w14:textId="568CC0AD" w:rsidR="00594A71" w:rsidRDefault="00594A71">
      <w:pPr>
        <w:pStyle w:val="NormalWeb"/>
        <w:keepNext/>
        <w:spacing w:before="240" w:beforeAutospacing="0" w:after="0" w:afterAutospacing="0"/>
        <w:rPr>
          <w:b/>
          <w:bCs/>
          <w:i/>
          <w:iCs/>
          <w:sz w:val="18"/>
          <w:szCs w:val="18"/>
        </w:rPr>
      </w:pPr>
      <w:r>
        <w:rPr>
          <w:b/>
          <w:bCs/>
          <w:i/>
          <w:iCs/>
          <w:sz w:val="18"/>
          <w:szCs w:val="18"/>
        </w:rPr>
        <w:t>The Shares may experience material adverse price fluctuations pursuant to the completion of the Offering</w:t>
      </w:r>
    </w:p>
    <w:p w14:paraId="70C89119" w14:textId="203BE548" w:rsidR="00594A71" w:rsidRPr="00594A71" w:rsidRDefault="00594A71" w:rsidP="00594A71">
      <w:pPr>
        <w:pStyle w:val="NormalWeb"/>
        <w:spacing w:before="240" w:beforeAutospacing="0" w:after="0" w:afterAutospacing="0"/>
        <w:ind w:firstLine="857"/>
        <w:rPr>
          <w:bCs/>
          <w:sz w:val="18"/>
          <w:szCs w:val="18"/>
          <w:lang w:val="en-GB"/>
        </w:rPr>
      </w:pPr>
      <w:r>
        <w:rPr>
          <w:bCs/>
          <w:sz w:val="18"/>
          <w:szCs w:val="18"/>
          <w:lang w:val="en-GB"/>
        </w:rPr>
        <w:t>The successful completion of the Offering entails that the shareholding of an historical reference shareholder of VGP would be materially reduced. This might have a material adverse impact on the market sentiment in relation to the Shares which in turn might lead to an increased disposal by shareholders of VGP of Shares which subsequently might result in a material negative impact on the stock price of the Shares.</w:t>
      </w:r>
    </w:p>
    <w:p w14:paraId="474A45A7" w14:textId="592996C9" w:rsidR="00F76607" w:rsidRDefault="001863F0">
      <w:pPr>
        <w:pStyle w:val="NormalWeb"/>
        <w:keepNext/>
        <w:spacing w:before="240" w:beforeAutospacing="0" w:after="0" w:afterAutospacing="0"/>
        <w:rPr>
          <w:b/>
          <w:bCs/>
          <w:i/>
          <w:iCs/>
          <w:sz w:val="18"/>
          <w:szCs w:val="18"/>
        </w:rPr>
      </w:pPr>
      <w:r>
        <w:rPr>
          <w:b/>
          <w:bCs/>
          <w:i/>
          <w:iCs/>
          <w:sz w:val="18"/>
          <w:szCs w:val="18"/>
        </w:rPr>
        <w:t>The non-execution or termination of the Underwriting Agreement and/or the withdrawal of the Offering could have a material adverse effect on the trading price and underlying value of the Shares</w:t>
      </w:r>
    </w:p>
    <w:p w14:paraId="075F012C" w14:textId="00CF724F" w:rsidR="00F76607" w:rsidRDefault="001863F0">
      <w:pPr>
        <w:pStyle w:val="NormalWeb"/>
        <w:spacing w:before="240" w:beforeAutospacing="0" w:after="0" w:afterAutospacing="0"/>
        <w:ind w:firstLine="857"/>
        <w:rPr>
          <w:bCs/>
          <w:sz w:val="18"/>
          <w:szCs w:val="18"/>
          <w:lang w:val="en-GB"/>
        </w:rPr>
      </w:pPr>
      <w:r>
        <w:rPr>
          <w:bCs/>
          <w:sz w:val="18"/>
          <w:szCs w:val="18"/>
          <w:lang w:val="en-GB"/>
        </w:rPr>
        <w:t>The Underwriting Agreement has not yet been executed and is, upon execution, expected to provide that the Joint Global Coordinators will, on behalf of the Underwriters, have the right to terminate, on behalf of the Underwriters, the Underwriting Agreement and their obligation thereunder to purchase and deliver the Offer Shares under certain circumstances, including if there is a material adverse effect,</w:t>
      </w:r>
      <w:r w:rsidR="00FF2ECC">
        <w:rPr>
          <w:bCs/>
          <w:sz w:val="18"/>
          <w:szCs w:val="18"/>
          <w:lang w:val="en-GB"/>
        </w:rPr>
        <w:t xml:space="preserve"> </w:t>
      </w:r>
      <w:r>
        <w:rPr>
          <w:bCs/>
          <w:sz w:val="18"/>
          <w:szCs w:val="18"/>
          <w:lang w:val="en-GB"/>
        </w:rPr>
        <w:t>which is defined in</w:t>
      </w:r>
      <w:r w:rsidR="00ED34B9">
        <w:rPr>
          <w:bCs/>
          <w:sz w:val="18"/>
          <w:szCs w:val="18"/>
          <w:lang w:val="en-GB"/>
        </w:rPr>
        <w:t xml:space="preserve"> the Underwriting Agreement as </w:t>
      </w:r>
      <w:r w:rsidR="00823A53">
        <w:rPr>
          <w:bCs/>
          <w:sz w:val="18"/>
          <w:szCs w:val="18"/>
          <w:lang w:val="en-GB"/>
        </w:rPr>
        <w:t>(</w:t>
      </w:r>
      <w:proofErr w:type="spellStart"/>
      <w:r w:rsidR="00823A53">
        <w:rPr>
          <w:bCs/>
          <w:sz w:val="18"/>
          <w:szCs w:val="18"/>
          <w:lang w:val="en-GB"/>
        </w:rPr>
        <w:t>i</w:t>
      </w:r>
      <w:proofErr w:type="spellEnd"/>
      <w:r w:rsidR="00823A53">
        <w:rPr>
          <w:bCs/>
          <w:sz w:val="18"/>
          <w:szCs w:val="18"/>
          <w:lang w:val="en-GB"/>
        </w:rPr>
        <w:t>) </w:t>
      </w:r>
      <w:r>
        <w:rPr>
          <w:bCs/>
          <w:sz w:val="18"/>
          <w:szCs w:val="18"/>
          <w:lang w:val="en-GB"/>
        </w:rPr>
        <w:t>any material adverse effect in or any development likely to result in a material adverse effect in the value, state or condition (financial or otherwise) of the shareholders’ equity or in the properties, assets, rights, business, management, prospects (business or financial), earnings, sales, net worth or results of operations of the Group (as a whole), whether or not arising in the ordinary course of business; or (ii) any adverse effect which negatively and significantly affects, or could reasonably be expected so to affect, the market for or the value of the Shares; or (iii) any material adverse effect on the Company’s ability to perform its obligations under the Underwriting Agreement or to consummate the Offering; or (iv) any material adverse effect in in the financial markets in the Unites States, Belgium or the EEA (see section “</w:t>
      </w:r>
      <w:r>
        <w:rPr>
          <w:bCs/>
          <w:i/>
          <w:sz w:val="18"/>
          <w:szCs w:val="18"/>
          <w:lang w:val="en-GB"/>
        </w:rPr>
        <w:t>Plan of distribution</w:t>
      </w:r>
      <w:r>
        <w:rPr>
          <w:bCs/>
          <w:sz w:val="18"/>
          <w:szCs w:val="18"/>
          <w:lang w:val="en-GB"/>
        </w:rPr>
        <w:t>”), it being understood that a material adverse effect shall be deemed to have occurred in all cases where isolated events would not have such an effect, but where two or more of such events would have</w:t>
      </w:r>
      <w:r w:rsidR="00ED34B9">
        <w:rPr>
          <w:bCs/>
          <w:sz w:val="18"/>
          <w:szCs w:val="18"/>
          <w:lang w:val="en-GB"/>
        </w:rPr>
        <w:t xml:space="preserve"> in the aggregate such effect</w:t>
      </w:r>
      <w:r w:rsidR="00AE7C9B">
        <w:rPr>
          <w:bCs/>
          <w:sz w:val="18"/>
          <w:szCs w:val="18"/>
          <w:lang w:val="en-GB"/>
        </w:rPr>
        <w:t>.</w:t>
      </w:r>
      <w:r>
        <w:rPr>
          <w:bCs/>
          <w:sz w:val="18"/>
          <w:szCs w:val="18"/>
          <w:lang w:val="en-GB"/>
        </w:rPr>
        <w:t xml:space="preserve"> If the Underwriting Agreement is not executed or is executed but subsequently terminated, a supplement to the Prospectus to this effect will be published. If a supplement to the Prospectus is published, investors will have the right to withdraw their orders made prior to the publication of the supplement (see section “</w:t>
      </w:r>
      <w:r>
        <w:rPr>
          <w:bCs/>
          <w:i/>
          <w:sz w:val="18"/>
          <w:szCs w:val="18"/>
          <w:lang w:val="en-GB"/>
        </w:rPr>
        <w:t>The Offering – Supplement-Right to Withdraw Order</w:t>
      </w:r>
      <w:r>
        <w:rPr>
          <w:bCs/>
          <w:sz w:val="18"/>
          <w:szCs w:val="18"/>
          <w:lang w:val="en-GB"/>
        </w:rPr>
        <w:t xml:space="preserve">”). </w:t>
      </w:r>
    </w:p>
    <w:p w14:paraId="62BC9EDE" w14:textId="77777777" w:rsidR="00F76607" w:rsidRDefault="001863F0">
      <w:pPr>
        <w:pStyle w:val="NormalWeb"/>
        <w:spacing w:before="240" w:beforeAutospacing="0" w:after="0" w:afterAutospacing="0"/>
        <w:ind w:firstLine="857"/>
        <w:rPr>
          <w:bCs/>
          <w:sz w:val="18"/>
          <w:szCs w:val="18"/>
          <w:lang w:val="en-GB"/>
        </w:rPr>
      </w:pPr>
      <w:r>
        <w:rPr>
          <w:bCs/>
          <w:sz w:val="18"/>
          <w:szCs w:val="18"/>
          <w:lang w:val="en-GB"/>
        </w:rPr>
        <w:t>The non-execution or termination of the Underwriting Agreement, the circumstances giving right to such termination, the publication of a supplement to the Prospectus, and/or the withdrawal of the Offering could have a material adverse effect on the trading price and the underlying value of the Shares, regardless of the Group’s actual results of operations and financial condition.</w:t>
      </w:r>
    </w:p>
    <w:p w14:paraId="79279917" w14:textId="77777777" w:rsidR="00F76607" w:rsidRDefault="001863F0">
      <w:pPr>
        <w:pStyle w:val="NormalWeb"/>
        <w:rPr>
          <w:sz w:val="18"/>
          <w:szCs w:val="18"/>
        </w:rPr>
      </w:pPr>
      <w:r>
        <w:rPr>
          <w:b/>
          <w:bCs/>
          <w:i/>
          <w:iCs/>
          <w:sz w:val="18"/>
          <w:szCs w:val="18"/>
        </w:rPr>
        <w:t>Future sales of substantial amounts of the Shares, or the perception that such sales could occur, could adversely affect the market value of the Shares</w:t>
      </w:r>
    </w:p>
    <w:p w14:paraId="7F28FD84" w14:textId="767E6366" w:rsidR="00F76607" w:rsidRDefault="001863F0">
      <w:pPr>
        <w:pStyle w:val="NormalWeb"/>
        <w:spacing w:before="240" w:beforeAutospacing="0" w:after="0" w:afterAutospacing="0"/>
        <w:ind w:firstLine="857"/>
        <w:rPr>
          <w:bCs/>
          <w:sz w:val="18"/>
          <w:szCs w:val="18"/>
          <w:lang w:val="en-GB"/>
        </w:rPr>
      </w:pPr>
      <w:r>
        <w:rPr>
          <w:bCs/>
          <w:sz w:val="18"/>
          <w:szCs w:val="18"/>
          <w:lang w:val="en-GB"/>
        </w:rPr>
        <w:t>The Company and the Selling Shareholders are expected to agree pursuant to the Underwriting Agreement (which is expe</w:t>
      </w:r>
      <w:r w:rsidR="00ED34B9">
        <w:rPr>
          <w:bCs/>
          <w:sz w:val="18"/>
          <w:szCs w:val="18"/>
          <w:lang w:val="en-GB"/>
        </w:rPr>
        <w:t xml:space="preserve">cted to be entered into on or </w:t>
      </w:r>
      <w:r w:rsidR="001146AD">
        <w:rPr>
          <w:bCs/>
          <w:sz w:val="18"/>
          <w:szCs w:val="18"/>
          <w:lang w:val="en-GB"/>
        </w:rPr>
        <w:t>25</w:t>
      </w:r>
      <w:r w:rsidR="002B3FDE">
        <w:rPr>
          <w:bCs/>
          <w:sz w:val="18"/>
          <w:szCs w:val="18"/>
          <w:lang w:val="en-GB"/>
        </w:rPr>
        <w:t xml:space="preserve"> October 2017</w:t>
      </w:r>
      <w:r>
        <w:rPr>
          <w:bCs/>
          <w:sz w:val="18"/>
          <w:szCs w:val="18"/>
          <w:lang w:val="en-GB"/>
        </w:rPr>
        <w:t>) that, subject to certain exceptions, they will not, without the prior written consent of the Joint Global Coordinators, issue, offer or sell any ordinary shares of the Company or securities convertible or exchangeable into ordinary shares of the Company for a period of 180 days following the Closing Date, as described in section “</w:t>
      </w:r>
      <w:r>
        <w:rPr>
          <w:bCs/>
          <w:i/>
          <w:sz w:val="18"/>
          <w:szCs w:val="18"/>
          <w:lang w:val="en-GB"/>
        </w:rPr>
        <w:t>Plan of Distribution</w:t>
      </w:r>
      <w:r>
        <w:rPr>
          <w:bCs/>
          <w:sz w:val="18"/>
          <w:szCs w:val="18"/>
          <w:lang w:val="en-GB"/>
        </w:rPr>
        <w:t xml:space="preserve">.” Following the expiration of these lock-up provisions, future sales of the Shares could be made by the Company or the Selling </w:t>
      </w:r>
      <w:r>
        <w:rPr>
          <w:bCs/>
          <w:sz w:val="18"/>
          <w:szCs w:val="18"/>
          <w:lang w:val="en-GB"/>
        </w:rPr>
        <w:lastRenderedPageBreak/>
        <w:t>Shareholders. If the Company were to raise funds through additional equity offerings, this could cause dilution for its shareholders to the extent they do not participate. Moreover, sales of a substantial number of Shares by any party or parties to the Underwriting Agreement, or the perception that such sales could occur, could adversely affect the market price of the Shares.</w:t>
      </w:r>
    </w:p>
    <w:p w14:paraId="62929C06" w14:textId="77777777" w:rsidR="00F76607" w:rsidRDefault="001863F0">
      <w:pPr>
        <w:pStyle w:val="NormalWeb"/>
        <w:keepNext/>
        <w:spacing w:before="240" w:beforeAutospacing="0" w:after="0" w:afterAutospacing="0"/>
      </w:pPr>
      <w:r>
        <w:rPr>
          <w:b/>
          <w:bCs/>
          <w:i/>
          <w:iCs/>
          <w:sz w:val="18"/>
          <w:szCs w:val="18"/>
        </w:rPr>
        <w:t>The Company may not be able to pay dividends in accordance with its stated dividend policy</w:t>
      </w:r>
    </w:p>
    <w:p w14:paraId="2D7881C0" w14:textId="5FD39D9D" w:rsidR="00F76607" w:rsidRDefault="001863F0">
      <w:pPr>
        <w:pStyle w:val="NormalWeb"/>
        <w:spacing w:before="240" w:beforeAutospacing="0" w:after="0" w:afterAutospacing="0"/>
        <w:ind w:firstLine="857"/>
        <w:rPr>
          <w:sz w:val="18"/>
          <w:szCs w:val="18"/>
        </w:rPr>
      </w:pPr>
      <w:r>
        <w:rPr>
          <w:sz w:val="18"/>
          <w:szCs w:val="18"/>
          <w:lang w:val="en-GB"/>
        </w:rPr>
        <w:t xml:space="preserve">Subject to </w:t>
      </w:r>
      <w:r w:rsidR="00821518">
        <w:rPr>
          <w:sz w:val="18"/>
          <w:szCs w:val="18"/>
          <w:lang w:val="en-GB"/>
        </w:rPr>
        <w:t>(</w:t>
      </w:r>
      <w:proofErr w:type="spellStart"/>
      <w:r w:rsidR="00821518">
        <w:rPr>
          <w:sz w:val="18"/>
          <w:szCs w:val="18"/>
          <w:lang w:val="en-GB"/>
        </w:rPr>
        <w:t>i</w:t>
      </w:r>
      <w:proofErr w:type="spellEnd"/>
      <w:r w:rsidR="00821518">
        <w:rPr>
          <w:sz w:val="18"/>
          <w:szCs w:val="18"/>
          <w:lang w:val="en-GB"/>
        </w:rPr>
        <w:t>) </w:t>
      </w:r>
      <w:r>
        <w:rPr>
          <w:sz w:val="18"/>
          <w:szCs w:val="18"/>
          <w:lang w:val="en-GB"/>
        </w:rPr>
        <w:t>the availability of sufficient distributable reserves</w:t>
      </w:r>
      <w:r w:rsidR="00821518">
        <w:rPr>
          <w:sz w:val="18"/>
          <w:szCs w:val="18"/>
          <w:lang w:val="en-GB"/>
        </w:rPr>
        <w:t>, (ii) available cash generated from distributions by the Joint Venture, (iii) free cash generated from the divestment cycles of income generating assets to the Joint Venture, and (iv) </w:t>
      </w:r>
      <w:r>
        <w:rPr>
          <w:sz w:val="18"/>
          <w:szCs w:val="18"/>
          <w:lang w:val="en-GB"/>
        </w:rPr>
        <w:t>shareholder approval, the Company intends, as from 2018 onwards, to gradually increase the distribution of dividends over the next 3 years and to target an annual distribution between 40% and 60% of its net profit for the year based on its consolidated IFRS financial statements.</w:t>
      </w:r>
      <w:r>
        <w:rPr>
          <w:sz w:val="18"/>
          <w:szCs w:val="18"/>
        </w:rPr>
        <w:t xml:space="preserve"> There can be no assurance, however, that the Company will make dividend payments in the future. The payment of dividends will depend on factors such as the Company’s business prospects, cash requirements, including related to any material external growth opportunities, and financial performance, the condition of the market and the general economic climate, and other factors, including tax and other regulatory considerations. Furthermore, as the Company itself is a holding company and does not perform any operating activities, its ability to pay dividends and the level of any dividends is subject to the extent to which it receives funds, directly or indirectly, from the Subsidiaries and the Joint Venture. </w:t>
      </w:r>
    </w:p>
    <w:p w14:paraId="031667FD" w14:textId="77777777" w:rsidR="00F76607" w:rsidRDefault="001863F0">
      <w:pPr>
        <w:pStyle w:val="NormalWeb"/>
        <w:spacing w:before="240" w:beforeAutospacing="0" w:after="0" w:afterAutospacing="0"/>
        <w:ind w:firstLine="857"/>
      </w:pPr>
      <w:r>
        <w:rPr>
          <w:sz w:val="18"/>
          <w:szCs w:val="18"/>
        </w:rPr>
        <w:t xml:space="preserve">As a consequence of these factors, there can be no assurance as to whether dividends or similar payments will be paid out in the future or, if they are paid, what their amount will be. </w:t>
      </w:r>
    </w:p>
    <w:p w14:paraId="0DA00218" w14:textId="77777777" w:rsidR="00F76607" w:rsidRDefault="001863F0">
      <w:pPr>
        <w:pStyle w:val="NormalWeb"/>
        <w:keepNext/>
        <w:spacing w:before="240" w:beforeAutospacing="0" w:after="0" w:afterAutospacing="0"/>
      </w:pPr>
      <w:r>
        <w:rPr>
          <w:b/>
          <w:bCs/>
          <w:i/>
          <w:iCs/>
          <w:sz w:val="18"/>
          <w:szCs w:val="18"/>
        </w:rPr>
        <w:t>Investors may not be able to recover in civil proceedings for U.S. securities law violations</w:t>
      </w:r>
    </w:p>
    <w:p w14:paraId="4E7D1A80" w14:textId="77777777" w:rsidR="00F76607" w:rsidRDefault="001863F0">
      <w:pPr>
        <w:pStyle w:val="NormalWeb"/>
        <w:spacing w:before="240" w:beforeAutospacing="0" w:after="0" w:afterAutospacing="0"/>
        <w:ind w:firstLine="857"/>
      </w:pPr>
      <w:r>
        <w:rPr>
          <w:sz w:val="18"/>
          <w:szCs w:val="18"/>
        </w:rPr>
        <w:t xml:space="preserve">All of the Group’s directors and members of its management committees live outside the United States, therefore all of the Group’s assets and all or a substantial part of the assets of these individuals are located outside the United States. As a result, it may be difficult for investors to effect service of process within the United States upon these individuals or the Group or to enforce against them judgments obtained in the United States based on the civil liability provisions of the U.S. securities laws. In addition, there is uncertainty as to the enforceability in Belgium of original actions or actions for enforcement of judgments of U.S. courts of civil liabilities predicated solely upon the federal securities laws of the United States. </w:t>
      </w:r>
    </w:p>
    <w:p w14:paraId="306E91CB" w14:textId="77777777" w:rsidR="00F76607" w:rsidRDefault="001863F0">
      <w:pPr>
        <w:pStyle w:val="NormalWeb"/>
        <w:keepNext/>
        <w:spacing w:before="240" w:beforeAutospacing="0" w:after="0" w:afterAutospacing="0"/>
      </w:pPr>
      <w:r>
        <w:rPr>
          <w:b/>
          <w:bCs/>
          <w:i/>
          <w:iCs/>
          <w:sz w:val="18"/>
          <w:szCs w:val="18"/>
        </w:rPr>
        <w:t>Investors may suffer dilution if they are unable to participate in future preferential subscription rights offerings</w:t>
      </w:r>
    </w:p>
    <w:p w14:paraId="1CDBE4CD" w14:textId="77777777" w:rsidR="00F76607" w:rsidRDefault="001863F0">
      <w:pPr>
        <w:pStyle w:val="NormalWeb"/>
        <w:spacing w:before="240" w:beforeAutospacing="0" w:after="0" w:afterAutospacing="0"/>
        <w:ind w:firstLine="857"/>
        <w:rPr>
          <w:sz w:val="18"/>
          <w:szCs w:val="18"/>
        </w:rPr>
      </w:pPr>
      <w:r>
        <w:rPr>
          <w:sz w:val="18"/>
          <w:szCs w:val="18"/>
        </w:rPr>
        <w:t xml:space="preserve">Under Belgian law, shareholders have a waivable and cancellable preferential subscription right to subscribe pro rata to their existing shareholdings to the issuance, against a contribution in cash, of new shares or other securities entitling the holder thereof to new shares. The shareholders or, in the framework of the authorized capital, the Board of Directors, may suppress such preferential subscription rights in future equity offerings, while no preferential subscription rights apply to capital increases through contributions in kind. In addition, the exercise of preferential subscription rights by certain shareholders not residing in Belgium may be restricted by applicable law, practice or other considerations, and such shareholders may not be entitled to exercise such rights. In particular, there can be no assurance that the Group will be able to establish an exemption from registration under the U.S. Securities Act, and the Group is under no obligation to file a registration statement with respect to any such preferential subscription rights or underlying securities or to endeavor to have a registration statement declared effective under the U.S. Securities Act. Shareholders who are not able or not permitted to exercise their preferential subscription rights in the event of a future preferential subscription rights offering may suffer dilution of their shareholdings. </w:t>
      </w:r>
    </w:p>
    <w:p w14:paraId="3AE54DF6" w14:textId="77777777" w:rsidR="00F76607" w:rsidRDefault="001863F0">
      <w:pPr>
        <w:pStyle w:val="NormalWeb"/>
        <w:keepNext/>
        <w:spacing w:before="240" w:beforeAutospacing="0" w:after="0" w:afterAutospacing="0"/>
      </w:pPr>
      <w:r>
        <w:rPr>
          <w:b/>
          <w:bCs/>
          <w:i/>
          <w:iCs/>
          <w:sz w:val="18"/>
          <w:szCs w:val="18"/>
        </w:rPr>
        <w:t>Investors with a reference currency other than Euros will become subject to foreign exchange rate risk when investing in the Shares</w:t>
      </w:r>
    </w:p>
    <w:p w14:paraId="09ECA6C5" w14:textId="77777777" w:rsidR="00F76607" w:rsidRDefault="001863F0">
      <w:pPr>
        <w:pStyle w:val="NormalWeb"/>
        <w:spacing w:before="240" w:beforeAutospacing="0" w:after="0" w:afterAutospacing="0"/>
        <w:ind w:firstLine="857"/>
      </w:pPr>
      <w:r>
        <w:rPr>
          <w:sz w:val="18"/>
          <w:szCs w:val="18"/>
        </w:rPr>
        <w:t xml:space="preserve">The Shares are, and any dividends to be announced in respect of the Shares will be, denominated in Euro. An investment in the Shares by an investor whose principal currency is not the Euro exposes the investor to currency exchange rate risk that may impact the value of the investment in the Shares or any dividends. </w:t>
      </w:r>
    </w:p>
    <w:p w14:paraId="56C68338" w14:textId="77777777" w:rsidR="00F76607" w:rsidRDefault="001863F0">
      <w:pPr>
        <w:pStyle w:val="NormalWeb"/>
        <w:keepNext/>
        <w:spacing w:before="240" w:beforeAutospacing="0" w:after="0" w:afterAutospacing="0"/>
      </w:pPr>
      <w:r>
        <w:rPr>
          <w:b/>
          <w:bCs/>
          <w:i/>
          <w:iCs/>
          <w:sz w:val="18"/>
          <w:szCs w:val="18"/>
        </w:rPr>
        <w:t>Any sale, purchase or exchange of Shares may become subject to the Financial Transaction Tax</w:t>
      </w:r>
    </w:p>
    <w:p w14:paraId="18A4E944" w14:textId="77777777" w:rsidR="00F76607" w:rsidRDefault="001863F0">
      <w:pPr>
        <w:pStyle w:val="NormalWeb"/>
        <w:spacing w:before="240" w:beforeAutospacing="0" w:after="0" w:afterAutospacing="0"/>
        <w:ind w:firstLine="857"/>
      </w:pPr>
      <w:r>
        <w:rPr>
          <w:sz w:val="18"/>
          <w:szCs w:val="18"/>
        </w:rPr>
        <w:t xml:space="preserve">On 14 February 2013, the EU Commission adopted a proposal for a Council Directive (the “Draft Directive”) on a common financial transaction tax (“FTT”). The intention is for the FTT to be implemented via an enhanced cooperation procedure in 11 EU member states (Austria, Belgium, Estonia, France, Germany, Greece, Italy, Portugal, Spain, Slovakia and Slovenia). In December 2015, Estonia withdrew from the group of states willing to introduce the FTT (the “Participating Member States”). </w:t>
      </w:r>
    </w:p>
    <w:p w14:paraId="09959B17" w14:textId="77777777" w:rsidR="00F76607" w:rsidRDefault="001863F0">
      <w:pPr>
        <w:pStyle w:val="NormalWeb"/>
        <w:spacing w:before="240" w:beforeAutospacing="0" w:after="0" w:afterAutospacing="0"/>
        <w:ind w:firstLine="857"/>
      </w:pPr>
      <w:r>
        <w:rPr>
          <w:sz w:val="18"/>
          <w:szCs w:val="18"/>
        </w:rPr>
        <w:t xml:space="preserve">Pursuant to the Draft Directive, the FTT will be payable on financial transactions provided at least one party to the financial transaction is established or deemed established in a Participating Member State and there is a financial institution established or deemed established in a Participating Member State which is a party to the financial transaction, or is acting in the name of a party to the transaction. The FTT shall, however, not apply to (inter alia) primary market transactions referred to in Article 5(c) of Regulation (EC) No 1287/2006, including the activity of underwriting and subsequent allocation of financial instruments in the framework of their issue. </w:t>
      </w:r>
    </w:p>
    <w:p w14:paraId="4B6B7C79" w14:textId="77777777" w:rsidR="00F76607" w:rsidRDefault="001863F0">
      <w:pPr>
        <w:pStyle w:val="NormalWeb"/>
        <w:spacing w:before="180" w:beforeAutospacing="0" w:after="0" w:afterAutospacing="0"/>
        <w:rPr>
          <w:sz w:val="2"/>
          <w:szCs w:val="2"/>
        </w:rPr>
      </w:pPr>
      <w:r>
        <w:rPr>
          <w:sz w:val="2"/>
          <w:szCs w:val="2"/>
        </w:rPr>
        <w:t> </w:t>
      </w:r>
    </w:p>
    <w:p w14:paraId="759313DB" w14:textId="77777777" w:rsidR="00F76607" w:rsidRDefault="001863F0">
      <w:pPr>
        <w:pStyle w:val="NormalWeb"/>
        <w:spacing w:before="0" w:beforeAutospacing="0" w:after="0" w:afterAutospacing="0"/>
        <w:ind w:firstLine="857"/>
      </w:pPr>
      <w:r>
        <w:rPr>
          <w:sz w:val="18"/>
          <w:szCs w:val="18"/>
        </w:rPr>
        <w:t xml:space="preserve">The rates of the FTT shall be fixed by each Participating Member State but for transactions involving financial instruments other than derivatives shall amount to at least 0.1% of the taxable amount. The taxable amount for such transactions shall in general be determined by reference to the consideration paid or owed in return for the transfer. The FTT shall be payable by each financial institution established or deemed established in a Participating Member State which is either a party to the financial transaction, or acting in the name of a party to the transaction or where the transaction has been carried out on its account. Where the FTT due has not </w:t>
      </w:r>
      <w:r>
        <w:rPr>
          <w:sz w:val="18"/>
          <w:szCs w:val="18"/>
        </w:rPr>
        <w:lastRenderedPageBreak/>
        <w:t xml:space="preserve">been paid within the applicable time limits, each party to a financial transaction, including persons other than financial institutions, shall become jointly and severally liable for the payment of the FTT due. </w:t>
      </w:r>
    </w:p>
    <w:p w14:paraId="266DB9F6" w14:textId="77777777" w:rsidR="00F76607" w:rsidRDefault="001863F0">
      <w:pPr>
        <w:pStyle w:val="NormalWeb"/>
        <w:spacing w:before="240" w:beforeAutospacing="0" w:after="0" w:afterAutospacing="0"/>
        <w:ind w:firstLine="857"/>
      </w:pPr>
      <w:r>
        <w:rPr>
          <w:sz w:val="18"/>
          <w:szCs w:val="18"/>
        </w:rPr>
        <w:t xml:space="preserve">Investors should therefore note, in particular, that any sale, purchase or exchange of Shares will be subject to the FTT at a minimum rate of 0.1% provided the above-mentioned prerequisites are met. The investor may be liable to pay this charge or reimburse a financial institution for the charge, and/or the charge may affect the value of the Shares. The issuance of new Shares should not be subject to the FTT. </w:t>
      </w:r>
    </w:p>
    <w:p w14:paraId="5A83E084" w14:textId="77777777" w:rsidR="00F76607" w:rsidRDefault="001863F0">
      <w:pPr>
        <w:pStyle w:val="NormalWeb"/>
        <w:spacing w:before="240" w:beforeAutospacing="0" w:after="0" w:afterAutospacing="0"/>
        <w:ind w:firstLine="857"/>
      </w:pPr>
      <w:r>
        <w:rPr>
          <w:sz w:val="18"/>
          <w:szCs w:val="18"/>
        </w:rPr>
        <w:t xml:space="preserve">The Draft Directive is still subject to negotiation among the Participating Member States and therefore may be changed at any time. Moreover, once the Draft Directive has been adopted (the “Directive”), it will need to be implemented into the respective domestic laws of the Participating Member States and the domestic provisions implementing the Directive might deviate from the Directive itself. </w:t>
      </w:r>
    </w:p>
    <w:p w14:paraId="1049131B" w14:textId="77777777" w:rsidR="00F76607" w:rsidRDefault="001863F0">
      <w:pPr>
        <w:pStyle w:val="NormalWeb"/>
        <w:spacing w:before="240" w:beforeAutospacing="0" w:after="0" w:afterAutospacing="0"/>
        <w:ind w:firstLine="857"/>
      </w:pPr>
      <w:r>
        <w:rPr>
          <w:sz w:val="18"/>
          <w:szCs w:val="18"/>
        </w:rPr>
        <w:t xml:space="preserve">Investors should consult their own tax advisors in relation to the consequences of the FTT associated with subscribing for, purchasing, holding and disposing of the Shares. </w:t>
      </w:r>
    </w:p>
    <w:p w14:paraId="5E6E9C8B" w14:textId="77777777" w:rsidR="00F76607" w:rsidRDefault="001863F0">
      <w:pPr>
        <w:pStyle w:val="NormalWeb"/>
        <w:keepNext/>
        <w:spacing w:before="240" w:beforeAutospacing="0" w:after="0" w:afterAutospacing="0"/>
      </w:pPr>
      <w:r>
        <w:rPr>
          <w:b/>
          <w:bCs/>
          <w:i/>
          <w:iCs/>
          <w:sz w:val="18"/>
          <w:szCs w:val="18"/>
        </w:rPr>
        <w:t>Certain provisions of the Belgian Companies Code and the Articles of Association may affect potential takeover attempts and may affect the market price of the Shares</w:t>
      </w:r>
    </w:p>
    <w:p w14:paraId="54786101" w14:textId="77777777" w:rsidR="00F76607" w:rsidRDefault="001863F0">
      <w:pPr>
        <w:pStyle w:val="NormalWeb"/>
        <w:spacing w:before="240" w:beforeAutospacing="0" w:after="0" w:afterAutospacing="0"/>
        <w:ind w:firstLine="857"/>
      </w:pPr>
      <w:r>
        <w:rPr>
          <w:sz w:val="18"/>
          <w:szCs w:val="18"/>
        </w:rPr>
        <w:t>There are several provisions of Belgian company law, certain other provisions of Belgian law and the Articles of Association, such as those relating to the obligation to disclose significant shareholdings, merger control and authorized capital, that may apply and may make it more difficult for an unsolicited tender offer to succeed. See section “</w:t>
      </w:r>
      <w:r>
        <w:rPr>
          <w:i/>
          <w:sz w:val="18"/>
          <w:szCs w:val="18"/>
        </w:rPr>
        <w:t>Description of share capital and Articles of Association</w:t>
      </w:r>
      <w:r>
        <w:rPr>
          <w:sz w:val="18"/>
          <w:szCs w:val="18"/>
        </w:rPr>
        <w:t xml:space="preserve">”. These provisions could discourage potential takeover attempts that other shareholders may consider to be in their best interest and could adversely affect the market price of the Shares. These provisions may also have the effect of depriving the shareholders of the opportunity to sell their Shares at a premium. </w:t>
      </w:r>
    </w:p>
    <w:p w14:paraId="292E3B68" w14:textId="77777777" w:rsidR="00F76607" w:rsidRDefault="001863F0">
      <w:pPr>
        <w:pStyle w:val="NormalWeb"/>
        <w:keepNext/>
        <w:spacing w:before="240"/>
        <w:rPr>
          <w:b/>
          <w:bCs/>
          <w:i/>
          <w:iCs/>
          <w:sz w:val="18"/>
          <w:szCs w:val="18"/>
          <w:lang w:val="en-GB"/>
        </w:rPr>
      </w:pPr>
      <w:r>
        <w:rPr>
          <w:b/>
          <w:bCs/>
          <w:i/>
          <w:iCs/>
          <w:sz w:val="18"/>
          <w:szCs w:val="18"/>
          <w:lang w:val="en-GB"/>
        </w:rPr>
        <w:t>Certain major shareholders of the Company may be able to control the Company, including the outcome of shareholder votes, and may use their significant interest to take actions not supported by the Company or its other shareholders</w:t>
      </w:r>
    </w:p>
    <w:p w14:paraId="6DA9C8AA" w14:textId="77777777" w:rsidR="00F76607" w:rsidRDefault="001863F0">
      <w:pPr>
        <w:pStyle w:val="NormalWeb"/>
        <w:keepNext/>
        <w:spacing w:before="240" w:beforeAutospacing="0" w:after="0" w:afterAutospacing="0"/>
        <w:ind w:firstLine="857"/>
        <w:rPr>
          <w:sz w:val="18"/>
          <w:szCs w:val="18"/>
        </w:rPr>
      </w:pPr>
      <w:r>
        <w:rPr>
          <w:sz w:val="18"/>
          <w:szCs w:val="18"/>
        </w:rPr>
        <w:t>Following the closing of the Offering, the Company will continue to have a number of major shareholders, including the Selling Shareholders. For an overview of the Company’s current major shareholders, see section “</w:t>
      </w:r>
      <w:r>
        <w:rPr>
          <w:i/>
          <w:sz w:val="18"/>
          <w:szCs w:val="18"/>
        </w:rPr>
        <w:t>Major shareholders and related party transactions</w:t>
      </w:r>
      <w:r>
        <w:rPr>
          <w:sz w:val="18"/>
          <w:szCs w:val="18"/>
        </w:rPr>
        <w:t xml:space="preserve">”. </w:t>
      </w:r>
    </w:p>
    <w:p w14:paraId="25841154" w14:textId="7909233B" w:rsidR="00F76607" w:rsidRDefault="001863F0">
      <w:pPr>
        <w:pStyle w:val="NormalWeb"/>
        <w:keepNext/>
        <w:spacing w:before="240" w:beforeAutospacing="0" w:after="0" w:afterAutospacing="0"/>
        <w:ind w:firstLine="857"/>
        <w:rPr>
          <w:sz w:val="18"/>
          <w:szCs w:val="18"/>
        </w:rPr>
      </w:pPr>
      <w:r>
        <w:rPr>
          <w:sz w:val="18"/>
          <w:szCs w:val="18"/>
        </w:rPr>
        <w:t xml:space="preserve">These major shareholders could, alone or together, have the ability to elect or dismiss directors, and, depending on how broadly the other Shares are held, have a significant influence on the outcome of corporate actions requiring shareholder approval, including dividend policy, mergers, share capital increases, going private transactions and other extraordinary items. </w:t>
      </w:r>
      <w:r w:rsidR="00E54F95" w:rsidRPr="00E54F95">
        <w:rPr>
          <w:sz w:val="18"/>
          <w:szCs w:val="18"/>
        </w:rPr>
        <w:t>Some of these major shareholders could, alone or together, constitute a blocking minority. Such blocking minor</w:t>
      </w:r>
      <w:r w:rsidR="00E54F95">
        <w:rPr>
          <w:sz w:val="18"/>
          <w:szCs w:val="18"/>
        </w:rPr>
        <w:t>ity c</w:t>
      </w:r>
      <w:r w:rsidR="00E54F95" w:rsidRPr="00E54F95">
        <w:rPr>
          <w:sz w:val="18"/>
          <w:szCs w:val="18"/>
        </w:rPr>
        <w:t>ould have a deterrent effect on potential take-over bids over the Company, and could be in a position to block resolutions of the general meeting of shareholders of the Company</w:t>
      </w:r>
      <w:r w:rsidR="00E54F95">
        <w:rPr>
          <w:sz w:val="18"/>
          <w:szCs w:val="18"/>
        </w:rPr>
        <w:t xml:space="preserve">. </w:t>
      </w:r>
      <w:r>
        <w:rPr>
          <w:sz w:val="18"/>
          <w:szCs w:val="18"/>
        </w:rPr>
        <w:t>See section “</w:t>
      </w:r>
      <w:r>
        <w:rPr>
          <w:i/>
          <w:sz w:val="18"/>
          <w:szCs w:val="18"/>
        </w:rPr>
        <w:t>Description of share capital and articles of association</w:t>
      </w:r>
      <w:r>
        <w:rPr>
          <w:sz w:val="18"/>
          <w:szCs w:val="18"/>
        </w:rPr>
        <w:t>” for further information in this respect.</w:t>
      </w:r>
    </w:p>
    <w:p w14:paraId="569988D3" w14:textId="77777777" w:rsidR="00F76607" w:rsidRDefault="001863F0">
      <w:pPr>
        <w:pStyle w:val="NormalWeb"/>
        <w:keepNext/>
        <w:spacing w:before="240" w:beforeAutospacing="0" w:after="0" w:afterAutospacing="0"/>
        <w:ind w:firstLine="857"/>
        <w:rPr>
          <w:sz w:val="18"/>
          <w:szCs w:val="18"/>
        </w:rPr>
      </w:pPr>
      <w:r>
        <w:rPr>
          <w:sz w:val="18"/>
          <w:szCs w:val="18"/>
        </w:rPr>
        <w:t>The interests and time horizons of any such major shareholder may differ from those of the Company and its other shareholders. As a result of its influence on the Group’s business, the major shareholders could prevent the Group from making certain decisions or taking certain actions that would protect the interests of the Company’s other shareholders. For example, this concentration of ownership may delay or prevent a change of control of the Company in the event that this change of control may benefit other shareholders generally. Similarly, the major shareholders could prevent the Company from taking certain actions that would dilute its percentage interest in the Shares, even if such actions would generally be beneficial to the Group and/or to other shareholders. These and other factors related to the major shareholders’ holding of significant interests in the Shares may reduce the liquidity of the Shares and their attractiveness to investors.</w:t>
      </w:r>
    </w:p>
    <w:p w14:paraId="5B22E12A" w14:textId="77777777" w:rsidR="00F76607" w:rsidRDefault="001863F0">
      <w:pPr>
        <w:pStyle w:val="NormalWeb"/>
        <w:keepNext/>
        <w:spacing w:before="240" w:beforeAutospacing="0" w:after="0" w:afterAutospacing="0"/>
      </w:pPr>
      <w:r>
        <w:rPr>
          <w:b/>
          <w:bCs/>
          <w:i/>
          <w:iCs/>
          <w:sz w:val="18"/>
          <w:szCs w:val="18"/>
        </w:rPr>
        <w:t>The market price of the Shares may fluctuate widely in response to various factors</w:t>
      </w:r>
    </w:p>
    <w:p w14:paraId="6424F248" w14:textId="77777777" w:rsidR="00F76607" w:rsidRDefault="001863F0">
      <w:pPr>
        <w:pStyle w:val="NormalWeb"/>
        <w:keepNext/>
        <w:spacing w:before="240" w:beforeAutospacing="0" w:after="0" w:afterAutospacing="0"/>
        <w:ind w:firstLine="857"/>
      </w:pPr>
      <w:r>
        <w:rPr>
          <w:sz w:val="18"/>
          <w:szCs w:val="18"/>
        </w:rPr>
        <w:t xml:space="preserve">Publicly traded securities from time to time experience significant price and volume fluctuations that may be unrelated to the results of operation or the financial condition of the companies that have issued them. In addition, the market price of the shares may prove to be highly volatile and may fluctuate significantly in response to a number of factors, many of which are beyond the Group’s control, including: </w:t>
      </w:r>
    </w:p>
    <w:p w14:paraId="786F8ED1" w14:textId="77777777" w:rsidR="00F76607" w:rsidRDefault="001863F0">
      <w:pPr>
        <w:pStyle w:val="VulcanIIbullet"/>
      </w:pPr>
      <w:r>
        <w:t xml:space="preserve">market expectations for the Group’s financial performance; </w:t>
      </w:r>
    </w:p>
    <w:p w14:paraId="6AC6DFE2" w14:textId="77777777" w:rsidR="00F76607" w:rsidRDefault="001863F0">
      <w:pPr>
        <w:pStyle w:val="VulcanIIbullet"/>
      </w:pPr>
      <w:r>
        <w:t xml:space="preserve">actual or anticipated fluctuations in the Group’s business, results of operations and financial condition; </w:t>
      </w:r>
    </w:p>
    <w:p w14:paraId="6A87D9F5" w14:textId="77777777" w:rsidR="00F76607" w:rsidRDefault="001863F0">
      <w:pPr>
        <w:pStyle w:val="VulcanIIbullet"/>
      </w:pPr>
      <w:r>
        <w:t xml:space="preserve">changes in the estimates of the Group’s results of operations by securities analysts; </w:t>
      </w:r>
    </w:p>
    <w:p w14:paraId="78C18BC1" w14:textId="77777777" w:rsidR="00F76607" w:rsidRDefault="001863F0">
      <w:pPr>
        <w:pStyle w:val="VulcanIIbullet"/>
      </w:pPr>
      <w:r>
        <w:t xml:space="preserve">investor perception of the impact of the Offering on the Group and its shareholders; </w:t>
      </w:r>
    </w:p>
    <w:p w14:paraId="341B5FB4" w14:textId="77777777" w:rsidR="00F76607" w:rsidRDefault="001863F0">
      <w:pPr>
        <w:pStyle w:val="VulcanIIbullet"/>
      </w:pPr>
      <w:r>
        <w:t xml:space="preserve">potential or actual sales of blocks of shares in the market or short selling of shares; </w:t>
      </w:r>
    </w:p>
    <w:p w14:paraId="19334825" w14:textId="77777777" w:rsidR="00F76607" w:rsidRDefault="001863F0">
      <w:pPr>
        <w:pStyle w:val="VulcanIIbullet"/>
      </w:pPr>
      <w:r>
        <w:rPr>
          <w:sz w:val="2"/>
          <w:szCs w:val="2"/>
        </w:rPr>
        <w:t> </w:t>
      </w:r>
      <w:r>
        <w:t xml:space="preserve">the entrance of new competitors or new products in the markets in which the Group operates; </w:t>
      </w:r>
    </w:p>
    <w:p w14:paraId="5F637F6B" w14:textId="77777777" w:rsidR="00F76607" w:rsidRDefault="001863F0">
      <w:pPr>
        <w:pStyle w:val="VulcanIIbullet"/>
      </w:pPr>
      <w:r>
        <w:t xml:space="preserve">volatility in the market as a whole or investor perception of the Group’s industries and competitors; </w:t>
      </w:r>
    </w:p>
    <w:p w14:paraId="071C0CC2" w14:textId="77777777" w:rsidR="00F76607" w:rsidRDefault="001863F0">
      <w:pPr>
        <w:pStyle w:val="VulcanIIbullet"/>
      </w:pPr>
      <w:r>
        <w:t xml:space="preserve">changes in market valuation of similar companies; </w:t>
      </w:r>
    </w:p>
    <w:p w14:paraId="5A221CA2" w14:textId="77777777" w:rsidR="00F76607" w:rsidRDefault="001863F0">
      <w:pPr>
        <w:pStyle w:val="VulcanIIbullet"/>
      </w:pPr>
      <w:r>
        <w:lastRenderedPageBreak/>
        <w:t xml:space="preserve">announcements by the Group or its competitors of significant contracts; </w:t>
      </w:r>
    </w:p>
    <w:p w14:paraId="69B1487E" w14:textId="77777777" w:rsidR="00F76607" w:rsidRDefault="001863F0">
      <w:pPr>
        <w:pStyle w:val="VulcanIIbullet"/>
      </w:pPr>
      <w:r>
        <w:t xml:space="preserve">acquisitions, strategic alliances, joint ventures, capital commitments or new products or services; </w:t>
      </w:r>
    </w:p>
    <w:p w14:paraId="5136FB37" w14:textId="77777777" w:rsidR="00F76607" w:rsidRDefault="001863F0">
      <w:pPr>
        <w:pStyle w:val="VulcanIIbullet"/>
      </w:pPr>
      <w:r>
        <w:t xml:space="preserve">loss of major customers; </w:t>
      </w:r>
    </w:p>
    <w:p w14:paraId="455046F8" w14:textId="77777777" w:rsidR="00F76607" w:rsidRDefault="001863F0">
      <w:pPr>
        <w:pStyle w:val="VulcanIIbullet"/>
      </w:pPr>
      <w:r>
        <w:t xml:space="preserve">additions or departures of key personnel; </w:t>
      </w:r>
    </w:p>
    <w:p w14:paraId="33BF77B4" w14:textId="77777777" w:rsidR="00F76607" w:rsidRDefault="001863F0">
      <w:pPr>
        <w:pStyle w:val="VulcanIIbullet"/>
      </w:pPr>
      <w:r>
        <w:t xml:space="preserve">any shortfall in revenue or net income or any increase in losses from levels expected by securities analysts; </w:t>
      </w:r>
    </w:p>
    <w:p w14:paraId="53600589" w14:textId="77777777" w:rsidR="00F76607" w:rsidRDefault="001863F0">
      <w:pPr>
        <w:pStyle w:val="VulcanIIbullet"/>
      </w:pPr>
      <w:r>
        <w:t xml:space="preserve">future issues or sales of ordinary shares; </w:t>
      </w:r>
    </w:p>
    <w:p w14:paraId="25C14E1C" w14:textId="77777777" w:rsidR="00F76607" w:rsidRDefault="001863F0">
      <w:pPr>
        <w:pStyle w:val="VulcanIIbullet"/>
      </w:pPr>
      <w:r>
        <w:t xml:space="preserve">stock market price and volume fluctuations; </w:t>
      </w:r>
    </w:p>
    <w:p w14:paraId="03DE4CE3" w14:textId="77777777" w:rsidR="00F76607" w:rsidRDefault="001863F0">
      <w:pPr>
        <w:pStyle w:val="VulcanIIbullet"/>
      </w:pPr>
      <w:r>
        <w:t xml:space="preserve">new government regulation; </w:t>
      </w:r>
    </w:p>
    <w:p w14:paraId="0238433C" w14:textId="77777777" w:rsidR="00F76607" w:rsidRDefault="001863F0">
      <w:pPr>
        <w:pStyle w:val="VulcanIIbullet"/>
      </w:pPr>
      <w:r>
        <w:t xml:space="preserve">general economic, financial and political conditions, in particular as to the markets in which the Group operates; and </w:t>
      </w:r>
    </w:p>
    <w:p w14:paraId="43781310" w14:textId="77777777" w:rsidR="00F76607" w:rsidRDefault="001863F0">
      <w:pPr>
        <w:pStyle w:val="VulcanIIbullet"/>
      </w:pPr>
      <w:r>
        <w:t xml:space="preserve">any of the risks mentioned above. </w:t>
      </w:r>
    </w:p>
    <w:p w14:paraId="7080247A" w14:textId="75D4ADB3" w:rsidR="00F76607" w:rsidRDefault="001863F0">
      <w:pPr>
        <w:pStyle w:val="NormalWeb"/>
        <w:spacing w:before="240" w:beforeAutospacing="0" w:after="0" w:afterAutospacing="0"/>
        <w:ind w:firstLine="857"/>
        <w:rPr>
          <w:sz w:val="2"/>
          <w:szCs w:val="2"/>
        </w:rPr>
      </w:pPr>
      <w:r>
        <w:rPr>
          <w:sz w:val="18"/>
          <w:szCs w:val="18"/>
        </w:rPr>
        <w:t>The market price of the Shares may be adversely affected by most of the preceding or other factors regardless of the Group’s actual results of operations and financial condition.</w:t>
      </w:r>
      <w:r w:rsidR="00FF2ECC">
        <w:rPr>
          <w:sz w:val="18"/>
          <w:szCs w:val="18"/>
        </w:rPr>
        <w:t xml:space="preserve"> </w:t>
      </w:r>
    </w:p>
    <w:p w14:paraId="7F046117" w14:textId="77777777" w:rsidR="00F76607" w:rsidRDefault="001863F0">
      <w:pPr>
        <w:pStyle w:val="NormalWeb"/>
        <w:keepNext/>
        <w:spacing w:before="0" w:beforeAutospacing="0" w:after="0" w:afterAutospacing="0"/>
        <w:jc w:val="center"/>
        <w:rPr>
          <w:b/>
          <w:bCs/>
          <w:sz w:val="18"/>
          <w:szCs w:val="18"/>
        </w:rPr>
      </w:pPr>
      <w:r>
        <w:rPr>
          <w:b/>
          <w:bCs/>
          <w:sz w:val="18"/>
          <w:szCs w:val="18"/>
        </w:rPr>
        <w:br w:type="page"/>
      </w:r>
    </w:p>
    <w:p w14:paraId="6E5813D3" w14:textId="77777777" w:rsidR="00F76607" w:rsidRDefault="001863F0">
      <w:pPr>
        <w:pStyle w:val="VulcanIISectionTitle"/>
      </w:pPr>
      <w:bookmarkStart w:id="28" w:name="_Toc493194605"/>
      <w:r>
        <w:lastRenderedPageBreak/>
        <w:t>Important Information</w:t>
      </w:r>
      <w:bookmarkEnd w:id="28"/>
      <w:r>
        <w:t xml:space="preserve"> </w:t>
      </w:r>
    </w:p>
    <w:p w14:paraId="43FD86FB" w14:textId="77777777" w:rsidR="00F76607" w:rsidRDefault="001863F0">
      <w:pPr>
        <w:pStyle w:val="VulcanIILevel1"/>
      </w:pPr>
      <w:r>
        <w:t xml:space="preserve">Responsibility Statement </w:t>
      </w:r>
    </w:p>
    <w:p w14:paraId="70301270" w14:textId="71444644" w:rsidR="00F76607" w:rsidRDefault="00046D29">
      <w:pPr>
        <w:pStyle w:val="NormalWeb"/>
        <w:spacing w:before="240" w:beforeAutospacing="0" w:after="0" w:afterAutospacing="0"/>
        <w:ind w:firstLine="857"/>
        <w:rPr>
          <w:sz w:val="18"/>
          <w:szCs w:val="18"/>
        </w:rPr>
      </w:pPr>
      <w:r>
        <w:rPr>
          <w:sz w:val="18"/>
          <w:szCs w:val="18"/>
        </w:rPr>
        <w:t>In accordance with a</w:t>
      </w:r>
      <w:r w:rsidR="001863F0">
        <w:rPr>
          <w:sz w:val="18"/>
          <w:szCs w:val="18"/>
        </w:rPr>
        <w:t>rticle 61, §1 and §2 of the Prospectus Law, the Company, represented by its Board of Directors, assumes responsibility for the completeness and accuracy of all of the contents of this Prospectus. Certain sections of this Prospectus relating to (</w:t>
      </w:r>
      <w:proofErr w:type="spellStart"/>
      <w:r w:rsidR="001863F0">
        <w:rPr>
          <w:sz w:val="18"/>
          <w:szCs w:val="18"/>
        </w:rPr>
        <w:t>i</w:t>
      </w:r>
      <w:proofErr w:type="spellEnd"/>
      <w:r w:rsidR="001863F0">
        <w:rPr>
          <w:sz w:val="18"/>
          <w:szCs w:val="18"/>
        </w:rPr>
        <w:t>) the description of the Selling Shareholders and their sharehol</w:t>
      </w:r>
      <w:r w:rsidR="00534CE6">
        <w:rPr>
          <w:sz w:val="18"/>
          <w:szCs w:val="18"/>
        </w:rPr>
        <w:t xml:space="preserve">ding in the Company on page </w:t>
      </w:r>
      <w:r w:rsidR="000E243B">
        <w:rPr>
          <w:sz w:val="18"/>
          <w:szCs w:val="18"/>
        </w:rPr>
        <w:t>124</w:t>
      </w:r>
      <w:r w:rsidR="001863F0">
        <w:rPr>
          <w:sz w:val="18"/>
          <w:szCs w:val="18"/>
        </w:rPr>
        <w:t>; and (ii) the description of the Over-allotment Option granted by the Selling Shareholders on pa</w:t>
      </w:r>
      <w:r w:rsidR="00534CE6">
        <w:rPr>
          <w:sz w:val="18"/>
          <w:szCs w:val="18"/>
        </w:rPr>
        <w:t xml:space="preserve">ge </w:t>
      </w:r>
      <w:r w:rsidR="000E243B">
        <w:rPr>
          <w:sz w:val="18"/>
          <w:szCs w:val="18"/>
        </w:rPr>
        <w:t>146</w:t>
      </w:r>
      <w:r w:rsidR="00534CE6">
        <w:rPr>
          <w:sz w:val="18"/>
          <w:szCs w:val="18"/>
        </w:rPr>
        <w:t xml:space="preserve"> </w:t>
      </w:r>
      <w:r w:rsidR="001863F0">
        <w:rPr>
          <w:sz w:val="18"/>
          <w:szCs w:val="18"/>
        </w:rPr>
        <w:t xml:space="preserve">have been drafted on the basis of the information provided by the Selling Shareholders. The Selling Shareholders assume responsibility for these (and only these) sections of the Prospectus. </w:t>
      </w:r>
    </w:p>
    <w:p w14:paraId="7F4048EC" w14:textId="77777777" w:rsidR="00F76607" w:rsidRDefault="001863F0">
      <w:pPr>
        <w:pStyle w:val="VulcanIIbody"/>
      </w:pPr>
      <w:r>
        <w:t xml:space="preserve">Having taken all reasonable care to ensure that such is the case, each of the Company (for the entirety of this Prospectus) and the Selling Shareholders (only with respect to the sections for which they assume responsibility) attests that the information contained in this Prospectus is, to the best of their knowledge, in accordance with the facts and contains no omission likely to affect its import. </w:t>
      </w:r>
    </w:p>
    <w:p w14:paraId="603A77D9" w14:textId="77777777" w:rsidR="00F76607" w:rsidRDefault="001863F0">
      <w:pPr>
        <w:pStyle w:val="NormalWeb"/>
        <w:spacing w:before="240" w:beforeAutospacing="0" w:after="0" w:afterAutospacing="0"/>
        <w:ind w:firstLine="857"/>
      </w:pPr>
      <w:r>
        <w:rPr>
          <w:sz w:val="18"/>
          <w:szCs w:val="18"/>
        </w:rPr>
        <w:t xml:space="preserve">None of J.P. Morgan Securities plc (“J.P. Morgan”), KBC Securities NV (“KBC Securities”), Belfius Bank NV (“Belfius”) or ING Belgium SA/NV (“ING”) (altogether, the “Underwriters”) makes any representation or warranty, express or implied, as to, or assume any responsibility for, the accuracy or completeness or verification of the information in this Prospectus, and nothing in this Prospectus is, or shall be relied upon as, a promise or representation by the Underwriters, whether as to the past or the future. Accordingly, the Underwriters disclaim, to the fullest extent permitted by applicable law, any and all liability, whether arising in tort, contract or otherwise, in respect of this Prospectus or any such statement. </w:t>
      </w:r>
    </w:p>
    <w:p w14:paraId="3E14B23F" w14:textId="77777777" w:rsidR="00F76607" w:rsidRDefault="001863F0">
      <w:pPr>
        <w:pStyle w:val="NormalWeb"/>
        <w:keepNext/>
        <w:spacing w:before="240" w:beforeAutospacing="0" w:after="0" w:afterAutospacing="0"/>
      </w:pPr>
      <w:r>
        <w:rPr>
          <w:b/>
          <w:bCs/>
          <w:sz w:val="18"/>
          <w:szCs w:val="18"/>
        </w:rPr>
        <w:t xml:space="preserve">Prospectus Approval </w:t>
      </w:r>
    </w:p>
    <w:p w14:paraId="3B0702BD" w14:textId="0B70056D" w:rsidR="00F76607" w:rsidRDefault="001863F0">
      <w:pPr>
        <w:pStyle w:val="NormalWeb"/>
        <w:spacing w:before="240" w:beforeAutospacing="0" w:after="0" w:afterAutospacing="0"/>
        <w:ind w:firstLine="857"/>
      </w:pPr>
      <w:r>
        <w:rPr>
          <w:sz w:val="18"/>
          <w:szCs w:val="18"/>
        </w:rPr>
        <w:t xml:space="preserve">The FSMA approved the English </w:t>
      </w:r>
      <w:r w:rsidR="002B3FDE">
        <w:rPr>
          <w:sz w:val="18"/>
          <w:szCs w:val="18"/>
        </w:rPr>
        <w:t>v</w:t>
      </w:r>
      <w:r w:rsidR="00ED34B9">
        <w:rPr>
          <w:sz w:val="18"/>
          <w:szCs w:val="18"/>
        </w:rPr>
        <w:t xml:space="preserve">ersion of this Prospectus </w:t>
      </w:r>
      <w:r w:rsidR="00E62FE9">
        <w:rPr>
          <w:sz w:val="18"/>
          <w:szCs w:val="18"/>
        </w:rPr>
        <w:t>dated</w:t>
      </w:r>
      <w:r w:rsidR="00ED34B9">
        <w:rPr>
          <w:sz w:val="18"/>
          <w:szCs w:val="18"/>
        </w:rPr>
        <w:t xml:space="preserve"> 11</w:t>
      </w:r>
      <w:r w:rsidR="002B3FDE">
        <w:rPr>
          <w:sz w:val="18"/>
          <w:szCs w:val="18"/>
        </w:rPr>
        <w:t xml:space="preserve"> October 2017</w:t>
      </w:r>
      <w:r>
        <w:rPr>
          <w:sz w:val="18"/>
          <w:szCs w:val="18"/>
        </w:rPr>
        <w:t xml:space="preserve"> in accordance with article 23 of the Prospectus Law. The FSMA’s approval does not imply any opinion by the FSMA on the suitability and quality of the Offering or on the status of the Company. This Prospectus has been prepared in English and translated into Dutch. The Summary of the Prospectus has also been translated into French. The Selling Shareholders and the Company are responsible for the consistency between the Dutch, (French) and English versions of (the Summary of) the Prospectus. In case of discrepancies between the different versions of this Prospectus, the English version will prevail. However, the translations may be referred to by investors in transactions with the Company or the Selling Shareholders. </w:t>
      </w:r>
    </w:p>
    <w:p w14:paraId="1700DD10" w14:textId="77777777" w:rsidR="00F76607" w:rsidRDefault="001863F0">
      <w:pPr>
        <w:pStyle w:val="NormalWeb"/>
        <w:keepNext/>
        <w:spacing w:before="240" w:beforeAutospacing="0" w:after="0" w:afterAutospacing="0"/>
      </w:pPr>
      <w:r>
        <w:rPr>
          <w:b/>
          <w:bCs/>
          <w:sz w:val="18"/>
          <w:szCs w:val="18"/>
        </w:rPr>
        <w:t xml:space="preserve">Supplement to the Prospectus </w:t>
      </w:r>
    </w:p>
    <w:p w14:paraId="172D5E78" w14:textId="77777777" w:rsidR="00F76607" w:rsidRDefault="001863F0">
      <w:pPr>
        <w:pStyle w:val="NormalWeb"/>
        <w:spacing w:before="240" w:beforeAutospacing="0" w:after="0" w:afterAutospacing="0"/>
        <w:ind w:firstLine="857"/>
      </w:pPr>
      <w:r>
        <w:rPr>
          <w:sz w:val="18"/>
          <w:szCs w:val="18"/>
        </w:rPr>
        <w:t xml:space="preserve">The information in this Prospectus is as of the date printed on the front cover, unless expressly stated otherwise. The delivery of this Prospectus at any time does not imply that there has been no change in the Company’s business or affairs since the date hereof or that the information contained herein is correct as of any time subsequent to the date hereof. In accordance with article 34 of the Prospectus Law, in the event of a significant new factor, material mistake or inaccuracy relating to the information included in this Prospectus which is capable of affecting the assessment of the Offer Shares during the period from the date of approval of the Prospectus to the Closing Date, a supplement to this Prospectus shall be published. Any supplement is subject to approval by the FSMA in the same manner as this Prospectus and must be made public in the same manner as this Prospectus. </w:t>
      </w:r>
    </w:p>
    <w:p w14:paraId="428DE927" w14:textId="77777777" w:rsidR="00F76607" w:rsidRDefault="001863F0">
      <w:pPr>
        <w:pStyle w:val="NormalWeb"/>
        <w:spacing w:before="240" w:beforeAutospacing="0" w:after="0" w:afterAutospacing="0"/>
        <w:ind w:firstLine="857"/>
      </w:pPr>
      <w:r>
        <w:rPr>
          <w:sz w:val="18"/>
          <w:szCs w:val="18"/>
        </w:rPr>
        <w:t xml:space="preserve">If a supplement to the Prospectus is published, investors will have the right to withdraw their orders made prior to the publication of the supplement. Such withdrawal must be done within the time period set forth in the supplement (which shall not be shorter than two business days after publication of the supplement). </w:t>
      </w:r>
    </w:p>
    <w:p w14:paraId="5936428D" w14:textId="77777777" w:rsidR="00F76607" w:rsidRDefault="001863F0">
      <w:pPr>
        <w:pStyle w:val="NormalWeb"/>
        <w:keepNext/>
        <w:spacing w:before="240" w:beforeAutospacing="0" w:after="0" w:afterAutospacing="0"/>
      </w:pPr>
      <w:r>
        <w:rPr>
          <w:b/>
          <w:bCs/>
          <w:sz w:val="18"/>
          <w:szCs w:val="18"/>
        </w:rPr>
        <w:t xml:space="preserve">Stabilization </w:t>
      </w:r>
    </w:p>
    <w:p w14:paraId="11A3FCB5" w14:textId="674D622E" w:rsidR="00F76607" w:rsidRDefault="001863F0">
      <w:pPr>
        <w:pStyle w:val="NormalWeb"/>
        <w:spacing w:before="240" w:beforeAutospacing="0" w:after="0" w:afterAutospacing="0"/>
        <w:ind w:firstLine="857"/>
      </w:pPr>
      <w:r>
        <w:rPr>
          <w:sz w:val="18"/>
          <w:szCs w:val="18"/>
        </w:rPr>
        <w:t>In c</w:t>
      </w:r>
      <w:r w:rsidR="002B3FDE">
        <w:rPr>
          <w:sz w:val="18"/>
          <w:szCs w:val="18"/>
        </w:rPr>
        <w:t xml:space="preserve">onnection with the Offering, </w:t>
      </w:r>
      <w:r w:rsidR="00CA4EA5">
        <w:rPr>
          <w:sz w:val="18"/>
          <w:szCs w:val="18"/>
        </w:rPr>
        <w:t>KBC Securities</w:t>
      </w:r>
      <w:r>
        <w:rPr>
          <w:sz w:val="18"/>
          <w:szCs w:val="18"/>
        </w:rPr>
        <w:t xml:space="preserve"> or its affiliates will act as Stabilization Manager on behalf of itself and the Underwriters and may engage in transactions that stabilize, maintain or otherwise affect the price of the Shares or any options, warrants or rights with respect to, or other interest in, the Shares or other securities of the Company for up to 30 days from the Pricing Date (the “Stabilization Period”). These activities may support the market price of the Shares at a level higher than that which might otherwise prevail. Stabilization will not be executed above the Offer Price. The Stabilization Manager and its agents are not required to engage in any of these activities and, as such, there is no assurance that these activities will be undertaken; if undertaken, the Stabilization Manager or its agents may discontinue any of these activities at any time and they must terminate at the end of the 30-day period mentioned above. </w:t>
      </w:r>
    </w:p>
    <w:p w14:paraId="5B226B4B" w14:textId="1C27D640" w:rsidR="00F76607" w:rsidRDefault="001863F0">
      <w:pPr>
        <w:pStyle w:val="NormalWeb"/>
        <w:spacing w:before="240" w:beforeAutospacing="0" w:after="0" w:afterAutospacing="0"/>
        <w:ind w:firstLine="857"/>
      </w:pPr>
      <w:r>
        <w:rPr>
          <w:sz w:val="18"/>
          <w:szCs w:val="18"/>
        </w:rPr>
        <w:t>Within five business days of the end of the Stabilization Period, the following information will be made public in accordance with</w:t>
      </w:r>
      <w:r w:rsidR="00A32C44">
        <w:rPr>
          <w:sz w:val="18"/>
          <w:szCs w:val="18"/>
        </w:rPr>
        <w:t xml:space="preserve"> a</w:t>
      </w:r>
      <w:r>
        <w:rPr>
          <w:sz w:val="18"/>
          <w:szCs w:val="18"/>
        </w:rPr>
        <w:t xml:space="preserve">rticle 5 of Regulation (EU) No 596/2014 of the European Parliament and of the Council of </w:t>
      </w:r>
      <w:r w:rsidR="00A32C44">
        <w:rPr>
          <w:sz w:val="18"/>
          <w:szCs w:val="18"/>
        </w:rPr>
        <w:t>16 April 2014 on Market Abuse, a</w:t>
      </w:r>
      <w:r>
        <w:rPr>
          <w:sz w:val="18"/>
          <w:szCs w:val="18"/>
        </w:rPr>
        <w:t xml:space="preserve">rticle 6.3 of the Commission Delegated Regulation (EU) 2016/1052 of 8 March 2016 supplementing Regulation (EU) No 596/2014 of the European Parliament and of the Council with regard to regulatory technical standards for the conditions applicable to buy-back </w:t>
      </w:r>
      <w:proofErr w:type="spellStart"/>
      <w:r>
        <w:rPr>
          <w:sz w:val="18"/>
          <w:szCs w:val="18"/>
        </w:rPr>
        <w:t>programmes</w:t>
      </w:r>
      <w:proofErr w:type="spellEnd"/>
      <w:r>
        <w:rPr>
          <w:sz w:val="18"/>
          <w:szCs w:val="18"/>
        </w:rPr>
        <w:t xml:space="preserve"> and s</w:t>
      </w:r>
      <w:r w:rsidR="00A32C44">
        <w:rPr>
          <w:sz w:val="18"/>
          <w:szCs w:val="18"/>
        </w:rPr>
        <w:t>tabilization measures and a</w:t>
      </w:r>
      <w:r w:rsidR="00F0739B">
        <w:rPr>
          <w:sz w:val="18"/>
          <w:szCs w:val="18"/>
        </w:rPr>
        <w:t>rticl</w:t>
      </w:r>
      <w:r>
        <w:rPr>
          <w:sz w:val="18"/>
          <w:szCs w:val="18"/>
        </w:rPr>
        <w:t>e 5 of the Royal Decree of 17 May 2007 on primary markets: (</w:t>
      </w:r>
      <w:proofErr w:type="spellStart"/>
      <w:r>
        <w:rPr>
          <w:sz w:val="18"/>
          <w:szCs w:val="18"/>
        </w:rPr>
        <w:t>i</w:t>
      </w:r>
      <w:proofErr w:type="spellEnd"/>
      <w:r>
        <w:rPr>
          <w:sz w:val="18"/>
          <w:szCs w:val="18"/>
        </w:rPr>
        <w:t xml:space="preserve">) whether or not stabilization was undertaken; (ii) the date on which stabilization started; (iii) the date on which stabilization last occurred; (iv) the price range within which stabilization was carried out, for each of the dates on which stabilization transactions were carried out; (v) the final size of the Offering, including the result of the Stabilization and the exercise of the Over-allotment Option and the Increase Option, if any; and (vi) the trading venue on which the stabilization transactions were carried out, where applicable. </w:t>
      </w:r>
    </w:p>
    <w:p w14:paraId="527AF748" w14:textId="77777777" w:rsidR="00F76607" w:rsidRDefault="001863F0">
      <w:pPr>
        <w:pStyle w:val="NormalWeb"/>
        <w:keepNext/>
        <w:spacing w:before="240" w:beforeAutospacing="0" w:after="0" w:afterAutospacing="0"/>
      </w:pPr>
      <w:r>
        <w:rPr>
          <w:b/>
          <w:bCs/>
          <w:sz w:val="18"/>
          <w:szCs w:val="18"/>
        </w:rPr>
        <w:lastRenderedPageBreak/>
        <w:t xml:space="preserve">Availability of the Prospectus </w:t>
      </w:r>
    </w:p>
    <w:p w14:paraId="526D7998" w14:textId="4D3E5874" w:rsidR="00F76607" w:rsidRDefault="001863F0">
      <w:pPr>
        <w:pStyle w:val="NormalWeb"/>
        <w:spacing w:before="240" w:beforeAutospacing="0" w:after="0" w:afterAutospacing="0"/>
        <w:ind w:firstLine="857"/>
      </w:pPr>
      <w:r>
        <w:rPr>
          <w:sz w:val="18"/>
          <w:szCs w:val="18"/>
        </w:rPr>
        <w:t xml:space="preserve">This Prospectus is available to retail investors in Belgium in English and Dutch. The Summary of the Prospectus will be made available in French. The Prospectus will be made available to investors at no cost at the Company’s registered office, located at Leonardo Da </w:t>
      </w:r>
      <w:proofErr w:type="spellStart"/>
      <w:r>
        <w:rPr>
          <w:sz w:val="18"/>
          <w:szCs w:val="18"/>
        </w:rPr>
        <w:t>Vincilaan</w:t>
      </w:r>
      <w:proofErr w:type="spellEnd"/>
      <w:r>
        <w:rPr>
          <w:sz w:val="18"/>
          <w:szCs w:val="18"/>
        </w:rPr>
        <w:t xml:space="preserve"> 19A bus 6, 1831 </w:t>
      </w:r>
      <w:proofErr w:type="spellStart"/>
      <w:r>
        <w:rPr>
          <w:sz w:val="18"/>
          <w:szCs w:val="18"/>
        </w:rPr>
        <w:t>Machelen</w:t>
      </w:r>
      <w:proofErr w:type="spellEnd"/>
      <w:r>
        <w:rPr>
          <w:sz w:val="18"/>
          <w:szCs w:val="18"/>
        </w:rPr>
        <w:t xml:space="preserve"> (</w:t>
      </w:r>
      <w:proofErr w:type="spellStart"/>
      <w:r>
        <w:rPr>
          <w:sz w:val="18"/>
          <w:szCs w:val="18"/>
        </w:rPr>
        <w:t>Diegem</w:t>
      </w:r>
      <w:proofErr w:type="spellEnd"/>
      <w:r>
        <w:rPr>
          <w:sz w:val="18"/>
          <w:szCs w:val="18"/>
        </w:rPr>
        <w:t>), Belgium, and can be obtained by retail investo</w:t>
      </w:r>
      <w:r w:rsidR="00ED34B9">
        <w:rPr>
          <w:sz w:val="18"/>
          <w:szCs w:val="18"/>
        </w:rPr>
        <w:t xml:space="preserve">rs in Belgium on request from </w:t>
      </w:r>
      <w:r w:rsidR="004D1759">
        <w:rPr>
          <w:sz w:val="18"/>
          <w:szCs w:val="18"/>
        </w:rPr>
        <w:t>1</w:t>
      </w:r>
      <w:r w:rsidR="00ED34B9">
        <w:rPr>
          <w:sz w:val="18"/>
          <w:szCs w:val="18"/>
        </w:rPr>
        <w:t>2</w:t>
      </w:r>
      <w:r w:rsidR="004D1759">
        <w:rPr>
          <w:sz w:val="18"/>
          <w:szCs w:val="18"/>
        </w:rPr>
        <w:t xml:space="preserve"> October 2017</w:t>
      </w:r>
      <w:r>
        <w:rPr>
          <w:sz w:val="18"/>
          <w:szCs w:val="18"/>
        </w:rPr>
        <w:t xml:space="preserve">. </w:t>
      </w:r>
    </w:p>
    <w:p w14:paraId="4CDEA066" w14:textId="05839985" w:rsidR="00F76607" w:rsidRPr="00511985" w:rsidRDefault="001863F0">
      <w:pPr>
        <w:pStyle w:val="NormalWeb"/>
        <w:spacing w:before="240" w:beforeAutospacing="0" w:after="0" w:afterAutospacing="0"/>
        <w:ind w:firstLine="857"/>
      </w:pPr>
      <w:r>
        <w:rPr>
          <w:sz w:val="18"/>
          <w:szCs w:val="18"/>
        </w:rPr>
        <w:t xml:space="preserve">Subject to selling and transfer restrictions, the Prospectus is also available to investors in Belgium in English and Dutch, and the Summary of the Prospectus is also available in French, on the following websites: </w:t>
      </w:r>
      <w:r>
        <w:rPr>
          <w:sz w:val="18"/>
          <w:szCs w:val="18"/>
          <w:u w:val="single"/>
          <w:lang w:val="en-GB"/>
        </w:rPr>
        <w:t>(</w:t>
      </w:r>
      <w:hyperlink r:id="rId10" w:history="1">
        <w:r w:rsidRPr="00511985">
          <w:rPr>
            <w:i/>
            <w:iCs/>
            <w:sz w:val="18"/>
            <w:szCs w:val="18"/>
            <w:u w:val="single"/>
          </w:rPr>
          <w:t>www.vgpparks.eu</w:t>
        </w:r>
      </w:hyperlink>
      <w:r>
        <w:rPr>
          <w:sz w:val="18"/>
          <w:szCs w:val="18"/>
          <w:u w:val="single"/>
          <w:lang w:val="en-GB"/>
        </w:rPr>
        <w:t>)</w:t>
      </w:r>
      <w:r w:rsidRPr="00511985">
        <w:rPr>
          <w:sz w:val="18"/>
          <w:szCs w:val="18"/>
          <w:lang w:val="en-GB"/>
        </w:rPr>
        <w:t xml:space="preserve">, </w:t>
      </w:r>
      <w:r w:rsidR="00511985">
        <w:rPr>
          <w:sz w:val="18"/>
          <w:szCs w:val="18"/>
          <w:lang w:val="en-GB"/>
        </w:rPr>
        <w:t>(</w:t>
      </w:r>
      <w:hyperlink r:id="rId11" w:history="1">
        <w:r w:rsidR="00511985" w:rsidRPr="00511985">
          <w:rPr>
            <w:i/>
            <w:iCs/>
            <w:sz w:val="18"/>
            <w:szCs w:val="18"/>
            <w:u w:val="single"/>
          </w:rPr>
          <w:t>www.kbc.be/vgp</w:t>
        </w:r>
      </w:hyperlink>
      <w:r w:rsidR="00511985">
        <w:rPr>
          <w:i/>
          <w:iCs/>
          <w:sz w:val="18"/>
          <w:szCs w:val="18"/>
          <w:u w:val="single"/>
        </w:rPr>
        <w:t>)</w:t>
      </w:r>
      <w:r w:rsidR="00511985" w:rsidRPr="00511985">
        <w:rPr>
          <w:iCs/>
          <w:sz w:val="18"/>
          <w:szCs w:val="18"/>
        </w:rPr>
        <w:t>,</w:t>
      </w:r>
      <w:r w:rsidR="00511985" w:rsidRPr="00511985">
        <w:rPr>
          <w:i/>
          <w:iCs/>
          <w:sz w:val="18"/>
          <w:szCs w:val="18"/>
        </w:rPr>
        <w:t xml:space="preserve"> </w:t>
      </w:r>
      <w:r w:rsidR="00511985" w:rsidRPr="00511985">
        <w:rPr>
          <w:iCs/>
          <w:sz w:val="18"/>
          <w:szCs w:val="18"/>
        </w:rPr>
        <w:t>(</w:t>
      </w:r>
      <w:hyperlink r:id="rId12" w:history="1">
        <w:r w:rsidR="00511985" w:rsidRPr="00855522">
          <w:rPr>
            <w:i/>
            <w:iCs/>
            <w:sz w:val="18"/>
            <w:szCs w:val="18"/>
            <w:u w:val="single"/>
          </w:rPr>
          <w:t>www.kbcsecurities.com</w:t>
        </w:r>
      </w:hyperlink>
      <w:r w:rsidR="00511985" w:rsidRPr="00855522">
        <w:rPr>
          <w:i/>
          <w:iCs/>
          <w:sz w:val="18"/>
          <w:szCs w:val="18"/>
          <w:u w:val="single"/>
        </w:rPr>
        <w:t>)</w:t>
      </w:r>
      <w:r w:rsidR="00511985" w:rsidRPr="00855522">
        <w:rPr>
          <w:iCs/>
          <w:sz w:val="18"/>
          <w:szCs w:val="18"/>
        </w:rPr>
        <w:t>,</w:t>
      </w:r>
      <w:r w:rsidR="00511985" w:rsidRPr="00855522">
        <w:rPr>
          <w:i/>
          <w:iCs/>
          <w:sz w:val="18"/>
          <w:szCs w:val="18"/>
        </w:rPr>
        <w:t xml:space="preserve"> </w:t>
      </w:r>
      <w:r w:rsidR="00855522" w:rsidRPr="00855522">
        <w:rPr>
          <w:i/>
          <w:iCs/>
          <w:sz w:val="18"/>
          <w:szCs w:val="18"/>
        </w:rPr>
        <w:t>(</w:t>
      </w:r>
      <w:hyperlink r:id="rId13" w:history="1">
        <w:r w:rsidR="00855522" w:rsidRPr="00855522">
          <w:rPr>
            <w:rStyle w:val="Hyperlink"/>
            <w:i/>
            <w:color w:val="auto"/>
            <w:sz w:val="18"/>
            <w:szCs w:val="18"/>
          </w:rPr>
          <w:t>www.bolero.be/nl/vgp</w:t>
        </w:r>
      </w:hyperlink>
      <w:r w:rsidR="00855522" w:rsidRPr="00855522">
        <w:rPr>
          <w:i/>
          <w:iCs/>
          <w:sz w:val="18"/>
          <w:szCs w:val="18"/>
          <w:u w:val="single"/>
        </w:rPr>
        <w:t>)</w:t>
      </w:r>
      <w:r w:rsidR="00855522">
        <w:rPr>
          <w:iCs/>
          <w:sz w:val="18"/>
          <w:szCs w:val="18"/>
        </w:rPr>
        <w:t xml:space="preserve">, </w:t>
      </w:r>
      <w:r w:rsidR="00855522" w:rsidRPr="00855522">
        <w:rPr>
          <w:i/>
          <w:iCs/>
          <w:sz w:val="18"/>
          <w:szCs w:val="18"/>
        </w:rPr>
        <w:t>(</w:t>
      </w:r>
      <w:hyperlink r:id="rId14" w:history="1">
        <w:r w:rsidR="00855522" w:rsidRPr="00855522">
          <w:rPr>
            <w:rStyle w:val="Hyperlink"/>
            <w:i/>
            <w:color w:val="auto"/>
            <w:sz w:val="18"/>
            <w:szCs w:val="18"/>
          </w:rPr>
          <w:t>www.bolero.be/fr/vgp</w:t>
        </w:r>
      </w:hyperlink>
      <w:r w:rsidR="00855522" w:rsidRPr="00855522">
        <w:rPr>
          <w:i/>
          <w:iCs/>
          <w:sz w:val="18"/>
          <w:szCs w:val="18"/>
        </w:rPr>
        <w:t>), (</w:t>
      </w:r>
      <w:r w:rsidR="00855522" w:rsidRPr="00855522">
        <w:rPr>
          <w:i/>
          <w:iCs/>
          <w:sz w:val="18"/>
          <w:szCs w:val="18"/>
          <w:u w:val="single"/>
        </w:rPr>
        <w:t>www.bolero.be</w:t>
      </w:r>
      <w:r w:rsidR="00855522" w:rsidRPr="00855522">
        <w:rPr>
          <w:i/>
          <w:iCs/>
          <w:sz w:val="18"/>
          <w:szCs w:val="18"/>
        </w:rPr>
        <w:t>)</w:t>
      </w:r>
      <w:r w:rsidR="00855522" w:rsidRPr="00855522">
        <w:rPr>
          <w:iCs/>
          <w:sz w:val="18"/>
          <w:szCs w:val="18"/>
        </w:rPr>
        <w:t>,</w:t>
      </w:r>
      <w:r w:rsidR="00855522" w:rsidRPr="00855522">
        <w:rPr>
          <w:i/>
          <w:iCs/>
          <w:sz w:val="18"/>
          <w:szCs w:val="18"/>
        </w:rPr>
        <w:t xml:space="preserve"> (</w:t>
      </w:r>
      <w:hyperlink r:id="rId15" w:history="1">
        <w:r w:rsidR="00855522" w:rsidRPr="00855522">
          <w:rPr>
            <w:rStyle w:val="Hyperlink"/>
            <w:i/>
            <w:color w:val="auto"/>
            <w:sz w:val="18"/>
            <w:szCs w:val="18"/>
          </w:rPr>
          <w:t>www.belfius.be/vgp</w:t>
        </w:r>
      </w:hyperlink>
      <w:r w:rsidR="00855522" w:rsidRPr="00855522">
        <w:rPr>
          <w:i/>
          <w:iCs/>
          <w:sz w:val="18"/>
          <w:szCs w:val="18"/>
          <w:u w:val="single"/>
        </w:rPr>
        <w:t>)</w:t>
      </w:r>
      <w:r w:rsidR="00855522" w:rsidRPr="00855522">
        <w:rPr>
          <w:iCs/>
          <w:sz w:val="18"/>
          <w:szCs w:val="18"/>
        </w:rPr>
        <w:t xml:space="preserve">, </w:t>
      </w:r>
      <w:r w:rsidR="00855522" w:rsidRPr="00855522">
        <w:rPr>
          <w:i/>
          <w:iCs/>
          <w:sz w:val="18"/>
          <w:szCs w:val="18"/>
        </w:rPr>
        <w:t>(</w:t>
      </w:r>
      <w:hyperlink r:id="rId16" w:history="1">
        <w:r w:rsidR="00855522" w:rsidRPr="00855522">
          <w:rPr>
            <w:rStyle w:val="Hyperlink"/>
            <w:i/>
            <w:color w:val="auto"/>
            <w:sz w:val="18"/>
            <w:szCs w:val="18"/>
          </w:rPr>
          <w:t>www.ing.be/transactionsdactions</w:t>
        </w:r>
      </w:hyperlink>
      <w:r w:rsidR="00855522" w:rsidRPr="00855522">
        <w:rPr>
          <w:i/>
          <w:iCs/>
          <w:sz w:val="18"/>
          <w:szCs w:val="18"/>
        </w:rPr>
        <w:t>)</w:t>
      </w:r>
      <w:r w:rsidR="00855522" w:rsidRPr="00855522">
        <w:rPr>
          <w:iCs/>
          <w:sz w:val="18"/>
          <w:szCs w:val="18"/>
        </w:rPr>
        <w:t>,</w:t>
      </w:r>
      <w:r w:rsidR="00855522" w:rsidRPr="00855522">
        <w:rPr>
          <w:i/>
          <w:iCs/>
          <w:sz w:val="18"/>
          <w:szCs w:val="18"/>
        </w:rPr>
        <w:t xml:space="preserve"> (</w:t>
      </w:r>
      <w:hyperlink r:id="rId17" w:history="1">
        <w:r w:rsidR="00855522" w:rsidRPr="00855522">
          <w:rPr>
            <w:rStyle w:val="Hyperlink"/>
            <w:i/>
            <w:color w:val="auto"/>
            <w:sz w:val="18"/>
            <w:szCs w:val="18"/>
          </w:rPr>
          <w:t>www.ing.be/aandelentransacties</w:t>
        </w:r>
      </w:hyperlink>
      <w:r w:rsidR="00855522" w:rsidRPr="00855522">
        <w:rPr>
          <w:i/>
          <w:iCs/>
          <w:sz w:val="18"/>
          <w:szCs w:val="18"/>
        </w:rPr>
        <w:t>)</w:t>
      </w:r>
      <w:r w:rsidR="00855522">
        <w:rPr>
          <w:iCs/>
          <w:sz w:val="18"/>
          <w:szCs w:val="18"/>
        </w:rPr>
        <w:t xml:space="preserve">, </w:t>
      </w:r>
      <w:r w:rsidR="00511985" w:rsidRPr="00511985">
        <w:rPr>
          <w:iCs/>
          <w:sz w:val="18"/>
          <w:szCs w:val="18"/>
        </w:rPr>
        <w:t>and</w:t>
      </w:r>
      <w:r w:rsidR="00511985">
        <w:rPr>
          <w:i/>
          <w:iCs/>
          <w:sz w:val="18"/>
          <w:szCs w:val="18"/>
        </w:rPr>
        <w:t xml:space="preserve"> </w:t>
      </w:r>
      <w:r w:rsidR="00511985">
        <w:rPr>
          <w:iCs/>
          <w:sz w:val="18"/>
          <w:szCs w:val="18"/>
        </w:rPr>
        <w:t>(</w:t>
      </w:r>
      <w:hyperlink r:id="rId18" w:history="1">
        <w:r w:rsidR="00511985" w:rsidRPr="00511985">
          <w:rPr>
            <w:i/>
            <w:iCs/>
            <w:sz w:val="18"/>
            <w:szCs w:val="18"/>
            <w:u w:val="single"/>
          </w:rPr>
          <w:t>www.ing.be</w:t>
        </w:r>
      </w:hyperlink>
      <w:r w:rsidR="00511985" w:rsidRPr="00511985">
        <w:rPr>
          <w:i/>
          <w:iCs/>
          <w:sz w:val="18"/>
          <w:szCs w:val="18"/>
          <w:u w:val="single"/>
        </w:rPr>
        <w:t>/equitytransactions</w:t>
      </w:r>
      <w:r w:rsidR="00511985">
        <w:rPr>
          <w:iCs/>
          <w:sz w:val="18"/>
          <w:szCs w:val="18"/>
          <w:u w:val="single"/>
        </w:rPr>
        <w:t>)</w:t>
      </w:r>
      <w:r w:rsidR="00511985">
        <w:rPr>
          <w:iCs/>
          <w:sz w:val="18"/>
          <w:szCs w:val="18"/>
        </w:rPr>
        <w:t>.</w:t>
      </w:r>
    </w:p>
    <w:p w14:paraId="13BC3D47" w14:textId="26EDCBC2" w:rsidR="00F76607" w:rsidRDefault="001863F0">
      <w:pPr>
        <w:pStyle w:val="NormalWeb"/>
        <w:spacing w:before="240" w:beforeAutospacing="0" w:after="0" w:afterAutospacing="0"/>
        <w:ind w:firstLine="857"/>
      </w:pPr>
      <w:r>
        <w:rPr>
          <w:sz w:val="18"/>
          <w:szCs w:val="18"/>
        </w:rPr>
        <w:t>The posting of the Prospectus on the Internet does not constitute an offer to sell or a solicitation of an offer to buy any of the Shares to or from any person in any jurisdiction in which it is unlawful to make such offer or solicitation to such person. The electronic version may not be copied, made available or printed for distribution. Information on the Company’s website</w:t>
      </w:r>
      <w:r w:rsidR="003108EB">
        <w:rPr>
          <w:sz w:val="18"/>
          <w:szCs w:val="18"/>
        </w:rPr>
        <w:t>s</w:t>
      </w:r>
      <w:r>
        <w:rPr>
          <w:sz w:val="18"/>
          <w:szCs w:val="18"/>
        </w:rPr>
        <w:t xml:space="preserve"> or any other website does not form part of the Prospectus. </w:t>
      </w:r>
    </w:p>
    <w:p w14:paraId="37878690" w14:textId="77777777" w:rsidR="00F76607" w:rsidRDefault="001863F0">
      <w:pPr>
        <w:pStyle w:val="NormalWeb"/>
        <w:keepNext/>
        <w:spacing w:before="240" w:beforeAutospacing="0" w:after="0" w:afterAutospacing="0"/>
      </w:pPr>
      <w:r>
        <w:rPr>
          <w:b/>
          <w:bCs/>
          <w:sz w:val="18"/>
          <w:szCs w:val="18"/>
        </w:rPr>
        <w:t xml:space="preserve">Other Company Information and Documentation </w:t>
      </w:r>
    </w:p>
    <w:p w14:paraId="65421DDF" w14:textId="77777777" w:rsidR="00F76607" w:rsidRDefault="001863F0">
      <w:pPr>
        <w:pStyle w:val="NormalWeb"/>
        <w:spacing w:before="240" w:beforeAutospacing="0" w:after="0" w:afterAutospacing="0"/>
        <w:ind w:firstLine="857"/>
      </w:pPr>
      <w:r>
        <w:rPr>
          <w:sz w:val="18"/>
          <w:szCs w:val="18"/>
        </w:rPr>
        <w:t xml:space="preserve">The Company’s deed of incorporation is filed and the Company has filed its coordinated Articles of Association and all other deeds that are to be published in the annexes to the Belgian State Gazette with the clerk’s office of the commercial court of Brussels, where they are available to the public. VGP NV is registered with the register of legal entities (Brussels) under enterprise number 0887.216.042. A copy of the Company’s most recent Articles of Association is also available on its website. </w:t>
      </w:r>
    </w:p>
    <w:p w14:paraId="3480F2DE" w14:textId="77777777" w:rsidR="00F76607" w:rsidRDefault="001863F0">
      <w:pPr>
        <w:pStyle w:val="NormalWeb"/>
        <w:spacing w:before="240" w:beforeAutospacing="0" w:after="0" w:afterAutospacing="0"/>
        <w:ind w:firstLine="857"/>
      </w:pPr>
      <w:r>
        <w:rPr>
          <w:sz w:val="18"/>
          <w:szCs w:val="18"/>
        </w:rPr>
        <w:t xml:space="preserve">In accordance with Belgian law, the Company prepares audited annual statutory and consolidated financial statements. The annual statutory financial statements, together with the report of the Board of Directors and the audit report of the statutory auditor, as well as the consolidated financial statements, together with the report of the Board of Directors and the audit report of the statutory auditor thereon, have been filed with the National Bank of Belgium, where they are available to the public. Furthermore, as a listed company, the Company publishes an annual financial report (comprised of the financial information which is filed with the National Bank of Belgium and a responsibility statement) and a semi-annual financial report (comprised of condensed financial statements, the report of the statutory auditor, if audited or reviewed, and a responsibility statement). These reports are made publicly available on the Company’s website. </w:t>
      </w:r>
    </w:p>
    <w:p w14:paraId="51F1F5FB" w14:textId="77777777" w:rsidR="00F76607" w:rsidRDefault="001863F0">
      <w:pPr>
        <w:pStyle w:val="NormalWeb"/>
        <w:spacing w:before="240" w:beforeAutospacing="0" w:after="0" w:afterAutospacing="0"/>
        <w:ind w:firstLine="857"/>
        <w:rPr>
          <w:sz w:val="18"/>
          <w:szCs w:val="18"/>
        </w:rPr>
      </w:pPr>
      <w:r>
        <w:rPr>
          <w:sz w:val="18"/>
          <w:szCs w:val="18"/>
        </w:rPr>
        <w:t xml:space="preserve">All regulated information on the Company is available on STORI, the Belgian central storage mechanism, which is operated by the FSMA and can be accessed via </w:t>
      </w:r>
      <w:r>
        <w:rPr>
          <w:i/>
          <w:iCs/>
          <w:sz w:val="18"/>
          <w:szCs w:val="18"/>
        </w:rPr>
        <w:t xml:space="preserve">stori.fsma.be </w:t>
      </w:r>
      <w:r>
        <w:rPr>
          <w:sz w:val="18"/>
          <w:szCs w:val="18"/>
        </w:rPr>
        <w:t xml:space="preserve">or </w:t>
      </w:r>
      <w:r>
        <w:rPr>
          <w:i/>
          <w:iCs/>
          <w:sz w:val="18"/>
          <w:szCs w:val="18"/>
        </w:rPr>
        <w:t>www.fsma.be</w:t>
      </w:r>
      <w:r>
        <w:rPr>
          <w:sz w:val="18"/>
          <w:szCs w:val="18"/>
        </w:rPr>
        <w:t>. As a listed company, the Company also discloses “inside information,” information about its shareholder structure and certain other information to the public. In accordance with the Belgian Royal Decree of 14 November 2007 relating to the obligations of companies of financial instruments admitted to trading on a Belgian regulated market (“</w:t>
      </w:r>
      <w:proofErr w:type="spellStart"/>
      <w:r>
        <w:rPr>
          <w:i/>
          <w:iCs/>
          <w:sz w:val="18"/>
          <w:szCs w:val="18"/>
        </w:rPr>
        <w:t>Koninklijk</w:t>
      </w:r>
      <w:proofErr w:type="spellEnd"/>
      <w:r>
        <w:rPr>
          <w:i/>
          <w:iCs/>
          <w:sz w:val="18"/>
          <w:szCs w:val="18"/>
        </w:rPr>
        <w:t xml:space="preserve"> </w:t>
      </w:r>
      <w:proofErr w:type="spellStart"/>
      <w:r>
        <w:rPr>
          <w:i/>
          <w:iCs/>
          <w:sz w:val="18"/>
          <w:szCs w:val="18"/>
        </w:rPr>
        <w:t>besluit</w:t>
      </w:r>
      <w:proofErr w:type="spellEnd"/>
      <w:r>
        <w:rPr>
          <w:i/>
          <w:iCs/>
          <w:sz w:val="18"/>
          <w:szCs w:val="18"/>
        </w:rPr>
        <w:t xml:space="preserve"> </w:t>
      </w:r>
      <w:proofErr w:type="spellStart"/>
      <w:r>
        <w:rPr>
          <w:i/>
          <w:iCs/>
          <w:sz w:val="18"/>
          <w:szCs w:val="18"/>
        </w:rPr>
        <w:t>betreffende</w:t>
      </w:r>
      <w:proofErr w:type="spellEnd"/>
      <w:r>
        <w:rPr>
          <w:i/>
          <w:iCs/>
          <w:sz w:val="18"/>
          <w:szCs w:val="18"/>
        </w:rPr>
        <w:t xml:space="preserve"> de </w:t>
      </w:r>
      <w:proofErr w:type="spellStart"/>
      <w:r>
        <w:rPr>
          <w:i/>
          <w:iCs/>
          <w:sz w:val="18"/>
          <w:szCs w:val="18"/>
        </w:rPr>
        <w:t>verplichtingen</w:t>
      </w:r>
      <w:proofErr w:type="spellEnd"/>
      <w:r>
        <w:rPr>
          <w:i/>
          <w:iCs/>
          <w:sz w:val="18"/>
          <w:szCs w:val="18"/>
        </w:rPr>
        <w:t xml:space="preserve"> van </w:t>
      </w:r>
      <w:proofErr w:type="spellStart"/>
      <w:r>
        <w:rPr>
          <w:i/>
          <w:iCs/>
          <w:sz w:val="18"/>
          <w:szCs w:val="18"/>
        </w:rPr>
        <w:t>emittenten</w:t>
      </w:r>
      <w:proofErr w:type="spellEnd"/>
      <w:r>
        <w:rPr>
          <w:i/>
          <w:iCs/>
          <w:sz w:val="18"/>
          <w:szCs w:val="18"/>
        </w:rPr>
        <w:t xml:space="preserve"> van </w:t>
      </w:r>
      <w:proofErr w:type="spellStart"/>
      <w:r>
        <w:rPr>
          <w:i/>
          <w:iCs/>
          <w:sz w:val="18"/>
          <w:szCs w:val="18"/>
        </w:rPr>
        <w:t>financiële</w:t>
      </w:r>
      <w:proofErr w:type="spellEnd"/>
      <w:r>
        <w:rPr>
          <w:i/>
          <w:iCs/>
          <w:sz w:val="18"/>
          <w:szCs w:val="18"/>
        </w:rPr>
        <w:t xml:space="preserve"> </w:t>
      </w:r>
      <w:proofErr w:type="spellStart"/>
      <w:r>
        <w:rPr>
          <w:i/>
          <w:iCs/>
          <w:sz w:val="18"/>
          <w:szCs w:val="18"/>
        </w:rPr>
        <w:t>instrumenten</w:t>
      </w:r>
      <w:proofErr w:type="spellEnd"/>
      <w:r>
        <w:rPr>
          <w:i/>
          <w:iCs/>
          <w:sz w:val="18"/>
          <w:szCs w:val="18"/>
        </w:rPr>
        <w:t xml:space="preserve"> die </w:t>
      </w:r>
      <w:proofErr w:type="spellStart"/>
      <w:r>
        <w:rPr>
          <w:i/>
          <w:iCs/>
          <w:sz w:val="18"/>
          <w:szCs w:val="18"/>
        </w:rPr>
        <w:t>zijn</w:t>
      </w:r>
      <w:proofErr w:type="spellEnd"/>
      <w:r>
        <w:rPr>
          <w:i/>
          <w:iCs/>
          <w:sz w:val="18"/>
          <w:szCs w:val="18"/>
        </w:rPr>
        <w:t xml:space="preserve"> </w:t>
      </w:r>
      <w:proofErr w:type="spellStart"/>
      <w:r>
        <w:rPr>
          <w:i/>
          <w:iCs/>
          <w:sz w:val="18"/>
          <w:szCs w:val="18"/>
        </w:rPr>
        <w:t>toegelaten</w:t>
      </w:r>
      <w:proofErr w:type="spellEnd"/>
      <w:r>
        <w:rPr>
          <w:i/>
          <w:iCs/>
          <w:sz w:val="18"/>
          <w:szCs w:val="18"/>
        </w:rPr>
        <w:t xml:space="preserve"> tot de </w:t>
      </w:r>
      <w:proofErr w:type="spellStart"/>
      <w:r>
        <w:rPr>
          <w:i/>
          <w:iCs/>
          <w:sz w:val="18"/>
          <w:szCs w:val="18"/>
        </w:rPr>
        <w:t>verhandeling</w:t>
      </w:r>
      <w:proofErr w:type="spellEnd"/>
      <w:r>
        <w:rPr>
          <w:i/>
          <w:iCs/>
          <w:sz w:val="18"/>
          <w:szCs w:val="18"/>
        </w:rPr>
        <w:t xml:space="preserve"> op </w:t>
      </w:r>
      <w:proofErr w:type="spellStart"/>
      <w:r>
        <w:rPr>
          <w:i/>
          <w:iCs/>
          <w:sz w:val="18"/>
          <w:szCs w:val="18"/>
        </w:rPr>
        <w:t>een</w:t>
      </w:r>
      <w:proofErr w:type="spellEnd"/>
      <w:r>
        <w:rPr>
          <w:i/>
          <w:iCs/>
          <w:sz w:val="18"/>
          <w:szCs w:val="18"/>
        </w:rPr>
        <w:t xml:space="preserve"> </w:t>
      </w:r>
      <w:proofErr w:type="spellStart"/>
      <w:r>
        <w:rPr>
          <w:i/>
          <w:iCs/>
          <w:sz w:val="18"/>
          <w:szCs w:val="18"/>
        </w:rPr>
        <w:t>gereglementeerde</w:t>
      </w:r>
      <w:proofErr w:type="spellEnd"/>
      <w:r>
        <w:rPr>
          <w:i/>
          <w:iCs/>
          <w:sz w:val="18"/>
          <w:szCs w:val="18"/>
        </w:rPr>
        <w:t xml:space="preserve"> </w:t>
      </w:r>
      <w:proofErr w:type="spellStart"/>
      <w:r>
        <w:rPr>
          <w:i/>
          <w:iCs/>
          <w:sz w:val="18"/>
          <w:szCs w:val="18"/>
        </w:rPr>
        <w:t>markt</w:t>
      </w:r>
      <w:proofErr w:type="spellEnd"/>
      <w:r>
        <w:rPr>
          <w:i/>
          <w:iCs/>
          <w:sz w:val="18"/>
          <w:szCs w:val="18"/>
        </w:rPr>
        <w:t>” / “</w:t>
      </w:r>
      <w:proofErr w:type="spellStart"/>
      <w:r>
        <w:rPr>
          <w:i/>
          <w:iCs/>
          <w:sz w:val="18"/>
          <w:szCs w:val="18"/>
        </w:rPr>
        <w:t>Arrêté</w:t>
      </w:r>
      <w:proofErr w:type="spellEnd"/>
      <w:r>
        <w:rPr>
          <w:i/>
          <w:iCs/>
          <w:sz w:val="18"/>
          <w:szCs w:val="18"/>
        </w:rPr>
        <w:t xml:space="preserve"> royal </w:t>
      </w:r>
      <w:proofErr w:type="spellStart"/>
      <w:r>
        <w:rPr>
          <w:i/>
          <w:iCs/>
          <w:sz w:val="18"/>
          <w:szCs w:val="18"/>
        </w:rPr>
        <w:t>relatif</w:t>
      </w:r>
      <w:proofErr w:type="spellEnd"/>
      <w:r>
        <w:rPr>
          <w:i/>
          <w:iCs/>
          <w:sz w:val="18"/>
          <w:szCs w:val="18"/>
        </w:rPr>
        <w:t xml:space="preserve"> aux obligations des </w:t>
      </w:r>
      <w:proofErr w:type="spellStart"/>
      <w:r>
        <w:rPr>
          <w:i/>
          <w:iCs/>
          <w:sz w:val="18"/>
          <w:szCs w:val="18"/>
        </w:rPr>
        <w:t>émetteurs</w:t>
      </w:r>
      <w:proofErr w:type="spellEnd"/>
      <w:r>
        <w:rPr>
          <w:i/>
          <w:iCs/>
          <w:sz w:val="18"/>
          <w:szCs w:val="18"/>
        </w:rPr>
        <w:t xml:space="preserve"> </w:t>
      </w:r>
      <w:proofErr w:type="spellStart"/>
      <w:r>
        <w:rPr>
          <w:i/>
          <w:iCs/>
          <w:sz w:val="18"/>
          <w:szCs w:val="18"/>
        </w:rPr>
        <w:t>d’instruments</w:t>
      </w:r>
      <w:proofErr w:type="spellEnd"/>
      <w:r>
        <w:rPr>
          <w:i/>
          <w:iCs/>
          <w:sz w:val="18"/>
          <w:szCs w:val="18"/>
        </w:rPr>
        <w:t xml:space="preserve"> financiers </w:t>
      </w:r>
      <w:proofErr w:type="spellStart"/>
      <w:r>
        <w:rPr>
          <w:i/>
          <w:iCs/>
          <w:sz w:val="18"/>
          <w:szCs w:val="18"/>
        </w:rPr>
        <w:t>admis</w:t>
      </w:r>
      <w:proofErr w:type="spellEnd"/>
      <w:r>
        <w:rPr>
          <w:i/>
          <w:iCs/>
          <w:sz w:val="18"/>
          <w:szCs w:val="18"/>
        </w:rPr>
        <w:t xml:space="preserve"> aux </w:t>
      </w:r>
      <w:proofErr w:type="spellStart"/>
      <w:r>
        <w:rPr>
          <w:i/>
          <w:iCs/>
          <w:sz w:val="18"/>
          <w:szCs w:val="18"/>
        </w:rPr>
        <w:t>négociations</w:t>
      </w:r>
      <w:proofErr w:type="spellEnd"/>
      <w:r>
        <w:rPr>
          <w:i/>
          <w:iCs/>
          <w:sz w:val="18"/>
          <w:szCs w:val="18"/>
        </w:rPr>
        <w:t xml:space="preserve"> sur un </w:t>
      </w:r>
      <w:proofErr w:type="spellStart"/>
      <w:r>
        <w:rPr>
          <w:i/>
          <w:iCs/>
          <w:sz w:val="18"/>
          <w:szCs w:val="18"/>
        </w:rPr>
        <w:t>marché</w:t>
      </w:r>
      <w:proofErr w:type="spellEnd"/>
      <w:r>
        <w:rPr>
          <w:i/>
          <w:iCs/>
          <w:sz w:val="18"/>
          <w:szCs w:val="18"/>
        </w:rPr>
        <w:t xml:space="preserve"> </w:t>
      </w:r>
      <w:proofErr w:type="spellStart"/>
      <w:r>
        <w:rPr>
          <w:i/>
          <w:iCs/>
          <w:sz w:val="18"/>
          <w:szCs w:val="18"/>
        </w:rPr>
        <w:t>réglementé</w:t>
      </w:r>
      <w:proofErr w:type="spellEnd"/>
      <w:r>
        <w:rPr>
          <w:i/>
          <w:iCs/>
          <w:sz w:val="18"/>
          <w:szCs w:val="18"/>
        </w:rPr>
        <w:t>”</w:t>
      </w:r>
      <w:r>
        <w:rPr>
          <w:sz w:val="18"/>
          <w:szCs w:val="18"/>
        </w:rPr>
        <w:t xml:space="preserve">), Regulation (EU) No 596/2014 of the European Parliament and of the Council of 16 April 2014 on Market Abuse and the Commission Implementing Regulation (EU) 2016/1055 of 29 June 2016 laying down implementing technical standards with regard to the technical means for appropriate public disclosure of inside information and for delaying the public disclosure of inside information, such information and documentation is made available through the Company’s website, press releases, the communication channels of Euronext Brussels, on STORI or a combination of these means. All press releases published by the Company are available on its website. </w:t>
      </w:r>
    </w:p>
    <w:p w14:paraId="4A767506" w14:textId="77777777" w:rsidR="00F76607" w:rsidRDefault="001863F0">
      <w:pPr>
        <w:pStyle w:val="NormalWeb"/>
        <w:spacing w:before="240" w:beforeAutospacing="0" w:after="0" w:afterAutospacing="0"/>
        <w:ind w:firstLine="857"/>
        <w:rPr>
          <w:sz w:val="18"/>
          <w:szCs w:val="18"/>
        </w:rPr>
      </w:pPr>
      <w:r>
        <w:rPr>
          <w:sz w:val="18"/>
          <w:szCs w:val="18"/>
        </w:rPr>
        <w:t>During the twelve months following the date of this Prospectus, all reports, letters, and other documents, historical financial information, valuations and statements prepared by any expert at our request any part of which is included or referred to in this Prospectus, if any, can be obtained free of charge, by electronic means, on the Company’s website.</w:t>
      </w:r>
    </w:p>
    <w:p w14:paraId="3D745506" w14:textId="77777777" w:rsidR="00F76607" w:rsidRDefault="001863F0">
      <w:pPr>
        <w:pStyle w:val="NormalWeb"/>
        <w:spacing w:before="240" w:beforeAutospacing="0" w:after="0" w:afterAutospacing="0"/>
        <w:ind w:firstLine="857"/>
      </w:pPr>
      <w:r>
        <w:rPr>
          <w:sz w:val="18"/>
          <w:szCs w:val="18"/>
        </w:rPr>
        <w:t xml:space="preserve">The Company has agreed that, for so long as any of the Shares are “restricted securities” within the meaning of Rule 144(a)(3) under the U.S. Securities Act, the Company will, during any period in which the Company is neither subject to Section 13 or 15(d) of the U.S. Securities Exchange Act of 1934 (the “U.S. Exchange Act”) nor exempt from reporting pursuant to Rule 12g3-2(b) under the U.S. Exchange Act, provide to any holder or beneficial owner of such restricted securities or to any prospective purchaser of such restricted securities designated by such holder or beneficial owner, on the request of such holder, beneficial owner or prospective purchaser, the information required to be provided to such persons pursuant to Rule 144A(d)(4) under the U.S. Securities Act. The Company is not currently subject to the periodic reporting requirements of the U.S. Exchange Act. </w:t>
      </w:r>
    </w:p>
    <w:p w14:paraId="32EEABF6" w14:textId="77777777" w:rsidR="00F76607" w:rsidRDefault="001863F0">
      <w:pPr>
        <w:pStyle w:val="NormalWeb"/>
        <w:spacing w:before="180" w:beforeAutospacing="0" w:after="0" w:afterAutospacing="0"/>
        <w:rPr>
          <w:sz w:val="2"/>
          <w:szCs w:val="2"/>
        </w:rPr>
      </w:pPr>
      <w:r>
        <w:rPr>
          <w:sz w:val="2"/>
          <w:szCs w:val="2"/>
        </w:rPr>
        <w:t> </w:t>
      </w:r>
    </w:p>
    <w:p w14:paraId="0947BB9C" w14:textId="77777777" w:rsidR="00F76607" w:rsidRDefault="001863F0">
      <w:pPr>
        <w:pStyle w:val="NormalWeb"/>
        <w:keepNext/>
        <w:spacing w:before="0" w:beforeAutospacing="0" w:after="0" w:afterAutospacing="0"/>
        <w:jc w:val="center"/>
      </w:pPr>
      <w:r>
        <w:rPr>
          <w:b/>
          <w:bCs/>
          <w:sz w:val="18"/>
          <w:szCs w:val="18"/>
        </w:rPr>
        <w:t xml:space="preserve">NOTICE TO INVESTORS </w:t>
      </w:r>
    </w:p>
    <w:p w14:paraId="1FF50ED7" w14:textId="77777777" w:rsidR="00F76607" w:rsidRDefault="001863F0">
      <w:pPr>
        <w:pStyle w:val="NormalWeb"/>
        <w:spacing w:before="240" w:beforeAutospacing="0" w:after="0" w:afterAutospacing="0"/>
        <w:ind w:firstLine="857"/>
      </w:pPr>
      <w:r>
        <w:rPr>
          <w:sz w:val="18"/>
          <w:szCs w:val="18"/>
        </w:rPr>
        <w:t xml:space="preserve">In making an investment decision, investors must rely on their own assessment, examination, analysis and enquiry of the Company, the terms of the Offering and the contents of this Prospectus, including the merits and risks involved. Any purchase of the Offer Shares should be based on the assessments that an investor may deem necessary, including the legal basis and consequences of the Offering, and including possible tax consequences that may apply, before deciding whether or not to invest in the Offer Shares. In addition to their own assessment of the Company and the terms of the Offering, investors should rely only on the information contained in this Prospectus, including the risk factors described herein. </w:t>
      </w:r>
    </w:p>
    <w:p w14:paraId="1747064E" w14:textId="77777777" w:rsidR="00F76607" w:rsidRDefault="001863F0">
      <w:pPr>
        <w:pStyle w:val="NormalWeb"/>
        <w:spacing w:before="240" w:beforeAutospacing="0" w:after="0" w:afterAutospacing="0"/>
        <w:ind w:firstLine="857"/>
      </w:pPr>
      <w:r>
        <w:rPr>
          <w:sz w:val="18"/>
          <w:szCs w:val="18"/>
        </w:rPr>
        <w:t>Investors must also acknowledge that: (</w:t>
      </w:r>
      <w:proofErr w:type="spellStart"/>
      <w:r>
        <w:rPr>
          <w:sz w:val="18"/>
          <w:szCs w:val="18"/>
        </w:rPr>
        <w:t>i</w:t>
      </w:r>
      <w:proofErr w:type="spellEnd"/>
      <w:r>
        <w:rPr>
          <w:sz w:val="18"/>
          <w:szCs w:val="18"/>
        </w:rPr>
        <w:t xml:space="preserve">) they have not relied on the Underwriters or any person affiliated with the Underwriters in connection with any investigation of the accuracy of any information contained in this Prospectus; and (ii) they have </w:t>
      </w:r>
      <w:r>
        <w:rPr>
          <w:sz w:val="18"/>
          <w:szCs w:val="18"/>
        </w:rPr>
        <w:lastRenderedPageBreak/>
        <w:t xml:space="preserve">relied only on the information contained in this Prospectus, and that no person has been authorized to give any information or to make any representation concerning the Company or its subsidiaries or the Shares (other than as contained in this Prospectus) and, if given or made, any such other information or representation should not be relied upon as having been authorized by the Company, the Selling Shareholders or the Underwriters. </w:t>
      </w:r>
    </w:p>
    <w:p w14:paraId="1AC99AA8" w14:textId="77777777" w:rsidR="00F76607" w:rsidRDefault="001863F0">
      <w:pPr>
        <w:pStyle w:val="NormalWeb"/>
        <w:spacing w:before="240" w:beforeAutospacing="0" w:after="0" w:afterAutospacing="0"/>
        <w:ind w:firstLine="857"/>
      </w:pPr>
      <w:r>
        <w:rPr>
          <w:sz w:val="18"/>
          <w:szCs w:val="18"/>
        </w:rPr>
        <w:t xml:space="preserve">None of the Company, the Selling Shareholders or the Underwriters, or any of their respective representatives, is making any representation to any offeree or purchaser of the Offer Shares regarding the legality of an investment in the Offer Shares by such offeree or purchaser under the laws applicable to such offeree or purchaser. Each investor should consult with his or her own advisors as to the legal, tax, business, financial and related aspects of a purchase of the Offer Shares. </w:t>
      </w:r>
    </w:p>
    <w:p w14:paraId="433EDAF9" w14:textId="77777777" w:rsidR="00F76607" w:rsidRDefault="001863F0">
      <w:pPr>
        <w:pStyle w:val="NormalWeb"/>
        <w:spacing w:before="240" w:beforeAutospacing="0" w:after="0" w:afterAutospacing="0"/>
        <w:ind w:firstLine="857"/>
      </w:pPr>
      <w:r>
        <w:rPr>
          <w:sz w:val="18"/>
          <w:szCs w:val="18"/>
        </w:rPr>
        <w:t xml:space="preserve">No person has been authorized to give any information or to make any representation in connection with the Offering other than those contained in this Prospectus, and, if given or made, such information or representation must not be relied upon as having been authorized. Without prejudice to the Company’s obligation to publish supplements to the Prospectus when legally required (as described below), neither the delivery of this Prospectus nor any sale made at any time after the date hereof shall, under any circumstances, create any implication that there has been no change in the Company’s affairs since the date hereof or that the information set forth in this Prospectus is correct as of any time since its date. </w:t>
      </w:r>
    </w:p>
    <w:p w14:paraId="5D636848" w14:textId="77777777" w:rsidR="00F76607" w:rsidRDefault="001863F0">
      <w:pPr>
        <w:pStyle w:val="NormalWeb"/>
        <w:spacing w:before="240" w:beforeAutospacing="0" w:after="0" w:afterAutospacing="0"/>
        <w:ind w:firstLine="857"/>
      </w:pPr>
      <w:r>
        <w:rPr>
          <w:sz w:val="18"/>
          <w:szCs w:val="18"/>
        </w:rPr>
        <w:t xml:space="preserve">The Underwriters are acting exclusively for the Selling Shareholders and no one else in connection with the Offering. They will not regard any other person (whether or not a recipient of this document) as their respective clients in relation to the Offering and will not be responsible to anyone other than the Selling Shareholders for providing the protections afforded to their respective clients nor for giving advice in relation to the Offering or any transaction or arrangement referred to herein. </w:t>
      </w:r>
    </w:p>
    <w:p w14:paraId="49A48C97" w14:textId="77777777" w:rsidR="00F76607" w:rsidRDefault="001863F0">
      <w:pPr>
        <w:pStyle w:val="NormalWeb"/>
        <w:spacing w:before="240" w:beforeAutospacing="0" w:after="0" w:afterAutospacing="0"/>
        <w:ind w:firstLine="857"/>
      </w:pPr>
      <w:r>
        <w:rPr>
          <w:sz w:val="18"/>
          <w:szCs w:val="18"/>
        </w:rPr>
        <w:t xml:space="preserve">The distribution of this Prospectus and the Offering may, in certain jurisdictions, be restricted by law, and this Prospectus may not be used for the purpose of, or in connection with, any offer or solicitation by anyone in any jurisdiction in which such offer or solicitation is not authorized or to any person to whom it is unlawful to make such offer or solicitation. This Prospectus does not constitute an offer to sell, or an invitation of an offer to purchase, any Offer Shares in any jurisdiction in which such offer or invitation would be unlawful. The Company, the Selling Shareholders and the Underwriters require persons into whose possession this Prospectus comes to inform themselves of and observe all such restrictions. Any failure to comply with these restrictions may constitute a violation of the securities laws of any such jurisdiction. None of the Company, the Selling Shareholders or the Underwriters accepts any legal responsibility for any violation by any person, whether or not a prospective purchaser of Shares, of any such restrictions. The Company, the Selling Shareholders and the Underwriters reserve the right in their own absolute discretion to reject any offer to purchase Shares that the Company, the Selling Shareholders, the Underwriters or their respective agents believe may give rise to a breach or violation of any laws, rules or regulations. </w:t>
      </w:r>
    </w:p>
    <w:p w14:paraId="48B24F0D" w14:textId="77777777" w:rsidR="00F76607" w:rsidRDefault="001863F0">
      <w:pPr>
        <w:pStyle w:val="NormalWeb"/>
        <w:keepNext/>
        <w:spacing w:before="240" w:beforeAutospacing="0" w:after="0" w:afterAutospacing="0"/>
        <w:jc w:val="center"/>
      </w:pPr>
      <w:r>
        <w:rPr>
          <w:b/>
          <w:bCs/>
          <w:sz w:val="18"/>
          <w:szCs w:val="18"/>
        </w:rPr>
        <w:t xml:space="preserve">NOTICE TO PROSPECTIVE INVESTORS IN THE UNITED STATES </w:t>
      </w:r>
    </w:p>
    <w:p w14:paraId="7B8F8986" w14:textId="77777777" w:rsidR="00F76607" w:rsidRDefault="001863F0">
      <w:pPr>
        <w:pStyle w:val="NormalWeb"/>
        <w:spacing w:before="240" w:beforeAutospacing="0" w:after="0" w:afterAutospacing="0"/>
        <w:ind w:firstLine="857"/>
      </w:pPr>
      <w:r>
        <w:rPr>
          <w:sz w:val="18"/>
          <w:szCs w:val="18"/>
        </w:rPr>
        <w:t>The Offer Shares have not been and will not be registered under the U.S. Securities Act and are being offered and sold: (</w:t>
      </w:r>
      <w:proofErr w:type="spellStart"/>
      <w:r>
        <w:rPr>
          <w:sz w:val="18"/>
          <w:szCs w:val="18"/>
        </w:rPr>
        <w:t>i</w:t>
      </w:r>
      <w:proofErr w:type="spellEnd"/>
      <w:r>
        <w:rPr>
          <w:sz w:val="18"/>
          <w:szCs w:val="18"/>
        </w:rPr>
        <w:t>) in the United States only to persons who are reasonably believed to be QIBs in reliance on Rule 144A or pursuant to another exemption from or transaction not subject to the registration requirements under the U.S. Securities Act; and (ii) outside the United States in compliance with Regulation S. Prospective investors are hereby notified that sellers of the Offer Shares may be relying on the exemption from the registration requirements of Section 5 of the U.S. Securities Act provided by Rule 144A. For certain restrictions on the transfer of the Offer Shares, see “</w:t>
      </w:r>
      <w:r>
        <w:rPr>
          <w:i/>
          <w:iCs/>
          <w:sz w:val="18"/>
          <w:szCs w:val="18"/>
        </w:rPr>
        <w:t>Transfer Restrictions</w:t>
      </w:r>
      <w:r>
        <w:rPr>
          <w:sz w:val="18"/>
          <w:szCs w:val="18"/>
        </w:rPr>
        <w:t xml:space="preserve">.” </w:t>
      </w:r>
    </w:p>
    <w:p w14:paraId="4C9BD7C9" w14:textId="77777777" w:rsidR="00F76607" w:rsidRDefault="001863F0">
      <w:pPr>
        <w:pStyle w:val="NormalWeb"/>
        <w:spacing w:before="240" w:beforeAutospacing="0" w:after="0" w:afterAutospacing="0"/>
        <w:ind w:firstLine="857"/>
      </w:pPr>
      <w:r>
        <w:rPr>
          <w:sz w:val="18"/>
          <w:szCs w:val="18"/>
        </w:rPr>
        <w:t xml:space="preserve">The Offer Shares have not been recommended by any U.S. federal or state securities commission or regulatory authority. Furthermore, the foregoing authorities have not confirmed the accuracy or determined the adequacy of this Prospectus. Any representation to the contrary is a criminal offense in the United States. </w:t>
      </w:r>
    </w:p>
    <w:p w14:paraId="11B20879" w14:textId="77777777" w:rsidR="00F76607" w:rsidRDefault="001863F0">
      <w:pPr>
        <w:pStyle w:val="NormalWeb"/>
        <w:spacing w:before="240" w:beforeAutospacing="0" w:after="0" w:afterAutospacing="0"/>
        <w:ind w:firstLine="857"/>
      </w:pPr>
      <w:r>
        <w:rPr>
          <w:sz w:val="18"/>
          <w:szCs w:val="18"/>
        </w:rPr>
        <w:t xml:space="preserve">In the United States, this Prospectus is being furnished on a confidential basis solely for the purpose of enabling a prospective investor to consider purchasing the particular securities described herein. The information contained in this Prospectus has been provided by the Company and other sources identified herein. Distribution of this Prospectus to any person other than the offeree specified by the Underwriters or their representatives, and those persons, if any, retained to advise such offeree with respect thereto, is unauthorized, and any disclosure of its contents, without the Company’s prior written consent, is prohibited. Any reproduction or distribution of this Prospectus in the United States, in whole or in part, and any disclosure of its contents to any other person is prohibited. This Prospectus is personal to each offeree and does not constitute an offer to any other person or to the public generally to subscribe for, or otherwise acquire, the Offer Shares. </w:t>
      </w:r>
    </w:p>
    <w:p w14:paraId="75FBC440" w14:textId="77777777" w:rsidR="00F76607" w:rsidRDefault="001863F0">
      <w:pPr>
        <w:pStyle w:val="NormalWeb"/>
        <w:keepNext/>
        <w:spacing w:before="240" w:beforeAutospacing="0" w:after="0" w:afterAutospacing="0"/>
        <w:jc w:val="center"/>
      </w:pPr>
      <w:r>
        <w:rPr>
          <w:b/>
          <w:bCs/>
          <w:sz w:val="18"/>
          <w:szCs w:val="18"/>
        </w:rPr>
        <w:t xml:space="preserve">NOTICE TO INVESTORS IN THE EUROPEAN ECONOMIC AREA </w:t>
      </w:r>
    </w:p>
    <w:p w14:paraId="56A4B13A" w14:textId="77777777" w:rsidR="00F76607" w:rsidRDefault="001863F0">
      <w:pPr>
        <w:pStyle w:val="NormalWeb"/>
        <w:spacing w:before="240" w:beforeAutospacing="0" w:after="0" w:afterAutospacing="0"/>
        <w:ind w:firstLine="857"/>
      </w:pPr>
      <w:r>
        <w:rPr>
          <w:sz w:val="18"/>
          <w:szCs w:val="18"/>
        </w:rPr>
        <w:t>An offer to the public of any Offer Shares may not be made in any Member State of the European Economic Area (“EEA”) other than an offer to the public in Belgium unless the Prospectus has been (</w:t>
      </w:r>
      <w:proofErr w:type="spellStart"/>
      <w:r>
        <w:rPr>
          <w:sz w:val="18"/>
          <w:szCs w:val="18"/>
        </w:rPr>
        <w:t>i</w:t>
      </w:r>
      <w:proofErr w:type="spellEnd"/>
      <w:r>
        <w:rPr>
          <w:sz w:val="18"/>
          <w:szCs w:val="18"/>
        </w:rPr>
        <w:t xml:space="preserve">) approved by the competent authority in such Member State or </w:t>
      </w:r>
      <w:proofErr w:type="spellStart"/>
      <w:r>
        <w:rPr>
          <w:sz w:val="18"/>
          <w:szCs w:val="18"/>
        </w:rPr>
        <w:t>passported</w:t>
      </w:r>
      <w:proofErr w:type="spellEnd"/>
      <w:r>
        <w:rPr>
          <w:sz w:val="18"/>
          <w:szCs w:val="18"/>
        </w:rPr>
        <w:t xml:space="preserve"> and (ii) published in accordance with the Prospectus Directive as implemented in such Member State. This Prospectus has been prepared on the basis that all offers of Offer Shares, other than the offers contemplated in Belgium, will be made pursuant to an exemption under the Prospectus Directive, as implemented in Member States of the EEA, from the requirement to produce a prospectus for offers of Offer Shares. Accordingly, any person making or intending to make any offer within the EEA of Offer Shares which are the subject of the placement contemplated in this Prospectus should only do so in circumstances in which no obligation arises for the Company, the Selling Shareholders or the Joint Global Coordinators to produce a prospectus for such offer. Neither the Company, the Selling Shareholders nor the Joint Global Coordinators have authorized, nor do the Company, the Selling Shareholders or the Joint Global Coordinators authorize, the making of any offer of Offer Shares through any financial intermediary, </w:t>
      </w:r>
      <w:r>
        <w:rPr>
          <w:sz w:val="18"/>
          <w:szCs w:val="18"/>
        </w:rPr>
        <w:lastRenderedPageBreak/>
        <w:t xml:space="preserve">other than offers made by the Joint Global Coordinators which constitute the final placement of Offer Shares contemplated in this Prospectus. </w:t>
      </w:r>
    </w:p>
    <w:p w14:paraId="072FE028" w14:textId="77777777" w:rsidR="00F76607" w:rsidRDefault="001863F0">
      <w:pPr>
        <w:pStyle w:val="NormalWeb"/>
        <w:keepNext/>
        <w:spacing w:before="240" w:beforeAutospacing="0" w:after="0" w:afterAutospacing="0"/>
        <w:ind w:firstLine="857"/>
      </w:pPr>
      <w:r>
        <w:rPr>
          <w:sz w:val="18"/>
          <w:szCs w:val="18"/>
        </w:rPr>
        <w:t xml:space="preserve">The Offer Shares have not been, and will not be, offered to the public in any Member State of the EEA, except for Belgium (a “Relevant Member State”). Notwithstanding the foregoing, an offering of the Offer Shares may be made in a Relevant Member State: </w:t>
      </w:r>
    </w:p>
    <w:p w14:paraId="52B70917" w14:textId="77777777" w:rsidR="00F76607" w:rsidRDefault="001863F0">
      <w:pPr>
        <w:pStyle w:val="VulcanIIbullet"/>
      </w:pPr>
      <w:r>
        <w:t xml:space="preserve">to any legal entity that is a qualified investor as defined in the Prospectus Directive; </w:t>
      </w:r>
    </w:p>
    <w:p w14:paraId="52E497CA" w14:textId="77777777" w:rsidR="00F76607" w:rsidRDefault="001863F0">
      <w:pPr>
        <w:pStyle w:val="VulcanIIbullet"/>
      </w:pPr>
      <w:r>
        <w:t xml:space="preserve">to fewer than 150 natural or legal persons (other than qualified investors as defined in the Prospectus Directive) subject to obtaining the prior consent of the Joint Global Coordinators for any such offer; or </w:t>
      </w:r>
    </w:p>
    <w:p w14:paraId="269FF175" w14:textId="77777777" w:rsidR="00F76607" w:rsidRDefault="001863F0">
      <w:pPr>
        <w:pStyle w:val="VulcanIIbullet"/>
      </w:pPr>
      <w:r>
        <w:t xml:space="preserve">in any other circumstances falling within Article 3(2) of the Prospectus Directive, if applicable. </w:t>
      </w:r>
    </w:p>
    <w:p w14:paraId="60FEDD82" w14:textId="77777777" w:rsidR="00F76607" w:rsidRDefault="001863F0">
      <w:pPr>
        <w:pStyle w:val="NormalWeb"/>
        <w:spacing w:before="240" w:beforeAutospacing="0" w:after="0" w:afterAutospacing="0"/>
        <w:ind w:left="924"/>
      </w:pPr>
      <w:r>
        <w:rPr>
          <w:sz w:val="18"/>
          <w:szCs w:val="18"/>
        </w:rPr>
        <w:t xml:space="preserve">provided that no such offer of Offer Shares shall result in a requirement for the publication by the Company, the Selling Shareholders or the Joint Global Coordinators of a prospectus pursuant to Article 3 of the Prospectus Directive. </w:t>
      </w:r>
    </w:p>
    <w:p w14:paraId="2C84B36C" w14:textId="77777777" w:rsidR="00F76607" w:rsidRDefault="001863F0">
      <w:pPr>
        <w:pStyle w:val="NormalWeb"/>
        <w:spacing w:before="240" w:beforeAutospacing="0" w:after="0" w:afterAutospacing="0"/>
        <w:ind w:firstLine="857"/>
      </w:pPr>
      <w:r>
        <w:rPr>
          <w:sz w:val="18"/>
          <w:szCs w:val="18"/>
        </w:rPr>
        <w:t xml:space="preserve">For the purposes of this provision, the expression “offer to the public” in relation to any Offer Shares in any Relevant Member State means the communication in any form and by any means of sufficient information on the terms of the Offering and the Offer Shares so as to enable an investor to decide to purchase Offer Shares, as that definition may be varied in that Relevant Member State by any measure implementing the Prospectus Directive in that Relevant Member State, the expression “Prospectus Directive” means Directive 2003/71/EC (and amendments thereto, including the Directive 2010/73/EU), and includes any relevant implementing measure in the Relevant Member State. </w:t>
      </w:r>
    </w:p>
    <w:p w14:paraId="79E3FEFD" w14:textId="77777777" w:rsidR="00F76607" w:rsidRDefault="001863F0">
      <w:pPr>
        <w:pStyle w:val="NormalWeb"/>
        <w:keepNext/>
        <w:spacing w:before="240" w:beforeAutospacing="0" w:after="0" w:afterAutospacing="0"/>
        <w:jc w:val="center"/>
      </w:pPr>
      <w:r>
        <w:rPr>
          <w:b/>
          <w:bCs/>
          <w:sz w:val="18"/>
          <w:szCs w:val="18"/>
        </w:rPr>
        <w:t xml:space="preserve">NOTICE TO INVESTORS IN THE UNITED KINGDOM </w:t>
      </w:r>
    </w:p>
    <w:p w14:paraId="3ABA1810" w14:textId="77777777" w:rsidR="00F76607" w:rsidRDefault="001863F0">
      <w:pPr>
        <w:pStyle w:val="NormalWeb"/>
        <w:spacing w:before="240" w:beforeAutospacing="0" w:after="0" w:afterAutospacing="0"/>
        <w:ind w:firstLine="857"/>
      </w:pPr>
      <w:r>
        <w:rPr>
          <w:sz w:val="18"/>
          <w:szCs w:val="18"/>
        </w:rPr>
        <w:t xml:space="preserve">Offers of the Offer Shares pursuant to the Offering are only being made to persons in the United Kingdom who are “qualified investors” or otherwise in circumstances which do not require publication by the Company of a prospectus pursuant to section 85(1) of the U.K. Financial Services and Markets Act 2000, as amended. </w:t>
      </w:r>
    </w:p>
    <w:p w14:paraId="1039E3E0" w14:textId="77777777" w:rsidR="00F76607" w:rsidRDefault="001863F0">
      <w:pPr>
        <w:pStyle w:val="NormalWeb"/>
        <w:spacing w:before="240" w:beforeAutospacing="0" w:after="0" w:afterAutospacing="0"/>
        <w:ind w:firstLine="857"/>
      </w:pPr>
      <w:r>
        <w:rPr>
          <w:sz w:val="18"/>
          <w:szCs w:val="18"/>
        </w:rPr>
        <w:t>Any investment or investment activity to which the Prospectus relates is available only to, and will be engaged in only with, persons who (</w:t>
      </w:r>
      <w:proofErr w:type="spellStart"/>
      <w:r>
        <w:rPr>
          <w:sz w:val="18"/>
          <w:szCs w:val="18"/>
        </w:rPr>
        <w:t>i</w:t>
      </w:r>
      <w:proofErr w:type="spellEnd"/>
      <w:r>
        <w:rPr>
          <w:sz w:val="18"/>
          <w:szCs w:val="18"/>
        </w:rPr>
        <w:t xml:space="preserve">) are investment professionals falling within Article 19(5) or (ii) fall within Article 49(2)(a) to (d) (“high net worth companies, unincorporated associations, etc.”) of the U.K. Financial Services and Markets Act 2000 (Financial Promotion) Order 2005 or other persons to whom such investment or investment activity may lawfully be made available (together, “relevant persons”). Persons who are not relevant persons should not take any action on the basis of the Prospectus and should not act or rely on it. </w:t>
      </w:r>
    </w:p>
    <w:p w14:paraId="17E7B57C" w14:textId="77777777" w:rsidR="00F76607" w:rsidRDefault="001863F0">
      <w:pPr>
        <w:pStyle w:val="NormalWeb"/>
        <w:spacing w:before="240" w:beforeAutospacing="0" w:after="0" w:afterAutospacing="0"/>
        <w:rPr>
          <w:sz w:val="2"/>
          <w:szCs w:val="2"/>
        </w:rPr>
      </w:pPr>
      <w:r>
        <w:rPr>
          <w:sz w:val="2"/>
          <w:szCs w:val="2"/>
        </w:rPr>
        <w:t> </w:t>
      </w:r>
    </w:p>
    <w:p w14:paraId="2F2A16DC" w14:textId="77777777" w:rsidR="00F76607" w:rsidRDefault="001863F0">
      <w:pPr>
        <w:pStyle w:val="VulcanIISectionTitle"/>
      </w:pPr>
      <w:bookmarkStart w:id="29" w:name="_Toc493194606"/>
      <w:r>
        <w:lastRenderedPageBreak/>
        <w:t>Presentation of Financial and Other Information</w:t>
      </w:r>
      <w:bookmarkEnd w:id="29"/>
      <w:r>
        <w:t xml:space="preserve"> </w:t>
      </w:r>
    </w:p>
    <w:p w14:paraId="7CBBD454" w14:textId="77777777" w:rsidR="00F76607" w:rsidRDefault="00F76607">
      <w:pPr>
        <w:pStyle w:val="NormalWeb"/>
        <w:keepNext/>
        <w:spacing w:before="0" w:beforeAutospacing="0" w:after="0" w:afterAutospacing="0"/>
        <w:rPr>
          <w:b/>
          <w:bCs/>
          <w:caps/>
          <w:sz w:val="18"/>
          <w:szCs w:val="18"/>
        </w:rPr>
      </w:pPr>
    </w:p>
    <w:p w14:paraId="4CCD959F" w14:textId="77777777" w:rsidR="00F76607" w:rsidRDefault="001863F0">
      <w:pPr>
        <w:pStyle w:val="NormalWeb"/>
        <w:spacing w:before="240" w:after="0"/>
        <w:ind w:firstLine="857"/>
        <w:rPr>
          <w:sz w:val="18"/>
          <w:szCs w:val="18"/>
        </w:rPr>
      </w:pPr>
      <w:r>
        <w:rPr>
          <w:sz w:val="18"/>
          <w:szCs w:val="18"/>
        </w:rPr>
        <w:t xml:space="preserve">The audited consolidated financial statements of VGP NV as of and for the years ended 31 December 2016, 2015 and 2014 (together, the "Annual Financial Statements") have been prepared in accordance with International Financial Reporting Standards as adopted by the European Union ("IFRS"), as well as in accordance with legal and regulatory requirements applicable in Belgium, and were audited by DELOITTE </w:t>
      </w:r>
      <w:proofErr w:type="spellStart"/>
      <w:r>
        <w:rPr>
          <w:sz w:val="18"/>
          <w:szCs w:val="18"/>
        </w:rPr>
        <w:t>Bedrijfsrevisoren</w:t>
      </w:r>
      <w:proofErr w:type="spellEnd"/>
      <w:r>
        <w:rPr>
          <w:sz w:val="18"/>
          <w:szCs w:val="18"/>
        </w:rPr>
        <w:t>/</w:t>
      </w:r>
      <w:proofErr w:type="spellStart"/>
      <w:r>
        <w:rPr>
          <w:sz w:val="18"/>
          <w:szCs w:val="18"/>
        </w:rPr>
        <w:t>Reviseurs</w:t>
      </w:r>
      <w:proofErr w:type="spellEnd"/>
      <w:r>
        <w:rPr>
          <w:sz w:val="18"/>
          <w:szCs w:val="18"/>
        </w:rPr>
        <w:t xml:space="preserve"> </w:t>
      </w:r>
      <w:proofErr w:type="spellStart"/>
      <w:r>
        <w:rPr>
          <w:sz w:val="18"/>
          <w:szCs w:val="18"/>
        </w:rPr>
        <w:t>d’Entreprises</w:t>
      </w:r>
      <w:proofErr w:type="spellEnd"/>
      <w:r>
        <w:rPr>
          <w:sz w:val="18"/>
          <w:szCs w:val="18"/>
        </w:rPr>
        <w:t xml:space="preserve"> BV </w:t>
      </w:r>
      <w:proofErr w:type="spellStart"/>
      <w:r>
        <w:rPr>
          <w:sz w:val="18"/>
          <w:szCs w:val="18"/>
        </w:rPr>
        <w:t>o.v.v.e</w:t>
      </w:r>
      <w:proofErr w:type="spellEnd"/>
      <w:r>
        <w:rPr>
          <w:sz w:val="18"/>
          <w:szCs w:val="18"/>
        </w:rPr>
        <w:t xml:space="preserve">. CVBA. The unaudited consolidated financial statements of VGP NV and its subsidiaries as of and for the six months ended 30 June 2017 and 30 June 2016 (together the “Interim Financial Statements”) have been prepared in accordance with IAS 34 “Interim Financial Reporting” as adopted by the European Union and has been reviewed by DELOITTE </w:t>
      </w:r>
      <w:proofErr w:type="spellStart"/>
      <w:r>
        <w:rPr>
          <w:sz w:val="18"/>
          <w:szCs w:val="18"/>
        </w:rPr>
        <w:t>Bedrijfsrevisoren</w:t>
      </w:r>
      <w:proofErr w:type="spellEnd"/>
      <w:r>
        <w:rPr>
          <w:sz w:val="18"/>
          <w:szCs w:val="18"/>
        </w:rPr>
        <w:t>/</w:t>
      </w:r>
      <w:proofErr w:type="spellStart"/>
      <w:r>
        <w:rPr>
          <w:sz w:val="18"/>
          <w:szCs w:val="18"/>
        </w:rPr>
        <w:t>Reviseurs</w:t>
      </w:r>
      <w:proofErr w:type="spellEnd"/>
      <w:r>
        <w:rPr>
          <w:sz w:val="18"/>
          <w:szCs w:val="18"/>
        </w:rPr>
        <w:t xml:space="preserve"> </w:t>
      </w:r>
      <w:proofErr w:type="spellStart"/>
      <w:r>
        <w:rPr>
          <w:sz w:val="18"/>
          <w:szCs w:val="18"/>
        </w:rPr>
        <w:t>d’Entreprises</w:t>
      </w:r>
      <w:proofErr w:type="spellEnd"/>
      <w:r>
        <w:rPr>
          <w:sz w:val="18"/>
          <w:szCs w:val="18"/>
        </w:rPr>
        <w:t xml:space="preserve"> BV </w:t>
      </w:r>
      <w:proofErr w:type="spellStart"/>
      <w:r>
        <w:rPr>
          <w:sz w:val="18"/>
          <w:szCs w:val="18"/>
        </w:rPr>
        <w:t>o.v.v.e</w:t>
      </w:r>
      <w:proofErr w:type="spellEnd"/>
      <w:r>
        <w:rPr>
          <w:sz w:val="18"/>
          <w:szCs w:val="18"/>
        </w:rPr>
        <w:t xml:space="preserve">. CVBA </w:t>
      </w:r>
      <w:r>
        <w:rPr>
          <w:sz w:val="18"/>
          <w:szCs w:val="18"/>
          <w:lang w:val="en-GB"/>
        </w:rPr>
        <w:t>in accordance with International Standard on Review Engagements (ISRE) 2410, "Review of interim financial information performed by the independent auditor of the entity".</w:t>
      </w:r>
      <w:r>
        <w:rPr>
          <w:sz w:val="18"/>
          <w:szCs w:val="18"/>
        </w:rPr>
        <w:t xml:space="preserve"> </w:t>
      </w:r>
    </w:p>
    <w:p w14:paraId="05F1DF63" w14:textId="77777777" w:rsidR="00F76607" w:rsidRDefault="001863F0">
      <w:pPr>
        <w:pStyle w:val="NormalWeb"/>
        <w:spacing w:before="240" w:beforeAutospacing="0" w:after="0" w:afterAutospacing="0"/>
        <w:ind w:firstLine="857"/>
        <w:rPr>
          <w:sz w:val="18"/>
          <w:szCs w:val="18"/>
        </w:rPr>
      </w:pPr>
      <w:r>
        <w:rPr>
          <w:sz w:val="18"/>
          <w:szCs w:val="18"/>
        </w:rPr>
        <w:t xml:space="preserve">Rounding adjustments have been made in calculating some of the financial information included in this Prospectus. As a result, figures shown as totals in some tables may not be exact arithmetic aggregations of the figures that precede them. No facts have been omitted from the aforementioned information which would render the reproduced information inaccurate or misleading. </w:t>
      </w:r>
    </w:p>
    <w:p w14:paraId="2B139EA6" w14:textId="77777777" w:rsidR="00F76607" w:rsidRDefault="001863F0">
      <w:pPr>
        <w:pStyle w:val="NormalWeb"/>
        <w:spacing w:before="240" w:beforeAutospacing="0" w:after="0" w:afterAutospacing="0"/>
        <w:ind w:firstLine="857"/>
        <w:rPr>
          <w:sz w:val="18"/>
          <w:szCs w:val="18"/>
        </w:rPr>
      </w:pPr>
      <w:r>
        <w:rPr>
          <w:sz w:val="18"/>
          <w:szCs w:val="18"/>
        </w:rPr>
        <w:t>Unless otherwise indicated in this Prospectus, financial information included herein has not been audited by the Company’s auditor or any third party.</w:t>
      </w:r>
    </w:p>
    <w:p w14:paraId="2ABA1D4C" w14:textId="77777777" w:rsidR="00F76607" w:rsidRDefault="001863F0">
      <w:pPr>
        <w:pStyle w:val="NormalWeb"/>
        <w:keepNext/>
        <w:spacing w:before="240" w:beforeAutospacing="0" w:after="0" w:afterAutospacing="0"/>
        <w:rPr>
          <w:sz w:val="18"/>
          <w:szCs w:val="18"/>
        </w:rPr>
      </w:pPr>
      <w:r>
        <w:rPr>
          <w:b/>
          <w:bCs/>
          <w:sz w:val="18"/>
          <w:szCs w:val="18"/>
        </w:rPr>
        <w:t xml:space="preserve">Non-IFRS Financial Measures </w:t>
      </w:r>
    </w:p>
    <w:p w14:paraId="4102C207" w14:textId="77777777" w:rsidR="00F76607" w:rsidRDefault="001863F0">
      <w:pPr>
        <w:pStyle w:val="NormalWeb"/>
        <w:keepNext/>
        <w:spacing w:before="240" w:beforeAutospacing="0" w:after="0" w:afterAutospacing="0"/>
        <w:ind w:firstLine="857"/>
        <w:rPr>
          <w:sz w:val="18"/>
          <w:szCs w:val="18"/>
        </w:rPr>
      </w:pPr>
      <w:r>
        <w:rPr>
          <w:sz w:val="18"/>
          <w:szCs w:val="18"/>
        </w:rPr>
        <w:t xml:space="preserve">This Prospectus contains non-IFRS measures and ratios, including: </w:t>
      </w:r>
    </w:p>
    <w:p w14:paraId="21DA6315" w14:textId="52BBA4DE" w:rsidR="00F76607" w:rsidRDefault="00821518">
      <w:pPr>
        <w:pStyle w:val="VulcanIIbullet"/>
      </w:pPr>
      <w:r w:rsidRPr="00417682">
        <w:t>“Total Net Debt</w:t>
      </w:r>
      <w:r w:rsidR="00C57545">
        <w:t xml:space="preserve">” is </w:t>
      </w:r>
      <w:r>
        <w:t>calculated as t</w:t>
      </w:r>
      <w:proofErr w:type="spellStart"/>
      <w:r w:rsidR="00417682" w:rsidRPr="00E3089A">
        <w:rPr>
          <w:lang w:val="en-GB"/>
        </w:rPr>
        <w:t>otal</w:t>
      </w:r>
      <w:proofErr w:type="spellEnd"/>
      <w:r w:rsidR="00417682" w:rsidRPr="00E3089A">
        <w:rPr>
          <w:lang w:val="en-GB"/>
        </w:rPr>
        <w:t xml:space="preserve"> gross financial debt less capitalised finance costs, cash and cash equivalents</w:t>
      </w:r>
      <w:r w:rsidR="001863F0">
        <w:t xml:space="preserve">; </w:t>
      </w:r>
    </w:p>
    <w:p w14:paraId="5217DC9E" w14:textId="7119758C" w:rsidR="00F76607" w:rsidRDefault="006967D0" w:rsidP="00A01869">
      <w:pPr>
        <w:pStyle w:val="VulcanIIbullet"/>
      </w:pPr>
      <w:bookmarkStart w:id="30" w:name="_Hlk493059673"/>
      <w:r>
        <w:t>“G</w:t>
      </w:r>
      <w:r w:rsidR="001863F0">
        <w:t xml:space="preserve">ross </w:t>
      </w:r>
      <w:r>
        <w:t>Re</w:t>
      </w:r>
      <w:r w:rsidR="001863F0">
        <w:t xml:space="preserve">ntal </w:t>
      </w:r>
      <w:r>
        <w:t>I</w:t>
      </w:r>
      <w:r w:rsidR="001863F0">
        <w:t>ncome”</w:t>
      </w:r>
      <w:r w:rsidR="00756572">
        <w:t xml:space="preserve"> </w:t>
      </w:r>
      <w:r w:rsidR="00A01869" w:rsidRPr="00A01869">
        <w:t>means cash rental income for a period including the respective accrued rent free periods for that period</w:t>
      </w:r>
      <w:r w:rsidR="001863F0">
        <w:t>;</w:t>
      </w:r>
    </w:p>
    <w:p w14:paraId="7E2AFD7E" w14:textId="5F257B80" w:rsidR="007D27AA" w:rsidRPr="007D27AA" w:rsidRDefault="006967D0" w:rsidP="007D27AA">
      <w:pPr>
        <w:pStyle w:val="VulcanIIbullet"/>
      </w:pPr>
      <w:r>
        <w:t>“N</w:t>
      </w:r>
      <w:r w:rsidR="001863F0">
        <w:t xml:space="preserve">et </w:t>
      </w:r>
      <w:r>
        <w:t>R</w:t>
      </w:r>
      <w:r w:rsidR="001863F0">
        <w:t xml:space="preserve">ental </w:t>
      </w:r>
      <w:r>
        <w:t>I</w:t>
      </w:r>
      <w:r w:rsidR="001863F0">
        <w:t xml:space="preserve">ncome” </w:t>
      </w:r>
      <w:r w:rsidR="00C57545">
        <w:t xml:space="preserve">is </w:t>
      </w:r>
      <w:r>
        <w:t xml:space="preserve">calculated as </w:t>
      </w:r>
      <w:r w:rsidR="00477774">
        <w:t xml:space="preserve">the gross </w:t>
      </w:r>
      <w:r w:rsidR="00477774" w:rsidRPr="000E02CE">
        <w:rPr>
          <w:lang w:val="en-GB"/>
        </w:rPr>
        <w:t>rental income, including service charges, less direct</w:t>
      </w:r>
      <w:r w:rsidR="00477774">
        <w:rPr>
          <w:lang w:val="en-GB"/>
        </w:rPr>
        <w:t xml:space="preserve"> </w:t>
      </w:r>
      <w:r w:rsidR="00477774" w:rsidRPr="000E02CE">
        <w:rPr>
          <w:lang w:val="en-GB"/>
        </w:rPr>
        <w:t>property expenses for maintaining and owning the property</w:t>
      </w:r>
      <w:r w:rsidR="001863F0">
        <w:t>;</w:t>
      </w:r>
      <w:bookmarkEnd w:id="30"/>
    </w:p>
    <w:p w14:paraId="7C42B5FC" w14:textId="7CA6AD36" w:rsidR="00F76607" w:rsidRDefault="00C57545">
      <w:pPr>
        <w:pStyle w:val="VulcanIIbullet"/>
      </w:pPr>
      <w:r>
        <w:t>“Gearing Ratio” is</w:t>
      </w:r>
      <w:r w:rsidR="006967D0">
        <w:t xml:space="preserve"> calculated as </w:t>
      </w:r>
      <w:r w:rsidR="001863F0">
        <w:t>net financial debt divided by total equity and liabilities</w:t>
      </w:r>
      <w:r w:rsidR="006967D0">
        <w:t>, expressed as a percentage</w:t>
      </w:r>
      <w:r w:rsidR="007D27AA">
        <w:t>;</w:t>
      </w:r>
    </w:p>
    <w:p w14:paraId="054DB044" w14:textId="2C9869CA" w:rsidR="007D27AA" w:rsidRDefault="00C57545" w:rsidP="007D27AA">
      <w:pPr>
        <w:pStyle w:val="VulcanIIbullet"/>
      </w:pPr>
      <w:r>
        <w:t xml:space="preserve">“EBITDA” is </w:t>
      </w:r>
      <w:r w:rsidR="00D11DE1" w:rsidRPr="00D11DE1">
        <w:t xml:space="preserve">calculated as revenue plus net financial result, less taxes, depreciation and </w:t>
      </w:r>
      <w:proofErr w:type="spellStart"/>
      <w:r w:rsidR="00D11DE1" w:rsidRPr="00D11DE1">
        <w:t>amortisation</w:t>
      </w:r>
      <w:proofErr w:type="spellEnd"/>
      <w:r w:rsidR="00D11DE1" w:rsidRPr="00D11DE1">
        <w:t>;</w:t>
      </w:r>
    </w:p>
    <w:p w14:paraId="106FDAC7" w14:textId="1843BC74" w:rsidR="007D27AA" w:rsidRDefault="00C57545" w:rsidP="007D27AA">
      <w:pPr>
        <w:pStyle w:val="VulcanIIbullet"/>
      </w:pPr>
      <w:r>
        <w:t xml:space="preserve">“EBIT” is </w:t>
      </w:r>
      <w:r w:rsidR="00D11DE1" w:rsidRPr="00D11DE1">
        <w:t>calculated as revenue plus n</w:t>
      </w:r>
      <w:r w:rsidR="00D11DE1">
        <w:t>et financial result, less taxes</w:t>
      </w:r>
      <w:r w:rsidR="007D27AA">
        <w:t>; and</w:t>
      </w:r>
    </w:p>
    <w:p w14:paraId="345189DE" w14:textId="707F6336" w:rsidR="007D27AA" w:rsidRDefault="00624F6B" w:rsidP="007D27AA">
      <w:pPr>
        <w:pStyle w:val="VulcanIIbullet"/>
      </w:pPr>
      <w:r>
        <w:t>“Recurrent Net I</w:t>
      </w:r>
      <w:r w:rsidR="00C57545">
        <w:t xml:space="preserve">ncome” is </w:t>
      </w:r>
      <w:r w:rsidR="00D11DE1" w:rsidRPr="00D11DE1">
        <w:t>calculated as reported profit for the period plus deferred taxes, other non-current financial income and expenses and net valuation gains (losses) for the Group's assets in Romania, Estonia, Latvia and Spain</w:t>
      </w:r>
      <w:r w:rsidR="007D27AA">
        <w:t>,</w:t>
      </w:r>
    </w:p>
    <w:p w14:paraId="592D946D" w14:textId="50BF0808" w:rsidR="00624F6B" w:rsidRDefault="001863F0" w:rsidP="00624F6B">
      <w:pPr>
        <w:pStyle w:val="NormalWeb"/>
        <w:spacing w:before="240" w:beforeAutospacing="0" w:after="0" w:afterAutospacing="0"/>
        <w:ind w:left="1346" w:hanging="367"/>
        <w:rPr>
          <w:sz w:val="18"/>
          <w:szCs w:val="18"/>
        </w:rPr>
      </w:pPr>
      <w:r>
        <w:rPr>
          <w:sz w:val="18"/>
          <w:szCs w:val="18"/>
        </w:rPr>
        <w:t xml:space="preserve">which are not defined in and, thus, not calculated in accordance with, IFRS. </w:t>
      </w:r>
    </w:p>
    <w:p w14:paraId="624B1786" w14:textId="1E1F1C1D" w:rsidR="00F76607" w:rsidRDefault="00624F6B">
      <w:pPr>
        <w:pStyle w:val="NormalWeb"/>
        <w:spacing w:before="240" w:beforeAutospacing="0" w:after="0" w:afterAutospacing="0"/>
        <w:ind w:firstLine="857"/>
        <w:rPr>
          <w:sz w:val="18"/>
          <w:szCs w:val="18"/>
        </w:rPr>
      </w:pPr>
      <w:r>
        <w:rPr>
          <w:sz w:val="18"/>
          <w:szCs w:val="18"/>
        </w:rPr>
        <w:t>The Co</w:t>
      </w:r>
      <w:r w:rsidR="001863F0">
        <w:rPr>
          <w:sz w:val="18"/>
          <w:szCs w:val="18"/>
        </w:rPr>
        <w:t>mpany presents non-IFRS measures because it believes that they and similar measures are widely used by certain investors, securities analysts and other interested parties as supplemental measures of performance</w:t>
      </w:r>
      <w:r w:rsidR="00764BF5">
        <w:rPr>
          <w:sz w:val="18"/>
          <w:szCs w:val="18"/>
        </w:rPr>
        <w:t>, indebtedness</w:t>
      </w:r>
      <w:r w:rsidR="001863F0">
        <w:rPr>
          <w:sz w:val="18"/>
          <w:szCs w:val="18"/>
        </w:rPr>
        <w:t xml:space="preserve"> and liquidity. The non-IFRS measures may not be comparable to similarly titled measures of other companies and have limitations as analytical tools and should not be considered in isolation or as a substitute for analysis of the Company’s operating results as reported under IFRS. Non-IFRS measures such as </w:t>
      </w:r>
      <w:r w:rsidR="00764BF5">
        <w:rPr>
          <w:sz w:val="18"/>
          <w:szCs w:val="18"/>
        </w:rPr>
        <w:t>Gross Rental Income</w:t>
      </w:r>
      <w:r w:rsidR="003A4AD1">
        <w:rPr>
          <w:sz w:val="18"/>
          <w:szCs w:val="18"/>
        </w:rPr>
        <w:t xml:space="preserve"> (whether or not taking into account VGP’s share in the Joint Venture)</w:t>
      </w:r>
      <w:r w:rsidR="00F70450">
        <w:rPr>
          <w:sz w:val="18"/>
          <w:szCs w:val="18"/>
        </w:rPr>
        <w:t>, Recurrent Net Income, EBITDA, EBIT</w:t>
      </w:r>
      <w:r w:rsidR="001863F0">
        <w:rPr>
          <w:sz w:val="18"/>
          <w:szCs w:val="18"/>
        </w:rPr>
        <w:t xml:space="preserve"> and </w:t>
      </w:r>
      <w:r w:rsidR="00764BF5">
        <w:rPr>
          <w:sz w:val="18"/>
          <w:szCs w:val="18"/>
        </w:rPr>
        <w:t>Net Rental Income</w:t>
      </w:r>
      <w:r w:rsidR="001863F0">
        <w:rPr>
          <w:sz w:val="18"/>
          <w:szCs w:val="18"/>
        </w:rPr>
        <w:t xml:space="preserve"> </w:t>
      </w:r>
      <w:r w:rsidR="003A4AD1">
        <w:rPr>
          <w:sz w:val="18"/>
          <w:szCs w:val="18"/>
        </w:rPr>
        <w:t>(whether or not taking into account VGP’s sh</w:t>
      </w:r>
      <w:r w:rsidR="001863F0">
        <w:rPr>
          <w:sz w:val="18"/>
          <w:szCs w:val="18"/>
        </w:rPr>
        <w:t>are</w:t>
      </w:r>
      <w:r w:rsidR="003A4AD1">
        <w:rPr>
          <w:sz w:val="18"/>
          <w:szCs w:val="18"/>
        </w:rPr>
        <w:t xml:space="preserve"> in the Joint Venture) are</w:t>
      </w:r>
      <w:r w:rsidR="001863F0">
        <w:rPr>
          <w:sz w:val="18"/>
          <w:szCs w:val="18"/>
        </w:rPr>
        <w:t xml:space="preserve"> not measurements of performance or liquidity under IFRS or any other generally accepted accounting principles. In particular, you should not consider these non-IFRS measures as an alternative to: (</w:t>
      </w:r>
      <w:proofErr w:type="spellStart"/>
      <w:r w:rsidR="001863F0">
        <w:rPr>
          <w:sz w:val="18"/>
          <w:szCs w:val="18"/>
        </w:rPr>
        <w:t>i</w:t>
      </w:r>
      <w:proofErr w:type="spellEnd"/>
      <w:r w:rsidR="001863F0">
        <w:rPr>
          <w:sz w:val="18"/>
          <w:szCs w:val="18"/>
        </w:rPr>
        <w:t xml:space="preserve">) revenue, operating profit or profit for the period (as determined in accordance with IFRS) as a measure of the Company’s operating performance or (ii) any other measures of performance under generally accepted accounting principles. Some of the limitations of the non-IFRS measures are: </w:t>
      </w:r>
    </w:p>
    <w:p w14:paraId="75D2646A" w14:textId="77777777" w:rsidR="00F76607" w:rsidRDefault="001863F0">
      <w:pPr>
        <w:pStyle w:val="VulcanIIbullet"/>
      </w:pPr>
      <w:r>
        <w:t xml:space="preserve">they do not reflect the Company’s cash expenditures or future requirements for capital expenditure or contractual commitments; </w:t>
      </w:r>
    </w:p>
    <w:p w14:paraId="23633690" w14:textId="77777777" w:rsidR="00F76607" w:rsidRDefault="001863F0">
      <w:pPr>
        <w:pStyle w:val="VulcanIIbullet"/>
      </w:pPr>
      <w:r>
        <w:t xml:space="preserve">they do not reflect changes in, or cash requirements for, the Company’s working capital needs; and </w:t>
      </w:r>
    </w:p>
    <w:p w14:paraId="3030F620" w14:textId="0D5F310D" w:rsidR="00F76607" w:rsidRDefault="001863F0">
      <w:pPr>
        <w:pStyle w:val="VulcanIIbullet"/>
      </w:pPr>
      <w:r>
        <w:t xml:space="preserve">they do not reflect the significant interest expense, or the cash requirements necessary, to service interest or principal payments on the Company’s debts. </w:t>
      </w:r>
    </w:p>
    <w:p w14:paraId="17E9845C" w14:textId="47D18043" w:rsidR="007A3C71" w:rsidRDefault="007A3C71" w:rsidP="007A3C71">
      <w:pPr>
        <w:pStyle w:val="VulcanIIbody"/>
      </w:pPr>
      <w:r w:rsidRPr="007A3C71">
        <w:t>Where reference is made to</w:t>
      </w:r>
      <w:r w:rsidR="00F53F52">
        <w:t xml:space="preserve"> the</w:t>
      </w:r>
      <w:r w:rsidRPr="007A3C71">
        <w:t xml:space="preserve"> size of a property, it is stated at 100% of the space, </w:t>
      </w:r>
      <w:r w:rsidR="00F53F52">
        <w:t>regardless</w:t>
      </w:r>
      <w:r w:rsidRPr="007A3C71">
        <w:t xml:space="preserve"> of whether the property is wholly-owned or held in a joint venture.</w:t>
      </w:r>
    </w:p>
    <w:p w14:paraId="118B46A5" w14:textId="77777777" w:rsidR="00F76607" w:rsidRDefault="001863F0" w:rsidP="007A3C71">
      <w:pPr>
        <w:pStyle w:val="NormalWeb"/>
        <w:spacing w:before="240" w:beforeAutospacing="0" w:after="0" w:afterAutospacing="0"/>
        <w:ind w:firstLine="857"/>
        <w:rPr>
          <w:sz w:val="18"/>
          <w:szCs w:val="18"/>
        </w:rPr>
      </w:pPr>
      <w:r>
        <w:rPr>
          <w:b/>
          <w:bCs/>
          <w:sz w:val="18"/>
          <w:szCs w:val="18"/>
        </w:rPr>
        <w:t xml:space="preserve">Material Contracts </w:t>
      </w:r>
    </w:p>
    <w:p w14:paraId="2721D4C0" w14:textId="5D39697D" w:rsidR="00F76607" w:rsidRDefault="001863F0">
      <w:pPr>
        <w:pStyle w:val="NormalWeb"/>
        <w:spacing w:before="240" w:beforeAutospacing="0" w:after="0" w:afterAutospacing="0"/>
        <w:ind w:firstLine="857"/>
        <w:rPr>
          <w:sz w:val="18"/>
          <w:szCs w:val="18"/>
        </w:rPr>
      </w:pPr>
      <w:r>
        <w:rPr>
          <w:sz w:val="18"/>
          <w:szCs w:val="18"/>
        </w:rPr>
        <w:t>Certain material contracts of the Group are described in the section “</w:t>
      </w:r>
      <w:r>
        <w:rPr>
          <w:i/>
          <w:iCs/>
          <w:sz w:val="18"/>
          <w:szCs w:val="18"/>
        </w:rPr>
        <w:t>Operating and Financial Review—Liquidity and Capital Resources</w:t>
      </w:r>
      <w:r>
        <w:rPr>
          <w:sz w:val="18"/>
          <w:szCs w:val="18"/>
        </w:rPr>
        <w:t>”, the section “</w:t>
      </w:r>
      <w:r>
        <w:rPr>
          <w:i/>
          <w:sz w:val="18"/>
          <w:szCs w:val="18"/>
        </w:rPr>
        <w:t>Business – the Joint Venture with Allianz</w:t>
      </w:r>
      <w:r>
        <w:rPr>
          <w:sz w:val="18"/>
          <w:szCs w:val="18"/>
        </w:rPr>
        <w:t>” and the section “</w:t>
      </w:r>
      <w:r>
        <w:rPr>
          <w:i/>
          <w:sz w:val="18"/>
          <w:szCs w:val="18"/>
        </w:rPr>
        <w:t>Major Shareholders</w:t>
      </w:r>
      <w:r>
        <w:rPr>
          <w:sz w:val="18"/>
          <w:szCs w:val="18"/>
        </w:rPr>
        <w:t xml:space="preserve"> </w:t>
      </w:r>
      <w:r>
        <w:rPr>
          <w:i/>
          <w:sz w:val="18"/>
          <w:szCs w:val="18"/>
        </w:rPr>
        <w:t>and</w:t>
      </w:r>
      <w:r>
        <w:rPr>
          <w:sz w:val="18"/>
          <w:szCs w:val="18"/>
        </w:rPr>
        <w:t xml:space="preserve"> </w:t>
      </w:r>
      <w:r>
        <w:rPr>
          <w:i/>
          <w:iCs/>
          <w:sz w:val="18"/>
          <w:szCs w:val="18"/>
        </w:rPr>
        <w:t>Related Party Transactions – Related Party Transactions.</w:t>
      </w:r>
      <w:r>
        <w:rPr>
          <w:sz w:val="18"/>
          <w:szCs w:val="18"/>
        </w:rPr>
        <w:t>” Other than the contracts described in these sections</w:t>
      </w:r>
      <w:r w:rsidR="00764BF5">
        <w:rPr>
          <w:sz w:val="18"/>
          <w:szCs w:val="18"/>
        </w:rPr>
        <w:t xml:space="preserve"> and the </w:t>
      </w:r>
      <w:r w:rsidR="00764BF5" w:rsidRPr="00764BF5">
        <w:rPr>
          <w:sz w:val="18"/>
          <w:szCs w:val="18"/>
          <w:lang w:val="en-GB"/>
        </w:rPr>
        <w:t xml:space="preserve">agreement </w:t>
      </w:r>
      <w:r w:rsidR="00764BF5">
        <w:rPr>
          <w:sz w:val="18"/>
          <w:szCs w:val="18"/>
          <w:lang w:val="en-GB"/>
        </w:rPr>
        <w:t xml:space="preserve">made </w:t>
      </w:r>
      <w:r w:rsidR="00764BF5" w:rsidRPr="00764BF5">
        <w:rPr>
          <w:sz w:val="18"/>
          <w:szCs w:val="18"/>
          <w:lang w:val="en-GB"/>
        </w:rPr>
        <w:t>for the sal</w:t>
      </w:r>
      <w:r w:rsidR="00764BF5">
        <w:rPr>
          <w:sz w:val="18"/>
          <w:szCs w:val="18"/>
          <w:lang w:val="en-GB"/>
        </w:rPr>
        <w:t xml:space="preserve">e of VGP Park </w:t>
      </w:r>
      <w:proofErr w:type="spellStart"/>
      <w:r w:rsidR="00764BF5">
        <w:rPr>
          <w:sz w:val="18"/>
          <w:szCs w:val="18"/>
          <w:lang w:val="en-GB"/>
        </w:rPr>
        <w:t>Nehatu</w:t>
      </w:r>
      <w:proofErr w:type="spellEnd"/>
      <w:r w:rsidR="00764BF5">
        <w:rPr>
          <w:sz w:val="18"/>
          <w:szCs w:val="18"/>
          <w:lang w:val="en-GB"/>
        </w:rPr>
        <w:t xml:space="preserve"> in Estonia</w:t>
      </w:r>
      <w:r>
        <w:rPr>
          <w:sz w:val="18"/>
          <w:szCs w:val="18"/>
        </w:rPr>
        <w:t xml:space="preserve">, there are no material contracts, other than contracts entered into in the ordinary course of business, to which the Group is a party, for the periods under review. </w:t>
      </w:r>
    </w:p>
    <w:p w14:paraId="57EB950D" w14:textId="77777777" w:rsidR="00F76607" w:rsidRDefault="001863F0">
      <w:pPr>
        <w:pStyle w:val="NormalWeb"/>
        <w:spacing w:before="240" w:beforeAutospacing="0" w:after="0" w:afterAutospacing="0"/>
        <w:rPr>
          <w:sz w:val="18"/>
          <w:szCs w:val="18"/>
        </w:rPr>
      </w:pPr>
      <w:r>
        <w:rPr>
          <w:b/>
          <w:bCs/>
          <w:sz w:val="18"/>
          <w:szCs w:val="18"/>
        </w:rPr>
        <w:lastRenderedPageBreak/>
        <w:t xml:space="preserve">Other Information </w:t>
      </w:r>
    </w:p>
    <w:p w14:paraId="03C2029F" w14:textId="77777777" w:rsidR="00F76607" w:rsidRDefault="001863F0">
      <w:pPr>
        <w:pStyle w:val="NormalWeb"/>
        <w:spacing w:before="240" w:beforeAutospacing="0" w:after="0" w:afterAutospacing="0"/>
        <w:ind w:firstLine="857"/>
        <w:rPr>
          <w:sz w:val="18"/>
          <w:szCs w:val="18"/>
        </w:rPr>
      </w:pPr>
      <w:r>
        <w:rPr>
          <w:sz w:val="18"/>
          <w:szCs w:val="18"/>
        </w:rPr>
        <w:t xml:space="preserve">In this Prospectus, references to the “Company” are to VGP NV, and references to “VGP,” “VGP Group”, “Group”, “we,” “us” or “our” are to the Company and its Subsidiaries. </w:t>
      </w:r>
    </w:p>
    <w:p w14:paraId="44EB3AA5" w14:textId="487D5878" w:rsidR="00F76607" w:rsidRDefault="001863F0">
      <w:pPr>
        <w:pStyle w:val="NormalWeb"/>
        <w:spacing w:before="240" w:beforeAutospacing="0" w:after="0" w:afterAutospacing="0"/>
        <w:ind w:firstLine="857"/>
        <w:rPr>
          <w:sz w:val="18"/>
          <w:szCs w:val="18"/>
        </w:rPr>
      </w:pPr>
      <w:r>
        <w:rPr>
          <w:sz w:val="18"/>
          <w:szCs w:val="18"/>
        </w:rPr>
        <w:t>References to “Euros,” “Euro,” “EUR” or “€” are to the common currency of the member states of the EU that are part of the Eurozone. References to the “United States” or the “U.S.” are to the United States of America and references to “U.S. dollars,” “$” or “USD” are to the lawful currency of the United States. References to “RON” are to the lawful currency of Romania. References to “CZK” are to the lawful currency of the Czech Republic.</w:t>
      </w:r>
    </w:p>
    <w:p w14:paraId="0F359E37" w14:textId="77777777" w:rsidR="00F76607" w:rsidRDefault="001863F0">
      <w:pPr>
        <w:pStyle w:val="VulcanIISectionTitle"/>
      </w:pPr>
      <w:bookmarkStart w:id="31" w:name="_Toc493194607"/>
      <w:r>
        <w:lastRenderedPageBreak/>
        <w:t>INDUSTRY AND MARKET DATA</w:t>
      </w:r>
      <w:bookmarkEnd w:id="31"/>
    </w:p>
    <w:p w14:paraId="17036865" w14:textId="77777777" w:rsidR="00F76607" w:rsidRDefault="001863F0">
      <w:pPr>
        <w:pStyle w:val="NormalWeb"/>
        <w:spacing w:before="240" w:beforeAutospacing="0" w:after="0" w:afterAutospacing="0"/>
        <w:ind w:firstLine="857"/>
        <w:rPr>
          <w:sz w:val="18"/>
          <w:szCs w:val="18"/>
        </w:rPr>
      </w:pPr>
      <w:r>
        <w:rPr>
          <w:sz w:val="18"/>
          <w:szCs w:val="18"/>
        </w:rPr>
        <w:t xml:space="preserve">The Prospectus includes market share, economic and industry data, which were obtained by the Company from industry publications and surveys, industry reports prepared by consultants, internal surveys and customer feedback. The market and industry data have primarily been derived and extrapolated from reports provided by Jones Lang </w:t>
      </w:r>
      <w:proofErr w:type="spellStart"/>
      <w:r>
        <w:rPr>
          <w:sz w:val="18"/>
          <w:szCs w:val="18"/>
        </w:rPr>
        <w:t>Lasalle</w:t>
      </w:r>
      <w:proofErr w:type="spellEnd"/>
      <w:r>
        <w:rPr>
          <w:sz w:val="18"/>
          <w:szCs w:val="18"/>
        </w:rPr>
        <w:t xml:space="preserve">, KPMG, Prologis, Cushman &amp; Wakefield, Colliers, the European Commission, Eurostat, BNP Paribas Real Estate, wirtschaftswoche.de, dc-am.co.uk, IHS Global Insight, </w:t>
      </w:r>
      <w:proofErr w:type="spellStart"/>
      <w:r>
        <w:rPr>
          <w:sz w:val="18"/>
          <w:szCs w:val="18"/>
        </w:rPr>
        <w:t>Euromonitor</w:t>
      </w:r>
      <w:proofErr w:type="spellEnd"/>
      <w:r>
        <w:rPr>
          <w:sz w:val="18"/>
          <w:szCs w:val="18"/>
        </w:rPr>
        <w:t xml:space="preserve">, Statista, E-Commerce Database, Latvian Information Agency and retailresearch.org. </w:t>
      </w:r>
    </w:p>
    <w:p w14:paraId="78C897F2" w14:textId="77777777" w:rsidR="00F76607" w:rsidRDefault="001863F0">
      <w:pPr>
        <w:pStyle w:val="NormalWeb"/>
        <w:spacing w:before="240" w:beforeAutospacing="0" w:after="0" w:afterAutospacing="0"/>
        <w:ind w:firstLine="857"/>
        <w:rPr>
          <w:sz w:val="18"/>
          <w:szCs w:val="18"/>
        </w:rPr>
      </w:pPr>
      <w:r>
        <w:rPr>
          <w:sz w:val="18"/>
          <w:szCs w:val="18"/>
        </w:rPr>
        <w:t xml:space="preserve">The third party sources the Company has used generally state that the information they contain has been obtained from sources believed to be reliable. These third-party sources also state, however, that the accuracy and completeness of such information is not guaranteed and that the projections they contain are based on significant assumptions. As the Company does not have access to the facts and assumptions underlying such market data, or statistical information and economic indicators contained in these third-party sources, the Company is unable to verify such information. Thus while the information has been accurately reproduced with no omissions that would render it misleading, and the Company believes it to be reliable, the Company cannot guarantee its overall accuracy or completeness. </w:t>
      </w:r>
    </w:p>
    <w:p w14:paraId="427A1407" w14:textId="77777777" w:rsidR="00F76607" w:rsidRDefault="001863F0">
      <w:pPr>
        <w:pStyle w:val="NormalWeb"/>
        <w:spacing w:before="240" w:beforeAutospacing="0" w:after="0" w:afterAutospacing="0"/>
        <w:ind w:firstLine="857"/>
        <w:rPr>
          <w:sz w:val="18"/>
          <w:szCs w:val="18"/>
        </w:rPr>
      </w:pPr>
      <w:r>
        <w:rPr>
          <w:sz w:val="18"/>
          <w:szCs w:val="18"/>
        </w:rPr>
        <w:t xml:space="preserve">In addition, certain information in this Prospectus is not based on published data obtained from independent third parties or extrapolations therefrom, but rather is based upon the Company’s best estimates, which are in turn based upon information obtained from trade and business organizations and associations, consultants and other contacts within the industries in which the Company competes, information published by competitors, and the Company’s own experience and knowledge of conditions and trends in the markets in which the it operates. </w:t>
      </w:r>
    </w:p>
    <w:p w14:paraId="605F26C9" w14:textId="77777777" w:rsidR="00F76607" w:rsidRDefault="001863F0">
      <w:pPr>
        <w:pStyle w:val="NormalWeb"/>
        <w:spacing w:before="240" w:beforeAutospacing="0" w:after="0" w:afterAutospacing="0"/>
        <w:ind w:firstLine="857"/>
        <w:rPr>
          <w:sz w:val="18"/>
          <w:szCs w:val="18"/>
        </w:rPr>
      </w:pPr>
      <w:r>
        <w:rPr>
          <w:sz w:val="18"/>
          <w:szCs w:val="18"/>
        </w:rPr>
        <w:t xml:space="preserve">The Company cannot assure you that any of the assumptions that it has made while compiling this data from third party sources are accurate or correctly reflect the Company’s position in the industry and none of our internal estimates have been verified by any independent sources. None of the Company, the Selling Shareholders or the Underwriters makes any representation or warrants as to the accuracy or completeness of this information sourced from third parties. None of the Company, the Selling Shareholders or the Underwriters has independently verified this information sourced from third parties and, while the Company believes it to be reliable, none of the Company, the Selling Shareholders or the Underwriters can guarantee its accuracy. The Company confirms that all third-party data contained in this Prospectus has been accurately reproduced and, so far as the Company is aware and able to ascertain from information published by that third-party, no facts have been omitted that would render the reproduced information inaccurate or misleading. </w:t>
      </w:r>
    </w:p>
    <w:p w14:paraId="3D5FC97B" w14:textId="021C1FDD" w:rsidR="00F76607" w:rsidRDefault="001863F0">
      <w:pPr>
        <w:pStyle w:val="NormalWeb"/>
        <w:spacing w:before="240" w:beforeAutospacing="0" w:after="0" w:afterAutospacing="0"/>
        <w:ind w:firstLine="857"/>
        <w:rPr>
          <w:sz w:val="18"/>
          <w:szCs w:val="18"/>
        </w:rPr>
      </w:pPr>
      <w:r>
        <w:rPr>
          <w:sz w:val="18"/>
          <w:szCs w:val="18"/>
        </w:rPr>
        <w:t>All data relating to macroeconomic performance and country growth perspectives has been der</w:t>
      </w:r>
      <w:r w:rsidR="004D4E01">
        <w:rPr>
          <w:sz w:val="18"/>
          <w:szCs w:val="18"/>
        </w:rPr>
        <w:t xml:space="preserve">ived from analysis provided by </w:t>
      </w:r>
      <w:r>
        <w:rPr>
          <w:sz w:val="18"/>
          <w:szCs w:val="18"/>
        </w:rPr>
        <w:t>the European Commission (via Eu</w:t>
      </w:r>
      <w:r w:rsidR="004D4E01">
        <w:rPr>
          <w:sz w:val="18"/>
          <w:szCs w:val="18"/>
        </w:rPr>
        <w:t>rostat), unless otherwise noted</w:t>
      </w:r>
      <w:r>
        <w:rPr>
          <w:sz w:val="18"/>
          <w:szCs w:val="18"/>
        </w:rPr>
        <w:t>.</w:t>
      </w:r>
    </w:p>
    <w:p w14:paraId="1EC15312" w14:textId="77777777" w:rsidR="00F76607" w:rsidRDefault="001863F0">
      <w:pPr>
        <w:pStyle w:val="VulcanIIbody"/>
      </w:pPr>
      <w:r>
        <w:t>The Company may refer to certain geographic regions using diverging definitions from those heretofore mentioned. See section “</w:t>
      </w:r>
      <w:r>
        <w:rPr>
          <w:i/>
          <w:iCs/>
        </w:rPr>
        <w:t>Certain Definitions.</w:t>
      </w:r>
      <w:r>
        <w:t xml:space="preserve">” </w:t>
      </w:r>
    </w:p>
    <w:p w14:paraId="799C95C7" w14:textId="77777777" w:rsidR="00F76607" w:rsidRDefault="001863F0">
      <w:pPr>
        <w:pStyle w:val="VulcanIISectionTitle"/>
      </w:pPr>
      <w:bookmarkStart w:id="32" w:name="_Toc493194608"/>
      <w:r>
        <w:lastRenderedPageBreak/>
        <w:t>Enforcement of Civil Liabilities</w:t>
      </w:r>
      <w:bookmarkEnd w:id="32"/>
      <w:r>
        <w:t xml:space="preserve"> </w:t>
      </w:r>
    </w:p>
    <w:p w14:paraId="072AF4FF" w14:textId="77777777" w:rsidR="00F76607" w:rsidRDefault="001863F0">
      <w:pPr>
        <w:pStyle w:val="NormalWeb"/>
        <w:spacing w:before="240" w:beforeAutospacing="0" w:after="0" w:afterAutospacing="0"/>
        <w:ind w:firstLine="857"/>
      </w:pPr>
      <w:r>
        <w:rPr>
          <w:sz w:val="18"/>
          <w:szCs w:val="18"/>
        </w:rPr>
        <w:t xml:space="preserve">The Company is a public limited liability company incorporated under the laws of Belgium. All of its directors and members of its executive management live outside the United States and all of the Company’s assets and all or a substantial part of the assets of these individuals are located outside the United States. As a result, it may be difficult for investors to effect service of process within the United States upon these individuals or the Company or to enforce against them judgments obtained in the United States based on the civil liability provisions of the U.S. securities laws. There is uncertainty as to the enforceability in Belgium of original actions or actions for enforcement of judgments of United States courts of civil liabilities predicated solely upon the federal securities laws of the United States. </w:t>
      </w:r>
    </w:p>
    <w:p w14:paraId="16059E4D" w14:textId="77777777" w:rsidR="00F76607" w:rsidRDefault="001863F0">
      <w:pPr>
        <w:pStyle w:val="NormalWeb"/>
        <w:spacing w:before="240" w:beforeAutospacing="0" w:after="0" w:afterAutospacing="0"/>
        <w:rPr>
          <w:sz w:val="2"/>
          <w:szCs w:val="2"/>
        </w:rPr>
      </w:pPr>
      <w:r>
        <w:rPr>
          <w:sz w:val="2"/>
          <w:szCs w:val="2"/>
        </w:rPr>
        <w:t> </w:t>
      </w:r>
    </w:p>
    <w:p w14:paraId="7096A445" w14:textId="77777777" w:rsidR="00F76607" w:rsidRDefault="001863F0">
      <w:pPr>
        <w:pStyle w:val="VulcanIISectionTitle"/>
      </w:pPr>
      <w:bookmarkStart w:id="33" w:name="_Toc493194609"/>
      <w:r>
        <w:lastRenderedPageBreak/>
        <w:t>FORWARD-LOOKING STATEMENTS</w:t>
      </w:r>
      <w:bookmarkEnd w:id="33"/>
    </w:p>
    <w:p w14:paraId="5E28E306" w14:textId="77777777" w:rsidR="00F76607" w:rsidRDefault="001863F0">
      <w:pPr>
        <w:pStyle w:val="VulcanIIbody"/>
      </w:pPr>
      <w:r>
        <w:t>This Prospectus may contain “forward-looking statements” within the meaning of the securities laws of certain jurisdictions. In some cases, these forward-looking statements can be identified by the use of forward-looking terminology, including the words “believes”, “estimates”, “anticipates”, “expects”, “intends”, “may”, “will”, “plans”, “continue”, “on-going”, “potential”, “predict”, “project”, “target”, “seek” or “should” or, in each case, their negative or other variations or comparable terminology or by discussions of strategies, plans, objectives, targets, goals, future events or intentions. Forward-looking statements include statements regarding intentions, beliefs or current expectations concerning, among other things, results of operations, prospects, growth, strategies and dividend policy and the industry in which the Company operates.</w:t>
      </w:r>
    </w:p>
    <w:p w14:paraId="619A560A" w14:textId="77777777" w:rsidR="00F76607" w:rsidRDefault="001863F0">
      <w:pPr>
        <w:pStyle w:val="VulcanIIbody"/>
      </w:pPr>
      <w:r>
        <w:t>By their nature, forward-looking statements involve known and unknown risks and uncertainties because they relate to events and depend on circumstances that may or may not occur in the future. Forward-looking statements are not guarantees of future performance. You should not place undue reliance on these forward-looking statements. Any forward-looking statements are made only as of the date of this Prospectus, and the Company does not intend, and does not assume any obligation, to update forward-looking statements set forth in this Prospectus.</w:t>
      </w:r>
    </w:p>
    <w:p w14:paraId="78E396F2" w14:textId="77777777" w:rsidR="00F76607" w:rsidRDefault="001863F0">
      <w:pPr>
        <w:pStyle w:val="VulcanIIbody"/>
      </w:pPr>
      <w:r>
        <w:t>Many factors may cause the Company’s results of operations, financial condition, liquidity and the development of the industries in which the Company competes to differ materially from those expressed or implied by the forward-looking statements contained in this Prospectus.</w:t>
      </w:r>
    </w:p>
    <w:p w14:paraId="4E22AF89" w14:textId="77777777" w:rsidR="00F76607" w:rsidRDefault="001863F0">
      <w:pPr>
        <w:pStyle w:val="VulcanIIbody"/>
      </w:pPr>
      <w:r>
        <w:t>These statements are further qualified by the risk factors disclosed in this Prospectus that could cause actual results to differ materially from those in the forward-looking statements. See “</w:t>
      </w:r>
      <w:r>
        <w:rPr>
          <w:i/>
        </w:rPr>
        <w:t>Risk Factors</w:t>
      </w:r>
      <w:r>
        <w:t>” for further details.</w:t>
      </w:r>
    </w:p>
    <w:p w14:paraId="23B4EAB8" w14:textId="77777777" w:rsidR="00F76607" w:rsidRDefault="001863F0">
      <w:pPr>
        <w:pStyle w:val="VulcanIISectionTitle"/>
      </w:pPr>
      <w:bookmarkStart w:id="34" w:name="_Toc493194610"/>
      <w:r>
        <w:lastRenderedPageBreak/>
        <w:t>EXCHANGE RATES</w:t>
      </w:r>
      <w:bookmarkEnd w:id="34"/>
      <w:r>
        <w:t xml:space="preserve"> </w:t>
      </w:r>
    </w:p>
    <w:p w14:paraId="6E9D676A" w14:textId="77777777" w:rsidR="00F76607" w:rsidRDefault="001863F0">
      <w:pPr>
        <w:pStyle w:val="NormalWeb"/>
        <w:spacing w:before="240" w:beforeAutospacing="0" w:after="0" w:afterAutospacing="0"/>
        <w:ind w:firstLine="857"/>
        <w:rPr>
          <w:sz w:val="18"/>
          <w:szCs w:val="18"/>
        </w:rPr>
      </w:pPr>
      <w:r>
        <w:rPr>
          <w:sz w:val="18"/>
          <w:szCs w:val="18"/>
        </w:rPr>
        <w:t xml:space="preserve">The following table sets forth, for the periods and dates indicated, certain information regarding the daily reference exchange rate published by the European Central Bank for U.S. dollars, expressed in U.S. dollars per Euro, rounded to the nearest four decimal places (the “ECB Daily Reference Rate”). No representation is made that U.S. dollar amounts have been, could have been or could be converted into Euro, or vice versa, at such exchange rates or at any other exchange rate. </w:t>
      </w:r>
    </w:p>
    <w:p w14:paraId="27952DCB" w14:textId="77777777" w:rsidR="00F76607" w:rsidRDefault="00F76607">
      <w:pPr>
        <w:pStyle w:val="NormalWeb"/>
        <w:spacing w:before="240" w:beforeAutospacing="0" w:after="0" w:afterAutospacing="0"/>
        <w:ind w:firstLine="857"/>
        <w:rPr>
          <w:sz w:val="18"/>
          <w:szCs w:val="18"/>
        </w:rPr>
      </w:pPr>
    </w:p>
    <w:p w14:paraId="210A87F6" w14:textId="77777777" w:rsidR="00F76607" w:rsidRDefault="00F76607">
      <w:pPr>
        <w:rPr>
          <w:sz w:val="20"/>
          <w:szCs w:val="22"/>
          <w:lang w:val="en-GB"/>
        </w:rPr>
      </w:pPr>
    </w:p>
    <w:tbl>
      <w:tblPr>
        <w:tblW w:w="5000" w:type="pct"/>
        <w:tblLayout w:type="fixed"/>
        <w:tblCellMar>
          <w:left w:w="115" w:type="dxa"/>
          <w:right w:w="115" w:type="dxa"/>
        </w:tblCellMar>
        <w:tblLook w:val="04A0" w:firstRow="1" w:lastRow="0" w:firstColumn="1" w:lastColumn="0" w:noHBand="0" w:noVBand="1"/>
      </w:tblPr>
      <w:tblGrid>
        <w:gridCol w:w="3791"/>
        <w:gridCol w:w="1639"/>
        <w:gridCol w:w="1441"/>
        <w:gridCol w:w="1441"/>
        <w:gridCol w:w="1441"/>
      </w:tblGrid>
      <w:tr w:rsidR="00F76607" w14:paraId="20E2E74C" w14:textId="77777777">
        <w:trPr>
          <w:tblHeader/>
        </w:trPr>
        <w:tc>
          <w:tcPr>
            <w:tcW w:w="1943" w:type="pct"/>
            <w:vAlign w:val="bottom"/>
          </w:tcPr>
          <w:p w14:paraId="2C0E9939" w14:textId="77777777" w:rsidR="00F76607" w:rsidRDefault="00F76607">
            <w:pPr>
              <w:rPr>
                <w:sz w:val="18"/>
                <w:szCs w:val="18"/>
                <w:lang w:val="en-GB"/>
              </w:rPr>
            </w:pPr>
          </w:p>
        </w:tc>
        <w:tc>
          <w:tcPr>
            <w:tcW w:w="3057" w:type="pct"/>
            <w:gridSpan w:val="4"/>
            <w:vAlign w:val="bottom"/>
          </w:tcPr>
          <w:p w14:paraId="4718E3AB" w14:textId="77777777" w:rsidR="00F76607" w:rsidRDefault="001863F0">
            <w:pPr>
              <w:pBdr>
                <w:bottom w:val="single" w:sz="4" w:space="1" w:color="auto"/>
              </w:pBdr>
              <w:jc w:val="center"/>
              <w:rPr>
                <w:sz w:val="18"/>
                <w:szCs w:val="18"/>
                <w:lang w:val="en-GB"/>
              </w:rPr>
            </w:pPr>
            <w:r>
              <w:rPr>
                <w:b/>
                <w:bCs/>
                <w:sz w:val="18"/>
                <w:szCs w:val="18"/>
                <w:lang w:val="en-GB"/>
              </w:rPr>
              <w:t>U.S. dollars per one Euro</w:t>
            </w:r>
          </w:p>
        </w:tc>
      </w:tr>
      <w:tr w:rsidR="00F76607" w14:paraId="781D9C57" w14:textId="77777777">
        <w:trPr>
          <w:tblHeader/>
        </w:trPr>
        <w:tc>
          <w:tcPr>
            <w:tcW w:w="1943" w:type="pct"/>
            <w:vAlign w:val="bottom"/>
          </w:tcPr>
          <w:p w14:paraId="3BD00FB9" w14:textId="77777777" w:rsidR="00F76607" w:rsidRDefault="00F76607">
            <w:pPr>
              <w:rPr>
                <w:sz w:val="18"/>
                <w:szCs w:val="18"/>
                <w:lang w:val="en-GB"/>
              </w:rPr>
            </w:pPr>
          </w:p>
        </w:tc>
        <w:tc>
          <w:tcPr>
            <w:tcW w:w="840" w:type="pct"/>
            <w:noWrap/>
            <w:vAlign w:val="bottom"/>
          </w:tcPr>
          <w:p w14:paraId="37F80021" w14:textId="77777777" w:rsidR="00F76607" w:rsidRDefault="001863F0">
            <w:pPr>
              <w:pBdr>
                <w:bottom w:val="single" w:sz="4" w:space="1" w:color="auto"/>
              </w:pBdr>
              <w:jc w:val="center"/>
              <w:rPr>
                <w:sz w:val="18"/>
                <w:szCs w:val="18"/>
                <w:lang w:val="en-GB"/>
              </w:rPr>
            </w:pPr>
            <w:r>
              <w:rPr>
                <w:b/>
                <w:bCs/>
                <w:sz w:val="18"/>
                <w:szCs w:val="18"/>
                <w:lang w:val="en-GB"/>
              </w:rPr>
              <w:t>Period End</w:t>
            </w:r>
            <w:r>
              <w:rPr>
                <w:b/>
                <w:bCs/>
                <w:sz w:val="18"/>
                <w:szCs w:val="18"/>
                <w:vertAlign w:val="superscript"/>
                <w:lang w:val="en-GB"/>
              </w:rPr>
              <w:t>(1)</w:t>
            </w:r>
          </w:p>
        </w:tc>
        <w:tc>
          <w:tcPr>
            <w:tcW w:w="739" w:type="pct"/>
            <w:noWrap/>
            <w:vAlign w:val="bottom"/>
          </w:tcPr>
          <w:p w14:paraId="4029B640" w14:textId="77777777" w:rsidR="00F76607" w:rsidRDefault="001863F0">
            <w:pPr>
              <w:pBdr>
                <w:bottom w:val="single" w:sz="4" w:space="1" w:color="auto"/>
              </w:pBdr>
              <w:jc w:val="center"/>
              <w:rPr>
                <w:sz w:val="18"/>
                <w:szCs w:val="18"/>
                <w:lang w:val="en-GB"/>
              </w:rPr>
            </w:pPr>
            <w:r>
              <w:rPr>
                <w:b/>
                <w:bCs/>
                <w:sz w:val="18"/>
                <w:szCs w:val="18"/>
                <w:lang w:val="en-GB"/>
              </w:rPr>
              <w:t>Average</w:t>
            </w:r>
            <w:r>
              <w:rPr>
                <w:b/>
                <w:bCs/>
                <w:sz w:val="18"/>
                <w:szCs w:val="18"/>
                <w:vertAlign w:val="superscript"/>
                <w:lang w:val="en-GB"/>
              </w:rPr>
              <w:t>(2)</w:t>
            </w:r>
          </w:p>
        </w:tc>
        <w:tc>
          <w:tcPr>
            <w:tcW w:w="739" w:type="pct"/>
            <w:noWrap/>
            <w:vAlign w:val="bottom"/>
          </w:tcPr>
          <w:p w14:paraId="1B417AF0" w14:textId="77777777" w:rsidR="00F76607" w:rsidRDefault="001863F0">
            <w:pPr>
              <w:pBdr>
                <w:bottom w:val="single" w:sz="4" w:space="1" w:color="auto"/>
              </w:pBdr>
              <w:jc w:val="center"/>
              <w:rPr>
                <w:sz w:val="18"/>
                <w:szCs w:val="18"/>
                <w:lang w:val="en-GB"/>
              </w:rPr>
            </w:pPr>
            <w:r>
              <w:rPr>
                <w:b/>
                <w:bCs/>
                <w:sz w:val="18"/>
                <w:szCs w:val="18"/>
                <w:lang w:val="en-GB"/>
              </w:rPr>
              <w:t>High</w:t>
            </w:r>
          </w:p>
        </w:tc>
        <w:tc>
          <w:tcPr>
            <w:tcW w:w="739" w:type="pct"/>
            <w:vAlign w:val="bottom"/>
          </w:tcPr>
          <w:p w14:paraId="3A15F9D1" w14:textId="77777777" w:rsidR="00F76607" w:rsidRDefault="001863F0">
            <w:pPr>
              <w:pBdr>
                <w:bottom w:val="single" w:sz="4" w:space="1" w:color="auto"/>
              </w:pBdr>
              <w:jc w:val="center"/>
              <w:rPr>
                <w:sz w:val="18"/>
                <w:szCs w:val="18"/>
                <w:lang w:val="en-GB"/>
              </w:rPr>
            </w:pPr>
            <w:r>
              <w:rPr>
                <w:b/>
                <w:bCs/>
                <w:sz w:val="18"/>
                <w:szCs w:val="18"/>
                <w:lang w:val="en-GB"/>
              </w:rPr>
              <w:t>Low</w:t>
            </w:r>
          </w:p>
        </w:tc>
      </w:tr>
      <w:tr w:rsidR="00F76607" w14:paraId="580389A4" w14:textId="77777777">
        <w:tc>
          <w:tcPr>
            <w:tcW w:w="1943" w:type="pct"/>
          </w:tcPr>
          <w:p w14:paraId="2303B882" w14:textId="77777777" w:rsidR="00F76607" w:rsidRDefault="001863F0">
            <w:pPr>
              <w:rPr>
                <w:sz w:val="18"/>
                <w:szCs w:val="18"/>
                <w:lang w:val="en-GB"/>
              </w:rPr>
            </w:pPr>
            <w:r>
              <w:rPr>
                <w:b/>
                <w:bCs/>
                <w:sz w:val="18"/>
                <w:szCs w:val="18"/>
                <w:lang w:val="en-GB"/>
              </w:rPr>
              <w:t>Year</w:t>
            </w:r>
          </w:p>
        </w:tc>
        <w:tc>
          <w:tcPr>
            <w:tcW w:w="840" w:type="pct"/>
          </w:tcPr>
          <w:p w14:paraId="60CA134A" w14:textId="77777777" w:rsidR="00F76607" w:rsidRDefault="00F76607">
            <w:pPr>
              <w:rPr>
                <w:sz w:val="18"/>
                <w:szCs w:val="18"/>
                <w:lang w:val="en-GB"/>
              </w:rPr>
            </w:pPr>
          </w:p>
        </w:tc>
        <w:tc>
          <w:tcPr>
            <w:tcW w:w="739" w:type="pct"/>
          </w:tcPr>
          <w:p w14:paraId="4352E356" w14:textId="77777777" w:rsidR="00F76607" w:rsidRDefault="00F76607">
            <w:pPr>
              <w:rPr>
                <w:sz w:val="18"/>
                <w:szCs w:val="18"/>
                <w:lang w:val="en-GB"/>
              </w:rPr>
            </w:pPr>
          </w:p>
        </w:tc>
        <w:tc>
          <w:tcPr>
            <w:tcW w:w="739" w:type="pct"/>
          </w:tcPr>
          <w:p w14:paraId="5DE831D5" w14:textId="77777777" w:rsidR="00F76607" w:rsidRDefault="00F76607">
            <w:pPr>
              <w:rPr>
                <w:sz w:val="18"/>
                <w:szCs w:val="18"/>
                <w:lang w:val="en-GB"/>
              </w:rPr>
            </w:pPr>
          </w:p>
        </w:tc>
        <w:tc>
          <w:tcPr>
            <w:tcW w:w="739" w:type="pct"/>
          </w:tcPr>
          <w:p w14:paraId="2FCC9F2F" w14:textId="77777777" w:rsidR="00F76607" w:rsidRDefault="00F76607">
            <w:pPr>
              <w:rPr>
                <w:sz w:val="18"/>
                <w:szCs w:val="18"/>
                <w:lang w:val="en-GB"/>
              </w:rPr>
            </w:pPr>
          </w:p>
        </w:tc>
      </w:tr>
      <w:tr w:rsidR="00F76607" w14:paraId="346F4FB3" w14:textId="77777777">
        <w:trPr>
          <w:trHeight w:val="248"/>
        </w:trPr>
        <w:tc>
          <w:tcPr>
            <w:tcW w:w="1943" w:type="pct"/>
          </w:tcPr>
          <w:p w14:paraId="1AC441EE" w14:textId="77777777" w:rsidR="00F76607" w:rsidRDefault="001863F0">
            <w:pPr>
              <w:tabs>
                <w:tab w:val="left" w:leader="dot" w:pos="3780"/>
              </w:tabs>
              <w:rPr>
                <w:sz w:val="18"/>
                <w:szCs w:val="18"/>
                <w:lang w:val="en-GB"/>
              </w:rPr>
            </w:pPr>
            <w:r>
              <w:rPr>
                <w:sz w:val="18"/>
                <w:szCs w:val="18"/>
                <w:lang w:val="en-GB"/>
              </w:rPr>
              <w:t>2012</w:t>
            </w:r>
            <w:r>
              <w:rPr>
                <w:sz w:val="18"/>
                <w:szCs w:val="18"/>
                <w:lang w:val="en-GB"/>
              </w:rPr>
              <w:tab/>
            </w:r>
          </w:p>
        </w:tc>
        <w:tc>
          <w:tcPr>
            <w:tcW w:w="840" w:type="pct"/>
            <w:noWrap/>
            <w:vAlign w:val="center"/>
          </w:tcPr>
          <w:p w14:paraId="762209C5" w14:textId="77777777" w:rsidR="00F76607" w:rsidRDefault="001863F0">
            <w:pPr>
              <w:jc w:val="center"/>
              <w:rPr>
                <w:sz w:val="18"/>
                <w:szCs w:val="18"/>
                <w:lang w:val="en-GB"/>
              </w:rPr>
            </w:pPr>
            <w:r>
              <w:rPr>
                <w:sz w:val="18"/>
                <w:szCs w:val="18"/>
                <w:lang w:val="en-GB"/>
              </w:rPr>
              <w:t>1.3194</w:t>
            </w:r>
          </w:p>
        </w:tc>
        <w:tc>
          <w:tcPr>
            <w:tcW w:w="739" w:type="pct"/>
            <w:noWrap/>
            <w:vAlign w:val="center"/>
          </w:tcPr>
          <w:p w14:paraId="12DDC142" w14:textId="77777777" w:rsidR="00F76607" w:rsidRDefault="001863F0">
            <w:pPr>
              <w:jc w:val="center"/>
              <w:rPr>
                <w:sz w:val="18"/>
                <w:szCs w:val="18"/>
                <w:lang w:val="en-GB"/>
              </w:rPr>
            </w:pPr>
            <w:r>
              <w:rPr>
                <w:sz w:val="18"/>
                <w:szCs w:val="18"/>
                <w:lang w:val="en-GB"/>
              </w:rPr>
              <w:t>1.2848</w:t>
            </w:r>
          </w:p>
        </w:tc>
        <w:tc>
          <w:tcPr>
            <w:tcW w:w="739" w:type="pct"/>
            <w:noWrap/>
            <w:vAlign w:val="center"/>
          </w:tcPr>
          <w:p w14:paraId="604BA9A9" w14:textId="77777777" w:rsidR="00F76607" w:rsidRDefault="001863F0">
            <w:pPr>
              <w:jc w:val="center"/>
              <w:rPr>
                <w:sz w:val="18"/>
                <w:szCs w:val="18"/>
                <w:lang w:val="en-GB"/>
              </w:rPr>
            </w:pPr>
            <w:r>
              <w:rPr>
                <w:sz w:val="18"/>
                <w:szCs w:val="18"/>
                <w:lang w:val="en-GB"/>
              </w:rPr>
              <w:t>1.3454</w:t>
            </w:r>
          </w:p>
        </w:tc>
        <w:tc>
          <w:tcPr>
            <w:tcW w:w="739" w:type="pct"/>
            <w:noWrap/>
            <w:vAlign w:val="center"/>
          </w:tcPr>
          <w:p w14:paraId="51B8AA6F" w14:textId="77777777" w:rsidR="00F76607" w:rsidRDefault="001863F0">
            <w:pPr>
              <w:jc w:val="center"/>
              <w:rPr>
                <w:sz w:val="18"/>
                <w:szCs w:val="18"/>
                <w:lang w:val="en-GB"/>
              </w:rPr>
            </w:pPr>
            <w:r>
              <w:rPr>
                <w:sz w:val="18"/>
                <w:szCs w:val="18"/>
                <w:lang w:val="en-GB"/>
              </w:rPr>
              <w:t>1.2089</w:t>
            </w:r>
          </w:p>
        </w:tc>
      </w:tr>
      <w:tr w:rsidR="00F76607" w14:paraId="71FEBE5C" w14:textId="77777777">
        <w:trPr>
          <w:trHeight w:val="248"/>
        </w:trPr>
        <w:tc>
          <w:tcPr>
            <w:tcW w:w="1943" w:type="pct"/>
          </w:tcPr>
          <w:p w14:paraId="2D5144AB" w14:textId="77777777" w:rsidR="00F76607" w:rsidRDefault="001863F0">
            <w:pPr>
              <w:tabs>
                <w:tab w:val="left" w:leader="dot" w:pos="3780"/>
              </w:tabs>
              <w:rPr>
                <w:sz w:val="18"/>
                <w:szCs w:val="18"/>
                <w:lang w:val="en-GB"/>
              </w:rPr>
            </w:pPr>
            <w:r>
              <w:rPr>
                <w:sz w:val="18"/>
                <w:szCs w:val="18"/>
                <w:lang w:val="en-GB"/>
              </w:rPr>
              <w:t>2013</w:t>
            </w:r>
            <w:r>
              <w:rPr>
                <w:sz w:val="18"/>
                <w:szCs w:val="18"/>
                <w:lang w:val="en-GB"/>
              </w:rPr>
              <w:tab/>
            </w:r>
          </w:p>
        </w:tc>
        <w:tc>
          <w:tcPr>
            <w:tcW w:w="840" w:type="pct"/>
            <w:noWrap/>
            <w:vAlign w:val="center"/>
          </w:tcPr>
          <w:p w14:paraId="21C42845" w14:textId="77777777" w:rsidR="00F76607" w:rsidRDefault="001863F0">
            <w:pPr>
              <w:jc w:val="center"/>
              <w:rPr>
                <w:sz w:val="18"/>
                <w:szCs w:val="18"/>
                <w:lang w:val="en-GB"/>
              </w:rPr>
            </w:pPr>
            <w:r>
              <w:rPr>
                <w:sz w:val="18"/>
                <w:szCs w:val="18"/>
                <w:lang w:val="en-GB"/>
              </w:rPr>
              <w:t>1.3791</w:t>
            </w:r>
          </w:p>
        </w:tc>
        <w:tc>
          <w:tcPr>
            <w:tcW w:w="739" w:type="pct"/>
            <w:noWrap/>
            <w:vAlign w:val="center"/>
          </w:tcPr>
          <w:p w14:paraId="7D4991DD" w14:textId="77777777" w:rsidR="00F76607" w:rsidRDefault="001863F0">
            <w:pPr>
              <w:jc w:val="center"/>
              <w:rPr>
                <w:sz w:val="18"/>
                <w:szCs w:val="18"/>
                <w:lang w:val="en-GB"/>
              </w:rPr>
            </w:pPr>
            <w:r>
              <w:rPr>
                <w:sz w:val="18"/>
                <w:szCs w:val="18"/>
                <w:lang w:val="en-GB"/>
              </w:rPr>
              <w:t>1.3281</w:t>
            </w:r>
          </w:p>
        </w:tc>
        <w:tc>
          <w:tcPr>
            <w:tcW w:w="739" w:type="pct"/>
            <w:noWrap/>
            <w:vAlign w:val="center"/>
          </w:tcPr>
          <w:p w14:paraId="0A6DD156" w14:textId="77777777" w:rsidR="00F76607" w:rsidRDefault="001863F0">
            <w:pPr>
              <w:jc w:val="center"/>
              <w:rPr>
                <w:sz w:val="18"/>
                <w:szCs w:val="18"/>
                <w:lang w:val="en-GB"/>
              </w:rPr>
            </w:pPr>
            <w:r>
              <w:rPr>
                <w:sz w:val="18"/>
                <w:szCs w:val="18"/>
                <w:lang w:val="en-GB"/>
              </w:rPr>
              <w:t>1.3814</w:t>
            </w:r>
          </w:p>
        </w:tc>
        <w:tc>
          <w:tcPr>
            <w:tcW w:w="739" w:type="pct"/>
            <w:noWrap/>
            <w:vAlign w:val="center"/>
          </w:tcPr>
          <w:p w14:paraId="32048212" w14:textId="77777777" w:rsidR="00F76607" w:rsidRDefault="001863F0">
            <w:pPr>
              <w:jc w:val="center"/>
              <w:rPr>
                <w:sz w:val="18"/>
                <w:szCs w:val="18"/>
                <w:lang w:val="en-GB"/>
              </w:rPr>
            </w:pPr>
            <w:r>
              <w:rPr>
                <w:sz w:val="18"/>
                <w:szCs w:val="18"/>
                <w:lang w:val="en-GB"/>
              </w:rPr>
              <w:t>1.2768</w:t>
            </w:r>
          </w:p>
        </w:tc>
      </w:tr>
      <w:tr w:rsidR="00F76607" w14:paraId="403CBE90" w14:textId="77777777">
        <w:trPr>
          <w:trHeight w:val="248"/>
        </w:trPr>
        <w:tc>
          <w:tcPr>
            <w:tcW w:w="1943" w:type="pct"/>
          </w:tcPr>
          <w:p w14:paraId="54D9B6BF" w14:textId="77777777" w:rsidR="00F76607" w:rsidRDefault="001863F0">
            <w:pPr>
              <w:tabs>
                <w:tab w:val="left" w:leader="dot" w:pos="3780"/>
              </w:tabs>
              <w:rPr>
                <w:sz w:val="18"/>
                <w:szCs w:val="18"/>
                <w:lang w:val="en-GB"/>
              </w:rPr>
            </w:pPr>
            <w:r>
              <w:rPr>
                <w:sz w:val="18"/>
                <w:szCs w:val="18"/>
                <w:lang w:val="en-GB"/>
              </w:rPr>
              <w:t>2014</w:t>
            </w:r>
            <w:r>
              <w:rPr>
                <w:sz w:val="18"/>
                <w:szCs w:val="18"/>
                <w:lang w:val="en-GB"/>
              </w:rPr>
              <w:tab/>
            </w:r>
          </w:p>
        </w:tc>
        <w:tc>
          <w:tcPr>
            <w:tcW w:w="840" w:type="pct"/>
            <w:noWrap/>
            <w:vAlign w:val="center"/>
          </w:tcPr>
          <w:p w14:paraId="3F44A9CF" w14:textId="77777777" w:rsidR="00F76607" w:rsidRDefault="001863F0">
            <w:pPr>
              <w:jc w:val="center"/>
              <w:rPr>
                <w:sz w:val="18"/>
                <w:szCs w:val="18"/>
                <w:lang w:val="en-GB"/>
              </w:rPr>
            </w:pPr>
            <w:r>
              <w:rPr>
                <w:sz w:val="18"/>
                <w:szCs w:val="18"/>
                <w:lang w:val="en-GB"/>
              </w:rPr>
              <w:t>1.2141</w:t>
            </w:r>
          </w:p>
        </w:tc>
        <w:tc>
          <w:tcPr>
            <w:tcW w:w="739" w:type="pct"/>
            <w:noWrap/>
            <w:vAlign w:val="center"/>
          </w:tcPr>
          <w:p w14:paraId="48333DAB" w14:textId="77777777" w:rsidR="00F76607" w:rsidRDefault="001863F0">
            <w:pPr>
              <w:jc w:val="center"/>
              <w:rPr>
                <w:sz w:val="18"/>
                <w:szCs w:val="18"/>
                <w:lang w:val="en-GB"/>
              </w:rPr>
            </w:pPr>
            <w:r>
              <w:rPr>
                <w:sz w:val="18"/>
                <w:szCs w:val="18"/>
                <w:lang w:val="en-GB"/>
              </w:rPr>
              <w:t>1.3285</w:t>
            </w:r>
          </w:p>
        </w:tc>
        <w:tc>
          <w:tcPr>
            <w:tcW w:w="739" w:type="pct"/>
            <w:noWrap/>
            <w:vAlign w:val="center"/>
          </w:tcPr>
          <w:p w14:paraId="70D1B04B" w14:textId="77777777" w:rsidR="00F76607" w:rsidRDefault="001863F0">
            <w:pPr>
              <w:jc w:val="center"/>
              <w:rPr>
                <w:sz w:val="18"/>
                <w:szCs w:val="18"/>
                <w:lang w:val="en-GB"/>
              </w:rPr>
            </w:pPr>
            <w:r>
              <w:rPr>
                <w:sz w:val="18"/>
                <w:szCs w:val="18"/>
                <w:lang w:val="en-GB"/>
              </w:rPr>
              <w:t>1.3953</w:t>
            </w:r>
          </w:p>
        </w:tc>
        <w:tc>
          <w:tcPr>
            <w:tcW w:w="739" w:type="pct"/>
            <w:noWrap/>
            <w:vAlign w:val="center"/>
          </w:tcPr>
          <w:p w14:paraId="37653205" w14:textId="77777777" w:rsidR="00F76607" w:rsidRDefault="001863F0">
            <w:pPr>
              <w:jc w:val="center"/>
              <w:rPr>
                <w:sz w:val="18"/>
                <w:szCs w:val="18"/>
                <w:lang w:val="en-GB"/>
              </w:rPr>
            </w:pPr>
            <w:r>
              <w:rPr>
                <w:sz w:val="18"/>
                <w:szCs w:val="18"/>
                <w:lang w:val="en-GB"/>
              </w:rPr>
              <w:t>1.2141</w:t>
            </w:r>
          </w:p>
        </w:tc>
      </w:tr>
      <w:tr w:rsidR="00F76607" w14:paraId="28CBE95A" w14:textId="77777777">
        <w:trPr>
          <w:trHeight w:val="248"/>
        </w:trPr>
        <w:tc>
          <w:tcPr>
            <w:tcW w:w="1943" w:type="pct"/>
          </w:tcPr>
          <w:p w14:paraId="75675E7F" w14:textId="77777777" w:rsidR="00F76607" w:rsidRDefault="001863F0">
            <w:pPr>
              <w:tabs>
                <w:tab w:val="left" w:leader="dot" w:pos="3780"/>
              </w:tabs>
              <w:rPr>
                <w:sz w:val="18"/>
                <w:szCs w:val="18"/>
                <w:lang w:val="en-GB"/>
              </w:rPr>
            </w:pPr>
            <w:r>
              <w:rPr>
                <w:sz w:val="18"/>
                <w:szCs w:val="18"/>
                <w:lang w:val="en-GB"/>
              </w:rPr>
              <w:t>2015</w:t>
            </w:r>
            <w:r>
              <w:rPr>
                <w:sz w:val="18"/>
                <w:szCs w:val="18"/>
                <w:lang w:val="en-GB"/>
              </w:rPr>
              <w:tab/>
            </w:r>
          </w:p>
        </w:tc>
        <w:tc>
          <w:tcPr>
            <w:tcW w:w="840" w:type="pct"/>
            <w:noWrap/>
            <w:vAlign w:val="center"/>
          </w:tcPr>
          <w:p w14:paraId="19A11338" w14:textId="77777777" w:rsidR="00F76607" w:rsidRDefault="001863F0">
            <w:pPr>
              <w:jc w:val="center"/>
              <w:rPr>
                <w:sz w:val="18"/>
                <w:szCs w:val="18"/>
                <w:lang w:val="en-GB"/>
              </w:rPr>
            </w:pPr>
            <w:r>
              <w:rPr>
                <w:sz w:val="18"/>
                <w:szCs w:val="18"/>
                <w:lang w:val="en-GB"/>
              </w:rPr>
              <w:t>1.0887</w:t>
            </w:r>
          </w:p>
        </w:tc>
        <w:tc>
          <w:tcPr>
            <w:tcW w:w="739" w:type="pct"/>
            <w:noWrap/>
            <w:vAlign w:val="center"/>
          </w:tcPr>
          <w:p w14:paraId="536B002B" w14:textId="77777777" w:rsidR="00F76607" w:rsidRDefault="001863F0">
            <w:pPr>
              <w:jc w:val="center"/>
              <w:rPr>
                <w:sz w:val="18"/>
                <w:szCs w:val="18"/>
                <w:lang w:val="en-GB"/>
              </w:rPr>
            </w:pPr>
            <w:r>
              <w:rPr>
                <w:sz w:val="18"/>
                <w:szCs w:val="18"/>
                <w:lang w:val="en-GB"/>
              </w:rPr>
              <w:t>1.1095</w:t>
            </w:r>
          </w:p>
        </w:tc>
        <w:tc>
          <w:tcPr>
            <w:tcW w:w="739" w:type="pct"/>
            <w:noWrap/>
            <w:vAlign w:val="center"/>
          </w:tcPr>
          <w:p w14:paraId="4AF24DA2" w14:textId="77777777" w:rsidR="00F76607" w:rsidRDefault="001863F0">
            <w:pPr>
              <w:jc w:val="center"/>
              <w:rPr>
                <w:sz w:val="18"/>
                <w:szCs w:val="18"/>
                <w:lang w:val="en-GB"/>
              </w:rPr>
            </w:pPr>
            <w:r>
              <w:rPr>
                <w:sz w:val="18"/>
                <w:szCs w:val="18"/>
                <w:lang w:val="en-GB"/>
              </w:rPr>
              <w:t>1.2043</w:t>
            </w:r>
          </w:p>
        </w:tc>
        <w:tc>
          <w:tcPr>
            <w:tcW w:w="739" w:type="pct"/>
            <w:noWrap/>
            <w:vAlign w:val="center"/>
          </w:tcPr>
          <w:p w14:paraId="4C991BCA" w14:textId="77777777" w:rsidR="00F76607" w:rsidRDefault="001863F0">
            <w:pPr>
              <w:jc w:val="center"/>
              <w:rPr>
                <w:sz w:val="18"/>
                <w:szCs w:val="18"/>
                <w:lang w:val="en-GB"/>
              </w:rPr>
            </w:pPr>
            <w:r>
              <w:rPr>
                <w:sz w:val="18"/>
                <w:szCs w:val="18"/>
                <w:lang w:val="en-GB"/>
              </w:rPr>
              <w:t>1.0552</w:t>
            </w:r>
          </w:p>
        </w:tc>
      </w:tr>
      <w:tr w:rsidR="00F76607" w14:paraId="48A3D1C6" w14:textId="77777777">
        <w:trPr>
          <w:trHeight w:val="248"/>
        </w:trPr>
        <w:tc>
          <w:tcPr>
            <w:tcW w:w="1943" w:type="pct"/>
          </w:tcPr>
          <w:p w14:paraId="31C3FAC9" w14:textId="77777777" w:rsidR="00F76607" w:rsidRDefault="001863F0">
            <w:pPr>
              <w:tabs>
                <w:tab w:val="left" w:leader="dot" w:pos="3780"/>
              </w:tabs>
              <w:rPr>
                <w:sz w:val="18"/>
                <w:szCs w:val="18"/>
                <w:lang w:val="en-GB"/>
              </w:rPr>
            </w:pPr>
            <w:r>
              <w:rPr>
                <w:sz w:val="18"/>
                <w:szCs w:val="18"/>
                <w:lang w:val="en-GB"/>
              </w:rPr>
              <w:t>2016</w:t>
            </w:r>
            <w:r>
              <w:rPr>
                <w:sz w:val="18"/>
                <w:szCs w:val="18"/>
                <w:lang w:val="en-GB"/>
              </w:rPr>
              <w:tab/>
            </w:r>
          </w:p>
        </w:tc>
        <w:tc>
          <w:tcPr>
            <w:tcW w:w="840" w:type="pct"/>
            <w:noWrap/>
            <w:vAlign w:val="center"/>
          </w:tcPr>
          <w:p w14:paraId="4678C9BC" w14:textId="77777777" w:rsidR="00F76607" w:rsidRDefault="001863F0">
            <w:pPr>
              <w:jc w:val="center"/>
              <w:rPr>
                <w:sz w:val="18"/>
                <w:szCs w:val="18"/>
                <w:lang w:val="en-GB"/>
              </w:rPr>
            </w:pPr>
            <w:r>
              <w:rPr>
                <w:sz w:val="18"/>
                <w:szCs w:val="18"/>
                <w:lang w:val="en-GB"/>
              </w:rPr>
              <w:t>1.0541</w:t>
            </w:r>
          </w:p>
        </w:tc>
        <w:tc>
          <w:tcPr>
            <w:tcW w:w="739" w:type="pct"/>
            <w:noWrap/>
            <w:vAlign w:val="center"/>
          </w:tcPr>
          <w:p w14:paraId="22E00D89" w14:textId="77777777" w:rsidR="00F76607" w:rsidRDefault="001863F0">
            <w:pPr>
              <w:jc w:val="center"/>
              <w:rPr>
                <w:sz w:val="18"/>
                <w:szCs w:val="18"/>
                <w:lang w:val="en-GB"/>
              </w:rPr>
            </w:pPr>
            <w:r>
              <w:rPr>
                <w:sz w:val="18"/>
                <w:szCs w:val="18"/>
                <w:lang w:val="en-GB"/>
              </w:rPr>
              <w:t>1.1069</w:t>
            </w:r>
          </w:p>
        </w:tc>
        <w:tc>
          <w:tcPr>
            <w:tcW w:w="739" w:type="pct"/>
            <w:noWrap/>
            <w:vAlign w:val="center"/>
          </w:tcPr>
          <w:p w14:paraId="08740B41" w14:textId="77777777" w:rsidR="00F76607" w:rsidRDefault="001863F0">
            <w:pPr>
              <w:jc w:val="center"/>
              <w:rPr>
                <w:sz w:val="18"/>
                <w:szCs w:val="18"/>
                <w:lang w:val="en-GB"/>
              </w:rPr>
            </w:pPr>
            <w:r>
              <w:rPr>
                <w:sz w:val="18"/>
                <w:szCs w:val="18"/>
                <w:lang w:val="en-GB"/>
              </w:rPr>
              <w:t>1.1569</w:t>
            </w:r>
          </w:p>
        </w:tc>
        <w:tc>
          <w:tcPr>
            <w:tcW w:w="739" w:type="pct"/>
            <w:noWrap/>
            <w:vAlign w:val="center"/>
          </w:tcPr>
          <w:p w14:paraId="66E05EDA" w14:textId="77777777" w:rsidR="00F76607" w:rsidRDefault="001863F0">
            <w:pPr>
              <w:jc w:val="center"/>
              <w:rPr>
                <w:sz w:val="18"/>
                <w:szCs w:val="18"/>
                <w:lang w:val="en-GB"/>
              </w:rPr>
            </w:pPr>
            <w:r>
              <w:rPr>
                <w:sz w:val="18"/>
                <w:szCs w:val="18"/>
                <w:lang w:val="en-GB"/>
              </w:rPr>
              <w:t>1.0364</w:t>
            </w:r>
          </w:p>
        </w:tc>
      </w:tr>
      <w:tr w:rsidR="00F76607" w14:paraId="575B1BFA" w14:textId="77777777">
        <w:trPr>
          <w:trHeight w:val="248"/>
        </w:trPr>
        <w:tc>
          <w:tcPr>
            <w:tcW w:w="1943" w:type="pct"/>
          </w:tcPr>
          <w:p w14:paraId="4FB36714" w14:textId="517B854A" w:rsidR="00F76607" w:rsidRDefault="00E712C0">
            <w:pPr>
              <w:tabs>
                <w:tab w:val="left" w:leader="dot" w:pos="3780"/>
              </w:tabs>
              <w:rPr>
                <w:sz w:val="18"/>
                <w:szCs w:val="18"/>
                <w:lang w:val="en-GB"/>
              </w:rPr>
            </w:pPr>
            <w:r>
              <w:rPr>
                <w:sz w:val="18"/>
                <w:szCs w:val="18"/>
                <w:lang w:val="en-GB"/>
              </w:rPr>
              <w:t>2017 (through 6 October 2017</w:t>
            </w:r>
            <w:r w:rsidR="001863F0">
              <w:rPr>
                <w:sz w:val="18"/>
                <w:szCs w:val="18"/>
                <w:lang w:val="en-GB"/>
              </w:rPr>
              <w:t>)</w:t>
            </w:r>
            <w:r w:rsidR="001863F0">
              <w:rPr>
                <w:sz w:val="18"/>
                <w:szCs w:val="18"/>
                <w:lang w:val="en-GB"/>
              </w:rPr>
              <w:tab/>
            </w:r>
          </w:p>
        </w:tc>
        <w:tc>
          <w:tcPr>
            <w:tcW w:w="840" w:type="pct"/>
            <w:noWrap/>
            <w:vAlign w:val="center"/>
          </w:tcPr>
          <w:p w14:paraId="3086556A" w14:textId="76DB29A6" w:rsidR="00F76607" w:rsidRDefault="001863F0" w:rsidP="00E712C0">
            <w:pPr>
              <w:jc w:val="center"/>
              <w:rPr>
                <w:sz w:val="18"/>
                <w:szCs w:val="18"/>
                <w:lang w:val="en-GB"/>
              </w:rPr>
            </w:pPr>
            <w:r>
              <w:rPr>
                <w:sz w:val="18"/>
                <w:szCs w:val="18"/>
                <w:lang w:val="en-GB"/>
              </w:rPr>
              <w:t>1.</w:t>
            </w:r>
            <w:r w:rsidR="00E712C0">
              <w:rPr>
                <w:sz w:val="18"/>
                <w:szCs w:val="18"/>
                <w:lang w:val="en-GB"/>
              </w:rPr>
              <w:t>1707</w:t>
            </w:r>
          </w:p>
        </w:tc>
        <w:tc>
          <w:tcPr>
            <w:tcW w:w="739" w:type="pct"/>
            <w:noWrap/>
            <w:vAlign w:val="center"/>
          </w:tcPr>
          <w:p w14:paraId="2C87939C" w14:textId="69D3E0EB" w:rsidR="00F76607" w:rsidRDefault="001863F0" w:rsidP="00E712C0">
            <w:pPr>
              <w:jc w:val="center"/>
              <w:rPr>
                <w:sz w:val="18"/>
                <w:szCs w:val="18"/>
                <w:lang w:val="en-GB"/>
              </w:rPr>
            </w:pPr>
            <w:r>
              <w:rPr>
                <w:sz w:val="18"/>
                <w:szCs w:val="18"/>
                <w:lang w:val="en-GB"/>
              </w:rPr>
              <w:t>1</w:t>
            </w:r>
            <w:r w:rsidR="00E712C0">
              <w:rPr>
                <w:sz w:val="18"/>
                <w:szCs w:val="18"/>
                <w:lang w:val="en-GB"/>
              </w:rPr>
              <w:t>.1156</w:t>
            </w:r>
          </w:p>
        </w:tc>
        <w:tc>
          <w:tcPr>
            <w:tcW w:w="739" w:type="pct"/>
            <w:noWrap/>
            <w:vAlign w:val="center"/>
          </w:tcPr>
          <w:p w14:paraId="683681D0" w14:textId="12FAC37C" w:rsidR="00F76607" w:rsidRDefault="001863F0" w:rsidP="00E712C0">
            <w:pPr>
              <w:jc w:val="center"/>
              <w:rPr>
                <w:sz w:val="18"/>
                <w:szCs w:val="18"/>
                <w:lang w:val="en-GB"/>
              </w:rPr>
            </w:pPr>
            <w:r>
              <w:rPr>
                <w:sz w:val="18"/>
                <w:szCs w:val="18"/>
                <w:lang w:val="en-GB"/>
              </w:rPr>
              <w:t>1.</w:t>
            </w:r>
            <w:r w:rsidR="00E712C0">
              <w:rPr>
                <w:sz w:val="18"/>
                <w:szCs w:val="18"/>
                <w:lang w:val="en-GB"/>
              </w:rPr>
              <w:t>2060</w:t>
            </w:r>
          </w:p>
        </w:tc>
        <w:tc>
          <w:tcPr>
            <w:tcW w:w="739" w:type="pct"/>
            <w:noWrap/>
            <w:vAlign w:val="center"/>
          </w:tcPr>
          <w:p w14:paraId="0E1F06F8" w14:textId="77777777" w:rsidR="00F76607" w:rsidRDefault="001863F0">
            <w:pPr>
              <w:jc w:val="center"/>
              <w:rPr>
                <w:sz w:val="18"/>
                <w:szCs w:val="18"/>
                <w:lang w:val="en-GB"/>
              </w:rPr>
            </w:pPr>
            <w:r>
              <w:rPr>
                <w:sz w:val="18"/>
                <w:szCs w:val="18"/>
                <w:lang w:val="en-GB"/>
              </w:rPr>
              <w:t>1.0385</w:t>
            </w:r>
          </w:p>
        </w:tc>
      </w:tr>
      <w:tr w:rsidR="00F76607" w14:paraId="40FE9538" w14:textId="77777777">
        <w:tc>
          <w:tcPr>
            <w:tcW w:w="1943" w:type="pct"/>
          </w:tcPr>
          <w:p w14:paraId="5D4D3563" w14:textId="77777777" w:rsidR="00F76607" w:rsidRDefault="00F76607">
            <w:pPr>
              <w:tabs>
                <w:tab w:val="left" w:leader="dot" w:pos="3780"/>
              </w:tabs>
              <w:rPr>
                <w:sz w:val="18"/>
                <w:szCs w:val="18"/>
                <w:lang w:val="en-GB"/>
              </w:rPr>
            </w:pPr>
          </w:p>
        </w:tc>
        <w:tc>
          <w:tcPr>
            <w:tcW w:w="840" w:type="pct"/>
          </w:tcPr>
          <w:p w14:paraId="7606028F" w14:textId="77777777" w:rsidR="00F76607" w:rsidRDefault="00F76607">
            <w:pPr>
              <w:jc w:val="center"/>
              <w:rPr>
                <w:sz w:val="18"/>
                <w:szCs w:val="18"/>
                <w:lang w:val="en-GB"/>
              </w:rPr>
            </w:pPr>
          </w:p>
        </w:tc>
        <w:tc>
          <w:tcPr>
            <w:tcW w:w="739" w:type="pct"/>
          </w:tcPr>
          <w:p w14:paraId="5F9D21DB" w14:textId="77777777" w:rsidR="00F76607" w:rsidRDefault="00F76607">
            <w:pPr>
              <w:jc w:val="center"/>
              <w:rPr>
                <w:sz w:val="18"/>
                <w:szCs w:val="18"/>
                <w:lang w:val="en-GB"/>
              </w:rPr>
            </w:pPr>
          </w:p>
        </w:tc>
        <w:tc>
          <w:tcPr>
            <w:tcW w:w="739" w:type="pct"/>
          </w:tcPr>
          <w:p w14:paraId="2A28BCC8" w14:textId="77777777" w:rsidR="00F76607" w:rsidRDefault="00F76607">
            <w:pPr>
              <w:jc w:val="center"/>
              <w:rPr>
                <w:sz w:val="18"/>
                <w:szCs w:val="18"/>
                <w:lang w:val="en-GB"/>
              </w:rPr>
            </w:pPr>
          </w:p>
        </w:tc>
        <w:tc>
          <w:tcPr>
            <w:tcW w:w="739" w:type="pct"/>
          </w:tcPr>
          <w:p w14:paraId="77DEFF8C" w14:textId="77777777" w:rsidR="00F76607" w:rsidRDefault="00F76607">
            <w:pPr>
              <w:jc w:val="center"/>
              <w:rPr>
                <w:sz w:val="18"/>
                <w:szCs w:val="18"/>
                <w:lang w:val="en-GB"/>
              </w:rPr>
            </w:pPr>
          </w:p>
        </w:tc>
      </w:tr>
      <w:tr w:rsidR="00F76607" w14:paraId="0EB704CC" w14:textId="77777777">
        <w:tc>
          <w:tcPr>
            <w:tcW w:w="1943" w:type="pct"/>
          </w:tcPr>
          <w:p w14:paraId="01AF6CD3" w14:textId="77777777" w:rsidR="00F76607" w:rsidRDefault="001863F0">
            <w:pPr>
              <w:tabs>
                <w:tab w:val="left" w:leader="dot" w:pos="3780"/>
              </w:tabs>
              <w:rPr>
                <w:sz w:val="18"/>
                <w:szCs w:val="18"/>
                <w:lang w:val="en-GB"/>
              </w:rPr>
            </w:pPr>
            <w:r>
              <w:rPr>
                <w:b/>
                <w:bCs/>
                <w:sz w:val="18"/>
                <w:szCs w:val="18"/>
                <w:lang w:val="en-GB"/>
              </w:rPr>
              <w:t>Month</w:t>
            </w:r>
          </w:p>
        </w:tc>
        <w:tc>
          <w:tcPr>
            <w:tcW w:w="840" w:type="pct"/>
          </w:tcPr>
          <w:p w14:paraId="41EE8835" w14:textId="77777777" w:rsidR="00F76607" w:rsidRDefault="00F76607">
            <w:pPr>
              <w:jc w:val="center"/>
              <w:rPr>
                <w:sz w:val="18"/>
                <w:szCs w:val="18"/>
                <w:lang w:val="en-GB"/>
              </w:rPr>
            </w:pPr>
          </w:p>
        </w:tc>
        <w:tc>
          <w:tcPr>
            <w:tcW w:w="739" w:type="pct"/>
          </w:tcPr>
          <w:p w14:paraId="76EC43E0" w14:textId="77777777" w:rsidR="00F76607" w:rsidRDefault="00F76607">
            <w:pPr>
              <w:jc w:val="center"/>
              <w:rPr>
                <w:sz w:val="18"/>
                <w:szCs w:val="18"/>
                <w:lang w:val="en-GB"/>
              </w:rPr>
            </w:pPr>
          </w:p>
        </w:tc>
        <w:tc>
          <w:tcPr>
            <w:tcW w:w="739" w:type="pct"/>
          </w:tcPr>
          <w:p w14:paraId="60F4EB6C" w14:textId="77777777" w:rsidR="00F76607" w:rsidRDefault="00F76607">
            <w:pPr>
              <w:jc w:val="center"/>
              <w:rPr>
                <w:sz w:val="18"/>
                <w:szCs w:val="18"/>
                <w:lang w:val="en-GB"/>
              </w:rPr>
            </w:pPr>
          </w:p>
        </w:tc>
        <w:tc>
          <w:tcPr>
            <w:tcW w:w="739" w:type="pct"/>
          </w:tcPr>
          <w:p w14:paraId="2EF88299" w14:textId="77777777" w:rsidR="00F76607" w:rsidRDefault="00F76607">
            <w:pPr>
              <w:jc w:val="center"/>
              <w:rPr>
                <w:sz w:val="18"/>
                <w:szCs w:val="18"/>
                <w:lang w:val="en-GB"/>
              </w:rPr>
            </w:pPr>
          </w:p>
        </w:tc>
      </w:tr>
      <w:tr w:rsidR="00F76607" w14:paraId="3C9BB2D2" w14:textId="77777777">
        <w:tc>
          <w:tcPr>
            <w:tcW w:w="1943" w:type="pct"/>
          </w:tcPr>
          <w:p w14:paraId="1E3FB817" w14:textId="77777777" w:rsidR="00F76607" w:rsidRDefault="001863F0">
            <w:pPr>
              <w:tabs>
                <w:tab w:val="left" w:leader="dot" w:pos="3780"/>
              </w:tabs>
              <w:rPr>
                <w:sz w:val="18"/>
                <w:szCs w:val="18"/>
                <w:lang w:val="en-GB"/>
              </w:rPr>
            </w:pPr>
            <w:r>
              <w:rPr>
                <w:sz w:val="18"/>
                <w:szCs w:val="18"/>
                <w:lang w:val="en-GB"/>
              </w:rPr>
              <w:t>January 2017</w:t>
            </w:r>
            <w:r>
              <w:rPr>
                <w:sz w:val="18"/>
                <w:szCs w:val="18"/>
                <w:lang w:val="en-GB"/>
              </w:rPr>
              <w:tab/>
            </w:r>
          </w:p>
        </w:tc>
        <w:tc>
          <w:tcPr>
            <w:tcW w:w="840" w:type="pct"/>
            <w:noWrap/>
            <w:vAlign w:val="center"/>
          </w:tcPr>
          <w:p w14:paraId="0D8603C1" w14:textId="77777777" w:rsidR="00F76607" w:rsidRDefault="001863F0">
            <w:pPr>
              <w:jc w:val="center"/>
              <w:rPr>
                <w:sz w:val="18"/>
                <w:szCs w:val="18"/>
              </w:rPr>
            </w:pPr>
            <w:r>
              <w:rPr>
                <w:sz w:val="18"/>
                <w:szCs w:val="18"/>
                <w:lang w:val="en-GB"/>
              </w:rPr>
              <w:t>1.0755</w:t>
            </w:r>
          </w:p>
        </w:tc>
        <w:tc>
          <w:tcPr>
            <w:tcW w:w="739" w:type="pct"/>
            <w:noWrap/>
            <w:vAlign w:val="center"/>
          </w:tcPr>
          <w:p w14:paraId="694ABBD5" w14:textId="77777777" w:rsidR="00F76607" w:rsidRDefault="001863F0">
            <w:pPr>
              <w:jc w:val="center"/>
              <w:rPr>
                <w:sz w:val="18"/>
                <w:szCs w:val="18"/>
                <w:lang w:val="en-GB"/>
              </w:rPr>
            </w:pPr>
            <w:r>
              <w:rPr>
                <w:sz w:val="18"/>
                <w:szCs w:val="18"/>
                <w:lang w:val="en-GB"/>
              </w:rPr>
              <w:t>1.0614</w:t>
            </w:r>
          </w:p>
        </w:tc>
        <w:tc>
          <w:tcPr>
            <w:tcW w:w="739" w:type="pct"/>
            <w:noWrap/>
            <w:vAlign w:val="center"/>
          </w:tcPr>
          <w:p w14:paraId="7314C779" w14:textId="77777777" w:rsidR="00F76607" w:rsidRDefault="001863F0">
            <w:pPr>
              <w:jc w:val="center"/>
              <w:rPr>
                <w:sz w:val="18"/>
                <w:szCs w:val="18"/>
                <w:lang w:val="en-GB"/>
              </w:rPr>
            </w:pPr>
            <w:r>
              <w:rPr>
                <w:sz w:val="18"/>
                <w:szCs w:val="18"/>
                <w:lang w:val="en-GB"/>
              </w:rPr>
              <w:t>1.0755</w:t>
            </w:r>
          </w:p>
        </w:tc>
        <w:tc>
          <w:tcPr>
            <w:tcW w:w="739" w:type="pct"/>
            <w:noWrap/>
            <w:vAlign w:val="center"/>
          </w:tcPr>
          <w:p w14:paraId="7F3558C6" w14:textId="77777777" w:rsidR="00F76607" w:rsidRDefault="001863F0">
            <w:pPr>
              <w:jc w:val="center"/>
              <w:rPr>
                <w:sz w:val="18"/>
                <w:szCs w:val="18"/>
                <w:lang w:val="en-GB"/>
              </w:rPr>
            </w:pPr>
            <w:r>
              <w:rPr>
                <w:sz w:val="18"/>
                <w:szCs w:val="18"/>
                <w:lang w:val="en-GB"/>
              </w:rPr>
              <w:t>1.0385</w:t>
            </w:r>
          </w:p>
        </w:tc>
      </w:tr>
      <w:tr w:rsidR="00F76607" w14:paraId="6E5510BE" w14:textId="77777777">
        <w:tc>
          <w:tcPr>
            <w:tcW w:w="1943" w:type="pct"/>
          </w:tcPr>
          <w:p w14:paraId="3C27E4C0" w14:textId="77777777" w:rsidR="00F76607" w:rsidRDefault="001863F0">
            <w:pPr>
              <w:tabs>
                <w:tab w:val="left" w:leader="dot" w:pos="3780"/>
              </w:tabs>
              <w:rPr>
                <w:sz w:val="18"/>
                <w:szCs w:val="18"/>
                <w:lang w:val="en-GB"/>
              </w:rPr>
            </w:pPr>
            <w:r>
              <w:rPr>
                <w:sz w:val="18"/>
                <w:szCs w:val="18"/>
                <w:lang w:val="en-GB"/>
              </w:rPr>
              <w:t>February 2017</w:t>
            </w:r>
            <w:r>
              <w:rPr>
                <w:sz w:val="18"/>
                <w:szCs w:val="18"/>
                <w:lang w:val="en-GB"/>
              </w:rPr>
              <w:tab/>
            </w:r>
          </w:p>
        </w:tc>
        <w:tc>
          <w:tcPr>
            <w:tcW w:w="840" w:type="pct"/>
            <w:noWrap/>
            <w:vAlign w:val="center"/>
          </w:tcPr>
          <w:p w14:paraId="617F7802" w14:textId="77777777" w:rsidR="00F76607" w:rsidRDefault="001863F0">
            <w:pPr>
              <w:jc w:val="center"/>
              <w:rPr>
                <w:sz w:val="18"/>
                <w:szCs w:val="18"/>
                <w:lang w:val="en-GB"/>
              </w:rPr>
            </w:pPr>
            <w:r>
              <w:rPr>
                <w:sz w:val="18"/>
                <w:szCs w:val="18"/>
                <w:lang w:val="en-GB"/>
              </w:rPr>
              <w:t>1.0597</w:t>
            </w:r>
          </w:p>
        </w:tc>
        <w:tc>
          <w:tcPr>
            <w:tcW w:w="739" w:type="pct"/>
            <w:noWrap/>
            <w:vAlign w:val="center"/>
          </w:tcPr>
          <w:p w14:paraId="722BD1E5" w14:textId="77777777" w:rsidR="00F76607" w:rsidRDefault="001863F0">
            <w:pPr>
              <w:jc w:val="center"/>
              <w:rPr>
                <w:sz w:val="18"/>
                <w:szCs w:val="18"/>
                <w:lang w:val="en-GB"/>
              </w:rPr>
            </w:pPr>
            <w:r>
              <w:rPr>
                <w:sz w:val="18"/>
                <w:szCs w:val="18"/>
                <w:lang w:val="en-GB"/>
              </w:rPr>
              <w:t>1.0643</w:t>
            </w:r>
          </w:p>
        </w:tc>
        <w:tc>
          <w:tcPr>
            <w:tcW w:w="739" w:type="pct"/>
            <w:noWrap/>
            <w:vAlign w:val="center"/>
          </w:tcPr>
          <w:p w14:paraId="162030FC" w14:textId="77777777" w:rsidR="00F76607" w:rsidRDefault="001863F0">
            <w:pPr>
              <w:jc w:val="center"/>
              <w:rPr>
                <w:sz w:val="18"/>
                <w:szCs w:val="18"/>
                <w:lang w:val="en-GB"/>
              </w:rPr>
            </w:pPr>
            <w:r>
              <w:rPr>
                <w:sz w:val="18"/>
                <w:szCs w:val="18"/>
                <w:lang w:val="en-GB"/>
              </w:rPr>
              <w:t>1.0808</w:t>
            </w:r>
          </w:p>
        </w:tc>
        <w:tc>
          <w:tcPr>
            <w:tcW w:w="739" w:type="pct"/>
            <w:noWrap/>
            <w:vAlign w:val="center"/>
          </w:tcPr>
          <w:p w14:paraId="6C03F183" w14:textId="77777777" w:rsidR="00F76607" w:rsidRDefault="001863F0">
            <w:pPr>
              <w:jc w:val="center"/>
              <w:rPr>
                <w:sz w:val="18"/>
                <w:szCs w:val="18"/>
                <w:lang w:val="en-GB"/>
              </w:rPr>
            </w:pPr>
            <w:r>
              <w:rPr>
                <w:sz w:val="18"/>
                <w:szCs w:val="18"/>
                <w:lang w:val="en-GB"/>
              </w:rPr>
              <w:t>1.0513</w:t>
            </w:r>
          </w:p>
        </w:tc>
      </w:tr>
      <w:tr w:rsidR="00F76607" w14:paraId="6419BD18" w14:textId="77777777">
        <w:tc>
          <w:tcPr>
            <w:tcW w:w="1943" w:type="pct"/>
          </w:tcPr>
          <w:p w14:paraId="5070476D" w14:textId="77777777" w:rsidR="00F76607" w:rsidRDefault="001863F0">
            <w:pPr>
              <w:tabs>
                <w:tab w:val="left" w:leader="dot" w:pos="3780"/>
              </w:tabs>
              <w:rPr>
                <w:sz w:val="18"/>
                <w:szCs w:val="18"/>
                <w:lang w:val="en-GB"/>
              </w:rPr>
            </w:pPr>
            <w:r>
              <w:rPr>
                <w:sz w:val="18"/>
                <w:szCs w:val="18"/>
                <w:lang w:val="en-GB"/>
              </w:rPr>
              <w:t>March 2017</w:t>
            </w:r>
            <w:r>
              <w:rPr>
                <w:sz w:val="18"/>
                <w:szCs w:val="18"/>
                <w:lang w:val="en-GB"/>
              </w:rPr>
              <w:tab/>
            </w:r>
          </w:p>
        </w:tc>
        <w:tc>
          <w:tcPr>
            <w:tcW w:w="840" w:type="pct"/>
            <w:noWrap/>
            <w:vAlign w:val="center"/>
          </w:tcPr>
          <w:p w14:paraId="7E710AEB" w14:textId="77777777" w:rsidR="00F76607" w:rsidRDefault="001863F0">
            <w:pPr>
              <w:jc w:val="center"/>
              <w:rPr>
                <w:sz w:val="18"/>
                <w:szCs w:val="18"/>
                <w:lang w:val="en-GB"/>
              </w:rPr>
            </w:pPr>
            <w:r>
              <w:rPr>
                <w:sz w:val="18"/>
                <w:szCs w:val="18"/>
                <w:lang w:val="en-GB"/>
              </w:rPr>
              <w:t>1.0691</w:t>
            </w:r>
          </w:p>
        </w:tc>
        <w:tc>
          <w:tcPr>
            <w:tcW w:w="739" w:type="pct"/>
            <w:noWrap/>
            <w:vAlign w:val="center"/>
          </w:tcPr>
          <w:p w14:paraId="51BCCFE8" w14:textId="77777777" w:rsidR="00F76607" w:rsidRDefault="001863F0">
            <w:pPr>
              <w:jc w:val="center"/>
              <w:rPr>
                <w:sz w:val="18"/>
                <w:szCs w:val="18"/>
                <w:lang w:val="en-GB"/>
              </w:rPr>
            </w:pPr>
            <w:r>
              <w:rPr>
                <w:sz w:val="18"/>
                <w:szCs w:val="18"/>
                <w:lang w:val="en-GB"/>
              </w:rPr>
              <w:t>1.0685</w:t>
            </w:r>
          </w:p>
        </w:tc>
        <w:tc>
          <w:tcPr>
            <w:tcW w:w="739" w:type="pct"/>
            <w:noWrap/>
            <w:vAlign w:val="center"/>
          </w:tcPr>
          <w:p w14:paraId="5380DEE8" w14:textId="77777777" w:rsidR="00F76607" w:rsidRDefault="001863F0">
            <w:pPr>
              <w:jc w:val="center"/>
              <w:rPr>
                <w:sz w:val="18"/>
                <w:szCs w:val="18"/>
                <w:lang w:val="en-GB"/>
              </w:rPr>
            </w:pPr>
            <w:r>
              <w:rPr>
                <w:sz w:val="18"/>
                <w:szCs w:val="18"/>
                <w:lang w:val="en-GB"/>
              </w:rPr>
              <w:t>1.0889</w:t>
            </w:r>
          </w:p>
        </w:tc>
        <w:tc>
          <w:tcPr>
            <w:tcW w:w="739" w:type="pct"/>
            <w:noWrap/>
            <w:vAlign w:val="center"/>
          </w:tcPr>
          <w:p w14:paraId="11F44C24" w14:textId="77777777" w:rsidR="00F76607" w:rsidRDefault="001863F0">
            <w:pPr>
              <w:jc w:val="center"/>
              <w:rPr>
                <w:sz w:val="18"/>
                <w:szCs w:val="18"/>
                <w:lang w:val="en-GB"/>
              </w:rPr>
            </w:pPr>
            <w:r>
              <w:rPr>
                <w:sz w:val="18"/>
                <w:szCs w:val="18"/>
                <w:lang w:val="en-GB"/>
              </w:rPr>
              <w:t>1.0514</w:t>
            </w:r>
          </w:p>
        </w:tc>
      </w:tr>
      <w:tr w:rsidR="00F76607" w14:paraId="76996F80" w14:textId="77777777">
        <w:tc>
          <w:tcPr>
            <w:tcW w:w="1943" w:type="pct"/>
          </w:tcPr>
          <w:p w14:paraId="4A782E84" w14:textId="77777777" w:rsidR="00F76607" w:rsidRDefault="001863F0">
            <w:pPr>
              <w:tabs>
                <w:tab w:val="left" w:leader="dot" w:pos="3780"/>
              </w:tabs>
              <w:rPr>
                <w:sz w:val="18"/>
                <w:szCs w:val="18"/>
                <w:lang w:val="en-GB"/>
              </w:rPr>
            </w:pPr>
            <w:r>
              <w:rPr>
                <w:sz w:val="18"/>
                <w:szCs w:val="18"/>
                <w:lang w:val="en-GB"/>
              </w:rPr>
              <w:t>April 2017</w:t>
            </w:r>
            <w:r>
              <w:rPr>
                <w:sz w:val="18"/>
                <w:szCs w:val="18"/>
                <w:lang w:val="en-GB"/>
              </w:rPr>
              <w:tab/>
            </w:r>
          </w:p>
        </w:tc>
        <w:tc>
          <w:tcPr>
            <w:tcW w:w="840" w:type="pct"/>
            <w:noWrap/>
            <w:vAlign w:val="center"/>
          </w:tcPr>
          <w:p w14:paraId="7F9D4DE6" w14:textId="77777777" w:rsidR="00F76607" w:rsidRDefault="001863F0">
            <w:pPr>
              <w:jc w:val="center"/>
              <w:rPr>
                <w:sz w:val="18"/>
                <w:szCs w:val="18"/>
                <w:lang w:val="en-GB"/>
              </w:rPr>
            </w:pPr>
            <w:r>
              <w:rPr>
                <w:sz w:val="18"/>
                <w:szCs w:val="18"/>
                <w:lang w:val="en-GB"/>
              </w:rPr>
              <w:t>1.093</w:t>
            </w:r>
          </w:p>
        </w:tc>
        <w:tc>
          <w:tcPr>
            <w:tcW w:w="739" w:type="pct"/>
            <w:noWrap/>
            <w:vAlign w:val="center"/>
          </w:tcPr>
          <w:p w14:paraId="50C2697D" w14:textId="77777777" w:rsidR="00F76607" w:rsidRDefault="001863F0">
            <w:pPr>
              <w:jc w:val="center"/>
              <w:rPr>
                <w:sz w:val="18"/>
                <w:szCs w:val="18"/>
                <w:lang w:val="en-GB"/>
              </w:rPr>
            </w:pPr>
            <w:r>
              <w:rPr>
                <w:sz w:val="18"/>
                <w:szCs w:val="18"/>
                <w:lang w:val="en-GB"/>
              </w:rPr>
              <w:t>1.0723</w:t>
            </w:r>
          </w:p>
        </w:tc>
        <w:tc>
          <w:tcPr>
            <w:tcW w:w="739" w:type="pct"/>
            <w:noWrap/>
            <w:vAlign w:val="center"/>
          </w:tcPr>
          <w:p w14:paraId="4D55C0D8" w14:textId="77777777" w:rsidR="00F76607" w:rsidRDefault="001863F0">
            <w:pPr>
              <w:jc w:val="center"/>
              <w:rPr>
                <w:sz w:val="18"/>
                <w:szCs w:val="18"/>
                <w:lang w:val="en-GB"/>
              </w:rPr>
            </w:pPr>
            <w:r>
              <w:rPr>
                <w:sz w:val="18"/>
                <w:szCs w:val="18"/>
                <w:lang w:val="en-GB"/>
              </w:rPr>
              <w:t>1.093</w:t>
            </w:r>
          </w:p>
        </w:tc>
        <w:tc>
          <w:tcPr>
            <w:tcW w:w="739" w:type="pct"/>
            <w:noWrap/>
            <w:vAlign w:val="center"/>
          </w:tcPr>
          <w:p w14:paraId="6DD3EF8A" w14:textId="77777777" w:rsidR="00F76607" w:rsidRDefault="001863F0">
            <w:pPr>
              <w:jc w:val="center"/>
              <w:rPr>
                <w:sz w:val="18"/>
                <w:szCs w:val="18"/>
                <w:lang w:val="en-GB"/>
              </w:rPr>
            </w:pPr>
            <w:r>
              <w:rPr>
                <w:sz w:val="18"/>
                <w:szCs w:val="18"/>
                <w:lang w:val="en-GB"/>
              </w:rPr>
              <w:t>1.0578</w:t>
            </w:r>
          </w:p>
        </w:tc>
      </w:tr>
      <w:tr w:rsidR="00F76607" w14:paraId="06E3B942" w14:textId="77777777">
        <w:tc>
          <w:tcPr>
            <w:tcW w:w="1943" w:type="pct"/>
          </w:tcPr>
          <w:p w14:paraId="775770C4" w14:textId="77777777" w:rsidR="00F76607" w:rsidRDefault="001863F0">
            <w:pPr>
              <w:tabs>
                <w:tab w:val="left" w:leader="dot" w:pos="3780"/>
              </w:tabs>
              <w:rPr>
                <w:sz w:val="18"/>
                <w:szCs w:val="18"/>
                <w:lang w:val="en-GB"/>
              </w:rPr>
            </w:pPr>
            <w:r>
              <w:rPr>
                <w:sz w:val="18"/>
                <w:szCs w:val="18"/>
                <w:lang w:val="en-GB"/>
              </w:rPr>
              <w:t>May 2017</w:t>
            </w:r>
            <w:r>
              <w:rPr>
                <w:sz w:val="18"/>
                <w:szCs w:val="18"/>
                <w:lang w:val="en-GB"/>
              </w:rPr>
              <w:tab/>
            </w:r>
          </w:p>
        </w:tc>
        <w:tc>
          <w:tcPr>
            <w:tcW w:w="840" w:type="pct"/>
            <w:noWrap/>
            <w:vAlign w:val="center"/>
          </w:tcPr>
          <w:p w14:paraId="708E055D" w14:textId="77777777" w:rsidR="00F76607" w:rsidRDefault="001863F0">
            <w:pPr>
              <w:jc w:val="center"/>
              <w:rPr>
                <w:sz w:val="18"/>
                <w:szCs w:val="18"/>
                <w:lang w:val="en-GB"/>
              </w:rPr>
            </w:pPr>
            <w:r>
              <w:rPr>
                <w:sz w:val="18"/>
                <w:szCs w:val="18"/>
                <w:lang w:val="en-GB"/>
              </w:rPr>
              <w:t>1.1221</w:t>
            </w:r>
          </w:p>
        </w:tc>
        <w:tc>
          <w:tcPr>
            <w:tcW w:w="739" w:type="pct"/>
            <w:noWrap/>
            <w:vAlign w:val="center"/>
          </w:tcPr>
          <w:p w14:paraId="1370ABDC" w14:textId="77777777" w:rsidR="00F76607" w:rsidRDefault="001863F0">
            <w:pPr>
              <w:jc w:val="center"/>
              <w:rPr>
                <w:sz w:val="18"/>
                <w:szCs w:val="18"/>
                <w:lang w:val="en-GB"/>
              </w:rPr>
            </w:pPr>
            <w:r>
              <w:rPr>
                <w:sz w:val="18"/>
                <w:szCs w:val="18"/>
                <w:lang w:val="en-GB"/>
              </w:rPr>
              <w:t>1.1058</w:t>
            </w:r>
          </w:p>
        </w:tc>
        <w:tc>
          <w:tcPr>
            <w:tcW w:w="739" w:type="pct"/>
            <w:noWrap/>
            <w:vAlign w:val="center"/>
          </w:tcPr>
          <w:p w14:paraId="647DE020" w14:textId="77777777" w:rsidR="00F76607" w:rsidRDefault="001863F0">
            <w:pPr>
              <w:jc w:val="center"/>
              <w:rPr>
                <w:sz w:val="18"/>
                <w:szCs w:val="18"/>
                <w:lang w:val="en-GB"/>
              </w:rPr>
            </w:pPr>
            <w:r>
              <w:rPr>
                <w:sz w:val="18"/>
                <w:szCs w:val="18"/>
                <w:lang w:val="en-GB"/>
              </w:rPr>
              <w:t>1.1243</w:t>
            </w:r>
          </w:p>
        </w:tc>
        <w:tc>
          <w:tcPr>
            <w:tcW w:w="739" w:type="pct"/>
            <w:noWrap/>
            <w:vAlign w:val="center"/>
          </w:tcPr>
          <w:p w14:paraId="4C0C1739" w14:textId="77777777" w:rsidR="00F76607" w:rsidRDefault="001863F0">
            <w:pPr>
              <w:jc w:val="center"/>
              <w:rPr>
                <w:sz w:val="18"/>
                <w:szCs w:val="18"/>
                <w:lang w:val="en-GB"/>
              </w:rPr>
            </w:pPr>
            <w:r>
              <w:rPr>
                <w:sz w:val="18"/>
                <w:szCs w:val="18"/>
                <w:lang w:val="en-GB"/>
              </w:rPr>
              <w:t>1.086</w:t>
            </w:r>
          </w:p>
        </w:tc>
      </w:tr>
      <w:tr w:rsidR="00F76607" w14:paraId="149F6FF2" w14:textId="77777777">
        <w:tc>
          <w:tcPr>
            <w:tcW w:w="1943" w:type="pct"/>
          </w:tcPr>
          <w:p w14:paraId="6946BA64" w14:textId="77777777" w:rsidR="00F76607" w:rsidRDefault="001863F0">
            <w:pPr>
              <w:tabs>
                <w:tab w:val="left" w:leader="dot" w:pos="3780"/>
              </w:tabs>
              <w:rPr>
                <w:sz w:val="18"/>
                <w:szCs w:val="18"/>
                <w:lang w:val="en-GB"/>
              </w:rPr>
            </w:pPr>
            <w:r>
              <w:rPr>
                <w:sz w:val="18"/>
                <w:szCs w:val="18"/>
                <w:lang w:val="en-GB"/>
              </w:rPr>
              <w:t>June 2017</w:t>
            </w:r>
            <w:r>
              <w:rPr>
                <w:sz w:val="18"/>
                <w:szCs w:val="18"/>
                <w:lang w:val="en-GB"/>
              </w:rPr>
              <w:tab/>
            </w:r>
          </w:p>
        </w:tc>
        <w:tc>
          <w:tcPr>
            <w:tcW w:w="840" w:type="pct"/>
            <w:noWrap/>
            <w:vAlign w:val="center"/>
          </w:tcPr>
          <w:p w14:paraId="59698EFB" w14:textId="77777777" w:rsidR="00F76607" w:rsidRDefault="001863F0">
            <w:pPr>
              <w:jc w:val="center"/>
              <w:rPr>
                <w:sz w:val="18"/>
                <w:szCs w:val="18"/>
                <w:lang w:val="en-GB"/>
              </w:rPr>
            </w:pPr>
            <w:r>
              <w:rPr>
                <w:sz w:val="18"/>
                <w:szCs w:val="18"/>
                <w:lang w:val="en-GB"/>
              </w:rPr>
              <w:t>1.1412</w:t>
            </w:r>
          </w:p>
        </w:tc>
        <w:tc>
          <w:tcPr>
            <w:tcW w:w="739" w:type="pct"/>
            <w:noWrap/>
            <w:vAlign w:val="center"/>
          </w:tcPr>
          <w:p w14:paraId="419F084D" w14:textId="77777777" w:rsidR="00F76607" w:rsidRDefault="001863F0">
            <w:pPr>
              <w:jc w:val="center"/>
              <w:rPr>
                <w:sz w:val="18"/>
                <w:szCs w:val="18"/>
                <w:lang w:val="en-GB"/>
              </w:rPr>
            </w:pPr>
            <w:r>
              <w:rPr>
                <w:sz w:val="18"/>
                <w:szCs w:val="18"/>
                <w:lang w:val="en-GB"/>
              </w:rPr>
              <w:t>1.1229</w:t>
            </w:r>
          </w:p>
        </w:tc>
        <w:tc>
          <w:tcPr>
            <w:tcW w:w="739" w:type="pct"/>
            <w:noWrap/>
            <w:vAlign w:val="center"/>
          </w:tcPr>
          <w:p w14:paraId="0D0E5901" w14:textId="77777777" w:rsidR="00F76607" w:rsidRDefault="001863F0">
            <w:pPr>
              <w:jc w:val="center"/>
              <w:rPr>
                <w:sz w:val="18"/>
                <w:szCs w:val="18"/>
                <w:lang w:val="en-GB"/>
              </w:rPr>
            </w:pPr>
            <w:r>
              <w:rPr>
                <w:sz w:val="18"/>
                <w:szCs w:val="18"/>
                <w:lang w:val="en-GB"/>
              </w:rPr>
              <w:t>1.1413</w:t>
            </w:r>
          </w:p>
        </w:tc>
        <w:tc>
          <w:tcPr>
            <w:tcW w:w="739" w:type="pct"/>
            <w:noWrap/>
            <w:vAlign w:val="center"/>
          </w:tcPr>
          <w:p w14:paraId="7A792578" w14:textId="77777777" w:rsidR="00F76607" w:rsidRDefault="001863F0">
            <w:pPr>
              <w:jc w:val="center"/>
              <w:rPr>
                <w:sz w:val="18"/>
                <w:szCs w:val="18"/>
                <w:lang w:val="en-GB"/>
              </w:rPr>
            </w:pPr>
            <w:r>
              <w:rPr>
                <w:sz w:val="18"/>
                <w:szCs w:val="18"/>
                <w:lang w:val="en-GB"/>
              </w:rPr>
              <w:t>1.1147</w:t>
            </w:r>
          </w:p>
        </w:tc>
      </w:tr>
      <w:tr w:rsidR="00F76607" w14:paraId="35DD7B53" w14:textId="77777777">
        <w:tc>
          <w:tcPr>
            <w:tcW w:w="1943" w:type="pct"/>
          </w:tcPr>
          <w:p w14:paraId="43965A6D" w14:textId="77777777" w:rsidR="00F76607" w:rsidRDefault="001863F0">
            <w:pPr>
              <w:tabs>
                <w:tab w:val="left" w:leader="dot" w:pos="3780"/>
              </w:tabs>
              <w:rPr>
                <w:sz w:val="18"/>
                <w:szCs w:val="18"/>
                <w:lang w:val="en-GB"/>
              </w:rPr>
            </w:pPr>
            <w:r>
              <w:rPr>
                <w:sz w:val="18"/>
                <w:szCs w:val="18"/>
                <w:lang w:val="en-GB"/>
              </w:rPr>
              <w:t>July 2017</w:t>
            </w:r>
            <w:r>
              <w:rPr>
                <w:sz w:val="18"/>
                <w:szCs w:val="18"/>
                <w:lang w:val="en-GB"/>
              </w:rPr>
              <w:tab/>
            </w:r>
          </w:p>
        </w:tc>
        <w:tc>
          <w:tcPr>
            <w:tcW w:w="840" w:type="pct"/>
            <w:noWrap/>
            <w:vAlign w:val="center"/>
          </w:tcPr>
          <w:p w14:paraId="7A17D452" w14:textId="77777777" w:rsidR="00F76607" w:rsidRDefault="001863F0">
            <w:pPr>
              <w:jc w:val="center"/>
              <w:rPr>
                <w:sz w:val="18"/>
                <w:szCs w:val="18"/>
                <w:lang w:val="en-GB"/>
              </w:rPr>
            </w:pPr>
            <w:r>
              <w:rPr>
                <w:sz w:val="18"/>
                <w:szCs w:val="18"/>
                <w:lang w:val="en-GB"/>
              </w:rPr>
              <w:t>1.1727</w:t>
            </w:r>
          </w:p>
        </w:tc>
        <w:tc>
          <w:tcPr>
            <w:tcW w:w="739" w:type="pct"/>
            <w:noWrap/>
            <w:vAlign w:val="center"/>
          </w:tcPr>
          <w:p w14:paraId="7F394DFD" w14:textId="77777777" w:rsidR="00F76607" w:rsidRDefault="001863F0">
            <w:pPr>
              <w:jc w:val="center"/>
              <w:rPr>
                <w:sz w:val="18"/>
                <w:szCs w:val="18"/>
                <w:lang w:val="en-GB"/>
              </w:rPr>
            </w:pPr>
            <w:r>
              <w:rPr>
                <w:sz w:val="18"/>
                <w:szCs w:val="18"/>
                <w:lang w:val="en-GB"/>
              </w:rPr>
              <w:t>1.1511</w:t>
            </w:r>
          </w:p>
        </w:tc>
        <w:tc>
          <w:tcPr>
            <w:tcW w:w="739" w:type="pct"/>
            <w:noWrap/>
            <w:vAlign w:val="center"/>
          </w:tcPr>
          <w:p w14:paraId="5471DB05" w14:textId="77777777" w:rsidR="00F76607" w:rsidRDefault="001863F0">
            <w:pPr>
              <w:jc w:val="center"/>
              <w:rPr>
                <w:sz w:val="18"/>
                <w:szCs w:val="18"/>
                <w:lang w:val="en-GB"/>
              </w:rPr>
            </w:pPr>
            <w:r>
              <w:rPr>
                <w:sz w:val="18"/>
                <w:szCs w:val="18"/>
                <w:lang w:val="en-GB"/>
              </w:rPr>
              <w:t>1.1729</w:t>
            </w:r>
          </w:p>
        </w:tc>
        <w:tc>
          <w:tcPr>
            <w:tcW w:w="739" w:type="pct"/>
            <w:noWrap/>
            <w:vAlign w:val="center"/>
          </w:tcPr>
          <w:p w14:paraId="2EEC2F40" w14:textId="77777777" w:rsidR="00F76607" w:rsidRDefault="001863F0">
            <w:pPr>
              <w:jc w:val="center"/>
              <w:rPr>
                <w:sz w:val="18"/>
                <w:szCs w:val="18"/>
                <w:lang w:val="en-GB"/>
              </w:rPr>
            </w:pPr>
            <w:r>
              <w:rPr>
                <w:sz w:val="18"/>
                <w:szCs w:val="18"/>
                <w:lang w:val="en-GB"/>
              </w:rPr>
              <w:t>1.1329</w:t>
            </w:r>
          </w:p>
        </w:tc>
      </w:tr>
      <w:tr w:rsidR="00F76607" w14:paraId="1D3ECC6C" w14:textId="77777777">
        <w:tc>
          <w:tcPr>
            <w:tcW w:w="1943" w:type="pct"/>
          </w:tcPr>
          <w:p w14:paraId="0CD0E729" w14:textId="77777777" w:rsidR="00F76607" w:rsidRDefault="001863F0">
            <w:pPr>
              <w:tabs>
                <w:tab w:val="left" w:leader="dot" w:pos="3780"/>
              </w:tabs>
              <w:rPr>
                <w:sz w:val="18"/>
                <w:szCs w:val="18"/>
                <w:lang w:val="en-GB"/>
              </w:rPr>
            </w:pPr>
            <w:r>
              <w:rPr>
                <w:sz w:val="18"/>
                <w:szCs w:val="18"/>
                <w:lang w:val="en-GB"/>
              </w:rPr>
              <w:t>August 2017</w:t>
            </w:r>
            <w:r>
              <w:rPr>
                <w:sz w:val="18"/>
                <w:szCs w:val="18"/>
                <w:lang w:val="en-GB"/>
              </w:rPr>
              <w:tab/>
            </w:r>
          </w:p>
        </w:tc>
        <w:tc>
          <w:tcPr>
            <w:tcW w:w="840" w:type="pct"/>
            <w:noWrap/>
            <w:vAlign w:val="bottom"/>
          </w:tcPr>
          <w:p w14:paraId="4540D8BA" w14:textId="77777777" w:rsidR="00F76607" w:rsidRDefault="001863F0">
            <w:pPr>
              <w:jc w:val="center"/>
              <w:rPr>
                <w:sz w:val="18"/>
                <w:szCs w:val="18"/>
                <w:lang w:val="en-GB"/>
              </w:rPr>
            </w:pPr>
            <w:r>
              <w:rPr>
                <w:sz w:val="18"/>
                <w:szCs w:val="18"/>
                <w:lang w:val="en-GB"/>
              </w:rPr>
              <w:t>1.1825</w:t>
            </w:r>
          </w:p>
        </w:tc>
        <w:tc>
          <w:tcPr>
            <w:tcW w:w="739" w:type="pct"/>
            <w:noWrap/>
            <w:vAlign w:val="bottom"/>
          </w:tcPr>
          <w:p w14:paraId="63C72053" w14:textId="77777777" w:rsidR="00F76607" w:rsidRDefault="001863F0">
            <w:pPr>
              <w:jc w:val="center"/>
              <w:rPr>
                <w:sz w:val="18"/>
                <w:szCs w:val="18"/>
                <w:lang w:val="en-GB"/>
              </w:rPr>
            </w:pPr>
            <w:r>
              <w:rPr>
                <w:sz w:val="18"/>
                <w:szCs w:val="18"/>
                <w:lang w:val="en-GB"/>
              </w:rPr>
              <w:t>1.1807</w:t>
            </w:r>
          </w:p>
        </w:tc>
        <w:tc>
          <w:tcPr>
            <w:tcW w:w="739" w:type="pct"/>
            <w:noWrap/>
            <w:vAlign w:val="bottom"/>
          </w:tcPr>
          <w:p w14:paraId="692FF84D" w14:textId="77777777" w:rsidR="00F76607" w:rsidRDefault="001863F0">
            <w:pPr>
              <w:jc w:val="center"/>
              <w:rPr>
                <w:sz w:val="18"/>
                <w:szCs w:val="18"/>
                <w:lang w:val="en-GB"/>
              </w:rPr>
            </w:pPr>
            <w:r>
              <w:rPr>
                <w:sz w:val="18"/>
                <w:szCs w:val="18"/>
                <w:lang w:val="en-GB"/>
              </w:rPr>
              <w:t>1.2048</w:t>
            </w:r>
          </w:p>
        </w:tc>
        <w:tc>
          <w:tcPr>
            <w:tcW w:w="739" w:type="pct"/>
            <w:noWrap/>
            <w:vAlign w:val="bottom"/>
          </w:tcPr>
          <w:p w14:paraId="70558E3E" w14:textId="77777777" w:rsidR="00F76607" w:rsidRDefault="001863F0">
            <w:pPr>
              <w:jc w:val="center"/>
              <w:rPr>
                <w:sz w:val="18"/>
                <w:szCs w:val="18"/>
                <w:lang w:val="en-GB"/>
              </w:rPr>
            </w:pPr>
            <w:r>
              <w:rPr>
                <w:sz w:val="18"/>
                <w:szCs w:val="18"/>
                <w:lang w:val="en-GB"/>
              </w:rPr>
              <w:t>1.1697</w:t>
            </w:r>
          </w:p>
        </w:tc>
      </w:tr>
      <w:tr w:rsidR="00F76607" w14:paraId="4B38B08D" w14:textId="77777777">
        <w:tc>
          <w:tcPr>
            <w:tcW w:w="1943" w:type="pct"/>
          </w:tcPr>
          <w:p w14:paraId="0D35144B" w14:textId="77777777" w:rsidR="00F76607" w:rsidRDefault="001863F0">
            <w:pPr>
              <w:tabs>
                <w:tab w:val="left" w:leader="dot" w:pos="3780"/>
              </w:tabs>
              <w:rPr>
                <w:sz w:val="18"/>
                <w:szCs w:val="18"/>
                <w:lang w:val="en-GB"/>
              </w:rPr>
            </w:pPr>
            <w:r>
              <w:rPr>
                <w:sz w:val="18"/>
                <w:szCs w:val="18"/>
                <w:lang w:val="en-GB"/>
              </w:rPr>
              <w:t>September 2017</w:t>
            </w:r>
            <w:r>
              <w:rPr>
                <w:sz w:val="18"/>
                <w:szCs w:val="18"/>
                <w:lang w:val="en-GB"/>
              </w:rPr>
              <w:tab/>
            </w:r>
          </w:p>
        </w:tc>
        <w:tc>
          <w:tcPr>
            <w:tcW w:w="840" w:type="pct"/>
            <w:noWrap/>
            <w:vAlign w:val="bottom"/>
          </w:tcPr>
          <w:p w14:paraId="4858388B" w14:textId="0DF6FDB4" w:rsidR="00F76607" w:rsidRPr="00E712C0" w:rsidRDefault="00E712C0">
            <w:pPr>
              <w:jc w:val="center"/>
              <w:rPr>
                <w:sz w:val="18"/>
                <w:szCs w:val="18"/>
                <w:lang w:val="en-GB"/>
              </w:rPr>
            </w:pPr>
            <w:r w:rsidRPr="00E712C0">
              <w:rPr>
                <w:sz w:val="18"/>
                <w:szCs w:val="18"/>
                <w:lang w:val="en-GB"/>
              </w:rPr>
              <w:t>1.</w:t>
            </w:r>
            <w:r>
              <w:rPr>
                <w:sz w:val="18"/>
                <w:szCs w:val="18"/>
                <w:lang w:val="en-GB"/>
              </w:rPr>
              <w:t>1</w:t>
            </w:r>
            <w:r w:rsidRPr="00E712C0">
              <w:rPr>
                <w:sz w:val="18"/>
                <w:szCs w:val="18"/>
                <w:lang w:val="en-GB"/>
              </w:rPr>
              <w:t>806</w:t>
            </w:r>
          </w:p>
        </w:tc>
        <w:tc>
          <w:tcPr>
            <w:tcW w:w="739" w:type="pct"/>
            <w:noWrap/>
            <w:vAlign w:val="bottom"/>
          </w:tcPr>
          <w:p w14:paraId="7B7E0848" w14:textId="44ABFF6E" w:rsidR="00F76607" w:rsidRPr="00E712C0" w:rsidRDefault="00E712C0">
            <w:pPr>
              <w:jc w:val="center"/>
              <w:rPr>
                <w:sz w:val="18"/>
                <w:szCs w:val="18"/>
                <w:lang w:val="en-GB"/>
              </w:rPr>
            </w:pPr>
            <w:r>
              <w:rPr>
                <w:sz w:val="18"/>
                <w:szCs w:val="18"/>
                <w:lang w:val="en-GB"/>
              </w:rPr>
              <w:t>1.1915</w:t>
            </w:r>
          </w:p>
        </w:tc>
        <w:tc>
          <w:tcPr>
            <w:tcW w:w="739" w:type="pct"/>
            <w:noWrap/>
            <w:vAlign w:val="bottom"/>
          </w:tcPr>
          <w:p w14:paraId="2D109F8E" w14:textId="7AA8F748" w:rsidR="00F76607" w:rsidRPr="00E712C0" w:rsidRDefault="00E712C0">
            <w:pPr>
              <w:jc w:val="center"/>
              <w:rPr>
                <w:sz w:val="18"/>
                <w:szCs w:val="18"/>
                <w:lang w:val="en-GB"/>
              </w:rPr>
            </w:pPr>
            <w:r>
              <w:rPr>
                <w:sz w:val="18"/>
                <w:szCs w:val="18"/>
                <w:lang w:val="en-GB"/>
              </w:rPr>
              <w:t>1.2060</w:t>
            </w:r>
          </w:p>
        </w:tc>
        <w:tc>
          <w:tcPr>
            <w:tcW w:w="739" w:type="pct"/>
            <w:noWrap/>
            <w:vAlign w:val="bottom"/>
          </w:tcPr>
          <w:p w14:paraId="71C5C58D" w14:textId="5A20F7E3" w:rsidR="00F76607" w:rsidRPr="00E712C0" w:rsidRDefault="00E712C0">
            <w:pPr>
              <w:jc w:val="center"/>
              <w:rPr>
                <w:sz w:val="18"/>
                <w:szCs w:val="18"/>
                <w:lang w:val="en-GB"/>
              </w:rPr>
            </w:pPr>
            <w:r>
              <w:rPr>
                <w:sz w:val="18"/>
                <w:szCs w:val="18"/>
                <w:lang w:val="en-GB"/>
              </w:rPr>
              <w:t>1.1741</w:t>
            </w:r>
          </w:p>
        </w:tc>
      </w:tr>
      <w:tr w:rsidR="00F76607" w14:paraId="2FBBC6EB" w14:textId="77777777">
        <w:tc>
          <w:tcPr>
            <w:tcW w:w="1943" w:type="pct"/>
          </w:tcPr>
          <w:p w14:paraId="58D9F4A7" w14:textId="77777777" w:rsidR="00F76607" w:rsidRDefault="001863F0">
            <w:pPr>
              <w:tabs>
                <w:tab w:val="left" w:leader="dot" w:pos="3780"/>
              </w:tabs>
              <w:rPr>
                <w:sz w:val="18"/>
                <w:szCs w:val="18"/>
                <w:lang w:val="en-GB"/>
              </w:rPr>
            </w:pPr>
            <w:r>
              <w:rPr>
                <w:sz w:val="18"/>
                <w:szCs w:val="18"/>
                <w:lang w:val="en-GB"/>
              </w:rPr>
              <w:t>October 2017</w:t>
            </w:r>
            <w:r>
              <w:rPr>
                <w:sz w:val="18"/>
                <w:szCs w:val="18"/>
                <w:lang w:val="en-GB"/>
              </w:rPr>
              <w:tab/>
            </w:r>
          </w:p>
        </w:tc>
        <w:tc>
          <w:tcPr>
            <w:tcW w:w="840" w:type="pct"/>
            <w:noWrap/>
            <w:vAlign w:val="bottom"/>
          </w:tcPr>
          <w:p w14:paraId="3C8B85EE" w14:textId="4137F591" w:rsidR="00F76607" w:rsidRPr="00E712C0" w:rsidRDefault="00E712C0">
            <w:pPr>
              <w:jc w:val="center"/>
              <w:rPr>
                <w:sz w:val="18"/>
                <w:szCs w:val="18"/>
                <w:lang w:val="en-GB"/>
              </w:rPr>
            </w:pPr>
            <w:r>
              <w:rPr>
                <w:sz w:val="18"/>
                <w:szCs w:val="18"/>
                <w:lang w:val="en-GB"/>
              </w:rPr>
              <w:t>1.1707</w:t>
            </w:r>
          </w:p>
        </w:tc>
        <w:tc>
          <w:tcPr>
            <w:tcW w:w="739" w:type="pct"/>
            <w:noWrap/>
            <w:vAlign w:val="bottom"/>
          </w:tcPr>
          <w:p w14:paraId="4F9DDE71" w14:textId="0A06690C" w:rsidR="00F76607" w:rsidRPr="00E712C0" w:rsidRDefault="00E712C0">
            <w:pPr>
              <w:jc w:val="center"/>
              <w:rPr>
                <w:sz w:val="18"/>
                <w:szCs w:val="18"/>
                <w:lang w:val="en-GB"/>
              </w:rPr>
            </w:pPr>
            <w:r>
              <w:rPr>
                <w:sz w:val="18"/>
                <w:szCs w:val="18"/>
                <w:lang w:val="en-GB"/>
              </w:rPr>
              <w:t>1.1747</w:t>
            </w:r>
          </w:p>
        </w:tc>
        <w:tc>
          <w:tcPr>
            <w:tcW w:w="739" w:type="pct"/>
            <w:noWrap/>
            <w:vAlign w:val="bottom"/>
          </w:tcPr>
          <w:p w14:paraId="766B6CDD" w14:textId="270C3722" w:rsidR="00F76607" w:rsidRPr="00E712C0" w:rsidRDefault="00E712C0">
            <w:pPr>
              <w:jc w:val="center"/>
              <w:rPr>
                <w:sz w:val="18"/>
                <w:szCs w:val="18"/>
                <w:lang w:val="en-GB"/>
              </w:rPr>
            </w:pPr>
            <w:r>
              <w:rPr>
                <w:sz w:val="18"/>
                <w:szCs w:val="18"/>
                <w:lang w:val="en-GB"/>
              </w:rPr>
              <w:t>1.1787</w:t>
            </w:r>
          </w:p>
        </w:tc>
        <w:tc>
          <w:tcPr>
            <w:tcW w:w="739" w:type="pct"/>
            <w:noWrap/>
            <w:vAlign w:val="bottom"/>
          </w:tcPr>
          <w:p w14:paraId="123C55FF" w14:textId="78FA3565" w:rsidR="00F76607" w:rsidRPr="00E712C0" w:rsidRDefault="00E712C0">
            <w:pPr>
              <w:jc w:val="center"/>
              <w:rPr>
                <w:sz w:val="18"/>
                <w:szCs w:val="18"/>
                <w:lang w:val="en-GB"/>
              </w:rPr>
            </w:pPr>
            <w:r>
              <w:rPr>
                <w:sz w:val="18"/>
                <w:szCs w:val="18"/>
                <w:lang w:val="en-GB"/>
              </w:rPr>
              <w:t>1.1707</w:t>
            </w:r>
          </w:p>
        </w:tc>
      </w:tr>
    </w:tbl>
    <w:p w14:paraId="51CAF073" w14:textId="77777777" w:rsidR="00F76607" w:rsidRDefault="001863F0">
      <w:pPr>
        <w:tabs>
          <w:tab w:val="left" w:leader="underscore" w:pos="3600"/>
        </w:tabs>
        <w:rPr>
          <w:sz w:val="16"/>
          <w:szCs w:val="16"/>
          <w:lang w:val="en-GB"/>
        </w:rPr>
      </w:pPr>
      <w:r>
        <w:rPr>
          <w:sz w:val="16"/>
          <w:szCs w:val="16"/>
          <w:lang w:val="en-GB"/>
        </w:rPr>
        <w:tab/>
      </w:r>
    </w:p>
    <w:p w14:paraId="717745C3" w14:textId="77777777" w:rsidR="00F76607" w:rsidRDefault="001863F0">
      <w:pPr>
        <w:rPr>
          <w:sz w:val="16"/>
          <w:szCs w:val="16"/>
          <w:lang w:val="en-GB"/>
        </w:rPr>
      </w:pPr>
      <w:r>
        <w:rPr>
          <w:sz w:val="16"/>
          <w:szCs w:val="16"/>
          <w:lang w:val="en-GB"/>
        </w:rPr>
        <w:t>(1)</w:t>
      </w:r>
      <w:r>
        <w:rPr>
          <w:sz w:val="16"/>
          <w:szCs w:val="16"/>
          <w:lang w:val="en-GB"/>
        </w:rPr>
        <w:tab/>
        <w:t xml:space="preserve">Represents the exchange rate on the last business day of the applicable period. </w:t>
      </w:r>
    </w:p>
    <w:p w14:paraId="07BC4FD1" w14:textId="77777777" w:rsidR="00F76607" w:rsidRDefault="001863F0">
      <w:pPr>
        <w:ind w:left="720" w:hanging="720"/>
        <w:rPr>
          <w:sz w:val="20"/>
          <w:szCs w:val="22"/>
          <w:lang w:val="en-GB"/>
        </w:rPr>
      </w:pPr>
      <w:r>
        <w:rPr>
          <w:sz w:val="16"/>
          <w:szCs w:val="16"/>
          <w:lang w:val="en-GB"/>
        </w:rPr>
        <w:t>(2)</w:t>
      </w:r>
      <w:r>
        <w:rPr>
          <w:sz w:val="16"/>
          <w:szCs w:val="16"/>
          <w:lang w:val="en-GB"/>
        </w:rPr>
        <w:tab/>
        <w:t>Represents the average of the ECB Daily Reference Rates on the last business day of each month during the relevant one-year and interim periods and, with respect to monthly information, the average of the ECB Daily Reference Rates on each business day for the relevant period.</w:t>
      </w:r>
    </w:p>
    <w:p w14:paraId="5E4EAFB5" w14:textId="77777777" w:rsidR="00F76607" w:rsidRDefault="001863F0">
      <w:pPr>
        <w:pStyle w:val="VulcanIISectionTitle"/>
      </w:pPr>
      <w:bookmarkStart w:id="35" w:name="_Toc493194611"/>
      <w:r>
        <w:lastRenderedPageBreak/>
        <w:t>Use of Proceeds AND RATIONALE OF THE OFFERING</w:t>
      </w:r>
      <w:bookmarkEnd w:id="35"/>
    </w:p>
    <w:p w14:paraId="0BB7A818" w14:textId="77777777" w:rsidR="00F76607" w:rsidRDefault="001863F0">
      <w:pPr>
        <w:pStyle w:val="NormalWeb"/>
        <w:keepNext/>
        <w:spacing w:before="240" w:beforeAutospacing="0" w:after="0" w:afterAutospacing="0"/>
        <w:rPr>
          <w:b/>
          <w:sz w:val="18"/>
          <w:szCs w:val="18"/>
        </w:rPr>
      </w:pPr>
      <w:r>
        <w:rPr>
          <w:b/>
          <w:sz w:val="18"/>
          <w:szCs w:val="18"/>
        </w:rPr>
        <w:t>Use of Proceeds</w:t>
      </w:r>
    </w:p>
    <w:p w14:paraId="1FB8656E" w14:textId="1F0CFD28" w:rsidR="00F76607" w:rsidRDefault="001863F0">
      <w:pPr>
        <w:pStyle w:val="NormalWeb"/>
        <w:spacing w:before="240" w:beforeAutospacing="0" w:after="0" w:afterAutospacing="0"/>
        <w:ind w:firstLine="857"/>
      </w:pPr>
      <w:r>
        <w:rPr>
          <w:sz w:val="18"/>
          <w:szCs w:val="18"/>
        </w:rPr>
        <w:t xml:space="preserve">Based on expected gross proceeds of approximately € </w:t>
      </w:r>
      <w:r w:rsidR="00ED34B9">
        <w:rPr>
          <w:sz w:val="18"/>
          <w:szCs w:val="18"/>
        </w:rPr>
        <w:t>266,949,571</w:t>
      </w:r>
      <w:r>
        <w:rPr>
          <w:sz w:val="18"/>
          <w:szCs w:val="18"/>
        </w:rPr>
        <w:t>,</w:t>
      </w:r>
      <w:r w:rsidR="004D4E01">
        <w:rPr>
          <w:sz w:val="18"/>
          <w:szCs w:val="18"/>
        </w:rPr>
        <w:t xml:space="preserve"> </w:t>
      </w:r>
      <w:r>
        <w:rPr>
          <w:sz w:val="18"/>
          <w:szCs w:val="18"/>
        </w:rPr>
        <w:t>the Selling Shareholders will receive an estimated net proceeds from the</w:t>
      </w:r>
      <w:r w:rsidR="00ED34B9">
        <w:rPr>
          <w:sz w:val="18"/>
          <w:szCs w:val="18"/>
        </w:rPr>
        <w:t xml:space="preserve"> Offering of approximately € 255,057,827.45</w:t>
      </w:r>
      <w:r>
        <w:rPr>
          <w:sz w:val="18"/>
          <w:szCs w:val="18"/>
        </w:rPr>
        <w:t>, following the deduction of underwriting commissions (including discretionary incentive fees, if any) in t</w:t>
      </w:r>
      <w:r w:rsidR="00E423FB">
        <w:rPr>
          <w:sz w:val="18"/>
          <w:szCs w:val="18"/>
        </w:rPr>
        <w:t>he amount of approximately € 10,807,374.03</w:t>
      </w:r>
      <w:r>
        <w:rPr>
          <w:sz w:val="18"/>
          <w:szCs w:val="18"/>
        </w:rPr>
        <w:t xml:space="preserve"> and expenses in the amount of approximately € </w:t>
      </w:r>
      <w:r w:rsidR="00E423FB">
        <w:rPr>
          <w:sz w:val="18"/>
          <w:szCs w:val="18"/>
        </w:rPr>
        <w:t>1,084,369.52</w:t>
      </w:r>
      <w:r>
        <w:rPr>
          <w:sz w:val="18"/>
          <w:szCs w:val="18"/>
        </w:rPr>
        <w:t xml:space="preserve">. Assuming a full placement of the Offer Shares (including the full exercise of the Increase Option), and that the Offer Price is at the mid-point of the Price Range, the Selling Shareholders will pay approximately € </w:t>
      </w:r>
      <w:r w:rsidR="00E423FB">
        <w:rPr>
          <w:sz w:val="18"/>
          <w:szCs w:val="18"/>
        </w:rPr>
        <w:t>11,891,743.55</w:t>
      </w:r>
      <w:r>
        <w:rPr>
          <w:sz w:val="18"/>
          <w:szCs w:val="18"/>
        </w:rPr>
        <w:t xml:space="preserve"> in expenses and commissions. </w:t>
      </w:r>
    </w:p>
    <w:p w14:paraId="0017F618" w14:textId="77777777" w:rsidR="00F76607" w:rsidRDefault="001863F0">
      <w:pPr>
        <w:pStyle w:val="NormalWeb"/>
        <w:spacing w:before="240" w:beforeAutospacing="0" w:after="0" w:afterAutospacing="0"/>
        <w:ind w:firstLine="857"/>
        <w:rPr>
          <w:sz w:val="18"/>
          <w:szCs w:val="18"/>
        </w:rPr>
      </w:pPr>
      <w:r>
        <w:rPr>
          <w:sz w:val="18"/>
          <w:szCs w:val="18"/>
        </w:rPr>
        <w:t>All fees and expenses related to the Offering will be borne by the Selling Shareholders.</w:t>
      </w:r>
    </w:p>
    <w:p w14:paraId="3248B4FC" w14:textId="77777777" w:rsidR="00F76607" w:rsidRDefault="001863F0">
      <w:pPr>
        <w:pStyle w:val="NormalWeb"/>
        <w:spacing w:before="240" w:beforeAutospacing="0" w:after="0" w:afterAutospacing="0"/>
        <w:ind w:firstLine="857"/>
        <w:rPr>
          <w:sz w:val="18"/>
          <w:szCs w:val="18"/>
        </w:rPr>
      </w:pPr>
      <w:r>
        <w:rPr>
          <w:sz w:val="18"/>
          <w:szCs w:val="18"/>
        </w:rPr>
        <w:t>The Company is not selling any Offer Shares in the Offering and will not receive any of the proceeds of the Offering.</w:t>
      </w:r>
    </w:p>
    <w:p w14:paraId="2A53FF37" w14:textId="77777777" w:rsidR="00F76607" w:rsidRDefault="001863F0">
      <w:pPr>
        <w:pStyle w:val="NormalWeb"/>
        <w:keepNext/>
        <w:spacing w:before="240" w:beforeAutospacing="0" w:after="0" w:afterAutospacing="0"/>
        <w:rPr>
          <w:b/>
          <w:sz w:val="18"/>
          <w:szCs w:val="18"/>
        </w:rPr>
      </w:pPr>
      <w:r>
        <w:rPr>
          <w:b/>
          <w:sz w:val="18"/>
          <w:szCs w:val="18"/>
        </w:rPr>
        <w:t>Rationale of the Offering</w:t>
      </w:r>
    </w:p>
    <w:p w14:paraId="7372B605" w14:textId="77777777" w:rsidR="00F76607" w:rsidRDefault="001863F0">
      <w:pPr>
        <w:pStyle w:val="NormalWeb"/>
        <w:spacing w:before="240" w:beforeAutospacing="0" w:after="0" w:afterAutospacing="0"/>
        <w:ind w:firstLine="857"/>
        <w:rPr>
          <w:sz w:val="18"/>
          <w:szCs w:val="18"/>
        </w:rPr>
      </w:pPr>
      <w:r>
        <w:rPr>
          <w:sz w:val="18"/>
          <w:szCs w:val="18"/>
        </w:rPr>
        <w:t>The Selling Shareholders Bart Van Malderen and VM Invest NV are historic investors and shareholders of the Company who have provided the Company with the relevant funds during the initial start-up phase of the Company. Since these Selling Shareholders believe that the Group is now sufficiently mature and has the capabilities to finance its obligations and activities on a stand-alone basis, these Selling Shareholders wish to decrease their participation in the Company and redeploy their initial investment in the Group into their other businesses and activities.</w:t>
      </w:r>
    </w:p>
    <w:p w14:paraId="12BDE43E" w14:textId="77777777" w:rsidR="00F76607" w:rsidRDefault="001863F0">
      <w:pPr>
        <w:pStyle w:val="NormalWeb"/>
        <w:spacing w:before="240" w:beforeAutospacing="0" w:after="0" w:afterAutospacing="0"/>
        <w:ind w:firstLine="857"/>
        <w:rPr>
          <w:sz w:val="18"/>
          <w:szCs w:val="18"/>
        </w:rPr>
      </w:pPr>
      <w:r>
        <w:rPr>
          <w:sz w:val="18"/>
          <w:szCs w:val="18"/>
        </w:rPr>
        <w:t xml:space="preserve">The Selling Shareholder Little Rock SA, controlled by Jan Van Geet, wishes to remain an important shareholder of the Company and Jan Van Geet wishes to remain CEO of the Group. Accordingly, this Selling Shareholder only wishes to divest a small part of the Shares it currently holds in order to support the Offering and the additional liquidity of the Shares on the trading market it believes the Offering will realize. </w:t>
      </w:r>
    </w:p>
    <w:p w14:paraId="19E9CCE8" w14:textId="77777777" w:rsidR="00F76607" w:rsidRDefault="001863F0">
      <w:pPr>
        <w:pStyle w:val="NormalWeb"/>
        <w:keepNext/>
        <w:spacing w:before="240" w:beforeAutospacing="0" w:after="0" w:afterAutospacing="0"/>
        <w:rPr>
          <w:b/>
          <w:sz w:val="18"/>
          <w:szCs w:val="18"/>
        </w:rPr>
      </w:pPr>
      <w:r>
        <w:rPr>
          <w:b/>
          <w:sz w:val="18"/>
          <w:szCs w:val="18"/>
        </w:rPr>
        <w:t>Benefits of the Offering for the Company</w:t>
      </w:r>
    </w:p>
    <w:p w14:paraId="3966A477" w14:textId="77777777" w:rsidR="00F76607" w:rsidRDefault="001863F0">
      <w:pPr>
        <w:pStyle w:val="NormalWeb"/>
        <w:spacing w:before="240" w:beforeAutospacing="0" w:after="0" w:afterAutospacing="0"/>
        <w:ind w:firstLine="857"/>
        <w:rPr>
          <w:sz w:val="18"/>
          <w:szCs w:val="18"/>
        </w:rPr>
      </w:pPr>
      <w:r>
        <w:rPr>
          <w:sz w:val="18"/>
          <w:szCs w:val="18"/>
        </w:rPr>
        <w:t>The Company will not receive any proceeds from the Offering. The Company believes the Offering is in its interest. Among the benefits for the Company to be expected as a result of the Offering are the following:</w:t>
      </w:r>
    </w:p>
    <w:p w14:paraId="31C04E4F" w14:textId="678018AA" w:rsidR="00F76607" w:rsidRDefault="001863F0">
      <w:pPr>
        <w:pStyle w:val="VulcanIIbullet"/>
      </w:pPr>
      <w:r>
        <w:t>increase of the free float (from current 10</w:t>
      </w:r>
      <w:r w:rsidR="004D4E01">
        <w:t>.14%</w:t>
      </w:r>
      <w:r w:rsidR="00E423FB">
        <w:t xml:space="preserve"> of outstanding shares to 34.49</w:t>
      </w:r>
      <w:r>
        <w:t>%) without additional shareholder dilution should enable the Company to reach more market standard trading volumes;</w:t>
      </w:r>
    </w:p>
    <w:p w14:paraId="398907D0" w14:textId="77777777" w:rsidR="00F76607" w:rsidRDefault="001863F0">
      <w:pPr>
        <w:pStyle w:val="VulcanIIbullet"/>
      </w:pPr>
      <w:r>
        <w:t>increase of visibility of the Company on the equity markets;</w:t>
      </w:r>
    </w:p>
    <w:p w14:paraId="58FD8B9B" w14:textId="6748687C" w:rsidR="00F76607" w:rsidRDefault="001863F0" w:rsidP="00556686">
      <w:pPr>
        <w:pStyle w:val="VulcanIIbullet"/>
      </w:pPr>
      <w:r>
        <w:t>potential for inclusion/eligibility to be included in European Public Real Estate Association (EPRA) indices and hence further potential to increase visibility</w:t>
      </w:r>
      <w:r w:rsidR="00556686">
        <w:t>. The Company</w:t>
      </w:r>
      <w:r w:rsidR="00556686" w:rsidRPr="00556686">
        <w:t xml:space="preserve"> </w:t>
      </w:r>
      <w:r w:rsidR="00556686">
        <w:t>intends</w:t>
      </w:r>
      <w:r w:rsidR="00556686" w:rsidRPr="00556686">
        <w:t xml:space="preserve"> to enter into the EPRA by September / October 2018 and therefore has to comply with the standard development ratios (75% located in</w:t>
      </w:r>
      <w:r w:rsidR="00556686">
        <w:t xml:space="preserve"> </w:t>
      </w:r>
      <w:r w:rsidR="00556686" w:rsidRPr="00556686">
        <w:t>Western Europe) as defined by EPRA</w:t>
      </w:r>
      <w:r>
        <w:t>; and</w:t>
      </w:r>
    </w:p>
    <w:p w14:paraId="11E1995F" w14:textId="77777777" w:rsidR="00F76607" w:rsidRDefault="001863F0">
      <w:pPr>
        <w:pStyle w:val="VulcanIIbullet"/>
      </w:pPr>
      <w:r>
        <w:t>following the expiration of the lock-up provisions entered into by the Selling Shareholders and the Company (as described in section “</w:t>
      </w:r>
      <w:r>
        <w:rPr>
          <w:i/>
          <w:iCs/>
        </w:rPr>
        <w:t>Plan of Distribution</w:t>
      </w:r>
      <w:r>
        <w:t>”), the Company could start using more equity financing as a financial instrument to finance future growth.</w:t>
      </w:r>
    </w:p>
    <w:p w14:paraId="16C57FBF" w14:textId="77777777" w:rsidR="00F76607" w:rsidRDefault="00F76607">
      <w:pPr>
        <w:pStyle w:val="NormalWeb"/>
        <w:spacing w:before="240" w:beforeAutospacing="0" w:after="0" w:afterAutospacing="0"/>
      </w:pPr>
    </w:p>
    <w:p w14:paraId="31C278A3" w14:textId="77777777" w:rsidR="00F76607" w:rsidRDefault="001863F0">
      <w:pPr>
        <w:pStyle w:val="NormalWeb"/>
        <w:spacing w:before="240" w:beforeAutospacing="0" w:after="0" w:afterAutospacing="0"/>
        <w:rPr>
          <w:sz w:val="2"/>
          <w:szCs w:val="2"/>
        </w:rPr>
      </w:pPr>
      <w:r>
        <w:rPr>
          <w:sz w:val="2"/>
          <w:szCs w:val="2"/>
        </w:rPr>
        <w:t> </w:t>
      </w:r>
    </w:p>
    <w:p w14:paraId="0C9ACC2D" w14:textId="77777777" w:rsidR="00F76607" w:rsidRDefault="001863F0">
      <w:pPr>
        <w:pStyle w:val="VulcanIISectionTitle"/>
      </w:pPr>
      <w:bookmarkStart w:id="36" w:name="_Toc493194612"/>
      <w:r>
        <w:lastRenderedPageBreak/>
        <w:t>Dividends and Dividend Policy</w:t>
      </w:r>
      <w:bookmarkEnd w:id="36"/>
      <w:r>
        <w:t xml:space="preserve"> </w:t>
      </w:r>
    </w:p>
    <w:p w14:paraId="29978E59" w14:textId="77777777" w:rsidR="00F76607" w:rsidRDefault="001863F0">
      <w:pPr>
        <w:pStyle w:val="NormalWeb"/>
        <w:keepNext/>
        <w:spacing w:before="240" w:beforeAutospacing="0" w:after="0" w:afterAutospacing="0"/>
      </w:pPr>
      <w:r>
        <w:rPr>
          <w:b/>
          <w:bCs/>
          <w:sz w:val="18"/>
          <w:szCs w:val="18"/>
        </w:rPr>
        <w:t xml:space="preserve">Dividends </w:t>
      </w:r>
    </w:p>
    <w:p w14:paraId="363CC86B" w14:textId="77777777" w:rsidR="00F76607" w:rsidRDefault="001863F0">
      <w:pPr>
        <w:pStyle w:val="NormalWeb"/>
        <w:spacing w:before="240" w:beforeAutospacing="0" w:after="0" w:afterAutospacing="0"/>
        <w:ind w:firstLine="857"/>
      </w:pPr>
      <w:r>
        <w:rPr>
          <w:sz w:val="18"/>
          <w:szCs w:val="18"/>
        </w:rPr>
        <w:t xml:space="preserve">The Offer Shares carry the right to participate in dividends declared after the Closing Date, in respect of the financial year ending 31 December 2017 and future years. All Shares participate equally in the Company’s profits, if any. In general, the Company may only pay dividends with the approval of the shareholders’ meeting of the Company, although pursuant to the Articles of Association, the Board of Directors may declare interim dividends without shareholder approval. The right to pay such interim dividends is, however, subject to certain legal restrictions. </w:t>
      </w:r>
    </w:p>
    <w:p w14:paraId="54E193C7" w14:textId="77777777" w:rsidR="00F76607" w:rsidRDefault="001863F0">
      <w:pPr>
        <w:pStyle w:val="NormalWeb"/>
        <w:spacing w:before="240" w:beforeAutospacing="0" w:after="0" w:afterAutospacing="0"/>
        <w:ind w:firstLine="857"/>
      </w:pPr>
      <w:r>
        <w:rPr>
          <w:sz w:val="18"/>
          <w:szCs w:val="18"/>
        </w:rPr>
        <w:t xml:space="preserve">The maximum amount of dividend that can be paid is determined by reference to the Company’s stand-alone statutory accounts prepared in accordance with Belgian GAAP. </w:t>
      </w:r>
    </w:p>
    <w:p w14:paraId="6CEF0A23" w14:textId="52EA5CF9" w:rsidR="00F76607" w:rsidRDefault="001863F0">
      <w:pPr>
        <w:pStyle w:val="NormalWeb"/>
        <w:spacing w:before="240" w:beforeAutospacing="0" w:after="0" w:afterAutospacing="0"/>
        <w:ind w:firstLine="857"/>
      </w:pPr>
      <w:r>
        <w:rPr>
          <w:sz w:val="18"/>
          <w:szCs w:val="18"/>
        </w:rPr>
        <w:t>In addition, under Belgian law and the Articles of Association, before it can pay dividends, the Company must allocate an amount of 5% of its Belgian GAAP annual net profit (“</w:t>
      </w:r>
      <w:proofErr w:type="spellStart"/>
      <w:r>
        <w:rPr>
          <w:i/>
          <w:iCs/>
          <w:sz w:val="18"/>
          <w:szCs w:val="18"/>
        </w:rPr>
        <w:t>nettowinst</w:t>
      </w:r>
      <w:proofErr w:type="spellEnd"/>
      <w:r>
        <w:rPr>
          <w:i/>
          <w:iCs/>
          <w:sz w:val="18"/>
          <w:szCs w:val="18"/>
        </w:rPr>
        <w:t>” / “</w:t>
      </w:r>
      <w:proofErr w:type="spellStart"/>
      <w:r>
        <w:rPr>
          <w:i/>
          <w:iCs/>
          <w:sz w:val="18"/>
          <w:szCs w:val="18"/>
        </w:rPr>
        <w:t>bénéfices</w:t>
      </w:r>
      <w:proofErr w:type="spellEnd"/>
      <w:r>
        <w:rPr>
          <w:i/>
          <w:iCs/>
          <w:sz w:val="18"/>
          <w:szCs w:val="18"/>
        </w:rPr>
        <w:t xml:space="preserve"> nets”</w:t>
      </w:r>
      <w:r>
        <w:rPr>
          <w:sz w:val="18"/>
          <w:szCs w:val="18"/>
        </w:rPr>
        <w:t xml:space="preserve">) to a legal reserve in its stand-alone statutory accounts until the reserve equals 10% of the Company’s share capital. The Company currently has an aggregate legal reserve of 8.57% of the Company’s share capital. Accordingly, 5% of the Company’s Belgian GAAP annual net profit during certain future years will need to be allocated to the legal reserve, limiting the Company’s ability to pay out dividends to its shareholders. </w:t>
      </w:r>
    </w:p>
    <w:p w14:paraId="2964E08B" w14:textId="77777777" w:rsidR="00F76607" w:rsidRDefault="001863F0">
      <w:pPr>
        <w:pStyle w:val="NormalWeb"/>
        <w:keepNext/>
        <w:spacing w:before="240" w:beforeAutospacing="0" w:after="0" w:afterAutospacing="0"/>
      </w:pPr>
      <w:r>
        <w:rPr>
          <w:b/>
          <w:bCs/>
          <w:sz w:val="18"/>
          <w:szCs w:val="18"/>
        </w:rPr>
        <w:t xml:space="preserve">Dividend Policy </w:t>
      </w:r>
    </w:p>
    <w:p w14:paraId="1E0709D8" w14:textId="16788988" w:rsidR="00F76607" w:rsidRDefault="001863F0">
      <w:pPr>
        <w:pStyle w:val="NormalWeb"/>
        <w:spacing w:before="240" w:beforeAutospacing="0" w:after="0" w:afterAutospacing="0"/>
        <w:ind w:firstLine="857"/>
      </w:pPr>
      <w:r>
        <w:rPr>
          <w:sz w:val="18"/>
          <w:szCs w:val="18"/>
        </w:rPr>
        <w:t xml:space="preserve">The Company has prior to the Offering completed capital decreases and has paid dividends on an ad-hoc basis. In view of the successful and sustainable evolution of the Group’s results, the Board of Directors adopted a formal dividend policy at the end of August 2017. As a result, as from 2018 </w:t>
      </w:r>
      <w:r w:rsidR="00831E6E">
        <w:rPr>
          <w:sz w:val="18"/>
          <w:szCs w:val="18"/>
        </w:rPr>
        <w:t xml:space="preserve">(with respect to the results from the financial year 2017) </w:t>
      </w:r>
      <w:r>
        <w:rPr>
          <w:sz w:val="18"/>
          <w:szCs w:val="18"/>
        </w:rPr>
        <w:t>onwards and subject to (</w:t>
      </w:r>
      <w:proofErr w:type="spellStart"/>
      <w:r>
        <w:rPr>
          <w:sz w:val="18"/>
          <w:szCs w:val="18"/>
        </w:rPr>
        <w:t>i</w:t>
      </w:r>
      <w:proofErr w:type="spellEnd"/>
      <w:r>
        <w:rPr>
          <w:sz w:val="18"/>
          <w:szCs w:val="18"/>
        </w:rPr>
        <w:t>) the availability of sufficient distributable reserves; (ii) available cash generated from distributions by the JV; (iii) free cash generated from the divestment cycles of income generating assets to the Joint Venture; and (iv) shareholder approval, the Company intends to gradually increase the distribution of dividends over the next 3 years to target an annual distribution between 40% and 60% of its net profit for the year based on its consolidated IFRS financial statements.</w:t>
      </w:r>
    </w:p>
    <w:p w14:paraId="0F1152AD" w14:textId="77777777" w:rsidR="00F76607" w:rsidRDefault="001863F0">
      <w:pPr>
        <w:pStyle w:val="NormalWeb"/>
        <w:spacing w:before="240" w:beforeAutospacing="0" w:after="0" w:afterAutospacing="0"/>
        <w:ind w:firstLine="857"/>
        <w:rPr>
          <w:sz w:val="18"/>
          <w:szCs w:val="18"/>
        </w:rPr>
      </w:pPr>
      <w:r>
        <w:rPr>
          <w:sz w:val="18"/>
          <w:szCs w:val="18"/>
        </w:rPr>
        <w:t>The amount of any dividends and the determination of whether to pay dividends in any year may be affected by a number of factors, including the Company’s business prospects, cash requirements, including related to any material external growth opportunities, and financial performance, the condition of the market and the general economic climate and other factors, including tax and other regulatory considerations. See section “</w:t>
      </w:r>
      <w:r>
        <w:rPr>
          <w:i/>
          <w:sz w:val="18"/>
          <w:szCs w:val="18"/>
        </w:rPr>
        <w:t>Risk Factors –</w:t>
      </w:r>
      <w:r>
        <w:rPr>
          <w:sz w:val="18"/>
          <w:szCs w:val="18"/>
        </w:rPr>
        <w:t xml:space="preserve"> </w:t>
      </w:r>
      <w:r>
        <w:rPr>
          <w:i/>
          <w:iCs/>
          <w:sz w:val="18"/>
          <w:szCs w:val="18"/>
        </w:rPr>
        <w:t>The Company may not be able to pay dividends in accordance with its stated dividend policy.</w:t>
      </w:r>
      <w:r>
        <w:rPr>
          <w:sz w:val="18"/>
          <w:szCs w:val="18"/>
        </w:rPr>
        <w:t>”</w:t>
      </w:r>
      <w:r>
        <w:rPr>
          <w:i/>
          <w:iCs/>
          <w:sz w:val="18"/>
          <w:szCs w:val="18"/>
        </w:rPr>
        <w:t xml:space="preserve"> </w:t>
      </w:r>
      <w:r>
        <w:rPr>
          <w:sz w:val="18"/>
          <w:szCs w:val="18"/>
        </w:rPr>
        <w:t xml:space="preserve">As a consequence of these factors, there can be no assurance as to whether dividends or similar payments will be paid in the future or, if they are paid, their amount. </w:t>
      </w:r>
    </w:p>
    <w:p w14:paraId="269D7AF6" w14:textId="2589E686" w:rsidR="00F76607" w:rsidRDefault="001863F0">
      <w:pPr>
        <w:pStyle w:val="NormalWeb"/>
        <w:spacing w:before="240" w:beforeAutospacing="0" w:after="0" w:afterAutospacing="0"/>
        <w:ind w:firstLine="857"/>
        <w:rPr>
          <w:sz w:val="18"/>
          <w:szCs w:val="18"/>
        </w:rPr>
      </w:pPr>
      <w:r>
        <w:rPr>
          <w:sz w:val="18"/>
          <w:szCs w:val="18"/>
        </w:rPr>
        <w:t>No dividends have been declared or distributed by the Company for the financial years ending 31 December 2014, 31 December 2015 and 31 December 2016.</w:t>
      </w:r>
      <w:r w:rsidR="005827AC">
        <w:rPr>
          <w:sz w:val="18"/>
          <w:szCs w:val="18"/>
        </w:rPr>
        <w:t xml:space="preserve"> In August 2017, however, the Company distributed an amount of € 20,</w:t>
      </w:r>
      <w:r w:rsidR="005827AC" w:rsidRPr="005827AC">
        <w:rPr>
          <w:sz w:val="18"/>
          <w:szCs w:val="18"/>
        </w:rPr>
        <w:t>069</w:t>
      </w:r>
      <w:r w:rsidR="005827AC">
        <w:rPr>
          <w:sz w:val="18"/>
          <w:szCs w:val="18"/>
        </w:rPr>
        <w:t>,</w:t>
      </w:r>
      <w:r w:rsidR="005827AC" w:rsidRPr="005827AC">
        <w:rPr>
          <w:sz w:val="18"/>
          <w:szCs w:val="18"/>
        </w:rPr>
        <w:t>694</w:t>
      </w:r>
      <w:r w:rsidR="005827AC">
        <w:rPr>
          <w:sz w:val="18"/>
          <w:szCs w:val="18"/>
        </w:rPr>
        <w:t>.</w:t>
      </w:r>
      <w:r w:rsidR="005827AC" w:rsidRPr="005827AC">
        <w:rPr>
          <w:sz w:val="18"/>
          <w:szCs w:val="18"/>
        </w:rPr>
        <w:t>00</w:t>
      </w:r>
      <w:r w:rsidR="005827AC">
        <w:rPr>
          <w:sz w:val="18"/>
          <w:szCs w:val="18"/>
        </w:rPr>
        <w:t xml:space="preserve"> to its shareholders (i.e., an equivalent of € 1.08 per share) following a capital decrease approved by the shareholders’ meeting in May 2017.</w:t>
      </w:r>
    </w:p>
    <w:p w14:paraId="0282E71E" w14:textId="77777777" w:rsidR="00F76607" w:rsidRDefault="001863F0">
      <w:pPr>
        <w:pStyle w:val="NormalWeb"/>
        <w:spacing w:before="240" w:beforeAutospacing="0" w:after="0" w:afterAutospacing="0"/>
        <w:rPr>
          <w:sz w:val="2"/>
          <w:szCs w:val="2"/>
        </w:rPr>
      </w:pPr>
      <w:r>
        <w:rPr>
          <w:sz w:val="2"/>
          <w:szCs w:val="2"/>
        </w:rPr>
        <w:t> </w:t>
      </w:r>
    </w:p>
    <w:p w14:paraId="72E922C4" w14:textId="77777777" w:rsidR="00F76607" w:rsidRDefault="001863F0">
      <w:pPr>
        <w:pStyle w:val="VulcanIISectionTitle"/>
      </w:pPr>
      <w:bookmarkStart w:id="37" w:name="_Toc493194613"/>
      <w:r>
        <w:lastRenderedPageBreak/>
        <w:t>Capitalization and Indebtedness</w:t>
      </w:r>
      <w:bookmarkEnd w:id="37"/>
      <w:r>
        <w:t xml:space="preserve"> </w:t>
      </w:r>
    </w:p>
    <w:p w14:paraId="77FA5C74" w14:textId="26D29B2A" w:rsidR="00F76607" w:rsidRDefault="001863F0">
      <w:pPr>
        <w:pStyle w:val="VulcanIIbody"/>
        <w:rPr>
          <w:i/>
        </w:rPr>
      </w:pPr>
      <w:r>
        <w:rPr>
          <w:i/>
          <w:lang w:val="en-GB"/>
        </w:rPr>
        <w:t>The following table sets forth the cash and cash equivalents, the capitalization and the indebtedness of VGP as of 30 June 2017</w:t>
      </w:r>
      <w:r w:rsidR="00C57545">
        <w:rPr>
          <w:i/>
          <w:lang w:val="en-GB"/>
        </w:rPr>
        <w:t xml:space="preserve"> and as of 26 September 2017</w:t>
      </w:r>
      <w:r>
        <w:rPr>
          <w:i/>
          <w:lang w:val="en-GB"/>
        </w:rPr>
        <w:t>.</w:t>
      </w:r>
    </w:p>
    <w:p w14:paraId="5AB9B551" w14:textId="46FC45A1" w:rsidR="00F76607" w:rsidRDefault="001863F0">
      <w:pPr>
        <w:pStyle w:val="VulcanIIbody"/>
        <w:rPr>
          <w:i/>
        </w:rPr>
      </w:pPr>
      <w:r>
        <w:rPr>
          <w:i/>
        </w:rPr>
        <w:t>This table should be read in conjunction with the section “Selected Consolidated Financial Information” and the section “Operating and Financial Review” and the Annual Financial Statements and Interim Financial Statements included elsewhere in this Prospectus.</w:t>
      </w:r>
    </w:p>
    <w:p w14:paraId="0ADB405C" w14:textId="1F9EA89C" w:rsidR="00F76607" w:rsidRDefault="001863F0">
      <w:pPr>
        <w:pStyle w:val="VulcanIILevel1"/>
        <w:rPr>
          <w:lang w:val="en-GB"/>
        </w:rPr>
      </w:pPr>
      <w:r>
        <w:rPr>
          <w:lang w:val="en-GB"/>
        </w:rPr>
        <w:t>Capitalisation</w:t>
      </w:r>
    </w:p>
    <w:p w14:paraId="35999F75" w14:textId="1B068848" w:rsidR="00C57545" w:rsidRDefault="00C57545">
      <w:pPr>
        <w:pStyle w:val="VulcanIILevel1"/>
        <w:rPr>
          <w:lang w:val="en-GB"/>
        </w:rPr>
      </w:pPr>
    </w:p>
    <w:p w14:paraId="1840C97D" w14:textId="77777777" w:rsidR="00F76607" w:rsidRDefault="00F76607">
      <w:pPr>
        <w:pStyle w:val="VulcanIILevel1"/>
        <w:rPr>
          <w:b w:val="0"/>
          <w:spacing w:val="3"/>
          <w:lang w:val="en-GB"/>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296"/>
        <w:gridCol w:w="2382"/>
      </w:tblGrid>
      <w:tr w:rsidR="00C57545" w14:paraId="06AB3E29" w14:textId="7FDCE6F4" w:rsidTr="009E2376">
        <w:tc>
          <w:tcPr>
            <w:tcW w:w="5245" w:type="dxa"/>
            <w:vAlign w:val="bottom"/>
          </w:tcPr>
          <w:p w14:paraId="087E7F81" w14:textId="77777777" w:rsidR="00C57545" w:rsidRDefault="00C57545">
            <w:pPr>
              <w:rPr>
                <w:rFonts w:ascii="Times New Roman" w:hAnsi="Times New Roman" w:cs="Times New Roman"/>
                <w:b/>
                <w:bCs/>
                <w:sz w:val="18"/>
                <w:szCs w:val="18"/>
                <w:lang w:val="en-GB"/>
              </w:rPr>
            </w:pPr>
            <w:r>
              <w:rPr>
                <w:rFonts w:ascii="Times New Roman" w:hAnsi="Times New Roman" w:cs="Times New Roman"/>
                <w:b/>
                <w:bCs/>
                <w:sz w:val="18"/>
                <w:szCs w:val="18"/>
                <w:lang w:val="en-GB"/>
              </w:rPr>
              <w:t>(€ thousands)</w:t>
            </w:r>
          </w:p>
        </w:tc>
        <w:tc>
          <w:tcPr>
            <w:tcW w:w="2296" w:type="dxa"/>
            <w:vAlign w:val="bottom"/>
          </w:tcPr>
          <w:p w14:paraId="77EE2917" w14:textId="77777777" w:rsidR="00C57545" w:rsidRDefault="00C57545">
            <w:pPr>
              <w:jc w:val="right"/>
              <w:rPr>
                <w:rFonts w:ascii="Times New Roman" w:hAnsi="Times New Roman" w:cs="Times New Roman"/>
                <w:b/>
                <w:bCs/>
                <w:sz w:val="18"/>
                <w:szCs w:val="18"/>
                <w:lang w:val="en-GB"/>
              </w:rPr>
            </w:pPr>
            <w:r>
              <w:rPr>
                <w:rFonts w:ascii="Times New Roman" w:eastAsia="PMingLiU" w:hAnsi="Times New Roman" w:cs="Times New Roman"/>
                <w:b/>
                <w:bCs/>
                <w:sz w:val="18"/>
                <w:szCs w:val="18"/>
                <w:lang w:val="en-GB" w:eastAsia="zh-TW"/>
              </w:rPr>
              <w:t>Actual as of 30-Jun-2017</w:t>
            </w:r>
          </w:p>
        </w:tc>
        <w:tc>
          <w:tcPr>
            <w:tcW w:w="2382" w:type="dxa"/>
          </w:tcPr>
          <w:p w14:paraId="5895096A" w14:textId="156DBBD6" w:rsidR="00C57545" w:rsidRPr="00C57545" w:rsidRDefault="00C57545" w:rsidP="00452624">
            <w:pPr>
              <w:jc w:val="right"/>
              <w:rPr>
                <w:rFonts w:ascii="Times New Roman" w:eastAsia="PMingLiU" w:hAnsi="Times New Roman" w:cs="Times New Roman"/>
                <w:b/>
                <w:bCs/>
                <w:sz w:val="18"/>
                <w:szCs w:val="18"/>
                <w:lang w:val="en-GB" w:eastAsia="zh-TW"/>
              </w:rPr>
            </w:pPr>
            <w:r w:rsidRPr="00C57545">
              <w:rPr>
                <w:rFonts w:ascii="Times New Roman" w:eastAsia="PMingLiU" w:hAnsi="Times New Roman" w:cs="Times New Roman"/>
                <w:b/>
                <w:bCs/>
                <w:sz w:val="18"/>
                <w:szCs w:val="18"/>
                <w:lang w:val="en-GB" w:eastAsia="zh-TW"/>
              </w:rPr>
              <w:t>Actual as of 26-Sep-2017</w:t>
            </w:r>
            <w:r w:rsidR="00452624" w:rsidRPr="009E2376">
              <w:rPr>
                <w:rFonts w:ascii="Times New Roman" w:hAnsi="Times New Roman"/>
                <w:sz w:val="14"/>
                <w:szCs w:val="14"/>
                <w:lang w:val="en-GB"/>
              </w:rPr>
              <w:t>⁴</w:t>
            </w:r>
          </w:p>
        </w:tc>
      </w:tr>
      <w:tr w:rsidR="00C57545" w14:paraId="54BC74CE" w14:textId="6896FB33" w:rsidTr="009E2376">
        <w:tc>
          <w:tcPr>
            <w:tcW w:w="5245" w:type="dxa"/>
            <w:vAlign w:val="bottom"/>
          </w:tcPr>
          <w:p w14:paraId="727C6676" w14:textId="77777777" w:rsidR="00C57545" w:rsidRDefault="00C57545">
            <w:pPr>
              <w:rPr>
                <w:rFonts w:ascii="Times New Roman" w:hAnsi="Times New Roman" w:cs="Times New Roman"/>
                <w:b/>
                <w:bCs/>
                <w:sz w:val="18"/>
                <w:szCs w:val="18"/>
                <w:lang w:val="en-GB"/>
              </w:rPr>
            </w:pPr>
          </w:p>
        </w:tc>
        <w:tc>
          <w:tcPr>
            <w:tcW w:w="2296" w:type="dxa"/>
            <w:vAlign w:val="bottom"/>
          </w:tcPr>
          <w:p w14:paraId="2973A638" w14:textId="77777777" w:rsidR="00C57545" w:rsidRDefault="00C57545">
            <w:pPr>
              <w:jc w:val="right"/>
              <w:rPr>
                <w:rFonts w:ascii="Times New Roman" w:hAnsi="Times New Roman" w:cs="Times New Roman"/>
                <w:b/>
                <w:bCs/>
                <w:sz w:val="18"/>
                <w:szCs w:val="18"/>
                <w:lang w:val="en-GB"/>
              </w:rPr>
            </w:pPr>
          </w:p>
        </w:tc>
        <w:tc>
          <w:tcPr>
            <w:tcW w:w="2382" w:type="dxa"/>
          </w:tcPr>
          <w:p w14:paraId="032FCF9D" w14:textId="77777777" w:rsidR="00C57545" w:rsidRPr="00C57545" w:rsidRDefault="00C57545">
            <w:pPr>
              <w:jc w:val="right"/>
              <w:rPr>
                <w:rFonts w:ascii="Times New Roman" w:eastAsia="PMingLiU" w:hAnsi="Times New Roman" w:cs="Times New Roman"/>
                <w:b/>
                <w:bCs/>
                <w:sz w:val="18"/>
                <w:szCs w:val="18"/>
                <w:lang w:val="en-GB" w:eastAsia="zh-TW"/>
              </w:rPr>
            </w:pPr>
          </w:p>
        </w:tc>
      </w:tr>
      <w:tr w:rsidR="00C57545" w14:paraId="051BF142" w14:textId="5C3C65B8" w:rsidTr="009E2376">
        <w:tc>
          <w:tcPr>
            <w:tcW w:w="5245" w:type="dxa"/>
            <w:vAlign w:val="bottom"/>
          </w:tcPr>
          <w:p w14:paraId="5CD9E118" w14:textId="77777777" w:rsidR="00C57545" w:rsidRDefault="00C57545" w:rsidP="00C57545">
            <w:pPr>
              <w:rPr>
                <w:rFonts w:ascii="Times New Roman" w:hAnsi="Times New Roman" w:cs="Times New Roman"/>
                <w:b/>
                <w:bCs/>
                <w:sz w:val="18"/>
                <w:szCs w:val="18"/>
                <w:lang w:val="en-GB"/>
              </w:rPr>
            </w:pPr>
            <w:r>
              <w:rPr>
                <w:rFonts w:ascii="Times New Roman" w:hAnsi="Times New Roman" w:cs="Times New Roman"/>
                <w:b/>
                <w:sz w:val="18"/>
                <w:szCs w:val="18"/>
                <w:lang w:val="en-GB" w:eastAsia="nl-NL"/>
              </w:rPr>
              <w:t>Current debt</w:t>
            </w:r>
          </w:p>
        </w:tc>
        <w:tc>
          <w:tcPr>
            <w:tcW w:w="2296" w:type="dxa"/>
            <w:vAlign w:val="center"/>
          </w:tcPr>
          <w:p w14:paraId="2D9D42E4" w14:textId="77777777" w:rsidR="00C57545" w:rsidRDefault="00C57545" w:rsidP="00C57545">
            <w:pPr>
              <w:jc w:val="right"/>
              <w:rPr>
                <w:rFonts w:ascii="Times New Roman" w:eastAsia="Times New Roman" w:hAnsi="Times New Roman" w:cs="Times New Roman"/>
                <w:b/>
                <w:bCs/>
                <w:color w:val="000000"/>
                <w:sz w:val="18"/>
                <w:szCs w:val="18"/>
                <w:lang w:val="en-GB"/>
              </w:rPr>
            </w:pPr>
            <w:r>
              <w:rPr>
                <w:rFonts w:ascii="Times New Roman" w:hAnsi="Times New Roman" w:cs="Times New Roman"/>
                <w:b/>
                <w:bCs/>
                <w:color w:val="000000"/>
                <w:sz w:val="18"/>
                <w:szCs w:val="18"/>
                <w:lang w:val="en-GB"/>
              </w:rPr>
              <w:t xml:space="preserve">109,194 </w:t>
            </w:r>
          </w:p>
        </w:tc>
        <w:tc>
          <w:tcPr>
            <w:tcW w:w="2382" w:type="dxa"/>
          </w:tcPr>
          <w:p w14:paraId="141719B8" w14:textId="30795AB2" w:rsidR="00C57545" w:rsidRPr="00C57545" w:rsidRDefault="00C57545" w:rsidP="00C57545">
            <w:pPr>
              <w:jc w:val="right"/>
              <w:rPr>
                <w:rFonts w:ascii="Times New Roman" w:eastAsia="PMingLiU" w:hAnsi="Times New Roman" w:cs="Times New Roman"/>
                <w:b/>
                <w:bCs/>
                <w:sz w:val="18"/>
                <w:szCs w:val="18"/>
                <w:lang w:val="en-GB" w:eastAsia="zh-TW"/>
              </w:rPr>
            </w:pPr>
            <w:r w:rsidRPr="00C57545">
              <w:rPr>
                <w:rFonts w:ascii="Times New Roman" w:eastAsia="PMingLiU" w:hAnsi="Times New Roman" w:cs="Times New Roman"/>
                <w:b/>
                <w:bCs/>
                <w:sz w:val="18"/>
                <w:szCs w:val="18"/>
                <w:lang w:val="en-GB" w:eastAsia="zh-TW"/>
              </w:rPr>
              <w:t xml:space="preserve">4,527 </w:t>
            </w:r>
          </w:p>
        </w:tc>
      </w:tr>
      <w:tr w:rsidR="00C57545" w14:paraId="6B43B8A4" w14:textId="5542521A" w:rsidTr="009E2376">
        <w:tc>
          <w:tcPr>
            <w:tcW w:w="5245" w:type="dxa"/>
            <w:vAlign w:val="bottom"/>
          </w:tcPr>
          <w:p w14:paraId="1C032EF2" w14:textId="77777777" w:rsidR="00C57545" w:rsidRDefault="00C57545" w:rsidP="00C57545">
            <w:pPr>
              <w:rPr>
                <w:rFonts w:ascii="Times New Roman" w:hAnsi="Times New Roman" w:cs="Times New Roman"/>
                <w:sz w:val="18"/>
                <w:szCs w:val="18"/>
                <w:lang w:val="en-GB" w:eastAsia="nl-NL"/>
              </w:rPr>
            </w:pPr>
            <w:r>
              <w:rPr>
                <w:rFonts w:ascii="Times New Roman" w:hAnsi="Times New Roman" w:cs="Times New Roman"/>
                <w:sz w:val="18"/>
                <w:szCs w:val="18"/>
                <w:lang w:val="en-GB" w:eastAsia="nl-NL"/>
              </w:rPr>
              <w:t>Guaranteed</w:t>
            </w:r>
          </w:p>
        </w:tc>
        <w:tc>
          <w:tcPr>
            <w:tcW w:w="2296" w:type="dxa"/>
            <w:vAlign w:val="center"/>
          </w:tcPr>
          <w:p w14:paraId="412CB5B5" w14:textId="77777777" w:rsidR="00C57545" w:rsidRDefault="00C57545" w:rsidP="00C57545">
            <w:pPr>
              <w:jc w:val="right"/>
              <w:rPr>
                <w:rFonts w:ascii="Times New Roman" w:eastAsia="Times New Roman" w:hAnsi="Times New Roman" w:cs="Times New Roman"/>
                <w:b/>
                <w:bCs/>
                <w:color w:val="000000"/>
                <w:sz w:val="18"/>
                <w:szCs w:val="18"/>
                <w:lang w:val="en-GB"/>
              </w:rPr>
            </w:pPr>
          </w:p>
        </w:tc>
        <w:tc>
          <w:tcPr>
            <w:tcW w:w="2382" w:type="dxa"/>
          </w:tcPr>
          <w:p w14:paraId="6C549A5E" w14:textId="09FA4329" w:rsidR="00C57545" w:rsidRPr="00C57545" w:rsidRDefault="00C57545" w:rsidP="00C57545">
            <w:pPr>
              <w:jc w:val="right"/>
              <w:rPr>
                <w:rFonts w:ascii="Times New Roman" w:eastAsia="PMingLiU" w:hAnsi="Times New Roman" w:cs="Times New Roman"/>
                <w:b/>
                <w:bCs/>
                <w:sz w:val="18"/>
                <w:szCs w:val="18"/>
                <w:lang w:val="en-GB" w:eastAsia="zh-TW"/>
              </w:rPr>
            </w:pPr>
          </w:p>
        </w:tc>
      </w:tr>
      <w:tr w:rsidR="00C57545" w14:paraId="6DCE7B4B" w14:textId="04B2E9B6" w:rsidTr="009E2376">
        <w:tc>
          <w:tcPr>
            <w:tcW w:w="5245" w:type="dxa"/>
            <w:vAlign w:val="bottom"/>
          </w:tcPr>
          <w:p w14:paraId="200F6E41" w14:textId="40B95828" w:rsidR="00C57545" w:rsidRDefault="00C57545" w:rsidP="00FF66F1">
            <w:pPr>
              <w:rPr>
                <w:rFonts w:ascii="Times New Roman" w:hAnsi="Times New Roman" w:cs="Times New Roman"/>
                <w:sz w:val="18"/>
                <w:szCs w:val="18"/>
                <w:lang w:val="en-GB" w:eastAsia="nl-NL"/>
              </w:rPr>
            </w:pPr>
            <w:r>
              <w:rPr>
                <w:rFonts w:ascii="Times New Roman" w:hAnsi="Times New Roman" w:cs="Times New Roman"/>
                <w:sz w:val="18"/>
                <w:szCs w:val="18"/>
                <w:lang w:val="en-GB" w:eastAsia="nl-NL"/>
              </w:rPr>
              <w:t>Secured</w:t>
            </w:r>
          </w:p>
        </w:tc>
        <w:tc>
          <w:tcPr>
            <w:tcW w:w="2296" w:type="dxa"/>
            <w:vAlign w:val="center"/>
          </w:tcPr>
          <w:p w14:paraId="0B058510" w14:textId="440BE829" w:rsidR="00C57545" w:rsidRDefault="00C57545" w:rsidP="00C57545">
            <w:pPr>
              <w:jc w:val="right"/>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18,751</w:t>
            </w:r>
            <w:r w:rsidR="00FF66F1">
              <w:rPr>
                <w:rFonts w:ascii="Times New Roman" w:hAnsi="Times New Roman" w:cs="Times New Roman"/>
                <w:sz w:val="18"/>
                <w:szCs w:val="18"/>
                <w:lang w:val="en-GB" w:eastAsia="nl-NL"/>
              </w:rPr>
              <w:t>¹</w:t>
            </w:r>
            <w:r>
              <w:rPr>
                <w:rFonts w:ascii="Times New Roman" w:hAnsi="Times New Roman" w:cs="Times New Roman"/>
                <w:color w:val="000000"/>
                <w:sz w:val="18"/>
                <w:szCs w:val="18"/>
                <w:lang w:val="en-GB"/>
              </w:rPr>
              <w:t xml:space="preserve"> </w:t>
            </w:r>
          </w:p>
        </w:tc>
        <w:tc>
          <w:tcPr>
            <w:tcW w:w="2382" w:type="dxa"/>
          </w:tcPr>
          <w:p w14:paraId="5EBC8B69" w14:textId="1346366C" w:rsidR="00C57545" w:rsidRPr="00C57545" w:rsidRDefault="00C57545" w:rsidP="00C57545">
            <w:pPr>
              <w:jc w:val="right"/>
              <w:rPr>
                <w:rFonts w:ascii="Times New Roman" w:eastAsia="PMingLiU" w:hAnsi="Times New Roman" w:cs="Times New Roman"/>
                <w:b/>
                <w:bCs/>
                <w:sz w:val="18"/>
                <w:szCs w:val="18"/>
                <w:lang w:val="en-GB" w:eastAsia="zh-TW"/>
              </w:rPr>
            </w:pPr>
            <w:r w:rsidRPr="00C57545">
              <w:rPr>
                <w:rFonts w:ascii="Times New Roman" w:eastAsia="PMingLiU" w:hAnsi="Times New Roman" w:cs="Times New Roman"/>
                <w:b/>
                <w:bCs/>
                <w:sz w:val="18"/>
                <w:szCs w:val="18"/>
                <w:lang w:val="en-GB" w:eastAsia="zh-TW"/>
              </w:rPr>
              <w:t>-</w:t>
            </w:r>
          </w:p>
        </w:tc>
      </w:tr>
      <w:tr w:rsidR="00C57545" w14:paraId="3DEB1CF2" w14:textId="023D2001" w:rsidTr="009E2376">
        <w:tc>
          <w:tcPr>
            <w:tcW w:w="5245" w:type="dxa"/>
            <w:vAlign w:val="bottom"/>
          </w:tcPr>
          <w:p w14:paraId="255CED33" w14:textId="77777777" w:rsidR="00C57545" w:rsidRDefault="00C57545" w:rsidP="00C57545">
            <w:pPr>
              <w:rPr>
                <w:rFonts w:ascii="Times New Roman" w:hAnsi="Times New Roman" w:cs="Times New Roman"/>
                <w:b/>
                <w:bCs/>
                <w:sz w:val="18"/>
                <w:szCs w:val="18"/>
                <w:lang w:val="en-GB"/>
              </w:rPr>
            </w:pPr>
            <w:r>
              <w:rPr>
                <w:rFonts w:ascii="Times New Roman" w:hAnsi="Times New Roman" w:cs="Times New Roman"/>
                <w:sz w:val="18"/>
                <w:szCs w:val="18"/>
                <w:lang w:val="en-GB" w:eastAsia="nl-NL"/>
              </w:rPr>
              <w:t>Unsecured²</w:t>
            </w:r>
          </w:p>
        </w:tc>
        <w:tc>
          <w:tcPr>
            <w:tcW w:w="2296" w:type="dxa"/>
            <w:vAlign w:val="center"/>
          </w:tcPr>
          <w:p w14:paraId="7904883A" w14:textId="77777777" w:rsidR="00C57545" w:rsidRDefault="00C57545" w:rsidP="00C57545">
            <w:pPr>
              <w:jc w:val="right"/>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90,443 </w:t>
            </w:r>
          </w:p>
        </w:tc>
        <w:tc>
          <w:tcPr>
            <w:tcW w:w="2382" w:type="dxa"/>
          </w:tcPr>
          <w:p w14:paraId="7E016634" w14:textId="07A29971" w:rsidR="00C57545" w:rsidRPr="00452624" w:rsidRDefault="00C57545" w:rsidP="00C57545">
            <w:pPr>
              <w:jc w:val="right"/>
              <w:rPr>
                <w:rFonts w:ascii="Times New Roman" w:eastAsia="PMingLiU" w:hAnsi="Times New Roman" w:cs="Times New Roman"/>
                <w:bCs/>
                <w:sz w:val="18"/>
                <w:szCs w:val="18"/>
                <w:lang w:val="en-GB" w:eastAsia="zh-TW"/>
              </w:rPr>
            </w:pPr>
            <w:r w:rsidRPr="00452624">
              <w:rPr>
                <w:rFonts w:ascii="Times New Roman" w:eastAsia="PMingLiU" w:hAnsi="Times New Roman" w:cs="Times New Roman"/>
                <w:bCs/>
                <w:sz w:val="18"/>
                <w:szCs w:val="18"/>
                <w:lang w:val="en-GB" w:eastAsia="zh-TW"/>
              </w:rPr>
              <w:t>4,527</w:t>
            </w:r>
          </w:p>
        </w:tc>
      </w:tr>
      <w:tr w:rsidR="00C57545" w14:paraId="75D0C40D" w14:textId="16BAE0AA" w:rsidTr="009E2376">
        <w:tc>
          <w:tcPr>
            <w:tcW w:w="5245" w:type="dxa"/>
            <w:vAlign w:val="bottom"/>
          </w:tcPr>
          <w:p w14:paraId="7FC23DC3" w14:textId="77777777" w:rsidR="00C57545" w:rsidRDefault="00C57545" w:rsidP="00C57545">
            <w:pPr>
              <w:rPr>
                <w:rFonts w:ascii="Times New Roman" w:hAnsi="Times New Roman" w:cs="Times New Roman"/>
                <w:b/>
                <w:bCs/>
                <w:sz w:val="18"/>
                <w:szCs w:val="18"/>
                <w:lang w:val="en-GB"/>
              </w:rPr>
            </w:pPr>
          </w:p>
        </w:tc>
        <w:tc>
          <w:tcPr>
            <w:tcW w:w="2296" w:type="dxa"/>
            <w:vAlign w:val="center"/>
          </w:tcPr>
          <w:p w14:paraId="59C8577A" w14:textId="77777777" w:rsidR="00C57545" w:rsidRDefault="00C57545" w:rsidP="00C57545">
            <w:pPr>
              <w:jc w:val="right"/>
              <w:rPr>
                <w:rFonts w:ascii="Times New Roman" w:eastAsia="Times New Roman" w:hAnsi="Times New Roman" w:cs="Times New Roman"/>
                <w:color w:val="000000"/>
                <w:sz w:val="18"/>
                <w:szCs w:val="18"/>
                <w:lang w:val="en-GB"/>
              </w:rPr>
            </w:pPr>
          </w:p>
        </w:tc>
        <w:tc>
          <w:tcPr>
            <w:tcW w:w="2382" w:type="dxa"/>
          </w:tcPr>
          <w:p w14:paraId="1A49A969" w14:textId="77777777" w:rsidR="00C57545" w:rsidRPr="00C57545" w:rsidRDefault="00C57545" w:rsidP="00C57545">
            <w:pPr>
              <w:jc w:val="right"/>
              <w:rPr>
                <w:rFonts w:ascii="Times New Roman" w:eastAsia="PMingLiU" w:hAnsi="Times New Roman" w:cs="Times New Roman"/>
                <w:b/>
                <w:bCs/>
                <w:sz w:val="18"/>
                <w:szCs w:val="18"/>
                <w:lang w:val="en-GB" w:eastAsia="zh-TW"/>
              </w:rPr>
            </w:pPr>
          </w:p>
        </w:tc>
      </w:tr>
      <w:tr w:rsidR="00C57545" w14:paraId="3B4687CC" w14:textId="16F4D7D8" w:rsidTr="009E2376">
        <w:tc>
          <w:tcPr>
            <w:tcW w:w="5245" w:type="dxa"/>
            <w:vAlign w:val="bottom"/>
          </w:tcPr>
          <w:p w14:paraId="64FE13AB" w14:textId="77777777" w:rsidR="00C57545" w:rsidRDefault="00C57545" w:rsidP="00C57545">
            <w:pPr>
              <w:rPr>
                <w:rFonts w:ascii="Times New Roman" w:eastAsia="PMingLiU" w:hAnsi="Times New Roman" w:cs="Times New Roman"/>
                <w:b/>
                <w:sz w:val="18"/>
                <w:szCs w:val="18"/>
                <w:lang w:val="en-GB" w:eastAsia="zh-TW"/>
              </w:rPr>
            </w:pPr>
            <w:r>
              <w:rPr>
                <w:rFonts w:ascii="Times New Roman" w:hAnsi="Times New Roman" w:cs="Times New Roman"/>
                <w:b/>
                <w:sz w:val="18"/>
                <w:szCs w:val="18"/>
                <w:lang w:val="en-GB" w:eastAsia="nl-NL"/>
              </w:rPr>
              <w:t>Non-Current debt</w:t>
            </w:r>
          </w:p>
        </w:tc>
        <w:tc>
          <w:tcPr>
            <w:tcW w:w="2296" w:type="dxa"/>
            <w:vAlign w:val="center"/>
          </w:tcPr>
          <w:p w14:paraId="02456529" w14:textId="77777777" w:rsidR="00C57545" w:rsidRDefault="00C57545" w:rsidP="00C57545">
            <w:pPr>
              <w:jc w:val="right"/>
              <w:rPr>
                <w:rFonts w:ascii="Times New Roman" w:eastAsia="Times New Roman" w:hAnsi="Times New Roman" w:cs="Times New Roman"/>
                <w:b/>
                <w:bCs/>
                <w:color w:val="000000"/>
                <w:sz w:val="18"/>
                <w:szCs w:val="18"/>
                <w:lang w:val="en-GB"/>
              </w:rPr>
            </w:pPr>
            <w:r>
              <w:rPr>
                <w:rFonts w:ascii="Times New Roman" w:hAnsi="Times New Roman" w:cs="Times New Roman"/>
                <w:b/>
                <w:bCs/>
                <w:color w:val="000000"/>
                <w:sz w:val="18"/>
                <w:szCs w:val="18"/>
                <w:lang w:val="en-GB"/>
              </w:rPr>
              <w:t xml:space="preserve">389,321 </w:t>
            </w:r>
          </w:p>
        </w:tc>
        <w:tc>
          <w:tcPr>
            <w:tcW w:w="2382" w:type="dxa"/>
          </w:tcPr>
          <w:p w14:paraId="4A0943DF" w14:textId="2A6CD38C" w:rsidR="00C57545" w:rsidRPr="00452624" w:rsidRDefault="00452624" w:rsidP="00C57545">
            <w:pPr>
              <w:jc w:val="right"/>
              <w:rPr>
                <w:rFonts w:ascii="Times New Roman" w:eastAsia="PMingLiU" w:hAnsi="Times New Roman" w:cs="Times New Roman"/>
                <w:bCs/>
                <w:sz w:val="18"/>
                <w:szCs w:val="18"/>
                <w:lang w:val="en-GB" w:eastAsia="zh-TW"/>
              </w:rPr>
            </w:pPr>
            <w:r w:rsidRPr="00452624">
              <w:rPr>
                <w:rFonts w:ascii="Times New Roman" w:eastAsia="PMingLiU" w:hAnsi="Times New Roman" w:cs="Times New Roman"/>
                <w:bCs/>
                <w:sz w:val="18"/>
                <w:szCs w:val="18"/>
                <w:lang w:val="en-GB" w:eastAsia="zh-TW"/>
              </w:rPr>
              <w:t>-</w:t>
            </w:r>
          </w:p>
        </w:tc>
      </w:tr>
      <w:tr w:rsidR="00C57545" w14:paraId="055D0680" w14:textId="607DAA03" w:rsidTr="009E2376">
        <w:tc>
          <w:tcPr>
            <w:tcW w:w="5245" w:type="dxa"/>
            <w:vAlign w:val="bottom"/>
          </w:tcPr>
          <w:p w14:paraId="1BD475E7" w14:textId="77777777" w:rsidR="00C57545" w:rsidRDefault="00C57545" w:rsidP="00C57545">
            <w:pPr>
              <w:rPr>
                <w:rFonts w:ascii="Times New Roman" w:hAnsi="Times New Roman" w:cs="Times New Roman"/>
                <w:sz w:val="18"/>
                <w:szCs w:val="18"/>
                <w:lang w:val="en-GB" w:eastAsia="nl-NL"/>
              </w:rPr>
            </w:pPr>
            <w:r>
              <w:rPr>
                <w:rFonts w:ascii="Times New Roman" w:hAnsi="Times New Roman" w:cs="Times New Roman"/>
                <w:sz w:val="18"/>
                <w:szCs w:val="18"/>
                <w:lang w:val="en-GB" w:eastAsia="nl-NL"/>
              </w:rPr>
              <w:t>Guaranteed</w:t>
            </w:r>
          </w:p>
        </w:tc>
        <w:tc>
          <w:tcPr>
            <w:tcW w:w="2296" w:type="dxa"/>
            <w:vAlign w:val="center"/>
          </w:tcPr>
          <w:p w14:paraId="40BBF2C3" w14:textId="77777777" w:rsidR="00C57545" w:rsidRDefault="00C57545" w:rsidP="00C57545">
            <w:pPr>
              <w:jc w:val="right"/>
              <w:rPr>
                <w:rFonts w:ascii="Times New Roman" w:eastAsia="Times New Roman" w:hAnsi="Times New Roman" w:cs="Times New Roman"/>
                <w:b/>
                <w:bCs/>
                <w:color w:val="000000"/>
                <w:sz w:val="18"/>
                <w:szCs w:val="18"/>
                <w:lang w:val="en-GB"/>
              </w:rPr>
            </w:pPr>
          </w:p>
        </w:tc>
        <w:tc>
          <w:tcPr>
            <w:tcW w:w="2382" w:type="dxa"/>
          </w:tcPr>
          <w:p w14:paraId="4FF0136D" w14:textId="79DA8895" w:rsidR="00C57545" w:rsidRPr="00C57545" w:rsidRDefault="00C57545" w:rsidP="00C57545">
            <w:pPr>
              <w:jc w:val="right"/>
              <w:rPr>
                <w:rFonts w:ascii="Times New Roman" w:eastAsia="PMingLiU" w:hAnsi="Times New Roman" w:cs="Times New Roman"/>
                <w:b/>
                <w:bCs/>
                <w:sz w:val="18"/>
                <w:szCs w:val="18"/>
                <w:lang w:val="en-GB" w:eastAsia="zh-TW"/>
              </w:rPr>
            </w:pPr>
          </w:p>
        </w:tc>
      </w:tr>
      <w:tr w:rsidR="00C57545" w14:paraId="31DD2590" w14:textId="48260A60" w:rsidTr="009E2376">
        <w:tc>
          <w:tcPr>
            <w:tcW w:w="5245" w:type="dxa"/>
            <w:vAlign w:val="bottom"/>
          </w:tcPr>
          <w:p w14:paraId="5CCEFFF1" w14:textId="77777777" w:rsidR="00C57545" w:rsidRDefault="00C57545" w:rsidP="00C57545">
            <w:pPr>
              <w:rPr>
                <w:rFonts w:ascii="Times New Roman" w:hAnsi="Times New Roman" w:cs="Times New Roman"/>
                <w:sz w:val="18"/>
                <w:szCs w:val="18"/>
                <w:lang w:val="en-GB" w:eastAsia="nl-NL"/>
              </w:rPr>
            </w:pPr>
            <w:r>
              <w:rPr>
                <w:rFonts w:ascii="Times New Roman" w:hAnsi="Times New Roman" w:cs="Times New Roman"/>
                <w:sz w:val="18"/>
                <w:szCs w:val="18"/>
                <w:lang w:val="en-GB" w:eastAsia="nl-NL"/>
              </w:rPr>
              <w:t>Secured</w:t>
            </w:r>
          </w:p>
        </w:tc>
        <w:tc>
          <w:tcPr>
            <w:tcW w:w="2296" w:type="dxa"/>
            <w:vAlign w:val="center"/>
          </w:tcPr>
          <w:p w14:paraId="0C3D972C" w14:textId="77777777" w:rsidR="00C57545" w:rsidRDefault="00C57545" w:rsidP="00C57545">
            <w:pPr>
              <w:jc w:val="right"/>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12,522 </w:t>
            </w:r>
          </w:p>
        </w:tc>
        <w:tc>
          <w:tcPr>
            <w:tcW w:w="2382" w:type="dxa"/>
          </w:tcPr>
          <w:p w14:paraId="7668CD2E" w14:textId="0A0079B2" w:rsidR="00C57545" w:rsidRPr="00452624" w:rsidRDefault="00C57545" w:rsidP="00C57545">
            <w:pPr>
              <w:jc w:val="right"/>
              <w:rPr>
                <w:rFonts w:ascii="Times New Roman" w:eastAsia="PMingLiU" w:hAnsi="Times New Roman" w:cs="Times New Roman"/>
                <w:bCs/>
                <w:sz w:val="18"/>
                <w:szCs w:val="18"/>
                <w:lang w:val="en-GB" w:eastAsia="zh-TW"/>
              </w:rPr>
            </w:pPr>
            <w:r w:rsidRPr="00452624">
              <w:rPr>
                <w:rFonts w:ascii="Times New Roman" w:eastAsia="PMingLiU" w:hAnsi="Times New Roman" w:cs="Times New Roman"/>
                <w:bCs/>
                <w:sz w:val="18"/>
                <w:szCs w:val="18"/>
                <w:lang w:val="en-GB" w:eastAsia="zh-TW"/>
              </w:rPr>
              <w:t>12,532</w:t>
            </w:r>
          </w:p>
        </w:tc>
      </w:tr>
      <w:tr w:rsidR="00C57545" w14:paraId="29396979" w14:textId="2D94426A" w:rsidTr="009E2376">
        <w:tc>
          <w:tcPr>
            <w:tcW w:w="5245" w:type="dxa"/>
            <w:vAlign w:val="bottom"/>
          </w:tcPr>
          <w:p w14:paraId="0BF6D018" w14:textId="2177D1CC" w:rsidR="00C57545" w:rsidRDefault="00C57545" w:rsidP="00FF66F1">
            <w:pPr>
              <w:rPr>
                <w:rFonts w:ascii="Times New Roman" w:hAnsi="Times New Roman" w:cs="Times New Roman"/>
                <w:b/>
                <w:bCs/>
                <w:sz w:val="18"/>
                <w:szCs w:val="18"/>
                <w:lang w:val="en-GB"/>
              </w:rPr>
            </w:pPr>
            <w:r>
              <w:rPr>
                <w:rFonts w:ascii="Times New Roman" w:hAnsi="Times New Roman" w:cs="Times New Roman"/>
                <w:sz w:val="18"/>
                <w:szCs w:val="18"/>
                <w:lang w:val="en-GB" w:eastAsia="nl-NL"/>
              </w:rPr>
              <w:t>Unsecured</w:t>
            </w:r>
          </w:p>
        </w:tc>
        <w:tc>
          <w:tcPr>
            <w:tcW w:w="2296" w:type="dxa"/>
            <w:vAlign w:val="center"/>
          </w:tcPr>
          <w:p w14:paraId="1699E6D6" w14:textId="77777777" w:rsidR="00C57545" w:rsidRDefault="00C57545" w:rsidP="00C57545">
            <w:pPr>
              <w:jc w:val="right"/>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376,799 </w:t>
            </w:r>
          </w:p>
        </w:tc>
        <w:tc>
          <w:tcPr>
            <w:tcW w:w="2382" w:type="dxa"/>
          </w:tcPr>
          <w:p w14:paraId="2BC4BB25" w14:textId="4F495211" w:rsidR="00C57545" w:rsidRPr="00452624" w:rsidRDefault="00C57545" w:rsidP="00C57545">
            <w:pPr>
              <w:jc w:val="right"/>
              <w:rPr>
                <w:rFonts w:ascii="Times New Roman" w:eastAsia="PMingLiU" w:hAnsi="Times New Roman" w:cs="Times New Roman"/>
                <w:bCs/>
                <w:sz w:val="18"/>
                <w:szCs w:val="18"/>
                <w:lang w:val="en-GB" w:eastAsia="zh-TW"/>
              </w:rPr>
            </w:pPr>
            <w:r w:rsidRPr="00452624">
              <w:rPr>
                <w:rFonts w:ascii="Times New Roman" w:eastAsia="PMingLiU" w:hAnsi="Times New Roman" w:cs="Times New Roman"/>
                <w:bCs/>
                <w:sz w:val="18"/>
                <w:szCs w:val="18"/>
                <w:lang w:val="en-GB" w:eastAsia="zh-TW"/>
              </w:rPr>
              <w:t>449,552</w:t>
            </w:r>
          </w:p>
        </w:tc>
      </w:tr>
      <w:tr w:rsidR="00C57545" w14:paraId="7800A7EA" w14:textId="354C3DBA" w:rsidTr="009E2376">
        <w:tc>
          <w:tcPr>
            <w:tcW w:w="5245" w:type="dxa"/>
            <w:vAlign w:val="bottom"/>
          </w:tcPr>
          <w:p w14:paraId="1A90169C" w14:textId="77777777" w:rsidR="00C57545" w:rsidRDefault="00C57545" w:rsidP="00C57545">
            <w:pPr>
              <w:rPr>
                <w:rFonts w:ascii="Times New Roman" w:hAnsi="Times New Roman" w:cs="Times New Roman"/>
                <w:b/>
                <w:bCs/>
                <w:sz w:val="18"/>
                <w:szCs w:val="18"/>
                <w:lang w:val="en-GB" w:eastAsia="nl-NL"/>
              </w:rPr>
            </w:pPr>
          </w:p>
        </w:tc>
        <w:tc>
          <w:tcPr>
            <w:tcW w:w="2296" w:type="dxa"/>
            <w:vAlign w:val="center"/>
          </w:tcPr>
          <w:p w14:paraId="24C0155F" w14:textId="77777777" w:rsidR="00C57545" w:rsidRDefault="00C57545" w:rsidP="00C57545">
            <w:pPr>
              <w:jc w:val="right"/>
              <w:rPr>
                <w:rFonts w:ascii="Times New Roman" w:eastAsia="Times New Roman" w:hAnsi="Times New Roman" w:cs="Times New Roman"/>
                <w:color w:val="000000"/>
                <w:sz w:val="18"/>
                <w:szCs w:val="18"/>
                <w:lang w:val="en-GB"/>
              </w:rPr>
            </w:pPr>
          </w:p>
        </w:tc>
        <w:tc>
          <w:tcPr>
            <w:tcW w:w="2382" w:type="dxa"/>
          </w:tcPr>
          <w:p w14:paraId="48E8E6C1" w14:textId="77777777" w:rsidR="00C57545" w:rsidRPr="00C57545" w:rsidRDefault="00C57545" w:rsidP="00C57545">
            <w:pPr>
              <w:jc w:val="right"/>
              <w:rPr>
                <w:rFonts w:ascii="Times New Roman" w:eastAsia="PMingLiU" w:hAnsi="Times New Roman" w:cs="Times New Roman"/>
                <w:b/>
                <w:bCs/>
                <w:sz w:val="18"/>
                <w:szCs w:val="18"/>
                <w:lang w:val="en-GB" w:eastAsia="zh-TW"/>
              </w:rPr>
            </w:pPr>
          </w:p>
        </w:tc>
      </w:tr>
      <w:tr w:rsidR="00C57545" w14:paraId="6D349696" w14:textId="29E96051" w:rsidTr="009E2376">
        <w:tc>
          <w:tcPr>
            <w:tcW w:w="5245" w:type="dxa"/>
            <w:vAlign w:val="bottom"/>
          </w:tcPr>
          <w:p w14:paraId="4C36A402" w14:textId="59D3558F" w:rsidR="00C57545" w:rsidRDefault="00C57545" w:rsidP="00C57545">
            <w:pPr>
              <w:rPr>
                <w:rFonts w:ascii="Times New Roman" w:eastAsia="PMingLiU" w:hAnsi="Times New Roman" w:cs="Times New Roman"/>
                <w:sz w:val="18"/>
                <w:szCs w:val="18"/>
                <w:lang w:val="en-GB" w:eastAsia="zh-TW"/>
              </w:rPr>
            </w:pPr>
            <w:r>
              <w:rPr>
                <w:rFonts w:ascii="Times New Roman" w:hAnsi="Times New Roman" w:cs="Times New Roman"/>
                <w:b/>
                <w:bCs/>
                <w:sz w:val="18"/>
                <w:szCs w:val="18"/>
                <w:lang w:val="en-GB" w:eastAsia="nl-NL"/>
              </w:rPr>
              <w:t>Total indebtedness</w:t>
            </w:r>
            <w:r w:rsidR="00FF66F1">
              <w:rPr>
                <w:rFonts w:ascii="Times New Roman" w:hAnsi="Times New Roman" w:cs="Times New Roman"/>
                <w:sz w:val="18"/>
                <w:szCs w:val="18"/>
                <w:lang w:val="en-GB"/>
              </w:rPr>
              <w:t>³</w:t>
            </w:r>
          </w:p>
        </w:tc>
        <w:tc>
          <w:tcPr>
            <w:tcW w:w="2296" w:type="dxa"/>
            <w:vAlign w:val="center"/>
          </w:tcPr>
          <w:p w14:paraId="673EBF0F" w14:textId="77777777" w:rsidR="00C57545" w:rsidRDefault="00C57545" w:rsidP="00C57545">
            <w:pPr>
              <w:jc w:val="right"/>
              <w:rPr>
                <w:rFonts w:ascii="Times New Roman" w:eastAsia="Times New Roman" w:hAnsi="Times New Roman" w:cs="Times New Roman"/>
                <w:b/>
                <w:bCs/>
                <w:color w:val="000000"/>
                <w:sz w:val="18"/>
                <w:szCs w:val="18"/>
                <w:lang w:val="en-GB"/>
              </w:rPr>
            </w:pPr>
            <w:r>
              <w:rPr>
                <w:rFonts w:ascii="Times New Roman" w:hAnsi="Times New Roman" w:cs="Times New Roman"/>
                <w:b/>
                <w:bCs/>
                <w:color w:val="000000"/>
                <w:sz w:val="18"/>
                <w:szCs w:val="18"/>
                <w:lang w:val="en-GB"/>
              </w:rPr>
              <w:t xml:space="preserve">498,515 </w:t>
            </w:r>
          </w:p>
        </w:tc>
        <w:tc>
          <w:tcPr>
            <w:tcW w:w="2382" w:type="dxa"/>
          </w:tcPr>
          <w:p w14:paraId="7920D3F8" w14:textId="4ADE3D0D" w:rsidR="00C57545" w:rsidRPr="00C57545" w:rsidRDefault="00C57545" w:rsidP="00C57545">
            <w:pPr>
              <w:jc w:val="right"/>
              <w:rPr>
                <w:rFonts w:ascii="Times New Roman" w:eastAsia="PMingLiU" w:hAnsi="Times New Roman" w:cs="Times New Roman"/>
                <w:b/>
                <w:bCs/>
                <w:sz w:val="18"/>
                <w:szCs w:val="18"/>
                <w:lang w:val="en-GB" w:eastAsia="zh-TW"/>
              </w:rPr>
            </w:pPr>
            <w:r w:rsidRPr="00C57545">
              <w:rPr>
                <w:rFonts w:ascii="Times New Roman" w:eastAsia="PMingLiU" w:hAnsi="Times New Roman" w:cs="Times New Roman"/>
                <w:b/>
                <w:bCs/>
                <w:sz w:val="18"/>
                <w:szCs w:val="18"/>
                <w:lang w:val="en-GB" w:eastAsia="zh-TW"/>
              </w:rPr>
              <w:t>466,611</w:t>
            </w:r>
          </w:p>
        </w:tc>
      </w:tr>
      <w:tr w:rsidR="00C57545" w14:paraId="67F05016" w14:textId="7B70DB68" w:rsidTr="009E2376">
        <w:tc>
          <w:tcPr>
            <w:tcW w:w="5245" w:type="dxa"/>
            <w:vAlign w:val="bottom"/>
          </w:tcPr>
          <w:p w14:paraId="1581E72A" w14:textId="77777777" w:rsidR="00C57545" w:rsidRDefault="00C57545" w:rsidP="00C57545">
            <w:pPr>
              <w:rPr>
                <w:rFonts w:ascii="Times New Roman" w:hAnsi="Times New Roman" w:cs="Times New Roman"/>
                <w:b/>
                <w:bCs/>
                <w:sz w:val="18"/>
                <w:szCs w:val="18"/>
                <w:lang w:val="en-GB" w:eastAsia="nl-NL"/>
              </w:rPr>
            </w:pPr>
          </w:p>
        </w:tc>
        <w:tc>
          <w:tcPr>
            <w:tcW w:w="2296" w:type="dxa"/>
            <w:vAlign w:val="center"/>
          </w:tcPr>
          <w:p w14:paraId="338DF4AD" w14:textId="77777777" w:rsidR="00C57545" w:rsidRDefault="00C57545" w:rsidP="00C57545">
            <w:pPr>
              <w:jc w:val="right"/>
              <w:rPr>
                <w:rFonts w:ascii="Times New Roman" w:eastAsia="Times New Roman" w:hAnsi="Times New Roman" w:cs="Times New Roman"/>
                <w:b/>
                <w:bCs/>
                <w:color w:val="000000"/>
                <w:sz w:val="18"/>
                <w:szCs w:val="18"/>
                <w:lang w:val="en-GB"/>
              </w:rPr>
            </w:pPr>
          </w:p>
        </w:tc>
        <w:tc>
          <w:tcPr>
            <w:tcW w:w="2382" w:type="dxa"/>
          </w:tcPr>
          <w:p w14:paraId="339E30F9" w14:textId="77777777" w:rsidR="00C57545" w:rsidRPr="00C57545" w:rsidRDefault="00C57545" w:rsidP="00C57545">
            <w:pPr>
              <w:jc w:val="right"/>
              <w:rPr>
                <w:rFonts w:ascii="Times New Roman" w:eastAsia="PMingLiU" w:hAnsi="Times New Roman" w:cs="Times New Roman"/>
                <w:b/>
                <w:bCs/>
                <w:sz w:val="18"/>
                <w:szCs w:val="18"/>
                <w:lang w:val="en-GB" w:eastAsia="zh-TW"/>
              </w:rPr>
            </w:pPr>
          </w:p>
        </w:tc>
      </w:tr>
      <w:tr w:rsidR="00C57545" w14:paraId="4D75990E" w14:textId="56C9949A" w:rsidTr="009E2376">
        <w:tc>
          <w:tcPr>
            <w:tcW w:w="5245" w:type="dxa"/>
            <w:vAlign w:val="bottom"/>
          </w:tcPr>
          <w:p w14:paraId="093D4186" w14:textId="77777777" w:rsidR="00C57545" w:rsidRDefault="00C57545" w:rsidP="00C57545">
            <w:pPr>
              <w:rPr>
                <w:rFonts w:ascii="Times New Roman" w:eastAsia="PMingLiU" w:hAnsi="Times New Roman" w:cs="Times New Roman"/>
                <w:sz w:val="18"/>
                <w:szCs w:val="18"/>
                <w:lang w:val="en-GB" w:eastAsia="zh-TW"/>
              </w:rPr>
            </w:pPr>
            <w:r>
              <w:rPr>
                <w:rFonts w:ascii="Times New Roman" w:hAnsi="Times New Roman" w:cs="Times New Roman"/>
                <w:sz w:val="18"/>
                <w:szCs w:val="18"/>
                <w:lang w:val="en-GB" w:eastAsia="nl-NL"/>
              </w:rPr>
              <w:t>Share capital and share premium</w:t>
            </w:r>
          </w:p>
        </w:tc>
        <w:tc>
          <w:tcPr>
            <w:tcW w:w="2296" w:type="dxa"/>
            <w:vAlign w:val="center"/>
          </w:tcPr>
          <w:p w14:paraId="0E0769E1" w14:textId="77777777" w:rsidR="00C57545" w:rsidRDefault="00C57545" w:rsidP="00C57545">
            <w:pPr>
              <w:jc w:val="right"/>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62,251 </w:t>
            </w:r>
          </w:p>
        </w:tc>
        <w:tc>
          <w:tcPr>
            <w:tcW w:w="2382" w:type="dxa"/>
            <w:vAlign w:val="center"/>
          </w:tcPr>
          <w:p w14:paraId="0E56B11D" w14:textId="4AD9049F" w:rsidR="00C57545" w:rsidRPr="00C57545" w:rsidRDefault="00C57545" w:rsidP="00C57545">
            <w:pPr>
              <w:jc w:val="right"/>
              <w:rPr>
                <w:rFonts w:ascii="Times New Roman" w:eastAsia="PMingLiU" w:hAnsi="Times New Roman" w:cs="Times New Roman"/>
                <w:bCs/>
                <w:sz w:val="18"/>
                <w:szCs w:val="18"/>
                <w:lang w:val="en-GB" w:eastAsia="zh-TW"/>
              </w:rPr>
            </w:pPr>
            <w:r w:rsidRPr="00C57545">
              <w:rPr>
                <w:rFonts w:ascii="Times New Roman" w:eastAsia="PMingLiU" w:hAnsi="Times New Roman" w:cs="Times New Roman"/>
                <w:bCs/>
                <w:sz w:val="18"/>
                <w:szCs w:val="18"/>
                <w:lang w:val="en-GB" w:eastAsia="zh-TW"/>
              </w:rPr>
              <w:t xml:space="preserve">62,251 </w:t>
            </w:r>
          </w:p>
        </w:tc>
      </w:tr>
      <w:tr w:rsidR="00C57545" w14:paraId="28A5FC9A" w14:textId="2ED55EDB" w:rsidTr="009E2376">
        <w:tc>
          <w:tcPr>
            <w:tcW w:w="5245" w:type="dxa"/>
            <w:vAlign w:val="bottom"/>
          </w:tcPr>
          <w:p w14:paraId="337D9065" w14:textId="77777777" w:rsidR="00C57545" w:rsidRDefault="00C57545" w:rsidP="00C57545">
            <w:pPr>
              <w:rPr>
                <w:rFonts w:ascii="Times New Roman" w:eastAsia="PMingLiU" w:hAnsi="Times New Roman" w:cs="Times New Roman"/>
                <w:b/>
                <w:bCs/>
                <w:sz w:val="18"/>
                <w:szCs w:val="18"/>
                <w:lang w:val="en-GB" w:eastAsia="zh-TW"/>
              </w:rPr>
            </w:pPr>
            <w:r>
              <w:rPr>
                <w:rFonts w:ascii="Times New Roman" w:hAnsi="Times New Roman" w:cs="Times New Roman"/>
                <w:sz w:val="18"/>
                <w:szCs w:val="18"/>
                <w:lang w:val="en-GB" w:eastAsia="nl-NL"/>
              </w:rPr>
              <w:t>Retained earnings and other reserves</w:t>
            </w:r>
          </w:p>
        </w:tc>
        <w:tc>
          <w:tcPr>
            <w:tcW w:w="2296" w:type="dxa"/>
            <w:vAlign w:val="center"/>
          </w:tcPr>
          <w:p w14:paraId="73193227" w14:textId="77777777" w:rsidR="00C57545" w:rsidRDefault="00C57545" w:rsidP="00C57545">
            <w:pPr>
              <w:jc w:val="right"/>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370,441 </w:t>
            </w:r>
          </w:p>
        </w:tc>
        <w:tc>
          <w:tcPr>
            <w:tcW w:w="2382" w:type="dxa"/>
            <w:vAlign w:val="center"/>
          </w:tcPr>
          <w:p w14:paraId="4AA4CFAD" w14:textId="02932CFE" w:rsidR="00C57545" w:rsidRPr="00C57545" w:rsidRDefault="00C57545" w:rsidP="00C57545">
            <w:pPr>
              <w:jc w:val="right"/>
              <w:rPr>
                <w:rFonts w:ascii="Times New Roman" w:eastAsia="PMingLiU" w:hAnsi="Times New Roman" w:cs="Times New Roman"/>
                <w:bCs/>
                <w:sz w:val="18"/>
                <w:szCs w:val="18"/>
                <w:lang w:val="en-GB" w:eastAsia="zh-TW"/>
              </w:rPr>
            </w:pPr>
            <w:r w:rsidRPr="00C57545">
              <w:rPr>
                <w:rFonts w:ascii="Times New Roman" w:eastAsia="PMingLiU" w:hAnsi="Times New Roman" w:cs="Times New Roman"/>
                <w:bCs/>
                <w:sz w:val="18"/>
                <w:szCs w:val="18"/>
                <w:lang w:val="en-GB" w:eastAsia="zh-TW"/>
              </w:rPr>
              <w:t xml:space="preserve">370,441 </w:t>
            </w:r>
          </w:p>
        </w:tc>
      </w:tr>
      <w:tr w:rsidR="00C57545" w14:paraId="1A2B33A1" w14:textId="2FBFEAB4" w:rsidTr="009E2376">
        <w:tc>
          <w:tcPr>
            <w:tcW w:w="5245" w:type="dxa"/>
            <w:vAlign w:val="bottom"/>
          </w:tcPr>
          <w:p w14:paraId="02D8724C" w14:textId="77777777" w:rsidR="00C57545" w:rsidRDefault="00C57545" w:rsidP="00C57545">
            <w:pPr>
              <w:rPr>
                <w:rFonts w:ascii="Times New Roman" w:eastAsia="PMingLiU" w:hAnsi="Times New Roman" w:cs="Times New Roman"/>
                <w:b/>
                <w:bCs/>
                <w:sz w:val="18"/>
                <w:szCs w:val="18"/>
                <w:lang w:val="en-GB" w:eastAsia="zh-TW"/>
              </w:rPr>
            </w:pPr>
            <w:r>
              <w:rPr>
                <w:rFonts w:ascii="Times New Roman" w:hAnsi="Times New Roman" w:cs="Times New Roman"/>
                <w:b/>
                <w:bCs/>
                <w:sz w:val="18"/>
                <w:szCs w:val="18"/>
                <w:lang w:val="en-GB" w:eastAsia="nl-NL"/>
              </w:rPr>
              <w:t>Total shareholders’ equity</w:t>
            </w:r>
          </w:p>
        </w:tc>
        <w:tc>
          <w:tcPr>
            <w:tcW w:w="2296" w:type="dxa"/>
            <w:vAlign w:val="center"/>
          </w:tcPr>
          <w:p w14:paraId="44A572A0" w14:textId="77777777" w:rsidR="00C57545" w:rsidRDefault="00C57545" w:rsidP="00C57545">
            <w:pPr>
              <w:jc w:val="right"/>
              <w:rPr>
                <w:rFonts w:ascii="Times New Roman" w:eastAsia="Times New Roman" w:hAnsi="Times New Roman" w:cs="Times New Roman"/>
                <w:b/>
                <w:bCs/>
                <w:color w:val="000000"/>
                <w:sz w:val="18"/>
                <w:szCs w:val="18"/>
                <w:lang w:val="en-GB"/>
              </w:rPr>
            </w:pPr>
            <w:r>
              <w:rPr>
                <w:rFonts w:ascii="Times New Roman" w:hAnsi="Times New Roman" w:cs="Times New Roman"/>
                <w:b/>
                <w:bCs/>
                <w:color w:val="000000"/>
                <w:sz w:val="18"/>
                <w:szCs w:val="18"/>
                <w:lang w:val="en-GB"/>
              </w:rPr>
              <w:t xml:space="preserve">432,692 </w:t>
            </w:r>
          </w:p>
        </w:tc>
        <w:tc>
          <w:tcPr>
            <w:tcW w:w="2382" w:type="dxa"/>
            <w:vAlign w:val="center"/>
          </w:tcPr>
          <w:p w14:paraId="709BC079" w14:textId="6331CEF5" w:rsidR="00C57545" w:rsidRPr="00C57545" w:rsidRDefault="00C57545" w:rsidP="00C57545">
            <w:pPr>
              <w:jc w:val="right"/>
              <w:rPr>
                <w:rFonts w:ascii="Times New Roman" w:eastAsia="PMingLiU" w:hAnsi="Times New Roman" w:cs="Times New Roman"/>
                <w:b/>
                <w:bCs/>
                <w:sz w:val="18"/>
                <w:szCs w:val="18"/>
                <w:lang w:val="en-GB" w:eastAsia="zh-TW"/>
              </w:rPr>
            </w:pPr>
            <w:r w:rsidRPr="00C57545">
              <w:rPr>
                <w:rFonts w:ascii="Times New Roman" w:eastAsia="PMingLiU" w:hAnsi="Times New Roman" w:cs="Times New Roman"/>
                <w:b/>
                <w:bCs/>
                <w:sz w:val="18"/>
                <w:szCs w:val="18"/>
                <w:lang w:val="en-GB" w:eastAsia="zh-TW"/>
              </w:rPr>
              <w:t xml:space="preserve">432,692 </w:t>
            </w:r>
          </w:p>
        </w:tc>
      </w:tr>
      <w:tr w:rsidR="00C57545" w14:paraId="3F5129E0" w14:textId="2233CDEE" w:rsidTr="009E2376">
        <w:tc>
          <w:tcPr>
            <w:tcW w:w="5245" w:type="dxa"/>
            <w:vAlign w:val="bottom"/>
          </w:tcPr>
          <w:p w14:paraId="06686742" w14:textId="77777777" w:rsidR="00C57545" w:rsidRDefault="00C57545" w:rsidP="00C57545">
            <w:pPr>
              <w:rPr>
                <w:rFonts w:ascii="Times New Roman" w:hAnsi="Times New Roman" w:cs="Times New Roman"/>
                <w:sz w:val="18"/>
                <w:szCs w:val="18"/>
                <w:lang w:val="en-GB" w:eastAsia="nl-NL"/>
              </w:rPr>
            </w:pPr>
            <w:r>
              <w:rPr>
                <w:rFonts w:ascii="Times New Roman" w:hAnsi="Times New Roman" w:cs="Times New Roman"/>
                <w:sz w:val="18"/>
                <w:szCs w:val="18"/>
                <w:lang w:val="en-GB" w:eastAsia="nl-NL"/>
              </w:rPr>
              <w:t>Non-controlling interest</w:t>
            </w:r>
          </w:p>
        </w:tc>
        <w:tc>
          <w:tcPr>
            <w:tcW w:w="2296" w:type="dxa"/>
            <w:vAlign w:val="center"/>
          </w:tcPr>
          <w:p w14:paraId="6E4DF231" w14:textId="77777777" w:rsidR="00C57545" w:rsidRDefault="00C57545" w:rsidP="00C57545">
            <w:pPr>
              <w:jc w:val="right"/>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0 </w:t>
            </w:r>
          </w:p>
        </w:tc>
        <w:tc>
          <w:tcPr>
            <w:tcW w:w="2382" w:type="dxa"/>
            <w:vAlign w:val="center"/>
          </w:tcPr>
          <w:p w14:paraId="386FF38F" w14:textId="08DD802D" w:rsidR="00C57545" w:rsidRPr="00452624" w:rsidRDefault="00C57545" w:rsidP="00C57545">
            <w:pPr>
              <w:jc w:val="right"/>
              <w:rPr>
                <w:rFonts w:ascii="Times New Roman" w:eastAsia="PMingLiU" w:hAnsi="Times New Roman" w:cs="Times New Roman"/>
                <w:bCs/>
                <w:sz w:val="18"/>
                <w:szCs w:val="18"/>
                <w:lang w:val="en-GB" w:eastAsia="zh-TW"/>
              </w:rPr>
            </w:pPr>
            <w:r w:rsidRPr="00452624">
              <w:rPr>
                <w:rFonts w:ascii="Times New Roman" w:eastAsia="PMingLiU" w:hAnsi="Times New Roman" w:cs="Times New Roman"/>
                <w:bCs/>
                <w:sz w:val="18"/>
                <w:szCs w:val="18"/>
                <w:lang w:val="en-GB" w:eastAsia="zh-TW"/>
              </w:rPr>
              <w:t xml:space="preserve">0 </w:t>
            </w:r>
          </w:p>
        </w:tc>
      </w:tr>
      <w:tr w:rsidR="00C57545" w14:paraId="4970D638" w14:textId="39DF9575" w:rsidTr="009E2376">
        <w:tc>
          <w:tcPr>
            <w:tcW w:w="5245" w:type="dxa"/>
            <w:vAlign w:val="bottom"/>
          </w:tcPr>
          <w:p w14:paraId="27C05BC1" w14:textId="77777777" w:rsidR="00C57545" w:rsidRDefault="00C57545" w:rsidP="00C57545">
            <w:pPr>
              <w:rPr>
                <w:rFonts w:ascii="Times New Roman" w:hAnsi="Times New Roman" w:cs="Times New Roman"/>
                <w:b/>
                <w:sz w:val="18"/>
                <w:szCs w:val="18"/>
                <w:lang w:val="en-GB" w:eastAsia="nl-NL"/>
              </w:rPr>
            </w:pPr>
            <w:r>
              <w:rPr>
                <w:rFonts w:ascii="Times New Roman" w:hAnsi="Times New Roman" w:cs="Times New Roman"/>
                <w:b/>
                <w:sz w:val="18"/>
                <w:szCs w:val="18"/>
                <w:lang w:val="en-GB" w:eastAsia="nl-NL"/>
              </w:rPr>
              <w:t>Total equity</w:t>
            </w:r>
          </w:p>
        </w:tc>
        <w:tc>
          <w:tcPr>
            <w:tcW w:w="2296" w:type="dxa"/>
            <w:vAlign w:val="center"/>
          </w:tcPr>
          <w:p w14:paraId="198CCBBD" w14:textId="77777777" w:rsidR="00C57545" w:rsidRDefault="00C57545" w:rsidP="00C57545">
            <w:pPr>
              <w:jc w:val="right"/>
              <w:rPr>
                <w:rFonts w:ascii="Times New Roman" w:eastAsia="Times New Roman" w:hAnsi="Times New Roman" w:cs="Times New Roman"/>
                <w:b/>
                <w:bCs/>
                <w:color w:val="000000"/>
                <w:sz w:val="18"/>
                <w:szCs w:val="18"/>
                <w:lang w:val="en-GB"/>
              </w:rPr>
            </w:pPr>
            <w:r>
              <w:rPr>
                <w:rFonts w:ascii="Times New Roman" w:hAnsi="Times New Roman" w:cs="Times New Roman"/>
                <w:b/>
                <w:bCs/>
                <w:color w:val="000000"/>
                <w:sz w:val="18"/>
                <w:szCs w:val="18"/>
                <w:lang w:val="en-GB"/>
              </w:rPr>
              <w:t xml:space="preserve">432,692 </w:t>
            </w:r>
          </w:p>
        </w:tc>
        <w:tc>
          <w:tcPr>
            <w:tcW w:w="2382" w:type="dxa"/>
            <w:vAlign w:val="center"/>
          </w:tcPr>
          <w:p w14:paraId="5175818B" w14:textId="348AE96F" w:rsidR="00C57545" w:rsidRPr="00C57545" w:rsidRDefault="00C57545" w:rsidP="00C57545">
            <w:pPr>
              <w:jc w:val="right"/>
              <w:rPr>
                <w:rFonts w:ascii="Times New Roman" w:eastAsia="PMingLiU" w:hAnsi="Times New Roman" w:cs="Times New Roman"/>
                <w:b/>
                <w:bCs/>
                <w:sz w:val="18"/>
                <w:szCs w:val="18"/>
                <w:lang w:val="en-GB" w:eastAsia="zh-TW"/>
              </w:rPr>
            </w:pPr>
            <w:r w:rsidRPr="00C57545">
              <w:rPr>
                <w:rFonts w:ascii="Times New Roman" w:eastAsia="PMingLiU" w:hAnsi="Times New Roman" w:cs="Times New Roman"/>
                <w:b/>
                <w:bCs/>
                <w:sz w:val="18"/>
                <w:szCs w:val="18"/>
                <w:lang w:val="en-GB" w:eastAsia="zh-TW"/>
              </w:rPr>
              <w:t xml:space="preserve">432,692 </w:t>
            </w:r>
          </w:p>
        </w:tc>
      </w:tr>
      <w:tr w:rsidR="00C57545" w14:paraId="6F34DB83" w14:textId="23F79BBF" w:rsidTr="009E2376">
        <w:tc>
          <w:tcPr>
            <w:tcW w:w="5245" w:type="dxa"/>
            <w:vAlign w:val="bottom"/>
          </w:tcPr>
          <w:p w14:paraId="08D703E7" w14:textId="77777777" w:rsidR="00C57545" w:rsidRDefault="00C57545" w:rsidP="00C57545">
            <w:pPr>
              <w:rPr>
                <w:rFonts w:ascii="Times New Roman" w:hAnsi="Times New Roman" w:cs="Times New Roman"/>
                <w:b/>
                <w:sz w:val="18"/>
                <w:szCs w:val="18"/>
                <w:lang w:val="en-GB" w:eastAsia="nl-NL"/>
              </w:rPr>
            </w:pPr>
          </w:p>
        </w:tc>
        <w:tc>
          <w:tcPr>
            <w:tcW w:w="2296" w:type="dxa"/>
            <w:vAlign w:val="center"/>
          </w:tcPr>
          <w:p w14:paraId="3BBD7B6D" w14:textId="77777777" w:rsidR="00C57545" w:rsidRDefault="00C57545" w:rsidP="00C57545">
            <w:pPr>
              <w:jc w:val="right"/>
              <w:rPr>
                <w:rFonts w:ascii="Times New Roman" w:eastAsia="Times New Roman" w:hAnsi="Times New Roman" w:cs="Times New Roman"/>
                <w:b/>
                <w:bCs/>
                <w:color w:val="000000"/>
                <w:sz w:val="18"/>
                <w:szCs w:val="18"/>
                <w:lang w:val="en-GB"/>
              </w:rPr>
            </w:pPr>
          </w:p>
        </w:tc>
        <w:tc>
          <w:tcPr>
            <w:tcW w:w="2382" w:type="dxa"/>
          </w:tcPr>
          <w:p w14:paraId="6D1EB797" w14:textId="77777777" w:rsidR="00C57545" w:rsidRPr="00C57545" w:rsidRDefault="00C57545" w:rsidP="00C57545">
            <w:pPr>
              <w:jc w:val="right"/>
              <w:rPr>
                <w:rFonts w:ascii="Times New Roman" w:eastAsia="PMingLiU" w:hAnsi="Times New Roman" w:cs="Times New Roman"/>
                <w:b/>
                <w:bCs/>
                <w:sz w:val="18"/>
                <w:szCs w:val="18"/>
                <w:lang w:val="en-GB" w:eastAsia="zh-TW"/>
              </w:rPr>
            </w:pPr>
          </w:p>
        </w:tc>
      </w:tr>
      <w:tr w:rsidR="00C57545" w14:paraId="65AFBBC0" w14:textId="4E760774" w:rsidTr="009E2376">
        <w:tc>
          <w:tcPr>
            <w:tcW w:w="5245" w:type="dxa"/>
            <w:vAlign w:val="bottom"/>
          </w:tcPr>
          <w:p w14:paraId="59D62567" w14:textId="77777777" w:rsidR="00C57545" w:rsidRDefault="00C57545" w:rsidP="00C57545">
            <w:pPr>
              <w:rPr>
                <w:rFonts w:ascii="Times New Roman" w:hAnsi="Times New Roman" w:cs="Times New Roman"/>
                <w:b/>
                <w:sz w:val="18"/>
                <w:szCs w:val="18"/>
                <w:lang w:val="en-GB" w:eastAsia="nl-NL"/>
              </w:rPr>
            </w:pPr>
            <w:r>
              <w:rPr>
                <w:rFonts w:ascii="Times New Roman" w:hAnsi="Times New Roman" w:cs="Times New Roman"/>
                <w:b/>
                <w:sz w:val="18"/>
                <w:szCs w:val="18"/>
                <w:lang w:val="en-GB" w:eastAsia="nl-NL"/>
              </w:rPr>
              <w:t>Capitalisation</w:t>
            </w:r>
          </w:p>
        </w:tc>
        <w:tc>
          <w:tcPr>
            <w:tcW w:w="2296" w:type="dxa"/>
            <w:vAlign w:val="center"/>
          </w:tcPr>
          <w:p w14:paraId="0765C127" w14:textId="77777777" w:rsidR="00C57545" w:rsidRDefault="00C57545" w:rsidP="00C57545">
            <w:pPr>
              <w:jc w:val="right"/>
              <w:rPr>
                <w:rFonts w:ascii="Times New Roman" w:eastAsia="Times New Roman" w:hAnsi="Times New Roman" w:cs="Times New Roman"/>
                <w:b/>
                <w:bCs/>
                <w:color w:val="000000"/>
                <w:sz w:val="18"/>
                <w:szCs w:val="18"/>
                <w:lang w:val="en-GB"/>
              </w:rPr>
            </w:pPr>
            <w:r>
              <w:rPr>
                <w:rFonts w:ascii="Times New Roman" w:hAnsi="Times New Roman" w:cs="Times New Roman"/>
                <w:b/>
                <w:bCs/>
                <w:color w:val="000000"/>
                <w:sz w:val="18"/>
                <w:szCs w:val="18"/>
                <w:lang w:val="en-GB"/>
              </w:rPr>
              <w:t xml:space="preserve">931,207 </w:t>
            </w:r>
          </w:p>
        </w:tc>
        <w:tc>
          <w:tcPr>
            <w:tcW w:w="2382" w:type="dxa"/>
          </w:tcPr>
          <w:p w14:paraId="2108C0B0" w14:textId="77EA897E" w:rsidR="00C57545" w:rsidRPr="00C57545" w:rsidRDefault="00C57545" w:rsidP="00C57545">
            <w:pPr>
              <w:jc w:val="right"/>
              <w:rPr>
                <w:rFonts w:ascii="Times New Roman" w:eastAsia="PMingLiU" w:hAnsi="Times New Roman" w:cs="Times New Roman"/>
                <w:b/>
                <w:bCs/>
                <w:sz w:val="18"/>
                <w:szCs w:val="18"/>
                <w:lang w:val="en-GB" w:eastAsia="zh-TW"/>
              </w:rPr>
            </w:pPr>
            <w:r w:rsidRPr="00C57545">
              <w:rPr>
                <w:rFonts w:ascii="Times New Roman" w:eastAsia="PMingLiU" w:hAnsi="Times New Roman" w:cs="Times New Roman"/>
                <w:b/>
                <w:bCs/>
                <w:sz w:val="18"/>
                <w:szCs w:val="18"/>
                <w:lang w:val="en-GB" w:eastAsia="zh-TW"/>
              </w:rPr>
              <w:t>899,303</w:t>
            </w:r>
            <w:r>
              <w:rPr>
                <w:rFonts w:ascii="Times New Roman" w:eastAsia="PMingLiU" w:hAnsi="Times New Roman" w:cs="Times New Roman"/>
                <w:b/>
                <w:bCs/>
                <w:sz w:val="18"/>
                <w:szCs w:val="18"/>
                <w:lang w:val="en-GB" w:eastAsia="zh-TW"/>
              </w:rPr>
              <w:t xml:space="preserve"> </w:t>
            </w:r>
          </w:p>
        </w:tc>
      </w:tr>
    </w:tbl>
    <w:p w14:paraId="21C292A3" w14:textId="77777777" w:rsidR="00F76607" w:rsidRDefault="00F76607">
      <w:pPr>
        <w:rPr>
          <w:sz w:val="18"/>
          <w:szCs w:val="18"/>
          <w:lang w:val="en-GB"/>
        </w:rPr>
      </w:pPr>
    </w:p>
    <w:p w14:paraId="4080418B" w14:textId="77777777" w:rsidR="00F76607" w:rsidRDefault="001863F0">
      <w:pPr>
        <w:pStyle w:val="FootnoteText"/>
        <w:ind w:left="284" w:hanging="284"/>
        <w:rPr>
          <w:rFonts w:ascii="Times New Roman" w:hAnsi="Times New Roman"/>
          <w:sz w:val="18"/>
          <w:szCs w:val="18"/>
          <w:lang w:val="en-GB"/>
        </w:rPr>
      </w:pPr>
      <w:r>
        <w:rPr>
          <w:rFonts w:ascii="Times New Roman" w:hAnsi="Times New Roman"/>
          <w:sz w:val="18"/>
          <w:szCs w:val="18"/>
          <w:lang w:val="en-GB" w:eastAsia="nl-NL"/>
        </w:rPr>
        <w:t>¹</w:t>
      </w:r>
      <w:r>
        <w:rPr>
          <w:rFonts w:ascii="Times New Roman" w:hAnsi="Times New Roman"/>
          <w:sz w:val="18"/>
          <w:szCs w:val="18"/>
          <w:lang w:val="en-GB"/>
        </w:rPr>
        <w:tab/>
        <w:t xml:space="preserve">Includes the € 18.7 million </w:t>
      </w:r>
      <w:proofErr w:type="spellStart"/>
      <w:r>
        <w:rPr>
          <w:rFonts w:ascii="Times New Roman" w:hAnsi="Times New Roman"/>
          <w:sz w:val="18"/>
          <w:szCs w:val="18"/>
          <w:lang w:val="en-GB"/>
        </w:rPr>
        <w:t>Swedbank</w:t>
      </w:r>
      <w:proofErr w:type="spellEnd"/>
      <w:r>
        <w:rPr>
          <w:rFonts w:ascii="Times New Roman" w:hAnsi="Times New Roman"/>
          <w:sz w:val="18"/>
          <w:szCs w:val="18"/>
          <w:lang w:val="en-GB"/>
        </w:rPr>
        <w:t xml:space="preserve"> loan classified as held for sale in the consolidated balance sheet as of 30 June 2017.</w:t>
      </w:r>
    </w:p>
    <w:p w14:paraId="135F5288" w14:textId="12D82664" w:rsidR="00F76607" w:rsidRDefault="001863F0">
      <w:pPr>
        <w:pStyle w:val="FootnoteText"/>
        <w:ind w:left="284" w:hanging="284"/>
        <w:rPr>
          <w:rFonts w:ascii="Times New Roman" w:hAnsi="Times New Roman"/>
          <w:sz w:val="18"/>
          <w:szCs w:val="18"/>
          <w:lang w:val="en-GB"/>
        </w:rPr>
      </w:pPr>
      <w:r>
        <w:rPr>
          <w:rFonts w:ascii="Times New Roman" w:hAnsi="Times New Roman"/>
          <w:sz w:val="18"/>
          <w:szCs w:val="18"/>
          <w:lang w:val="en-GB"/>
        </w:rPr>
        <w:t>²</w:t>
      </w:r>
      <w:r>
        <w:rPr>
          <w:rFonts w:ascii="Times New Roman" w:hAnsi="Times New Roman"/>
          <w:sz w:val="18"/>
          <w:szCs w:val="18"/>
          <w:lang w:val="en-GB"/>
        </w:rPr>
        <w:tab/>
        <w:t xml:space="preserve">Includes accrued interest on issued bonds </w:t>
      </w:r>
      <w:r w:rsidR="00FF66F1">
        <w:rPr>
          <w:rFonts w:ascii="Times New Roman" w:hAnsi="Times New Roman"/>
          <w:sz w:val="18"/>
          <w:szCs w:val="18"/>
          <w:lang w:val="en-GB"/>
        </w:rPr>
        <w:t xml:space="preserve">of </w:t>
      </w:r>
      <w:r>
        <w:rPr>
          <w:rFonts w:ascii="Times New Roman" w:hAnsi="Times New Roman"/>
          <w:sz w:val="18"/>
          <w:szCs w:val="18"/>
          <w:lang w:val="en-GB"/>
        </w:rPr>
        <w:t>€ 13.3 million</w:t>
      </w:r>
      <w:r w:rsidR="00FF66F1">
        <w:rPr>
          <w:rFonts w:ascii="Times New Roman" w:hAnsi="Times New Roman"/>
          <w:sz w:val="18"/>
          <w:szCs w:val="18"/>
          <w:lang w:val="en-GB"/>
        </w:rPr>
        <w:t xml:space="preserve"> as at 30 June 2017</w:t>
      </w:r>
      <w:r>
        <w:rPr>
          <w:rFonts w:ascii="Times New Roman" w:hAnsi="Times New Roman"/>
          <w:sz w:val="18"/>
          <w:szCs w:val="18"/>
          <w:lang w:val="en-GB"/>
        </w:rPr>
        <w:t>.</w:t>
      </w:r>
    </w:p>
    <w:p w14:paraId="4AEDE780" w14:textId="7576982C" w:rsidR="00F76607" w:rsidRDefault="001863F0">
      <w:pPr>
        <w:pStyle w:val="FootnoteText"/>
        <w:ind w:left="284" w:hanging="284"/>
        <w:rPr>
          <w:rFonts w:ascii="Times New Roman" w:hAnsi="Times New Roman"/>
          <w:sz w:val="18"/>
          <w:szCs w:val="18"/>
          <w:lang w:val="en-GB"/>
        </w:rPr>
      </w:pPr>
      <w:r>
        <w:rPr>
          <w:rFonts w:ascii="Times New Roman" w:hAnsi="Times New Roman"/>
          <w:sz w:val="18"/>
          <w:szCs w:val="18"/>
          <w:lang w:val="en-GB"/>
        </w:rPr>
        <w:t>³</w:t>
      </w:r>
      <w:r>
        <w:rPr>
          <w:rFonts w:ascii="Times New Roman" w:hAnsi="Times New Roman"/>
          <w:sz w:val="18"/>
          <w:szCs w:val="18"/>
          <w:lang w:val="en-GB"/>
        </w:rPr>
        <w:tab/>
        <w:t xml:space="preserve">The carrying amount of the debt </w:t>
      </w:r>
      <w:r w:rsidR="00FF66F1">
        <w:rPr>
          <w:rFonts w:ascii="Times New Roman" w:hAnsi="Times New Roman"/>
          <w:sz w:val="18"/>
          <w:szCs w:val="18"/>
          <w:lang w:val="en-GB"/>
        </w:rPr>
        <w:t>was,</w:t>
      </w:r>
      <w:r>
        <w:rPr>
          <w:rFonts w:ascii="Times New Roman" w:hAnsi="Times New Roman"/>
          <w:sz w:val="18"/>
          <w:szCs w:val="18"/>
          <w:lang w:val="en-GB"/>
        </w:rPr>
        <w:t xml:space="preserve"> </w:t>
      </w:r>
      <w:r w:rsidR="00FF66F1">
        <w:rPr>
          <w:rFonts w:ascii="Times New Roman" w:hAnsi="Times New Roman"/>
          <w:sz w:val="18"/>
          <w:szCs w:val="18"/>
          <w:lang w:val="en-GB"/>
        </w:rPr>
        <w:t xml:space="preserve">as at 30 June 2017, </w:t>
      </w:r>
      <w:r>
        <w:rPr>
          <w:rFonts w:ascii="Times New Roman" w:hAnsi="Times New Roman"/>
          <w:sz w:val="18"/>
          <w:szCs w:val="18"/>
          <w:lang w:val="en-GB"/>
        </w:rPr>
        <w:t xml:space="preserve">equal to € 498.5 million. This corresponds to a debt before capitalisation fees of € 503.5 million when excluding capitalised financing fees </w:t>
      </w:r>
      <w:r w:rsidR="00FF66F1">
        <w:rPr>
          <w:rFonts w:ascii="Times New Roman" w:hAnsi="Times New Roman"/>
          <w:sz w:val="18"/>
          <w:szCs w:val="18"/>
          <w:lang w:val="en-GB"/>
        </w:rPr>
        <w:t xml:space="preserve">of </w:t>
      </w:r>
      <w:r>
        <w:rPr>
          <w:rFonts w:ascii="Times New Roman" w:hAnsi="Times New Roman"/>
          <w:sz w:val="18"/>
          <w:szCs w:val="18"/>
          <w:lang w:val="en-GB"/>
        </w:rPr>
        <w:t>€ 5.0 million.</w:t>
      </w:r>
      <w:r w:rsidR="00FF66F1">
        <w:rPr>
          <w:rFonts w:ascii="Times New Roman" w:hAnsi="Times New Roman"/>
          <w:sz w:val="18"/>
          <w:szCs w:val="18"/>
          <w:lang w:val="en-GB"/>
        </w:rPr>
        <w:t xml:space="preserve"> The carrying amount of the debt as at 26 September 2017 was equal to € 466.6 million. This corresponds to a debt before </w:t>
      </w:r>
      <w:r w:rsidR="00D91643">
        <w:rPr>
          <w:rFonts w:ascii="Times New Roman" w:hAnsi="Times New Roman"/>
          <w:sz w:val="18"/>
          <w:szCs w:val="18"/>
          <w:lang w:val="en-GB"/>
        </w:rPr>
        <w:t xml:space="preserve">capitalised financing </w:t>
      </w:r>
      <w:r w:rsidR="00FF66F1">
        <w:rPr>
          <w:rFonts w:ascii="Times New Roman" w:hAnsi="Times New Roman"/>
          <w:sz w:val="18"/>
          <w:szCs w:val="18"/>
          <w:lang w:val="en-GB"/>
        </w:rPr>
        <w:t>fees of € 472.2 million when excluding capitalised financing fees of € 5.5 million.</w:t>
      </w:r>
    </w:p>
    <w:p w14:paraId="1D0EC2A2" w14:textId="210762EB" w:rsidR="00452624" w:rsidRDefault="00452624">
      <w:pPr>
        <w:pStyle w:val="FootnoteText"/>
        <w:ind w:left="284" w:hanging="284"/>
        <w:rPr>
          <w:rFonts w:ascii="Times New Roman" w:hAnsi="Times New Roman"/>
          <w:sz w:val="18"/>
          <w:szCs w:val="18"/>
          <w:lang w:val="en-GB" w:eastAsia="nl-NL"/>
        </w:rPr>
      </w:pPr>
      <w:r>
        <w:rPr>
          <w:rFonts w:ascii="Times New Roman" w:hAnsi="Times New Roman"/>
          <w:sz w:val="18"/>
          <w:szCs w:val="18"/>
          <w:lang w:val="en-GB"/>
        </w:rPr>
        <w:t>⁴</w:t>
      </w:r>
      <w:r>
        <w:rPr>
          <w:rFonts w:ascii="Times New Roman" w:hAnsi="Times New Roman"/>
          <w:sz w:val="18"/>
          <w:szCs w:val="18"/>
          <w:lang w:val="en-GB"/>
        </w:rPr>
        <w:tab/>
      </w:r>
      <w:r w:rsidRPr="00452624">
        <w:rPr>
          <w:rFonts w:ascii="Times New Roman" w:hAnsi="Times New Roman"/>
          <w:sz w:val="18"/>
          <w:szCs w:val="18"/>
          <w:lang w:val="en-GB"/>
        </w:rPr>
        <w:t>T</w:t>
      </w:r>
      <w:r w:rsidRPr="00452624">
        <w:rPr>
          <w:rFonts w:ascii="Times New Roman" w:hAnsi="Times New Roman"/>
          <w:sz w:val="18"/>
          <w:szCs w:val="18"/>
          <w:lang w:val="en-GB" w:eastAsia="nl-NL"/>
        </w:rPr>
        <w:t>otal equity stated as at 30 June 2017 as no consolidated financia</w:t>
      </w:r>
      <w:r w:rsidR="00A5572A">
        <w:rPr>
          <w:rFonts w:ascii="Times New Roman" w:hAnsi="Times New Roman"/>
          <w:sz w:val="18"/>
          <w:szCs w:val="18"/>
          <w:lang w:val="en-GB" w:eastAsia="nl-NL"/>
        </w:rPr>
        <w:t>l information is</w:t>
      </w:r>
      <w:r w:rsidRPr="00452624">
        <w:rPr>
          <w:rFonts w:ascii="Times New Roman" w:hAnsi="Times New Roman"/>
          <w:sz w:val="18"/>
          <w:szCs w:val="18"/>
          <w:lang w:val="en-GB" w:eastAsia="nl-NL"/>
        </w:rPr>
        <w:t xml:space="preserve"> available as of 26 September 2017.</w:t>
      </w:r>
    </w:p>
    <w:p w14:paraId="23D6E6E7" w14:textId="77777777" w:rsidR="00F76607" w:rsidRDefault="00F76607">
      <w:pPr>
        <w:ind w:left="284" w:hanging="284"/>
        <w:rPr>
          <w:sz w:val="18"/>
          <w:szCs w:val="18"/>
          <w:lang w:val="en-GB"/>
        </w:rPr>
      </w:pPr>
    </w:p>
    <w:p w14:paraId="0664F7C0" w14:textId="77777777" w:rsidR="00F76607" w:rsidRDefault="001863F0">
      <w:pPr>
        <w:pStyle w:val="VulcanIILevel1"/>
        <w:rPr>
          <w:lang w:val="en-GB"/>
        </w:rPr>
      </w:pPr>
      <w:r>
        <w:rPr>
          <w:lang w:val="en-GB"/>
        </w:rPr>
        <w:t>Net Indebtedness</w:t>
      </w:r>
    </w:p>
    <w:p w14:paraId="6A812D54" w14:textId="77777777" w:rsidR="00F76607" w:rsidRDefault="00F76607">
      <w:pPr>
        <w:pStyle w:val="VulcanIILevel1"/>
        <w:rPr>
          <w:b w:val="0"/>
          <w:lang w:val="en-GB"/>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2179"/>
        <w:gridCol w:w="2271"/>
      </w:tblGrid>
      <w:tr w:rsidR="00EB07E7" w14:paraId="6FE1BE27" w14:textId="18F5DEE6" w:rsidTr="009E2376">
        <w:tc>
          <w:tcPr>
            <w:tcW w:w="5473" w:type="dxa"/>
            <w:vAlign w:val="bottom"/>
          </w:tcPr>
          <w:p w14:paraId="78B4F2A3" w14:textId="77777777" w:rsidR="00EB07E7" w:rsidRDefault="00EB07E7">
            <w:pPr>
              <w:rPr>
                <w:rFonts w:ascii="Times New Roman" w:hAnsi="Times New Roman" w:cs="Times New Roman"/>
                <w:b/>
                <w:bCs/>
                <w:sz w:val="18"/>
                <w:szCs w:val="18"/>
                <w:lang w:val="en-GB"/>
              </w:rPr>
            </w:pPr>
            <w:r>
              <w:rPr>
                <w:rFonts w:ascii="Times New Roman" w:hAnsi="Times New Roman" w:cs="Times New Roman"/>
                <w:b/>
                <w:bCs/>
                <w:sz w:val="18"/>
                <w:szCs w:val="18"/>
                <w:lang w:val="en-GB"/>
              </w:rPr>
              <w:t>(€ thousands)</w:t>
            </w:r>
          </w:p>
        </w:tc>
        <w:tc>
          <w:tcPr>
            <w:tcW w:w="2179" w:type="dxa"/>
            <w:vAlign w:val="bottom"/>
          </w:tcPr>
          <w:p w14:paraId="50CD5279" w14:textId="77777777" w:rsidR="00EB07E7" w:rsidRDefault="00EB07E7">
            <w:pPr>
              <w:jc w:val="right"/>
              <w:rPr>
                <w:rFonts w:ascii="Times New Roman" w:hAnsi="Times New Roman" w:cs="Times New Roman"/>
                <w:b/>
                <w:bCs/>
                <w:sz w:val="18"/>
                <w:szCs w:val="18"/>
                <w:lang w:val="en-GB"/>
              </w:rPr>
            </w:pPr>
            <w:r>
              <w:rPr>
                <w:rFonts w:ascii="Times New Roman" w:eastAsia="PMingLiU" w:hAnsi="Times New Roman" w:cs="Times New Roman"/>
                <w:b/>
                <w:bCs/>
                <w:sz w:val="18"/>
                <w:szCs w:val="18"/>
                <w:lang w:val="en-GB" w:eastAsia="zh-TW"/>
              </w:rPr>
              <w:t>Actual as of 30-Jun-2017</w:t>
            </w:r>
          </w:p>
        </w:tc>
        <w:tc>
          <w:tcPr>
            <w:tcW w:w="2271" w:type="dxa"/>
          </w:tcPr>
          <w:p w14:paraId="2B74EA5C" w14:textId="20953A9C" w:rsidR="00EB07E7" w:rsidRPr="00EB07E7" w:rsidRDefault="00EB07E7" w:rsidP="009E2376">
            <w:pPr>
              <w:jc w:val="right"/>
              <w:rPr>
                <w:rFonts w:ascii="Times New Roman" w:eastAsia="PMingLiU" w:hAnsi="Times New Roman" w:cs="Times New Roman"/>
                <w:b/>
                <w:bCs/>
                <w:sz w:val="18"/>
                <w:szCs w:val="18"/>
                <w:lang w:val="en-GB" w:eastAsia="zh-TW"/>
              </w:rPr>
            </w:pPr>
            <w:r w:rsidRPr="00EB07E7">
              <w:rPr>
                <w:rFonts w:ascii="Times New Roman" w:eastAsia="PMingLiU" w:hAnsi="Times New Roman" w:cs="Times New Roman"/>
                <w:b/>
                <w:bCs/>
                <w:sz w:val="18"/>
                <w:szCs w:val="18"/>
                <w:lang w:val="en-GB" w:eastAsia="zh-TW"/>
              </w:rPr>
              <w:t>Actual as of 26-Sep-2017</w:t>
            </w:r>
          </w:p>
        </w:tc>
      </w:tr>
      <w:tr w:rsidR="00EB07E7" w14:paraId="2ED983E7" w14:textId="3F4F85DE" w:rsidTr="009E2376">
        <w:tc>
          <w:tcPr>
            <w:tcW w:w="5473" w:type="dxa"/>
            <w:vAlign w:val="bottom"/>
          </w:tcPr>
          <w:p w14:paraId="4248C1F9" w14:textId="77777777" w:rsidR="00EB07E7" w:rsidRDefault="00EB07E7" w:rsidP="00EB07E7">
            <w:pPr>
              <w:rPr>
                <w:rFonts w:ascii="Times New Roman" w:hAnsi="Times New Roman" w:cs="Times New Roman"/>
                <w:b/>
                <w:bCs/>
                <w:sz w:val="18"/>
                <w:szCs w:val="18"/>
                <w:lang w:val="en-GB"/>
              </w:rPr>
            </w:pPr>
          </w:p>
        </w:tc>
        <w:tc>
          <w:tcPr>
            <w:tcW w:w="2179" w:type="dxa"/>
            <w:vAlign w:val="bottom"/>
          </w:tcPr>
          <w:p w14:paraId="7C464532" w14:textId="77777777" w:rsidR="00EB07E7" w:rsidRDefault="00EB07E7" w:rsidP="00EB07E7">
            <w:pPr>
              <w:jc w:val="right"/>
              <w:rPr>
                <w:rFonts w:ascii="Times New Roman" w:hAnsi="Times New Roman" w:cs="Times New Roman"/>
                <w:b/>
                <w:bCs/>
                <w:sz w:val="18"/>
                <w:szCs w:val="18"/>
                <w:lang w:val="en-GB"/>
              </w:rPr>
            </w:pPr>
          </w:p>
        </w:tc>
        <w:tc>
          <w:tcPr>
            <w:tcW w:w="2271" w:type="dxa"/>
            <w:vAlign w:val="bottom"/>
          </w:tcPr>
          <w:p w14:paraId="68CF6332" w14:textId="77777777" w:rsidR="00EB07E7" w:rsidRPr="00EB07E7" w:rsidRDefault="00EB07E7" w:rsidP="00EB07E7">
            <w:pPr>
              <w:jc w:val="right"/>
              <w:rPr>
                <w:rFonts w:ascii="Times New Roman" w:eastAsia="PMingLiU" w:hAnsi="Times New Roman" w:cs="Times New Roman"/>
                <w:b/>
                <w:bCs/>
                <w:sz w:val="18"/>
                <w:szCs w:val="18"/>
                <w:lang w:val="en-GB" w:eastAsia="zh-TW"/>
              </w:rPr>
            </w:pPr>
          </w:p>
        </w:tc>
      </w:tr>
      <w:tr w:rsidR="00EB07E7" w14:paraId="2ED95D32" w14:textId="771D754A" w:rsidTr="009E2376">
        <w:tc>
          <w:tcPr>
            <w:tcW w:w="5473" w:type="dxa"/>
            <w:vAlign w:val="center"/>
          </w:tcPr>
          <w:p w14:paraId="69A60EC1" w14:textId="77777777" w:rsidR="00EB07E7" w:rsidRDefault="00EB07E7" w:rsidP="00EB07E7">
            <w:pPr>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Cash and cash equivalents</w:t>
            </w:r>
          </w:p>
        </w:tc>
        <w:tc>
          <w:tcPr>
            <w:tcW w:w="2179" w:type="dxa"/>
            <w:vAlign w:val="center"/>
          </w:tcPr>
          <w:p w14:paraId="2290FA27" w14:textId="77777777" w:rsidR="00EB07E7" w:rsidRDefault="00EB07E7" w:rsidP="00EB07E7">
            <w:pPr>
              <w:jc w:val="right"/>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142,144 </w:t>
            </w:r>
          </w:p>
        </w:tc>
        <w:tc>
          <w:tcPr>
            <w:tcW w:w="2271" w:type="dxa"/>
            <w:vAlign w:val="center"/>
          </w:tcPr>
          <w:p w14:paraId="402988F3" w14:textId="0B08A2A7" w:rsidR="00EB07E7" w:rsidRPr="009E2376" w:rsidRDefault="00EB07E7" w:rsidP="00EB07E7">
            <w:pPr>
              <w:jc w:val="right"/>
              <w:rPr>
                <w:rFonts w:ascii="Times New Roman" w:eastAsia="PMingLiU" w:hAnsi="Times New Roman" w:cs="Times New Roman"/>
                <w:bCs/>
                <w:sz w:val="18"/>
                <w:szCs w:val="18"/>
                <w:lang w:val="en-GB" w:eastAsia="zh-TW"/>
              </w:rPr>
            </w:pPr>
            <w:r w:rsidRPr="009E2376">
              <w:rPr>
                <w:rFonts w:ascii="Times New Roman" w:eastAsia="PMingLiU" w:hAnsi="Times New Roman" w:cs="Times New Roman"/>
                <w:bCs/>
                <w:sz w:val="18"/>
                <w:szCs w:val="18"/>
                <w:lang w:val="en-GB" w:eastAsia="zh-TW"/>
              </w:rPr>
              <w:t>109,410</w:t>
            </w:r>
          </w:p>
        </w:tc>
      </w:tr>
      <w:tr w:rsidR="00EB07E7" w14:paraId="68CA169B" w14:textId="1477AFDE" w:rsidTr="009E2376">
        <w:tc>
          <w:tcPr>
            <w:tcW w:w="5473" w:type="dxa"/>
            <w:vAlign w:val="center"/>
          </w:tcPr>
          <w:p w14:paraId="63D91563" w14:textId="77777777" w:rsidR="00EB07E7" w:rsidRDefault="00EB07E7" w:rsidP="00EB07E7">
            <w:pPr>
              <w:rPr>
                <w:rFonts w:ascii="Times New Roman" w:eastAsia="Times New Roman" w:hAnsi="Times New Roman" w:cs="Times New Roman"/>
                <w:b/>
                <w:bCs/>
                <w:color w:val="000000"/>
                <w:sz w:val="18"/>
                <w:szCs w:val="18"/>
                <w:lang w:val="en-GB"/>
              </w:rPr>
            </w:pPr>
            <w:r>
              <w:rPr>
                <w:rFonts w:ascii="Times New Roman" w:hAnsi="Times New Roman" w:cs="Times New Roman"/>
                <w:b/>
                <w:bCs/>
                <w:color w:val="000000"/>
                <w:sz w:val="18"/>
                <w:szCs w:val="18"/>
                <w:lang w:val="en-GB"/>
              </w:rPr>
              <w:t>Liquidity</w:t>
            </w:r>
          </w:p>
        </w:tc>
        <w:tc>
          <w:tcPr>
            <w:tcW w:w="2179" w:type="dxa"/>
            <w:vAlign w:val="center"/>
          </w:tcPr>
          <w:p w14:paraId="1A166915" w14:textId="77777777" w:rsidR="00EB07E7" w:rsidRDefault="00EB07E7" w:rsidP="00EB07E7">
            <w:pPr>
              <w:jc w:val="right"/>
              <w:rPr>
                <w:rFonts w:ascii="Times New Roman" w:eastAsia="Times New Roman" w:hAnsi="Times New Roman" w:cs="Times New Roman"/>
                <w:b/>
                <w:bCs/>
                <w:color w:val="000000"/>
                <w:sz w:val="18"/>
                <w:szCs w:val="18"/>
                <w:lang w:val="en-GB"/>
              </w:rPr>
            </w:pPr>
            <w:r>
              <w:rPr>
                <w:rFonts w:ascii="Times New Roman" w:hAnsi="Times New Roman" w:cs="Times New Roman"/>
                <w:b/>
                <w:bCs/>
                <w:color w:val="000000"/>
                <w:sz w:val="18"/>
                <w:szCs w:val="18"/>
                <w:lang w:val="en-GB"/>
              </w:rPr>
              <w:t xml:space="preserve">142,144 </w:t>
            </w:r>
          </w:p>
        </w:tc>
        <w:tc>
          <w:tcPr>
            <w:tcW w:w="2271" w:type="dxa"/>
            <w:vAlign w:val="center"/>
          </w:tcPr>
          <w:p w14:paraId="4EA2861A" w14:textId="6554957E" w:rsidR="00EB07E7" w:rsidRPr="00EB07E7" w:rsidRDefault="00EB07E7" w:rsidP="00EB07E7">
            <w:pPr>
              <w:jc w:val="right"/>
              <w:rPr>
                <w:rFonts w:ascii="Times New Roman" w:eastAsia="PMingLiU" w:hAnsi="Times New Roman" w:cs="Times New Roman"/>
                <w:b/>
                <w:bCs/>
                <w:sz w:val="18"/>
                <w:szCs w:val="18"/>
                <w:lang w:val="en-GB" w:eastAsia="zh-TW"/>
              </w:rPr>
            </w:pPr>
            <w:r w:rsidRPr="00EB07E7">
              <w:rPr>
                <w:rFonts w:ascii="Times New Roman" w:eastAsia="PMingLiU" w:hAnsi="Times New Roman" w:cs="Times New Roman"/>
                <w:b/>
                <w:bCs/>
                <w:sz w:val="18"/>
                <w:szCs w:val="18"/>
                <w:lang w:val="en-GB" w:eastAsia="zh-TW"/>
              </w:rPr>
              <w:t>109,410</w:t>
            </w:r>
          </w:p>
        </w:tc>
      </w:tr>
      <w:tr w:rsidR="00EB07E7" w14:paraId="1B5FBC6F" w14:textId="4BFF84F6" w:rsidTr="009E2376">
        <w:tc>
          <w:tcPr>
            <w:tcW w:w="5473" w:type="dxa"/>
            <w:vAlign w:val="center"/>
          </w:tcPr>
          <w:p w14:paraId="2BD21931" w14:textId="77777777" w:rsidR="00EB07E7" w:rsidRDefault="00EB07E7" w:rsidP="00EB07E7">
            <w:pPr>
              <w:jc w:val="right"/>
              <w:rPr>
                <w:rFonts w:ascii="Times New Roman" w:eastAsia="Times New Roman" w:hAnsi="Times New Roman" w:cs="Times New Roman"/>
                <w:b/>
                <w:bCs/>
                <w:color w:val="000000"/>
                <w:sz w:val="18"/>
                <w:szCs w:val="18"/>
                <w:lang w:val="en-GB"/>
              </w:rPr>
            </w:pPr>
          </w:p>
        </w:tc>
        <w:tc>
          <w:tcPr>
            <w:tcW w:w="2179" w:type="dxa"/>
            <w:vAlign w:val="center"/>
          </w:tcPr>
          <w:p w14:paraId="361D4152" w14:textId="77777777" w:rsidR="00EB07E7" w:rsidRDefault="00EB07E7" w:rsidP="00EB07E7">
            <w:pPr>
              <w:rPr>
                <w:rFonts w:ascii="Times New Roman" w:eastAsia="Times New Roman" w:hAnsi="Times New Roman" w:cs="Times New Roman"/>
                <w:sz w:val="18"/>
                <w:szCs w:val="18"/>
                <w:lang w:val="en-GB"/>
              </w:rPr>
            </w:pPr>
          </w:p>
        </w:tc>
        <w:tc>
          <w:tcPr>
            <w:tcW w:w="2271" w:type="dxa"/>
            <w:vAlign w:val="center"/>
          </w:tcPr>
          <w:p w14:paraId="249CB254" w14:textId="77777777" w:rsidR="00EB07E7" w:rsidRPr="00EB07E7" w:rsidRDefault="00EB07E7" w:rsidP="00EB07E7">
            <w:pPr>
              <w:jc w:val="right"/>
              <w:rPr>
                <w:rFonts w:ascii="Times New Roman" w:eastAsia="PMingLiU" w:hAnsi="Times New Roman" w:cs="Times New Roman"/>
                <w:b/>
                <w:bCs/>
                <w:sz w:val="18"/>
                <w:szCs w:val="18"/>
                <w:lang w:val="en-GB" w:eastAsia="zh-TW"/>
              </w:rPr>
            </w:pPr>
          </w:p>
        </w:tc>
      </w:tr>
      <w:tr w:rsidR="00EB07E7" w14:paraId="458B3B64" w14:textId="2A71F5A4" w:rsidTr="009E2376">
        <w:tc>
          <w:tcPr>
            <w:tcW w:w="5473" w:type="dxa"/>
            <w:vAlign w:val="center"/>
          </w:tcPr>
          <w:p w14:paraId="42CCB967" w14:textId="77777777" w:rsidR="00EB07E7" w:rsidRDefault="00EB07E7" w:rsidP="00EB07E7">
            <w:pPr>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Current bank debt</w:t>
            </w:r>
          </w:p>
        </w:tc>
        <w:tc>
          <w:tcPr>
            <w:tcW w:w="2179" w:type="dxa"/>
            <w:vAlign w:val="center"/>
          </w:tcPr>
          <w:p w14:paraId="42F17E68" w14:textId="77777777" w:rsidR="00EB07E7" w:rsidRDefault="00EB07E7" w:rsidP="00EB07E7">
            <w:pPr>
              <w:jc w:val="right"/>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18,751 </w:t>
            </w:r>
          </w:p>
        </w:tc>
        <w:tc>
          <w:tcPr>
            <w:tcW w:w="2271" w:type="dxa"/>
            <w:vAlign w:val="center"/>
          </w:tcPr>
          <w:p w14:paraId="70E96619" w14:textId="78F7DEC8" w:rsidR="00EB07E7" w:rsidRPr="00EB07E7" w:rsidRDefault="00EB07E7" w:rsidP="00EB07E7">
            <w:pPr>
              <w:jc w:val="right"/>
              <w:rPr>
                <w:rFonts w:ascii="Times New Roman" w:eastAsia="PMingLiU" w:hAnsi="Times New Roman" w:cs="Times New Roman"/>
                <w:b/>
                <w:bCs/>
                <w:sz w:val="18"/>
                <w:szCs w:val="18"/>
                <w:lang w:val="en-GB" w:eastAsia="zh-TW"/>
              </w:rPr>
            </w:pPr>
            <w:r w:rsidRPr="00EB07E7">
              <w:rPr>
                <w:rFonts w:ascii="Times New Roman" w:eastAsia="PMingLiU" w:hAnsi="Times New Roman" w:cs="Times New Roman"/>
                <w:b/>
                <w:bCs/>
                <w:sz w:val="18"/>
                <w:szCs w:val="18"/>
                <w:lang w:val="en-GB" w:eastAsia="zh-TW"/>
              </w:rPr>
              <w:t>-</w:t>
            </w:r>
          </w:p>
        </w:tc>
      </w:tr>
      <w:tr w:rsidR="00EB07E7" w14:paraId="17CA9F52" w14:textId="44FEBEE6" w:rsidTr="009E2376">
        <w:tc>
          <w:tcPr>
            <w:tcW w:w="5473" w:type="dxa"/>
            <w:vAlign w:val="center"/>
          </w:tcPr>
          <w:p w14:paraId="09723C7B" w14:textId="77777777" w:rsidR="00EB07E7" w:rsidRDefault="00EB07E7" w:rsidP="00EB07E7">
            <w:pPr>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Current portion of non-current debt</w:t>
            </w:r>
          </w:p>
        </w:tc>
        <w:tc>
          <w:tcPr>
            <w:tcW w:w="2179" w:type="dxa"/>
            <w:vAlign w:val="center"/>
          </w:tcPr>
          <w:p w14:paraId="7E86E34B" w14:textId="77777777" w:rsidR="00EB07E7" w:rsidRDefault="00EB07E7" w:rsidP="00EB07E7">
            <w:pPr>
              <w:jc w:val="right"/>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750 </w:t>
            </w:r>
          </w:p>
        </w:tc>
        <w:tc>
          <w:tcPr>
            <w:tcW w:w="2271" w:type="dxa"/>
            <w:vAlign w:val="center"/>
          </w:tcPr>
          <w:p w14:paraId="7BEE5418" w14:textId="582AA0F5" w:rsidR="00EB07E7" w:rsidRPr="009E2376" w:rsidRDefault="00EB07E7" w:rsidP="00EB07E7">
            <w:pPr>
              <w:jc w:val="right"/>
              <w:rPr>
                <w:rFonts w:ascii="Times New Roman" w:eastAsia="PMingLiU" w:hAnsi="Times New Roman" w:cs="Times New Roman"/>
                <w:bCs/>
                <w:sz w:val="18"/>
                <w:szCs w:val="18"/>
                <w:lang w:val="en-GB" w:eastAsia="zh-TW"/>
              </w:rPr>
            </w:pPr>
            <w:r w:rsidRPr="009E2376">
              <w:rPr>
                <w:rFonts w:ascii="Times New Roman" w:eastAsia="PMingLiU" w:hAnsi="Times New Roman" w:cs="Times New Roman"/>
                <w:bCs/>
                <w:sz w:val="18"/>
                <w:szCs w:val="18"/>
                <w:lang w:val="en-GB" w:eastAsia="zh-TW"/>
              </w:rPr>
              <w:t>750</w:t>
            </w:r>
          </w:p>
        </w:tc>
      </w:tr>
      <w:tr w:rsidR="00EB07E7" w14:paraId="151BAA8F" w14:textId="011D150F" w:rsidTr="009E2376">
        <w:tc>
          <w:tcPr>
            <w:tcW w:w="5473" w:type="dxa"/>
            <w:vAlign w:val="center"/>
          </w:tcPr>
          <w:p w14:paraId="534ED5FE" w14:textId="77777777" w:rsidR="00EB07E7" w:rsidRDefault="00EB07E7" w:rsidP="00EB07E7">
            <w:pPr>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Bonds issued</w:t>
            </w:r>
          </w:p>
        </w:tc>
        <w:tc>
          <w:tcPr>
            <w:tcW w:w="2179" w:type="dxa"/>
            <w:vAlign w:val="center"/>
          </w:tcPr>
          <w:p w14:paraId="12745CE0" w14:textId="77777777" w:rsidR="00EB07E7" w:rsidRDefault="00EB07E7" w:rsidP="00EB07E7">
            <w:pPr>
              <w:jc w:val="right"/>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74,984 </w:t>
            </w:r>
          </w:p>
        </w:tc>
        <w:tc>
          <w:tcPr>
            <w:tcW w:w="2271" w:type="dxa"/>
            <w:vAlign w:val="center"/>
          </w:tcPr>
          <w:p w14:paraId="53BD8922" w14:textId="766DAC0B" w:rsidR="00EB07E7" w:rsidRPr="00EB07E7" w:rsidRDefault="00EB07E7" w:rsidP="00EB07E7">
            <w:pPr>
              <w:jc w:val="right"/>
              <w:rPr>
                <w:rFonts w:ascii="Times New Roman" w:eastAsia="PMingLiU" w:hAnsi="Times New Roman" w:cs="Times New Roman"/>
                <w:b/>
                <w:bCs/>
                <w:sz w:val="18"/>
                <w:szCs w:val="18"/>
                <w:lang w:val="en-GB" w:eastAsia="zh-TW"/>
              </w:rPr>
            </w:pPr>
            <w:r w:rsidRPr="00EB07E7">
              <w:rPr>
                <w:rFonts w:ascii="Times New Roman" w:eastAsia="PMingLiU" w:hAnsi="Times New Roman" w:cs="Times New Roman"/>
                <w:b/>
                <w:bCs/>
                <w:sz w:val="18"/>
                <w:szCs w:val="18"/>
                <w:lang w:val="en-GB" w:eastAsia="zh-TW"/>
              </w:rPr>
              <w:t>-</w:t>
            </w:r>
          </w:p>
        </w:tc>
      </w:tr>
      <w:tr w:rsidR="00EB07E7" w14:paraId="4885AED3" w14:textId="2942CF65" w:rsidTr="009E2376">
        <w:tc>
          <w:tcPr>
            <w:tcW w:w="5473" w:type="dxa"/>
            <w:vAlign w:val="center"/>
          </w:tcPr>
          <w:p w14:paraId="616AF7BB" w14:textId="5C83F1A3" w:rsidR="00EB07E7" w:rsidRDefault="00EB07E7" w:rsidP="00EB07E7">
            <w:pPr>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Accrued interest on issued Bonds and bank debt</w:t>
            </w:r>
          </w:p>
        </w:tc>
        <w:tc>
          <w:tcPr>
            <w:tcW w:w="2179" w:type="dxa"/>
            <w:vAlign w:val="center"/>
          </w:tcPr>
          <w:p w14:paraId="5FAE9B38" w14:textId="77777777" w:rsidR="00EB07E7" w:rsidRDefault="00EB07E7" w:rsidP="00EB07E7">
            <w:pPr>
              <w:jc w:val="right"/>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13,349 </w:t>
            </w:r>
          </w:p>
        </w:tc>
        <w:tc>
          <w:tcPr>
            <w:tcW w:w="2271" w:type="dxa"/>
            <w:vAlign w:val="center"/>
          </w:tcPr>
          <w:p w14:paraId="031B262B" w14:textId="686E286A" w:rsidR="00EB07E7" w:rsidRPr="009E2376" w:rsidRDefault="00EB07E7" w:rsidP="00EB07E7">
            <w:pPr>
              <w:jc w:val="right"/>
              <w:rPr>
                <w:rFonts w:ascii="Times New Roman" w:eastAsia="PMingLiU" w:hAnsi="Times New Roman" w:cs="Times New Roman"/>
                <w:bCs/>
                <w:sz w:val="18"/>
                <w:szCs w:val="18"/>
                <w:lang w:val="en-GB" w:eastAsia="zh-TW"/>
              </w:rPr>
            </w:pPr>
            <w:r w:rsidRPr="009E2376">
              <w:rPr>
                <w:rFonts w:ascii="Times New Roman" w:eastAsia="PMingLiU" w:hAnsi="Times New Roman" w:cs="Times New Roman"/>
                <w:bCs/>
                <w:sz w:val="18"/>
                <w:szCs w:val="18"/>
                <w:lang w:val="en-GB" w:eastAsia="zh-TW"/>
              </w:rPr>
              <w:t>4,527</w:t>
            </w:r>
          </w:p>
        </w:tc>
      </w:tr>
      <w:tr w:rsidR="00EB07E7" w14:paraId="71AB608F" w14:textId="4393F63E" w:rsidTr="009E2376">
        <w:tc>
          <w:tcPr>
            <w:tcW w:w="5473" w:type="dxa"/>
            <w:vAlign w:val="center"/>
          </w:tcPr>
          <w:p w14:paraId="4B90BBAE" w14:textId="77777777" w:rsidR="00EB07E7" w:rsidRDefault="00EB07E7" w:rsidP="00EB07E7">
            <w:pPr>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Other current financial liabilities</w:t>
            </w:r>
            <w:r>
              <w:rPr>
                <w:rFonts w:ascii="Times New Roman" w:hAnsi="Times New Roman" w:cs="Times New Roman"/>
                <w:sz w:val="18"/>
                <w:szCs w:val="18"/>
                <w:lang w:val="en-GB" w:eastAsia="nl-NL"/>
              </w:rPr>
              <w:t>¹</w:t>
            </w:r>
          </w:p>
        </w:tc>
        <w:tc>
          <w:tcPr>
            <w:tcW w:w="2179" w:type="dxa"/>
            <w:vAlign w:val="center"/>
          </w:tcPr>
          <w:p w14:paraId="0A7CD2B0" w14:textId="77777777" w:rsidR="00EB07E7" w:rsidRDefault="00EB07E7" w:rsidP="00EB07E7">
            <w:pPr>
              <w:jc w:val="right"/>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2,110 </w:t>
            </w:r>
          </w:p>
        </w:tc>
        <w:tc>
          <w:tcPr>
            <w:tcW w:w="2271" w:type="dxa"/>
            <w:vAlign w:val="center"/>
          </w:tcPr>
          <w:p w14:paraId="1E5A9254" w14:textId="6511659D" w:rsidR="00EB07E7" w:rsidRPr="00EB07E7" w:rsidRDefault="00EB07E7" w:rsidP="00EB07E7">
            <w:pPr>
              <w:jc w:val="right"/>
              <w:rPr>
                <w:rFonts w:ascii="Times New Roman" w:eastAsia="PMingLiU" w:hAnsi="Times New Roman" w:cs="Times New Roman"/>
                <w:b/>
                <w:bCs/>
                <w:sz w:val="18"/>
                <w:szCs w:val="18"/>
                <w:lang w:val="en-GB" w:eastAsia="zh-TW"/>
              </w:rPr>
            </w:pPr>
            <w:r w:rsidRPr="00EB07E7">
              <w:rPr>
                <w:rFonts w:ascii="Times New Roman" w:eastAsia="PMingLiU" w:hAnsi="Times New Roman" w:cs="Times New Roman"/>
                <w:b/>
                <w:bCs/>
                <w:sz w:val="18"/>
                <w:szCs w:val="18"/>
                <w:lang w:val="en-GB" w:eastAsia="zh-TW"/>
              </w:rPr>
              <w:t>-</w:t>
            </w:r>
          </w:p>
        </w:tc>
      </w:tr>
      <w:tr w:rsidR="00EB07E7" w14:paraId="7064072F" w14:textId="13AC56EB" w:rsidTr="009E2376">
        <w:tc>
          <w:tcPr>
            <w:tcW w:w="5473" w:type="dxa"/>
            <w:vAlign w:val="center"/>
          </w:tcPr>
          <w:p w14:paraId="56A437BF" w14:textId="77777777" w:rsidR="00EB07E7" w:rsidRDefault="00EB07E7" w:rsidP="00EB07E7">
            <w:pPr>
              <w:rPr>
                <w:rFonts w:ascii="Times New Roman" w:eastAsia="Times New Roman" w:hAnsi="Times New Roman" w:cs="Times New Roman"/>
                <w:b/>
                <w:color w:val="000000"/>
                <w:sz w:val="18"/>
                <w:szCs w:val="18"/>
                <w:lang w:val="en-GB"/>
              </w:rPr>
            </w:pPr>
            <w:r>
              <w:rPr>
                <w:rFonts w:ascii="Times New Roman" w:hAnsi="Times New Roman" w:cs="Times New Roman"/>
                <w:b/>
                <w:color w:val="000000"/>
                <w:sz w:val="18"/>
                <w:szCs w:val="18"/>
                <w:lang w:val="en-GB"/>
              </w:rPr>
              <w:t>Current financial debt</w:t>
            </w:r>
          </w:p>
        </w:tc>
        <w:tc>
          <w:tcPr>
            <w:tcW w:w="2179" w:type="dxa"/>
            <w:vAlign w:val="center"/>
          </w:tcPr>
          <w:p w14:paraId="74FB8681" w14:textId="77777777" w:rsidR="00EB07E7" w:rsidRDefault="00EB07E7" w:rsidP="00EB07E7">
            <w:pPr>
              <w:jc w:val="right"/>
              <w:rPr>
                <w:rFonts w:ascii="Times New Roman" w:eastAsia="Times New Roman" w:hAnsi="Times New Roman" w:cs="Times New Roman"/>
                <w:b/>
                <w:bCs/>
                <w:color w:val="000000"/>
                <w:sz w:val="18"/>
                <w:szCs w:val="18"/>
                <w:lang w:val="en-GB"/>
              </w:rPr>
            </w:pPr>
            <w:r>
              <w:rPr>
                <w:rFonts w:ascii="Times New Roman" w:hAnsi="Times New Roman" w:cs="Times New Roman"/>
                <w:b/>
                <w:bCs/>
                <w:color w:val="000000"/>
                <w:sz w:val="18"/>
                <w:szCs w:val="18"/>
                <w:lang w:val="en-GB"/>
              </w:rPr>
              <w:t xml:space="preserve">109,944 </w:t>
            </w:r>
          </w:p>
        </w:tc>
        <w:tc>
          <w:tcPr>
            <w:tcW w:w="2271" w:type="dxa"/>
            <w:vAlign w:val="center"/>
          </w:tcPr>
          <w:p w14:paraId="558F23E7" w14:textId="67742295" w:rsidR="00EB07E7" w:rsidRPr="00EB07E7" w:rsidRDefault="00EB07E7" w:rsidP="00EB07E7">
            <w:pPr>
              <w:jc w:val="right"/>
              <w:rPr>
                <w:rFonts w:ascii="Times New Roman" w:eastAsia="PMingLiU" w:hAnsi="Times New Roman" w:cs="Times New Roman"/>
                <w:b/>
                <w:bCs/>
                <w:sz w:val="18"/>
                <w:szCs w:val="18"/>
                <w:lang w:val="en-GB" w:eastAsia="zh-TW"/>
              </w:rPr>
            </w:pPr>
            <w:r w:rsidRPr="00EB07E7">
              <w:rPr>
                <w:rFonts w:ascii="Times New Roman" w:eastAsia="PMingLiU" w:hAnsi="Times New Roman" w:cs="Times New Roman"/>
                <w:b/>
                <w:bCs/>
                <w:sz w:val="18"/>
                <w:szCs w:val="18"/>
                <w:lang w:val="en-GB" w:eastAsia="zh-TW"/>
              </w:rPr>
              <w:t>5,277</w:t>
            </w:r>
          </w:p>
        </w:tc>
      </w:tr>
      <w:tr w:rsidR="00EB07E7" w14:paraId="0F7E81BD" w14:textId="6F612709" w:rsidTr="009E2376">
        <w:tc>
          <w:tcPr>
            <w:tcW w:w="5473" w:type="dxa"/>
            <w:vAlign w:val="center"/>
          </w:tcPr>
          <w:p w14:paraId="48748DE2" w14:textId="77777777" w:rsidR="00EB07E7" w:rsidRDefault="00EB07E7" w:rsidP="00EB07E7">
            <w:pPr>
              <w:jc w:val="right"/>
              <w:rPr>
                <w:rFonts w:ascii="Times New Roman" w:eastAsia="Times New Roman" w:hAnsi="Times New Roman" w:cs="Times New Roman"/>
                <w:b/>
                <w:bCs/>
                <w:color w:val="000000"/>
                <w:sz w:val="18"/>
                <w:szCs w:val="18"/>
                <w:lang w:val="en-GB"/>
              </w:rPr>
            </w:pPr>
          </w:p>
        </w:tc>
        <w:tc>
          <w:tcPr>
            <w:tcW w:w="2179" w:type="dxa"/>
            <w:vAlign w:val="center"/>
          </w:tcPr>
          <w:p w14:paraId="3A740206" w14:textId="77777777" w:rsidR="00EB07E7" w:rsidRDefault="00EB07E7" w:rsidP="00EB07E7">
            <w:pPr>
              <w:rPr>
                <w:rFonts w:ascii="Times New Roman" w:eastAsia="Times New Roman" w:hAnsi="Times New Roman" w:cs="Times New Roman"/>
                <w:sz w:val="18"/>
                <w:szCs w:val="18"/>
                <w:lang w:val="en-GB"/>
              </w:rPr>
            </w:pPr>
          </w:p>
        </w:tc>
        <w:tc>
          <w:tcPr>
            <w:tcW w:w="2271" w:type="dxa"/>
            <w:vAlign w:val="center"/>
          </w:tcPr>
          <w:p w14:paraId="7D238777" w14:textId="77777777" w:rsidR="00EB07E7" w:rsidRPr="00EB07E7" w:rsidRDefault="00EB07E7" w:rsidP="00EB07E7">
            <w:pPr>
              <w:jc w:val="right"/>
              <w:rPr>
                <w:rFonts w:ascii="Times New Roman" w:eastAsia="PMingLiU" w:hAnsi="Times New Roman" w:cs="Times New Roman"/>
                <w:b/>
                <w:bCs/>
                <w:sz w:val="18"/>
                <w:szCs w:val="18"/>
                <w:lang w:val="en-GB" w:eastAsia="zh-TW"/>
              </w:rPr>
            </w:pPr>
          </w:p>
        </w:tc>
      </w:tr>
      <w:tr w:rsidR="00EB07E7" w14:paraId="14CCCA97" w14:textId="5710E288" w:rsidTr="009E2376">
        <w:tc>
          <w:tcPr>
            <w:tcW w:w="5473" w:type="dxa"/>
            <w:vAlign w:val="center"/>
          </w:tcPr>
          <w:p w14:paraId="0343F62C" w14:textId="77777777" w:rsidR="00EB07E7" w:rsidRDefault="00EB07E7" w:rsidP="00EB07E7">
            <w:pPr>
              <w:rPr>
                <w:rFonts w:ascii="Times New Roman" w:eastAsia="Times New Roman" w:hAnsi="Times New Roman" w:cs="Times New Roman"/>
                <w:b/>
                <w:bCs/>
                <w:color w:val="000000"/>
                <w:sz w:val="18"/>
                <w:szCs w:val="18"/>
                <w:lang w:val="en-GB"/>
              </w:rPr>
            </w:pPr>
            <w:r>
              <w:rPr>
                <w:rFonts w:ascii="Times New Roman" w:hAnsi="Times New Roman" w:cs="Times New Roman"/>
                <w:b/>
                <w:bCs/>
                <w:color w:val="000000"/>
                <w:sz w:val="18"/>
                <w:szCs w:val="18"/>
                <w:lang w:val="en-GB"/>
              </w:rPr>
              <w:t>Net current financial indebtedness</w:t>
            </w:r>
          </w:p>
        </w:tc>
        <w:tc>
          <w:tcPr>
            <w:tcW w:w="2179" w:type="dxa"/>
            <w:vAlign w:val="bottom"/>
          </w:tcPr>
          <w:p w14:paraId="6147A689" w14:textId="77777777" w:rsidR="00EB07E7" w:rsidRDefault="00EB07E7" w:rsidP="00EB07E7">
            <w:pPr>
              <w:jc w:val="right"/>
              <w:rPr>
                <w:rFonts w:ascii="Times New Roman" w:eastAsia="Times New Roman" w:hAnsi="Times New Roman" w:cs="Times New Roman"/>
                <w:b/>
                <w:bCs/>
                <w:color w:val="000000"/>
                <w:sz w:val="18"/>
                <w:szCs w:val="18"/>
                <w:lang w:val="en-GB"/>
              </w:rPr>
            </w:pPr>
            <w:r>
              <w:rPr>
                <w:rFonts w:ascii="Times New Roman" w:hAnsi="Times New Roman" w:cs="Times New Roman"/>
                <w:b/>
                <w:bCs/>
                <w:color w:val="000000"/>
                <w:sz w:val="18"/>
                <w:szCs w:val="18"/>
                <w:lang w:val="en-GB"/>
              </w:rPr>
              <w:t>(32,200)</w:t>
            </w:r>
          </w:p>
        </w:tc>
        <w:tc>
          <w:tcPr>
            <w:tcW w:w="2271" w:type="dxa"/>
            <w:vAlign w:val="bottom"/>
          </w:tcPr>
          <w:p w14:paraId="3DCF5073" w14:textId="6D5F9334" w:rsidR="00EB07E7" w:rsidRPr="00EB07E7" w:rsidRDefault="00EB07E7" w:rsidP="00EB07E7">
            <w:pPr>
              <w:jc w:val="right"/>
              <w:rPr>
                <w:rFonts w:ascii="Times New Roman" w:eastAsia="PMingLiU" w:hAnsi="Times New Roman" w:cs="Times New Roman"/>
                <w:b/>
                <w:bCs/>
                <w:sz w:val="18"/>
                <w:szCs w:val="18"/>
                <w:lang w:val="en-GB" w:eastAsia="zh-TW"/>
              </w:rPr>
            </w:pPr>
            <w:r w:rsidRPr="00EB07E7">
              <w:rPr>
                <w:rFonts w:ascii="Times New Roman" w:eastAsia="PMingLiU" w:hAnsi="Times New Roman" w:cs="Times New Roman"/>
                <w:b/>
                <w:bCs/>
                <w:sz w:val="18"/>
                <w:szCs w:val="18"/>
                <w:lang w:val="en-GB" w:eastAsia="zh-TW"/>
              </w:rPr>
              <w:t>(104,132)</w:t>
            </w:r>
          </w:p>
        </w:tc>
      </w:tr>
      <w:tr w:rsidR="00EB07E7" w14:paraId="16B44F14" w14:textId="554E2BD6" w:rsidTr="009E2376">
        <w:tc>
          <w:tcPr>
            <w:tcW w:w="5473" w:type="dxa"/>
            <w:vAlign w:val="center"/>
          </w:tcPr>
          <w:p w14:paraId="0F84ADCB" w14:textId="77777777" w:rsidR="00EB07E7" w:rsidRDefault="00EB07E7" w:rsidP="00EB07E7">
            <w:pPr>
              <w:jc w:val="right"/>
              <w:rPr>
                <w:rFonts w:ascii="Times New Roman" w:eastAsia="Times New Roman" w:hAnsi="Times New Roman" w:cs="Times New Roman"/>
                <w:b/>
                <w:bCs/>
                <w:color w:val="000000"/>
                <w:sz w:val="18"/>
                <w:szCs w:val="18"/>
                <w:lang w:val="en-GB"/>
              </w:rPr>
            </w:pPr>
          </w:p>
        </w:tc>
        <w:tc>
          <w:tcPr>
            <w:tcW w:w="2179" w:type="dxa"/>
            <w:vAlign w:val="center"/>
          </w:tcPr>
          <w:p w14:paraId="700BFB4B" w14:textId="77777777" w:rsidR="00EB07E7" w:rsidRDefault="00EB07E7" w:rsidP="00EB07E7">
            <w:pPr>
              <w:rPr>
                <w:rFonts w:ascii="Times New Roman" w:eastAsia="Times New Roman" w:hAnsi="Times New Roman" w:cs="Times New Roman"/>
                <w:sz w:val="18"/>
                <w:szCs w:val="18"/>
                <w:lang w:val="en-GB"/>
              </w:rPr>
            </w:pPr>
          </w:p>
        </w:tc>
        <w:tc>
          <w:tcPr>
            <w:tcW w:w="2271" w:type="dxa"/>
            <w:vAlign w:val="center"/>
          </w:tcPr>
          <w:p w14:paraId="32F48556" w14:textId="77777777" w:rsidR="00EB07E7" w:rsidRPr="00EB07E7" w:rsidRDefault="00EB07E7" w:rsidP="00EB07E7">
            <w:pPr>
              <w:jc w:val="right"/>
              <w:rPr>
                <w:rFonts w:ascii="Times New Roman" w:eastAsia="PMingLiU" w:hAnsi="Times New Roman" w:cs="Times New Roman"/>
                <w:b/>
                <w:bCs/>
                <w:sz w:val="18"/>
                <w:szCs w:val="18"/>
                <w:lang w:val="en-GB" w:eastAsia="zh-TW"/>
              </w:rPr>
            </w:pPr>
          </w:p>
        </w:tc>
      </w:tr>
      <w:tr w:rsidR="00EB07E7" w14:paraId="64A1CC40" w14:textId="69AC10DA" w:rsidTr="009E2376">
        <w:tc>
          <w:tcPr>
            <w:tcW w:w="5473" w:type="dxa"/>
            <w:vAlign w:val="center"/>
          </w:tcPr>
          <w:p w14:paraId="1E4A7C39" w14:textId="77777777" w:rsidR="00EB07E7" w:rsidRDefault="00EB07E7" w:rsidP="00EB07E7">
            <w:pPr>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Non-current bank loans</w:t>
            </w:r>
          </w:p>
        </w:tc>
        <w:tc>
          <w:tcPr>
            <w:tcW w:w="2179" w:type="dxa"/>
            <w:vAlign w:val="center"/>
          </w:tcPr>
          <w:p w14:paraId="2A8C54E6" w14:textId="77777777" w:rsidR="00EB07E7" w:rsidRDefault="00EB07E7" w:rsidP="00EB07E7">
            <w:pPr>
              <w:jc w:val="right"/>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11,772 </w:t>
            </w:r>
          </w:p>
        </w:tc>
        <w:tc>
          <w:tcPr>
            <w:tcW w:w="2271" w:type="dxa"/>
            <w:vAlign w:val="center"/>
          </w:tcPr>
          <w:p w14:paraId="090F6885" w14:textId="069F335F" w:rsidR="00EB07E7" w:rsidRPr="009E2376" w:rsidRDefault="00EB07E7" w:rsidP="00EB07E7">
            <w:pPr>
              <w:jc w:val="right"/>
              <w:rPr>
                <w:rFonts w:ascii="Times New Roman" w:eastAsia="PMingLiU" w:hAnsi="Times New Roman" w:cs="Times New Roman"/>
                <w:bCs/>
                <w:sz w:val="18"/>
                <w:szCs w:val="18"/>
                <w:lang w:val="en-GB" w:eastAsia="zh-TW"/>
              </w:rPr>
            </w:pPr>
            <w:r w:rsidRPr="009E2376">
              <w:rPr>
                <w:rFonts w:ascii="Times New Roman" w:eastAsia="PMingLiU" w:hAnsi="Times New Roman" w:cs="Times New Roman"/>
                <w:bCs/>
                <w:sz w:val="18"/>
                <w:szCs w:val="18"/>
                <w:lang w:val="en-GB" w:eastAsia="zh-TW"/>
              </w:rPr>
              <w:t>11,782</w:t>
            </w:r>
          </w:p>
        </w:tc>
      </w:tr>
      <w:tr w:rsidR="00EB07E7" w14:paraId="47EE15D6" w14:textId="2F296A51" w:rsidTr="009E2376">
        <w:tc>
          <w:tcPr>
            <w:tcW w:w="5473" w:type="dxa"/>
            <w:vAlign w:val="center"/>
          </w:tcPr>
          <w:p w14:paraId="2E25A524" w14:textId="77777777" w:rsidR="00EB07E7" w:rsidRDefault="00EB07E7" w:rsidP="00EB07E7">
            <w:pPr>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Bonds issued</w:t>
            </w:r>
          </w:p>
        </w:tc>
        <w:tc>
          <w:tcPr>
            <w:tcW w:w="2179" w:type="dxa"/>
            <w:vAlign w:val="center"/>
          </w:tcPr>
          <w:p w14:paraId="753D3383" w14:textId="77777777" w:rsidR="00EB07E7" w:rsidRDefault="00EB07E7" w:rsidP="00EB07E7">
            <w:pPr>
              <w:jc w:val="right"/>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375,110 </w:t>
            </w:r>
          </w:p>
        </w:tc>
        <w:tc>
          <w:tcPr>
            <w:tcW w:w="2271" w:type="dxa"/>
            <w:vAlign w:val="center"/>
          </w:tcPr>
          <w:p w14:paraId="62E08183" w14:textId="24827232" w:rsidR="00EB07E7" w:rsidRPr="009E2376" w:rsidRDefault="00EB07E7" w:rsidP="00EB07E7">
            <w:pPr>
              <w:jc w:val="right"/>
              <w:rPr>
                <w:rFonts w:ascii="Times New Roman" w:eastAsia="PMingLiU" w:hAnsi="Times New Roman" w:cs="Times New Roman"/>
                <w:bCs/>
                <w:sz w:val="18"/>
                <w:szCs w:val="18"/>
                <w:lang w:val="en-GB" w:eastAsia="zh-TW"/>
              </w:rPr>
            </w:pPr>
            <w:r w:rsidRPr="009E2376">
              <w:rPr>
                <w:rFonts w:ascii="Times New Roman" w:eastAsia="PMingLiU" w:hAnsi="Times New Roman" w:cs="Times New Roman"/>
                <w:bCs/>
                <w:sz w:val="18"/>
                <w:szCs w:val="18"/>
                <w:lang w:val="en-GB" w:eastAsia="zh-TW"/>
              </w:rPr>
              <w:t>449,552</w:t>
            </w:r>
          </w:p>
        </w:tc>
      </w:tr>
      <w:tr w:rsidR="00EB07E7" w14:paraId="0B25300D" w14:textId="59D5617E" w:rsidTr="009E2376">
        <w:tc>
          <w:tcPr>
            <w:tcW w:w="5473" w:type="dxa"/>
            <w:vAlign w:val="center"/>
          </w:tcPr>
          <w:p w14:paraId="13C8864A" w14:textId="77777777" w:rsidR="00EB07E7" w:rsidRDefault="00EB07E7" w:rsidP="00EB07E7">
            <w:pPr>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Other non-current financial liabilities</w:t>
            </w:r>
            <w:r>
              <w:rPr>
                <w:rFonts w:ascii="Times New Roman" w:hAnsi="Times New Roman" w:cs="Times New Roman"/>
                <w:sz w:val="18"/>
                <w:szCs w:val="18"/>
                <w:lang w:val="en-GB" w:eastAsia="nl-NL"/>
              </w:rPr>
              <w:t>¹</w:t>
            </w:r>
          </w:p>
        </w:tc>
        <w:tc>
          <w:tcPr>
            <w:tcW w:w="2179" w:type="dxa"/>
            <w:vAlign w:val="center"/>
          </w:tcPr>
          <w:p w14:paraId="0ED48CAB" w14:textId="77777777" w:rsidR="00EB07E7" w:rsidRDefault="00EB07E7" w:rsidP="00EB07E7">
            <w:pPr>
              <w:jc w:val="right"/>
              <w:rPr>
                <w:rFonts w:ascii="Times New Roman" w:eastAsia="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1,689 </w:t>
            </w:r>
          </w:p>
        </w:tc>
        <w:tc>
          <w:tcPr>
            <w:tcW w:w="2271" w:type="dxa"/>
            <w:vAlign w:val="center"/>
          </w:tcPr>
          <w:p w14:paraId="6A0A15FB" w14:textId="3B63A1DC" w:rsidR="00EB07E7" w:rsidRPr="00EB07E7" w:rsidRDefault="00EB07E7" w:rsidP="00EB07E7">
            <w:pPr>
              <w:jc w:val="right"/>
              <w:rPr>
                <w:rFonts w:ascii="Times New Roman" w:eastAsia="PMingLiU" w:hAnsi="Times New Roman" w:cs="Times New Roman"/>
                <w:b/>
                <w:bCs/>
                <w:sz w:val="18"/>
                <w:szCs w:val="18"/>
                <w:lang w:val="en-GB" w:eastAsia="zh-TW"/>
              </w:rPr>
            </w:pPr>
            <w:r w:rsidRPr="00EB07E7">
              <w:rPr>
                <w:rFonts w:ascii="Times New Roman" w:eastAsia="PMingLiU" w:hAnsi="Times New Roman" w:cs="Times New Roman"/>
                <w:b/>
                <w:bCs/>
                <w:sz w:val="18"/>
                <w:szCs w:val="18"/>
                <w:lang w:val="en-GB" w:eastAsia="zh-TW"/>
              </w:rPr>
              <w:t>-</w:t>
            </w:r>
          </w:p>
        </w:tc>
      </w:tr>
      <w:tr w:rsidR="00EB07E7" w14:paraId="15FB92CF" w14:textId="1FFA3E03" w:rsidTr="009E2376">
        <w:tc>
          <w:tcPr>
            <w:tcW w:w="5473" w:type="dxa"/>
            <w:vAlign w:val="center"/>
          </w:tcPr>
          <w:p w14:paraId="2CB1117B" w14:textId="77777777" w:rsidR="00EB07E7" w:rsidRDefault="00EB07E7" w:rsidP="00EB07E7">
            <w:pPr>
              <w:rPr>
                <w:rFonts w:ascii="Times New Roman" w:eastAsia="Times New Roman" w:hAnsi="Times New Roman" w:cs="Times New Roman"/>
                <w:b/>
                <w:bCs/>
                <w:color w:val="000000"/>
                <w:sz w:val="18"/>
                <w:szCs w:val="18"/>
                <w:lang w:val="en-GB"/>
              </w:rPr>
            </w:pPr>
            <w:r>
              <w:rPr>
                <w:rFonts w:ascii="Times New Roman" w:hAnsi="Times New Roman" w:cs="Times New Roman"/>
                <w:b/>
                <w:bCs/>
                <w:color w:val="000000"/>
                <w:sz w:val="18"/>
                <w:szCs w:val="18"/>
                <w:lang w:val="en-GB"/>
              </w:rPr>
              <w:t>Non-current financial indebtedness</w:t>
            </w:r>
          </w:p>
        </w:tc>
        <w:tc>
          <w:tcPr>
            <w:tcW w:w="2179" w:type="dxa"/>
            <w:vAlign w:val="center"/>
          </w:tcPr>
          <w:p w14:paraId="1FF85C59" w14:textId="77777777" w:rsidR="00EB07E7" w:rsidRDefault="00EB07E7" w:rsidP="00EB07E7">
            <w:pPr>
              <w:jc w:val="right"/>
              <w:rPr>
                <w:rFonts w:ascii="Times New Roman" w:eastAsia="Times New Roman" w:hAnsi="Times New Roman" w:cs="Times New Roman"/>
                <w:b/>
                <w:bCs/>
                <w:color w:val="000000"/>
                <w:sz w:val="18"/>
                <w:szCs w:val="18"/>
                <w:lang w:val="en-GB"/>
              </w:rPr>
            </w:pPr>
            <w:r>
              <w:rPr>
                <w:rFonts w:ascii="Times New Roman" w:hAnsi="Times New Roman" w:cs="Times New Roman"/>
                <w:b/>
                <w:bCs/>
                <w:color w:val="000000"/>
                <w:sz w:val="18"/>
                <w:szCs w:val="18"/>
                <w:lang w:val="en-GB"/>
              </w:rPr>
              <w:t xml:space="preserve">388,571 </w:t>
            </w:r>
          </w:p>
        </w:tc>
        <w:tc>
          <w:tcPr>
            <w:tcW w:w="2271" w:type="dxa"/>
            <w:vAlign w:val="center"/>
          </w:tcPr>
          <w:p w14:paraId="5E29CE48" w14:textId="78454983" w:rsidR="00EB07E7" w:rsidRPr="00EB07E7" w:rsidRDefault="00EB07E7" w:rsidP="00EB07E7">
            <w:pPr>
              <w:jc w:val="right"/>
              <w:rPr>
                <w:rFonts w:ascii="Times New Roman" w:eastAsia="PMingLiU" w:hAnsi="Times New Roman" w:cs="Times New Roman"/>
                <w:b/>
                <w:bCs/>
                <w:sz w:val="18"/>
                <w:szCs w:val="18"/>
                <w:lang w:val="en-GB" w:eastAsia="zh-TW"/>
              </w:rPr>
            </w:pPr>
            <w:r w:rsidRPr="00EB07E7">
              <w:rPr>
                <w:rFonts w:ascii="Times New Roman" w:eastAsia="PMingLiU" w:hAnsi="Times New Roman" w:cs="Times New Roman"/>
                <w:b/>
                <w:bCs/>
                <w:sz w:val="18"/>
                <w:szCs w:val="18"/>
                <w:lang w:val="en-GB" w:eastAsia="zh-TW"/>
              </w:rPr>
              <w:t>461,333</w:t>
            </w:r>
          </w:p>
        </w:tc>
      </w:tr>
      <w:tr w:rsidR="00EB07E7" w14:paraId="021A7F1E" w14:textId="04DB8E28" w:rsidTr="009E2376">
        <w:tc>
          <w:tcPr>
            <w:tcW w:w="5473" w:type="dxa"/>
            <w:vAlign w:val="center"/>
          </w:tcPr>
          <w:p w14:paraId="6F3BC5D2" w14:textId="77777777" w:rsidR="00EB07E7" w:rsidRDefault="00EB07E7">
            <w:pPr>
              <w:jc w:val="right"/>
              <w:rPr>
                <w:rFonts w:ascii="Times New Roman" w:eastAsia="Times New Roman" w:hAnsi="Times New Roman" w:cs="Times New Roman"/>
                <w:b/>
                <w:bCs/>
                <w:color w:val="000000"/>
                <w:sz w:val="18"/>
                <w:szCs w:val="18"/>
                <w:lang w:val="en-GB"/>
              </w:rPr>
            </w:pPr>
          </w:p>
        </w:tc>
        <w:tc>
          <w:tcPr>
            <w:tcW w:w="2179" w:type="dxa"/>
            <w:vAlign w:val="center"/>
          </w:tcPr>
          <w:p w14:paraId="6320F316" w14:textId="77777777" w:rsidR="00EB07E7" w:rsidRDefault="00EB07E7">
            <w:pPr>
              <w:rPr>
                <w:rFonts w:ascii="Times New Roman" w:eastAsia="Times New Roman" w:hAnsi="Times New Roman" w:cs="Times New Roman"/>
                <w:sz w:val="18"/>
                <w:szCs w:val="18"/>
                <w:lang w:val="en-GB"/>
              </w:rPr>
            </w:pPr>
          </w:p>
        </w:tc>
        <w:tc>
          <w:tcPr>
            <w:tcW w:w="2271" w:type="dxa"/>
          </w:tcPr>
          <w:p w14:paraId="75E93A84" w14:textId="77777777" w:rsidR="00EB07E7" w:rsidRPr="00EB07E7" w:rsidRDefault="00EB07E7" w:rsidP="00EB07E7">
            <w:pPr>
              <w:jc w:val="right"/>
              <w:rPr>
                <w:rFonts w:ascii="Times New Roman" w:eastAsia="PMingLiU" w:hAnsi="Times New Roman" w:cs="Times New Roman"/>
                <w:b/>
                <w:bCs/>
                <w:sz w:val="18"/>
                <w:szCs w:val="18"/>
                <w:lang w:val="en-GB" w:eastAsia="zh-TW"/>
              </w:rPr>
            </w:pPr>
          </w:p>
        </w:tc>
      </w:tr>
      <w:tr w:rsidR="00EB07E7" w14:paraId="5A034C3D" w14:textId="0F76DDAE" w:rsidTr="009E2376">
        <w:tc>
          <w:tcPr>
            <w:tcW w:w="5473" w:type="dxa"/>
            <w:vAlign w:val="center"/>
          </w:tcPr>
          <w:p w14:paraId="4D8B597F" w14:textId="77777777" w:rsidR="00EB07E7" w:rsidRDefault="00EB07E7">
            <w:pPr>
              <w:rPr>
                <w:rFonts w:ascii="Times New Roman" w:eastAsia="Times New Roman" w:hAnsi="Times New Roman" w:cs="Times New Roman"/>
                <w:b/>
                <w:bCs/>
                <w:color w:val="000000"/>
                <w:sz w:val="18"/>
                <w:szCs w:val="18"/>
                <w:lang w:val="en-GB"/>
              </w:rPr>
            </w:pPr>
            <w:r>
              <w:rPr>
                <w:rFonts w:ascii="Times New Roman" w:hAnsi="Times New Roman" w:cs="Times New Roman"/>
                <w:b/>
                <w:bCs/>
                <w:color w:val="000000"/>
                <w:sz w:val="18"/>
                <w:szCs w:val="18"/>
                <w:lang w:val="en-GB" w:eastAsia="nl-NL"/>
              </w:rPr>
              <w:t>Net financial indebtedness</w:t>
            </w:r>
          </w:p>
        </w:tc>
        <w:tc>
          <w:tcPr>
            <w:tcW w:w="2179" w:type="dxa"/>
            <w:vAlign w:val="center"/>
          </w:tcPr>
          <w:p w14:paraId="75F52E6F" w14:textId="77777777" w:rsidR="00EB07E7" w:rsidRDefault="00EB07E7">
            <w:pPr>
              <w:jc w:val="right"/>
              <w:rPr>
                <w:rFonts w:ascii="Times New Roman" w:eastAsia="Times New Roman" w:hAnsi="Times New Roman" w:cs="Times New Roman"/>
                <w:b/>
                <w:bCs/>
                <w:color w:val="000000"/>
                <w:sz w:val="18"/>
                <w:szCs w:val="18"/>
                <w:lang w:val="en-GB"/>
              </w:rPr>
            </w:pPr>
            <w:r>
              <w:rPr>
                <w:rFonts w:ascii="Times New Roman" w:hAnsi="Times New Roman" w:cs="Times New Roman"/>
                <w:b/>
                <w:bCs/>
                <w:color w:val="000000"/>
                <w:sz w:val="18"/>
                <w:szCs w:val="18"/>
                <w:lang w:val="en-GB"/>
              </w:rPr>
              <w:t xml:space="preserve">356,371 </w:t>
            </w:r>
          </w:p>
        </w:tc>
        <w:tc>
          <w:tcPr>
            <w:tcW w:w="2271" w:type="dxa"/>
          </w:tcPr>
          <w:p w14:paraId="5E231C46" w14:textId="2812F007" w:rsidR="00EB07E7" w:rsidRPr="009E2376" w:rsidRDefault="009E2376">
            <w:pPr>
              <w:jc w:val="right"/>
              <w:rPr>
                <w:rFonts w:ascii="Times New Roman" w:hAnsi="Times New Roman" w:cs="Times New Roman"/>
                <w:b/>
                <w:bCs/>
                <w:color w:val="000000"/>
                <w:sz w:val="18"/>
                <w:szCs w:val="18"/>
                <w:lang w:val="en-GB"/>
              </w:rPr>
            </w:pPr>
            <w:r w:rsidRPr="009E2376">
              <w:rPr>
                <w:rFonts w:ascii="Times New Roman" w:hAnsi="Times New Roman" w:cs="Times New Roman"/>
                <w:b/>
                <w:bCs/>
                <w:color w:val="000000"/>
                <w:sz w:val="18"/>
                <w:szCs w:val="18"/>
                <w:lang w:val="en-GB"/>
              </w:rPr>
              <w:t>357,201</w:t>
            </w:r>
          </w:p>
        </w:tc>
      </w:tr>
    </w:tbl>
    <w:p w14:paraId="4B909A00" w14:textId="77777777" w:rsidR="00F76607" w:rsidRDefault="00F76607">
      <w:pPr>
        <w:rPr>
          <w:sz w:val="18"/>
          <w:szCs w:val="18"/>
          <w:lang w:val="en-GB"/>
        </w:rPr>
      </w:pPr>
    </w:p>
    <w:p w14:paraId="0570C3AD" w14:textId="77777777" w:rsidR="00F76607" w:rsidRDefault="001863F0">
      <w:pPr>
        <w:pStyle w:val="FootnoteText"/>
        <w:ind w:left="284" w:hanging="284"/>
        <w:rPr>
          <w:rFonts w:ascii="Times New Roman" w:hAnsi="Times New Roman"/>
          <w:sz w:val="18"/>
          <w:szCs w:val="18"/>
          <w:lang w:val="en-GB"/>
        </w:rPr>
      </w:pPr>
      <w:r>
        <w:rPr>
          <w:rFonts w:ascii="Times New Roman" w:hAnsi="Times New Roman"/>
          <w:sz w:val="18"/>
          <w:szCs w:val="18"/>
          <w:lang w:val="en-GB" w:eastAsia="nl-NL"/>
        </w:rPr>
        <w:lastRenderedPageBreak/>
        <w:t>¹</w:t>
      </w:r>
      <w:r>
        <w:rPr>
          <w:rFonts w:ascii="Times New Roman" w:hAnsi="Times New Roman"/>
          <w:sz w:val="18"/>
          <w:szCs w:val="18"/>
          <w:lang w:val="en-GB"/>
        </w:rPr>
        <w:tab/>
        <w:t>Other current and non-current financial liabilities relate to the mark-to-market of outstanding interest rate swaps.</w:t>
      </w:r>
    </w:p>
    <w:p w14:paraId="520F76E0" w14:textId="77777777" w:rsidR="00F76607" w:rsidRDefault="00F76607">
      <w:pPr>
        <w:ind w:left="284" w:hanging="284"/>
        <w:rPr>
          <w:sz w:val="18"/>
          <w:szCs w:val="18"/>
          <w:lang w:val="en-GB"/>
        </w:rPr>
      </w:pPr>
    </w:p>
    <w:p w14:paraId="3F5808B3" w14:textId="77777777" w:rsidR="00F76607" w:rsidRDefault="001863F0">
      <w:pPr>
        <w:pStyle w:val="VulcanIILevel1"/>
        <w:rPr>
          <w:lang w:val="en-GB"/>
        </w:rPr>
      </w:pPr>
      <w:r>
        <w:rPr>
          <w:lang w:val="en-GB"/>
        </w:rPr>
        <w:t>Working Capital Statement</w:t>
      </w:r>
    </w:p>
    <w:p w14:paraId="2F528702" w14:textId="77777777" w:rsidR="00F76607" w:rsidRDefault="001863F0">
      <w:pPr>
        <w:pStyle w:val="VulcanIIbody"/>
      </w:pPr>
      <w:r>
        <w:t>In the Company’s opinion, the working capital is sufficient for the Company’s present requirements, that is, for at least the next twelve months from the date of the publication of this Prospectus.</w:t>
      </w:r>
    </w:p>
    <w:p w14:paraId="0C121240" w14:textId="77777777" w:rsidR="00F76607" w:rsidRDefault="001863F0">
      <w:pPr>
        <w:pStyle w:val="VulcanIISectionTitle"/>
      </w:pPr>
      <w:bookmarkStart w:id="38" w:name="_Toc493194614"/>
      <w:r>
        <w:lastRenderedPageBreak/>
        <w:t>Selected Consolidated Financial Information</w:t>
      </w:r>
      <w:bookmarkEnd w:id="38"/>
      <w:r>
        <w:t xml:space="preserve"> </w:t>
      </w:r>
    </w:p>
    <w:p w14:paraId="2C52CF68" w14:textId="77777777" w:rsidR="00F76607" w:rsidRDefault="00F76607">
      <w:pPr>
        <w:ind w:firstLine="720"/>
        <w:rPr>
          <w:i/>
          <w:iCs/>
          <w:sz w:val="18"/>
          <w:szCs w:val="18"/>
        </w:rPr>
      </w:pPr>
    </w:p>
    <w:p w14:paraId="7FEB9E6C" w14:textId="05250C79" w:rsidR="00F76607" w:rsidRDefault="001863F0">
      <w:pPr>
        <w:ind w:firstLine="720"/>
        <w:rPr>
          <w:i/>
          <w:iCs/>
          <w:sz w:val="18"/>
          <w:szCs w:val="18"/>
        </w:rPr>
      </w:pPr>
      <w:r>
        <w:rPr>
          <w:i/>
          <w:iCs/>
          <w:sz w:val="18"/>
          <w:szCs w:val="18"/>
        </w:rPr>
        <w:t>The Group's consolidated financial information as of and for the six months ended 30 June 2017 and 2016 have been extracted from the Interim Financial Statements (as defined below), and the Group's consolidated financial information as of and for the years ended 31 December 2016, 2015 and 2014 has been extracted from the Annual Financial Statements (as defined below), which in each case are included elsewhere in this Prospectus. The selected consolidated financial information presented below should be read in conjunction with “Operating and Financial Review” and the Interim Financial Statements a</w:t>
      </w:r>
      <w:r w:rsidR="00534CE6">
        <w:rPr>
          <w:i/>
          <w:iCs/>
          <w:sz w:val="18"/>
          <w:szCs w:val="18"/>
        </w:rPr>
        <w:t xml:space="preserve">nd Annual Financial Statements </w:t>
      </w:r>
      <w:r>
        <w:rPr>
          <w:i/>
          <w:iCs/>
          <w:sz w:val="18"/>
          <w:szCs w:val="18"/>
        </w:rPr>
        <w:t xml:space="preserve">included elsewhere in this Prospectus. </w:t>
      </w:r>
    </w:p>
    <w:p w14:paraId="0D2986AE" w14:textId="77777777" w:rsidR="00F76607" w:rsidRDefault="00F76607">
      <w:pPr>
        <w:ind w:firstLine="720"/>
        <w:rPr>
          <w:i/>
          <w:iCs/>
          <w:sz w:val="18"/>
          <w:szCs w:val="18"/>
        </w:rPr>
      </w:pPr>
    </w:p>
    <w:p w14:paraId="0D2074FD" w14:textId="77777777" w:rsidR="00F76607" w:rsidRDefault="001863F0">
      <w:pPr>
        <w:ind w:firstLine="720"/>
        <w:rPr>
          <w:i/>
          <w:iCs/>
          <w:sz w:val="18"/>
          <w:szCs w:val="18"/>
        </w:rPr>
      </w:pPr>
      <w:r>
        <w:rPr>
          <w:i/>
          <w:iCs/>
          <w:sz w:val="18"/>
          <w:szCs w:val="18"/>
        </w:rPr>
        <w:t xml:space="preserve">The audited consolidated financial statements of VGP NV as of and for the years ended 31 December 2016, 2015 and 2014 (together, the "Annual Financial Statements") have been prepared in accordance with International Financial Reporting Standards as adopted by the European Union ("IFRS"), as well as in accordance with legal and regulatory requirements applicable in Belgium, and were audited by DELOITTE </w:t>
      </w:r>
      <w:proofErr w:type="spellStart"/>
      <w:r>
        <w:rPr>
          <w:i/>
          <w:iCs/>
          <w:sz w:val="18"/>
          <w:szCs w:val="18"/>
        </w:rPr>
        <w:t>Bedrijfsrevisoren</w:t>
      </w:r>
      <w:proofErr w:type="spellEnd"/>
      <w:r>
        <w:rPr>
          <w:i/>
          <w:iCs/>
          <w:sz w:val="18"/>
          <w:szCs w:val="18"/>
        </w:rPr>
        <w:t>/</w:t>
      </w:r>
      <w:proofErr w:type="spellStart"/>
      <w:r>
        <w:rPr>
          <w:i/>
          <w:iCs/>
          <w:sz w:val="18"/>
          <w:szCs w:val="18"/>
        </w:rPr>
        <w:t>Reviseurs</w:t>
      </w:r>
      <w:proofErr w:type="spellEnd"/>
      <w:r>
        <w:rPr>
          <w:i/>
          <w:iCs/>
          <w:sz w:val="18"/>
          <w:szCs w:val="18"/>
        </w:rPr>
        <w:t xml:space="preserve"> </w:t>
      </w:r>
      <w:proofErr w:type="spellStart"/>
      <w:r>
        <w:rPr>
          <w:i/>
          <w:iCs/>
          <w:sz w:val="18"/>
          <w:szCs w:val="18"/>
        </w:rPr>
        <w:t>d’Entreprises</w:t>
      </w:r>
      <w:proofErr w:type="spellEnd"/>
      <w:r>
        <w:rPr>
          <w:i/>
          <w:iCs/>
          <w:sz w:val="18"/>
          <w:szCs w:val="18"/>
        </w:rPr>
        <w:t xml:space="preserve"> BV </w:t>
      </w:r>
      <w:proofErr w:type="spellStart"/>
      <w:r>
        <w:rPr>
          <w:i/>
          <w:iCs/>
          <w:sz w:val="18"/>
          <w:szCs w:val="18"/>
        </w:rPr>
        <w:t>o.v.v.e</w:t>
      </w:r>
      <w:proofErr w:type="spellEnd"/>
      <w:r>
        <w:rPr>
          <w:i/>
          <w:iCs/>
          <w:sz w:val="18"/>
          <w:szCs w:val="18"/>
        </w:rPr>
        <w:t>. CVBA. The unaudited condensed consolidated interim financial statements of VGP NV and its subsidiaries as of and for the six months ended 30 June 2017 and 2016 (together the “Interim Financial Statements”) have been prepared in accordance with IAS 34</w:t>
      </w:r>
      <w:r>
        <w:t xml:space="preserve"> </w:t>
      </w:r>
      <w:r>
        <w:rPr>
          <w:i/>
          <w:iCs/>
          <w:sz w:val="18"/>
          <w:szCs w:val="18"/>
        </w:rPr>
        <w:t xml:space="preserve">Interim Financial Reporting” as adopted by the European Union and has been reviewed by DELOITTE </w:t>
      </w:r>
      <w:proofErr w:type="spellStart"/>
      <w:r>
        <w:rPr>
          <w:i/>
          <w:iCs/>
          <w:sz w:val="18"/>
          <w:szCs w:val="18"/>
        </w:rPr>
        <w:t>Bedrijfsrevisoren</w:t>
      </w:r>
      <w:proofErr w:type="spellEnd"/>
      <w:r>
        <w:rPr>
          <w:i/>
          <w:iCs/>
          <w:sz w:val="18"/>
          <w:szCs w:val="18"/>
        </w:rPr>
        <w:t>/</w:t>
      </w:r>
      <w:proofErr w:type="spellStart"/>
      <w:r>
        <w:rPr>
          <w:i/>
          <w:iCs/>
          <w:sz w:val="18"/>
          <w:szCs w:val="18"/>
        </w:rPr>
        <w:t>Reviseurs</w:t>
      </w:r>
      <w:proofErr w:type="spellEnd"/>
      <w:r>
        <w:rPr>
          <w:i/>
          <w:iCs/>
          <w:sz w:val="18"/>
          <w:szCs w:val="18"/>
        </w:rPr>
        <w:t xml:space="preserve"> </w:t>
      </w:r>
      <w:proofErr w:type="spellStart"/>
      <w:r>
        <w:rPr>
          <w:i/>
          <w:iCs/>
          <w:sz w:val="18"/>
          <w:szCs w:val="18"/>
        </w:rPr>
        <w:t>d’Entreprises</w:t>
      </w:r>
      <w:proofErr w:type="spellEnd"/>
      <w:r>
        <w:rPr>
          <w:i/>
          <w:iCs/>
          <w:sz w:val="18"/>
          <w:szCs w:val="18"/>
        </w:rPr>
        <w:t xml:space="preserve"> BV </w:t>
      </w:r>
      <w:proofErr w:type="spellStart"/>
      <w:r>
        <w:rPr>
          <w:i/>
          <w:iCs/>
          <w:sz w:val="18"/>
          <w:szCs w:val="18"/>
        </w:rPr>
        <w:t>o.v.v.e</w:t>
      </w:r>
      <w:proofErr w:type="spellEnd"/>
      <w:r>
        <w:rPr>
          <w:i/>
          <w:iCs/>
          <w:sz w:val="18"/>
          <w:szCs w:val="18"/>
        </w:rPr>
        <w:t>. CVBA in accordance with International Standard on Review Engagements (ISRE) 2410, "Review of interim financial information performed by the independent auditor of the entity".</w:t>
      </w:r>
    </w:p>
    <w:p w14:paraId="3134D518" w14:textId="77777777" w:rsidR="00F76607" w:rsidRDefault="00F76607">
      <w:pPr>
        <w:pStyle w:val="VulcanIIbody"/>
        <w:rPr>
          <w:i/>
          <w:lang w:val="en-GB"/>
        </w:rPr>
      </w:pPr>
    </w:p>
    <w:p w14:paraId="52DFC2A0" w14:textId="77777777" w:rsidR="00F76607" w:rsidRDefault="001863F0">
      <w:pPr>
        <w:pStyle w:val="NormalWeb"/>
        <w:keepNext/>
        <w:spacing w:before="0" w:beforeAutospacing="0" w:after="0" w:afterAutospacing="0"/>
      </w:pPr>
      <w:r>
        <w:rPr>
          <w:b/>
          <w:bCs/>
          <w:sz w:val="18"/>
          <w:szCs w:val="18"/>
        </w:rPr>
        <w:t xml:space="preserve">Consolidated Income Statement </w:t>
      </w:r>
      <w:r>
        <w:rPr>
          <w:b/>
          <w:sz w:val="18"/>
          <w:szCs w:val="18"/>
        </w:rPr>
        <w:t>Information</w:t>
      </w:r>
    </w:p>
    <w:p w14:paraId="6D3A43D9" w14:textId="01B2A81C" w:rsidR="00F76607" w:rsidRDefault="00F76607">
      <w:pPr>
        <w:pStyle w:val="NormalWeb"/>
        <w:keepNext/>
        <w:spacing w:before="0" w:beforeAutospacing="0" w:after="0" w:afterAutospacing="0"/>
      </w:pPr>
    </w:p>
    <w:tbl>
      <w:tblPr>
        <w:tblW w:w="492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458"/>
        <w:gridCol w:w="1217"/>
        <w:gridCol w:w="1089"/>
        <w:gridCol w:w="8"/>
        <w:gridCol w:w="1313"/>
        <w:gridCol w:w="1246"/>
        <w:gridCol w:w="9"/>
        <w:gridCol w:w="1269"/>
      </w:tblGrid>
      <w:tr w:rsidR="00F37025" w14:paraId="13F3F280" w14:textId="77777777" w:rsidTr="008C16B5">
        <w:trPr>
          <w:cantSplit/>
          <w:tblHeader/>
          <w:jc w:val="center"/>
        </w:trPr>
        <w:tc>
          <w:tcPr>
            <w:tcW w:w="3458" w:type="dxa"/>
            <w:tcMar>
              <w:top w:w="0" w:type="dxa"/>
              <w:left w:w="144" w:type="dxa"/>
              <w:bottom w:w="0" w:type="dxa"/>
              <w:right w:w="0" w:type="dxa"/>
            </w:tcMar>
            <w:hideMark/>
          </w:tcPr>
          <w:p w14:paraId="2C8172C8" w14:textId="77777777" w:rsidR="00F37025" w:rsidRDefault="00F37025" w:rsidP="00B322A7">
            <w:pPr>
              <w:pStyle w:val="la2"/>
              <w:keepNext/>
              <w:jc w:val="right"/>
              <w:rPr>
                <w:rFonts w:eastAsiaTheme="minorEastAsia"/>
                <w:sz w:val="16"/>
                <w:szCs w:val="16"/>
              </w:rPr>
            </w:pPr>
            <w:r>
              <w:rPr>
                <w:sz w:val="16"/>
                <w:szCs w:val="16"/>
              </w:rPr>
              <w:t> </w:t>
            </w:r>
          </w:p>
        </w:tc>
        <w:tc>
          <w:tcPr>
            <w:tcW w:w="2314" w:type="dxa"/>
            <w:gridSpan w:val="3"/>
          </w:tcPr>
          <w:p w14:paraId="7D1D3D3E" w14:textId="77777777" w:rsidR="00F37025" w:rsidRDefault="00F37025" w:rsidP="00B322A7">
            <w:pPr>
              <w:jc w:val="center"/>
              <w:rPr>
                <w:rFonts w:eastAsiaTheme="minorEastAsia"/>
                <w:sz w:val="16"/>
                <w:szCs w:val="16"/>
              </w:rPr>
            </w:pPr>
            <w:r>
              <w:rPr>
                <w:b/>
                <w:bCs/>
                <w:sz w:val="16"/>
                <w:szCs w:val="16"/>
              </w:rPr>
              <w:t>For the six months ended 30-Jun</w:t>
            </w:r>
          </w:p>
        </w:tc>
        <w:tc>
          <w:tcPr>
            <w:tcW w:w="3837" w:type="dxa"/>
            <w:gridSpan w:val="4"/>
            <w:tcMar>
              <w:top w:w="0" w:type="dxa"/>
              <w:left w:w="144" w:type="dxa"/>
              <w:bottom w:w="0" w:type="dxa"/>
              <w:right w:w="0" w:type="dxa"/>
            </w:tcMar>
            <w:hideMark/>
          </w:tcPr>
          <w:p w14:paraId="65C36483" w14:textId="77777777" w:rsidR="00F37025" w:rsidRDefault="00F37025" w:rsidP="00B322A7">
            <w:pPr>
              <w:jc w:val="center"/>
              <w:rPr>
                <w:rFonts w:eastAsiaTheme="minorEastAsia"/>
                <w:sz w:val="16"/>
                <w:szCs w:val="16"/>
              </w:rPr>
            </w:pPr>
            <w:r>
              <w:rPr>
                <w:b/>
                <w:bCs/>
                <w:sz w:val="16"/>
                <w:szCs w:val="16"/>
              </w:rPr>
              <w:t>For the year ended 31-Dec</w:t>
            </w:r>
          </w:p>
        </w:tc>
      </w:tr>
      <w:tr w:rsidR="00F37025" w14:paraId="060C3FE1" w14:textId="77777777" w:rsidTr="008C16B5">
        <w:trPr>
          <w:cantSplit/>
          <w:tblHeader/>
          <w:jc w:val="center"/>
        </w:trPr>
        <w:tc>
          <w:tcPr>
            <w:tcW w:w="3458" w:type="dxa"/>
            <w:tcMar>
              <w:top w:w="0" w:type="dxa"/>
              <w:left w:w="144" w:type="dxa"/>
              <w:bottom w:w="0" w:type="dxa"/>
              <w:right w:w="0" w:type="dxa"/>
            </w:tcMar>
            <w:hideMark/>
          </w:tcPr>
          <w:p w14:paraId="10AAC41D" w14:textId="77777777" w:rsidR="00F37025" w:rsidRDefault="00F37025" w:rsidP="00B322A7">
            <w:pPr>
              <w:pStyle w:val="la2"/>
              <w:keepNext/>
              <w:jc w:val="right"/>
              <w:rPr>
                <w:rFonts w:eastAsiaTheme="minorEastAsia"/>
                <w:sz w:val="16"/>
                <w:szCs w:val="16"/>
              </w:rPr>
            </w:pPr>
            <w:r>
              <w:rPr>
                <w:sz w:val="16"/>
                <w:szCs w:val="16"/>
              </w:rPr>
              <w:t> </w:t>
            </w:r>
          </w:p>
        </w:tc>
        <w:tc>
          <w:tcPr>
            <w:tcW w:w="1217" w:type="dxa"/>
          </w:tcPr>
          <w:p w14:paraId="02323513" w14:textId="77777777" w:rsidR="00F37025" w:rsidRDefault="00F37025" w:rsidP="00B322A7">
            <w:pPr>
              <w:jc w:val="center"/>
              <w:rPr>
                <w:rFonts w:eastAsiaTheme="minorEastAsia"/>
                <w:sz w:val="16"/>
                <w:szCs w:val="16"/>
              </w:rPr>
            </w:pPr>
            <w:r>
              <w:rPr>
                <w:b/>
                <w:bCs/>
                <w:sz w:val="16"/>
                <w:szCs w:val="16"/>
              </w:rPr>
              <w:t>2017</w:t>
            </w:r>
          </w:p>
        </w:tc>
        <w:tc>
          <w:tcPr>
            <w:tcW w:w="1097" w:type="dxa"/>
            <w:gridSpan w:val="2"/>
            <w:tcMar>
              <w:top w:w="0" w:type="dxa"/>
              <w:left w:w="144" w:type="dxa"/>
              <w:bottom w:w="0" w:type="dxa"/>
              <w:right w:w="0" w:type="dxa"/>
            </w:tcMar>
          </w:tcPr>
          <w:p w14:paraId="5B2AD7A4" w14:textId="77777777" w:rsidR="00F37025" w:rsidRDefault="00F37025" w:rsidP="00B322A7">
            <w:pPr>
              <w:jc w:val="center"/>
              <w:rPr>
                <w:rFonts w:eastAsiaTheme="minorEastAsia"/>
                <w:sz w:val="16"/>
                <w:szCs w:val="16"/>
              </w:rPr>
            </w:pPr>
            <w:r>
              <w:rPr>
                <w:b/>
                <w:bCs/>
                <w:sz w:val="16"/>
                <w:szCs w:val="16"/>
              </w:rPr>
              <w:t>2016</w:t>
            </w:r>
          </w:p>
        </w:tc>
        <w:tc>
          <w:tcPr>
            <w:tcW w:w="1313" w:type="dxa"/>
            <w:tcMar>
              <w:top w:w="0" w:type="dxa"/>
              <w:left w:w="144" w:type="dxa"/>
              <w:bottom w:w="0" w:type="dxa"/>
              <w:right w:w="0" w:type="dxa"/>
            </w:tcMar>
            <w:hideMark/>
          </w:tcPr>
          <w:p w14:paraId="159FA233" w14:textId="77777777" w:rsidR="00F37025" w:rsidRDefault="00F37025" w:rsidP="00B322A7">
            <w:pPr>
              <w:jc w:val="center"/>
              <w:rPr>
                <w:rFonts w:eastAsiaTheme="minorEastAsia"/>
                <w:sz w:val="16"/>
                <w:szCs w:val="16"/>
              </w:rPr>
            </w:pPr>
            <w:r>
              <w:rPr>
                <w:b/>
                <w:bCs/>
                <w:sz w:val="16"/>
                <w:szCs w:val="16"/>
              </w:rPr>
              <w:t>2016</w:t>
            </w:r>
          </w:p>
        </w:tc>
        <w:tc>
          <w:tcPr>
            <w:tcW w:w="1246" w:type="dxa"/>
            <w:tcMar>
              <w:top w:w="0" w:type="dxa"/>
              <w:left w:w="144" w:type="dxa"/>
              <w:bottom w:w="0" w:type="dxa"/>
              <w:right w:w="0" w:type="dxa"/>
            </w:tcMar>
            <w:hideMark/>
          </w:tcPr>
          <w:p w14:paraId="281E2D0F" w14:textId="77777777" w:rsidR="00F37025" w:rsidRDefault="00F37025" w:rsidP="00B322A7">
            <w:pPr>
              <w:jc w:val="center"/>
              <w:rPr>
                <w:rFonts w:eastAsiaTheme="minorEastAsia"/>
                <w:sz w:val="16"/>
                <w:szCs w:val="16"/>
              </w:rPr>
            </w:pPr>
            <w:r>
              <w:rPr>
                <w:b/>
                <w:bCs/>
                <w:sz w:val="16"/>
                <w:szCs w:val="16"/>
              </w:rPr>
              <w:t>2015</w:t>
            </w:r>
          </w:p>
        </w:tc>
        <w:tc>
          <w:tcPr>
            <w:tcW w:w="1278" w:type="dxa"/>
            <w:gridSpan w:val="2"/>
            <w:tcMar>
              <w:top w:w="0" w:type="dxa"/>
              <w:left w:w="144" w:type="dxa"/>
              <w:bottom w:w="0" w:type="dxa"/>
              <w:right w:w="0" w:type="dxa"/>
            </w:tcMar>
            <w:hideMark/>
          </w:tcPr>
          <w:p w14:paraId="28B36A93" w14:textId="77777777" w:rsidR="00F37025" w:rsidRDefault="00F37025" w:rsidP="00B322A7">
            <w:pPr>
              <w:jc w:val="center"/>
              <w:rPr>
                <w:rFonts w:eastAsiaTheme="minorEastAsia"/>
                <w:sz w:val="16"/>
                <w:szCs w:val="16"/>
              </w:rPr>
            </w:pPr>
            <w:r>
              <w:rPr>
                <w:b/>
                <w:bCs/>
                <w:sz w:val="16"/>
                <w:szCs w:val="16"/>
              </w:rPr>
              <w:t>2014</w:t>
            </w:r>
          </w:p>
        </w:tc>
      </w:tr>
      <w:tr w:rsidR="00F37025" w14:paraId="4159BC1B" w14:textId="77777777" w:rsidTr="008C16B5">
        <w:trPr>
          <w:cantSplit/>
          <w:tblHeader/>
          <w:jc w:val="center"/>
        </w:trPr>
        <w:tc>
          <w:tcPr>
            <w:tcW w:w="3458" w:type="dxa"/>
            <w:tcMar>
              <w:top w:w="0" w:type="dxa"/>
              <w:left w:w="144" w:type="dxa"/>
              <w:bottom w:w="0" w:type="dxa"/>
              <w:right w:w="0" w:type="dxa"/>
            </w:tcMar>
            <w:hideMark/>
          </w:tcPr>
          <w:p w14:paraId="1EFB503D" w14:textId="77777777" w:rsidR="00F37025" w:rsidRDefault="00F37025" w:rsidP="00B322A7">
            <w:pPr>
              <w:pStyle w:val="la2"/>
              <w:keepNext/>
              <w:jc w:val="right"/>
              <w:rPr>
                <w:rFonts w:eastAsiaTheme="minorEastAsia"/>
                <w:sz w:val="16"/>
                <w:szCs w:val="16"/>
              </w:rPr>
            </w:pPr>
            <w:r>
              <w:rPr>
                <w:sz w:val="16"/>
                <w:szCs w:val="16"/>
              </w:rPr>
              <w:t> </w:t>
            </w:r>
          </w:p>
        </w:tc>
        <w:tc>
          <w:tcPr>
            <w:tcW w:w="6151" w:type="dxa"/>
            <w:gridSpan w:val="7"/>
          </w:tcPr>
          <w:p w14:paraId="2A42022A" w14:textId="77777777" w:rsidR="00F37025" w:rsidRDefault="00F37025" w:rsidP="00B322A7">
            <w:pPr>
              <w:jc w:val="center"/>
              <w:rPr>
                <w:i/>
                <w:sz w:val="16"/>
                <w:szCs w:val="16"/>
              </w:rPr>
            </w:pPr>
            <w:r>
              <w:rPr>
                <w:bCs/>
                <w:i/>
                <w:sz w:val="16"/>
                <w:szCs w:val="16"/>
              </w:rPr>
              <w:t>(€ thousands)</w:t>
            </w:r>
          </w:p>
        </w:tc>
      </w:tr>
      <w:tr w:rsidR="00F37025" w14:paraId="120FBE5F" w14:textId="77777777" w:rsidTr="008C16B5">
        <w:trPr>
          <w:cantSplit/>
          <w:jc w:val="center"/>
        </w:trPr>
        <w:tc>
          <w:tcPr>
            <w:tcW w:w="3458" w:type="dxa"/>
            <w:hideMark/>
          </w:tcPr>
          <w:p w14:paraId="2A923027" w14:textId="77777777" w:rsidR="00F37025" w:rsidRDefault="00F37025" w:rsidP="00B322A7">
            <w:pPr>
              <w:pStyle w:val="NormalWeb"/>
              <w:keepNext/>
              <w:tabs>
                <w:tab w:val="right" w:leader="dot" w:pos="4620"/>
              </w:tabs>
              <w:spacing w:before="0" w:beforeAutospacing="0" w:after="0" w:afterAutospacing="0"/>
              <w:ind w:left="240" w:hanging="240"/>
              <w:jc w:val="right"/>
              <w:rPr>
                <w:rFonts w:eastAsiaTheme="minorEastAsia"/>
                <w:sz w:val="18"/>
                <w:szCs w:val="18"/>
              </w:rPr>
            </w:pPr>
            <w:r>
              <w:rPr>
                <w:sz w:val="18"/>
                <w:szCs w:val="18"/>
              </w:rPr>
              <w:t>Revenue</w:t>
            </w:r>
            <w:r>
              <w:rPr>
                <w:sz w:val="18"/>
                <w:szCs w:val="18"/>
              </w:rPr>
              <w:tab/>
            </w:r>
          </w:p>
        </w:tc>
        <w:tc>
          <w:tcPr>
            <w:tcW w:w="1217" w:type="dxa"/>
          </w:tcPr>
          <w:p w14:paraId="454E0190"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14,296</w:t>
            </w:r>
          </w:p>
        </w:tc>
        <w:tc>
          <w:tcPr>
            <w:tcW w:w="1097" w:type="dxa"/>
            <w:gridSpan w:val="2"/>
            <w:noWrap/>
            <w:tcMar>
              <w:top w:w="0" w:type="dxa"/>
              <w:left w:w="144" w:type="dxa"/>
              <w:bottom w:w="0" w:type="dxa"/>
              <w:right w:w="0" w:type="dxa"/>
            </w:tcMar>
            <w:hideMark/>
          </w:tcPr>
          <w:p w14:paraId="5C9ED065"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17,004</w:t>
            </w:r>
          </w:p>
        </w:tc>
        <w:tc>
          <w:tcPr>
            <w:tcW w:w="1313" w:type="dxa"/>
            <w:noWrap/>
            <w:tcMar>
              <w:top w:w="0" w:type="dxa"/>
              <w:left w:w="144" w:type="dxa"/>
              <w:bottom w:w="0" w:type="dxa"/>
              <w:right w:w="0" w:type="dxa"/>
            </w:tcMar>
            <w:hideMark/>
          </w:tcPr>
          <w:p w14:paraId="53AD9FC9"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24,739</w:t>
            </w:r>
          </w:p>
        </w:tc>
        <w:tc>
          <w:tcPr>
            <w:tcW w:w="1246" w:type="dxa"/>
            <w:noWrap/>
            <w:tcMar>
              <w:top w:w="0" w:type="dxa"/>
              <w:left w:w="144" w:type="dxa"/>
              <w:bottom w:w="0" w:type="dxa"/>
              <w:right w:w="0" w:type="dxa"/>
            </w:tcMar>
            <w:hideMark/>
          </w:tcPr>
          <w:p w14:paraId="46D7CDD7"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23,118</w:t>
            </w:r>
          </w:p>
        </w:tc>
        <w:tc>
          <w:tcPr>
            <w:tcW w:w="1278" w:type="dxa"/>
            <w:gridSpan w:val="2"/>
            <w:noWrap/>
            <w:tcMar>
              <w:top w:w="0" w:type="dxa"/>
              <w:left w:w="144" w:type="dxa"/>
              <w:bottom w:w="0" w:type="dxa"/>
              <w:right w:w="0" w:type="dxa"/>
            </w:tcMar>
            <w:hideMark/>
          </w:tcPr>
          <w:p w14:paraId="6000998E"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15,113</w:t>
            </w:r>
          </w:p>
        </w:tc>
      </w:tr>
      <w:tr w:rsidR="00F37025" w14:paraId="2177B0D6" w14:textId="77777777" w:rsidTr="008C16B5">
        <w:trPr>
          <w:cantSplit/>
          <w:jc w:val="center"/>
        </w:trPr>
        <w:tc>
          <w:tcPr>
            <w:tcW w:w="3458" w:type="dxa"/>
            <w:hideMark/>
          </w:tcPr>
          <w:p w14:paraId="0106F791" w14:textId="77777777" w:rsidR="00F37025" w:rsidRDefault="00F37025" w:rsidP="00B322A7">
            <w:pPr>
              <w:pStyle w:val="NormalWeb"/>
              <w:keepNext/>
              <w:tabs>
                <w:tab w:val="right" w:leader="dot" w:pos="4620"/>
              </w:tabs>
              <w:spacing w:before="0" w:beforeAutospacing="0" w:after="0" w:afterAutospacing="0"/>
              <w:ind w:left="240" w:hanging="240"/>
              <w:jc w:val="right"/>
              <w:rPr>
                <w:rFonts w:eastAsiaTheme="minorEastAsia"/>
                <w:sz w:val="18"/>
                <w:szCs w:val="18"/>
              </w:rPr>
            </w:pPr>
            <w:r>
              <w:rPr>
                <w:sz w:val="18"/>
                <w:szCs w:val="18"/>
              </w:rPr>
              <w:t>Gross rental income</w:t>
            </w:r>
            <w:r>
              <w:rPr>
                <w:sz w:val="18"/>
                <w:szCs w:val="18"/>
              </w:rPr>
              <w:tab/>
            </w:r>
          </w:p>
        </w:tc>
        <w:tc>
          <w:tcPr>
            <w:tcW w:w="1217" w:type="dxa"/>
          </w:tcPr>
          <w:p w14:paraId="035419DF"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9,111</w:t>
            </w:r>
          </w:p>
        </w:tc>
        <w:tc>
          <w:tcPr>
            <w:tcW w:w="1097" w:type="dxa"/>
            <w:gridSpan w:val="2"/>
            <w:noWrap/>
            <w:tcMar>
              <w:top w:w="0" w:type="dxa"/>
              <w:left w:w="144" w:type="dxa"/>
              <w:bottom w:w="0" w:type="dxa"/>
              <w:right w:w="0" w:type="dxa"/>
            </w:tcMar>
            <w:hideMark/>
          </w:tcPr>
          <w:p w14:paraId="4C712939"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13,085</w:t>
            </w:r>
          </w:p>
        </w:tc>
        <w:tc>
          <w:tcPr>
            <w:tcW w:w="1313" w:type="dxa"/>
            <w:noWrap/>
            <w:tcMar>
              <w:top w:w="0" w:type="dxa"/>
              <w:left w:w="144" w:type="dxa"/>
              <w:bottom w:w="0" w:type="dxa"/>
              <w:right w:w="0" w:type="dxa"/>
            </w:tcMar>
            <w:hideMark/>
          </w:tcPr>
          <w:p w14:paraId="2C47514D"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16,806</w:t>
            </w:r>
          </w:p>
        </w:tc>
        <w:tc>
          <w:tcPr>
            <w:tcW w:w="1246" w:type="dxa"/>
            <w:noWrap/>
            <w:tcMar>
              <w:top w:w="0" w:type="dxa"/>
              <w:left w:w="144" w:type="dxa"/>
              <w:bottom w:w="0" w:type="dxa"/>
              <w:right w:w="0" w:type="dxa"/>
            </w:tcMar>
            <w:hideMark/>
          </w:tcPr>
          <w:p w14:paraId="4706BD2E"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17,073</w:t>
            </w:r>
          </w:p>
        </w:tc>
        <w:tc>
          <w:tcPr>
            <w:tcW w:w="1278" w:type="dxa"/>
            <w:gridSpan w:val="2"/>
            <w:noWrap/>
            <w:tcMar>
              <w:top w:w="0" w:type="dxa"/>
              <w:left w:w="144" w:type="dxa"/>
              <w:bottom w:w="0" w:type="dxa"/>
              <w:right w:w="0" w:type="dxa"/>
            </w:tcMar>
            <w:hideMark/>
          </w:tcPr>
          <w:p w14:paraId="68946F1E"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9,596</w:t>
            </w:r>
          </w:p>
        </w:tc>
      </w:tr>
      <w:tr w:rsidR="00F37025" w14:paraId="1A6A85AF" w14:textId="77777777" w:rsidTr="008C16B5">
        <w:trPr>
          <w:cantSplit/>
          <w:jc w:val="center"/>
        </w:trPr>
        <w:tc>
          <w:tcPr>
            <w:tcW w:w="3458" w:type="dxa"/>
            <w:hideMark/>
          </w:tcPr>
          <w:p w14:paraId="07C7BA8B" w14:textId="77777777" w:rsidR="00F37025" w:rsidRDefault="00F37025"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Service charge income</w:t>
            </w:r>
            <w:r>
              <w:rPr>
                <w:sz w:val="18"/>
                <w:szCs w:val="18"/>
              </w:rPr>
              <w:tab/>
            </w:r>
          </w:p>
        </w:tc>
        <w:tc>
          <w:tcPr>
            <w:tcW w:w="1217" w:type="dxa"/>
          </w:tcPr>
          <w:p w14:paraId="144C0DD6"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1,409</w:t>
            </w:r>
          </w:p>
        </w:tc>
        <w:tc>
          <w:tcPr>
            <w:tcW w:w="1097" w:type="dxa"/>
            <w:gridSpan w:val="2"/>
            <w:noWrap/>
            <w:tcMar>
              <w:top w:w="0" w:type="dxa"/>
              <w:left w:w="144" w:type="dxa"/>
              <w:bottom w:w="0" w:type="dxa"/>
              <w:right w:w="0" w:type="dxa"/>
            </w:tcMar>
            <w:hideMark/>
          </w:tcPr>
          <w:p w14:paraId="44BB8C14"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3,042</w:t>
            </w:r>
          </w:p>
        </w:tc>
        <w:tc>
          <w:tcPr>
            <w:tcW w:w="1313" w:type="dxa"/>
            <w:noWrap/>
            <w:tcMar>
              <w:top w:w="0" w:type="dxa"/>
              <w:left w:w="144" w:type="dxa"/>
              <w:bottom w:w="0" w:type="dxa"/>
              <w:right w:w="0" w:type="dxa"/>
            </w:tcMar>
            <w:hideMark/>
          </w:tcPr>
          <w:p w14:paraId="69F9C417"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4,108</w:t>
            </w:r>
          </w:p>
        </w:tc>
        <w:tc>
          <w:tcPr>
            <w:tcW w:w="1246" w:type="dxa"/>
            <w:noWrap/>
            <w:tcMar>
              <w:top w:w="0" w:type="dxa"/>
              <w:left w:w="144" w:type="dxa"/>
              <w:bottom w:w="0" w:type="dxa"/>
              <w:right w:w="0" w:type="dxa"/>
            </w:tcMar>
            <w:hideMark/>
          </w:tcPr>
          <w:p w14:paraId="2DE4849E"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3,498</w:t>
            </w:r>
          </w:p>
        </w:tc>
        <w:tc>
          <w:tcPr>
            <w:tcW w:w="1278" w:type="dxa"/>
            <w:gridSpan w:val="2"/>
            <w:noWrap/>
            <w:tcMar>
              <w:top w:w="0" w:type="dxa"/>
              <w:left w:w="144" w:type="dxa"/>
              <w:bottom w:w="0" w:type="dxa"/>
              <w:right w:w="0" w:type="dxa"/>
            </w:tcMar>
            <w:hideMark/>
          </w:tcPr>
          <w:p w14:paraId="32C06835"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2,110</w:t>
            </w:r>
          </w:p>
        </w:tc>
      </w:tr>
      <w:tr w:rsidR="00F37025" w14:paraId="501CBD23" w14:textId="77777777" w:rsidTr="008C16B5">
        <w:trPr>
          <w:cantSplit/>
          <w:jc w:val="center"/>
        </w:trPr>
        <w:tc>
          <w:tcPr>
            <w:tcW w:w="3458" w:type="dxa"/>
            <w:hideMark/>
          </w:tcPr>
          <w:p w14:paraId="0397488B" w14:textId="77777777" w:rsidR="00F37025" w:rsidRDefault="00F37025" w:rsidP="00B322A7">
            <w:pPr>
              <w:pStyle w:val="NormalWeb"/>
              <w:tabs>
                <w:tab w:val="right" w:leader="dot" w:pos="4620"/>
              </w:tabs>
              <w:spacing w:before="0" w:beforeAutospacing="0" w:after="0" w:afterAutospacing="0"/>
              <w:jc w:val="right"/>
              <w:rPr>
                <w:rFonts w:eastAsiaTheme="minorEastAsia"/>
                <w:sz w:val="18"/>
                <w:szCs w:val="18"/>
              </w:rPr>
            </w:pPr>
            <w:r>
              <w:rPr>
                <w:sz w:val="18"/>
                <w:szCs w:val="18"/>
              </w:rPr>
              <w:t>Service charge expenses</w:t>
            </w:r>
            <w:r>
              <w:rPr>
                <w:sz w:val="18"/>
                <w:szCs w:val="18"/>
              </w:rPr>
              <w:tab/>
            </w:r>
          </w:p>
        </w:tc>
        <w:tc>
          <w:tcPr>
            <w:tcW w:w="1217" w:type="dxa"/>
          </w:tcPr>
          <w:p w14:paraId="5DC6B84A"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(1,267)</w:t>
            </w:r>
          </w:p>
        </w:tc>
        <w:tc>
          <w:tcPr>
            <w:tcW w:w="1097" w:type="dxa"/>
            <w:gridSpan w:val="2"/>
            <w:noWrap/>
            <w:tcMar>
              <w:top w:w="0" w:type="dxa"/>
              <w:left w:w="144" w:type="dxa"/>
              <w:bottom w:w="0" w:type="dxa"/>
              <w:right w:w="0" w:type="dxa"/>
            </w:tcMar>
            <w:hideMark/>
          </w:tcPr>
          <w:p w14:paraId="2B98C6C6"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(2,447)</w:t>
            </w:r>
          </w:p>
        </w:tc>
        <w:tc>
          <w:tcPr>
            <w:tcW w:w="1313" w:type="dxa"/>
            <w:noWrap/>
            <w:tcMar>
              <w:top w:w="0" w:type="dxa"/>
              <w:left w:w="144" w:type="dxa"/>
              <w:bottom w:w="0" w:type="dxa"/>
              <w:right w:w="0" w:type="dxa"/>
            </w:tcMar>
            <w:hideMark/>
          </w:tcPr>
          <w:p w14:paraId="1F0E763E"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(3,073)</w:t>
            </w:r>
          </w:p>
        </w:tc>
        <w:tc>
          <w:tcPr>
            <w:tcW w:w="1246" w:type="dxa"/>
            <w:noWrap/>
            <w:tcMar>
              <w:top w:w="0" w:type="dxa"/>
              <w:left w:w="144" w:type="dxa"/>
              <w:bottom w:w="0" w:type="dxa"/>
              <w:right w:w="0" w:type="dxa"/>
            </w:tcMar>
            <w:hideMark/>
          </w:tcPr>
          <w:p w14:paraId="08DAF9F9"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(3,076)</w:t>
            </w:r>
          </w:p>
        </w:tc>
        <w:tc>
          <w:tcPr>
            <w:tcW w:w="1278" w:type="dxa"/>
            <w:gridSpan w:val="2"/>
            <w:noWrap/>
            <w:tcMar>
              <w:top w:w="0" w:type="dxa"/>
              <w:left w:w="144" w:type="dxa"/>
              <w:bottom w:w="0" w:type="dxa"/>
              <w:right w:w="0" w:type="dxa"/>
            </w:tcMar>
            <w:hideMark/>
          </w:tcPr>
          <w:p w14:paraId="53B489F1"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(1,679)</w:t>
            </w:r>
          </w:p>
        </w:tc>
      </w:tr>
      <w:tr w:rsidR="00F37025" w14:paraId="523BC9DC" w14:textId="77777777" w:rsidTr="008C16B5">
        <w:trPr>
          <w:cantSplit/>
          <w:jc w:val="center"/>
        </w:trPr>
        <w:tc>
          <w:tcPr>
            <w:tcW w:w="3458" w:type="dxa"/>
            <w:hideMark/>
          </w:tcPr>
          <w:p w14:paraId="7990D8B4" w14:textId="77777777" w:rsidR="00F37025" w:rsidRDefault="00F37025" w:rsidP="00B322A7">
            <w:pPr>
              <w:pStyle w:val="NormalWeb"/>
              <w:tabs>
                <w:tab w:val="right" w:leader="dot" w:pos="4620"/>
              </w:tabs>
              <w:spacing w:before="0" w:beforeAutospacing="0" w:after="0" w:afterAutospacing="0"/>
              <w:jc w:val="right"/>
              <w:rPr>
                <w:rFonts w:eastAsiaTheme="minorEastAsia"/>
                <w:sz w:val="18"/>
                <w:szCs w:val="18"/>
              </w:rPr>
            </w:pPr>
            <w:r>
              <w:rPr>
                <w:sz w:val="18"/>
                <w:szCs w:val="18"/>
              </w:rPr>
              <w:t>Property operating expenses</w:t>
            </w:r>
            <w:r>
              <w:rPr>
                <w:sz w:val="18"/>
                <w:szCs w:val="18"/>
              </w:rPr>
              <w:tab/>
            </w:r>
          </w:p>
        </w:tc>
        <w:tc>
          <w:tcPr>
            <w:tcW w:w="1217" w:type="dxa"/>
          </w:tcPr>
          <w:p w14:paraId="44D66E4C"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(655)</w:t>
            </w:r>
          </w:p>
        </w:tc>
        <w:tc>
          <w:tcPr>
            <w:tcW w:w="1097" w:type="dxa"/>
            <w:gridSpan w:val="2"/>
            <w:noWrap/>
            <w:tcMar>
              <w:top w:w="0" w:type="dxa"/>
              <w:left w:w="144" w:type="dxa"/>
              <w:bottom w:w="0" w:type="dxa"/>
              <w:right w:w="0" w:type="dxa"/>
            </w:tcMar>
            <w:hideMark/>
          </w:tcPr>
          <w:p w14:paraId="71522BA7"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(1,099)</w:t>
            </w:r>
          </w:p>
        </w:tc>
        <w:tc>
          <w:tcPr>
            <w:tcW w:w="1313" w:type="dxa"/>
            <w:noWrap/>
            <w:tcMar>
              <w:top w:w="0" w:type="dxa"/>
              <w:left w:w="144" w:type="dxa"/>
              <w:bottom w:w="0" w:type="dxa"/>
              <w:right w:w="0" w:type="dxa"/>
            </w:tcMar>
            <w:hideMark/>
          </w:tcPr>
          <w:p w14:paraId="7861A1E5"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(1,703)</w:t>
            </w:r>
          </w:p>
        </w:tc>
        <w:tc>
          <w:tcPr>
            <w:tcW w:w="1246" w:type="dxa"/>
            <w:noWrap/>
            <w:tcMar>
              <w:top w:w="0" w:type="dxa"/>
              <w:left w:w="144" w:type="dxa"/>
              <w:bottom w:w="0" w:type="dxa"/>
              <w:right w:w="0" w:type="dxa"/>
            </w:tcMar>
            <w:hideMark/>
          </w:tcPr>
          <w:p w14:paraId="548CD4B0"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(972)</w:t>
            </w:r>
          </w:p>
        </w:tc>
        <w:tc>
          <w:tcPr>
            <w:tcW w:w="1278" w:type="dxa"/>
            <w:gridSpan w:val="2"/>
            <w:noWrap/>
            <w:tcMar>
              <w:top w:w="0" w:type="dxa"/>
              <w:left w:w="144" w:type="dxa"/>
              <w:bottom w:w="0" w:type="dxa"/>
              <w:right w:w="0" w:type="dxa"/>
            </w:tcMar>
            <w:hideMark/>
          </w:tcPr>
          <w:p w14:paraId="39C83F93"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(1,513)</w:t>
            </w:r>
          </w:p>
        </w:tc>
      </w:tr>
      <w:tr w:rsidR="00F37025" w14:paraId="184A61EE" w14:textId="77777777" w:rsidTr="008C16B5">
        <w:trPr>
          <w:cantSplit/>
          <w:jc w:val="center"/>
        </w:trPr>
        <w:tc>
          <w:tcPr>
            <w:tcW w:w="3458" w:type="dxa"/>
            <w:hideMark/>
          </w:tcPr>
          <w:p w14:paraId="5ABBE67F" w14:textId="77777777" w:rsidR="00F37025" w:rsidRDefault="00F37025"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Net rental income</w:t>
            </w:r>
            <w:r>
              <w:rPr>
                <w:b/>
                <w:bCs/>
                <w:sz w:val="18"/>
                <w:szCs w:val="18"/>
              </w:rPr>
              <w:tab/>
            </w:r>
          </w:p>
        </w:tc>
        <w:tc>
          <w:tcPr>
            <w:tcW w:w="1217" w:type="dxa"/>
          </w:tcPr>
          <w:p w14:paraId="75866D5A" w14:textId="77777777" w:rsidR="00F37025" w:rsidRDefault="00F37025" w:rsidP="00B322A7">
            <w:pPr>
              <w:pStyle w:val="NormalWeb"/>
              <w:tabs>
                <w:tab w:val="right" w:pos="900"/>
                <w:tab w:val="decimal" w:pos="940"/>
              </w:tabs>
              <w:spacing w:before="0" w:beforeAutospacing="0" w:after="20" w:afterAutospacing="0"/>
              <w:jc w:val="right"/>
              <w:rPr>
                <w:b/>
                <w:bCs/>
                <w:sz w:val="18"/>
                <w:szCs w:val="18"/>
              </w:rPr>
            </w:pPr>
            <w:r>
              <w:rPr>
                <w:b/>
                <w:bCs/>
                <w:sz w:val="18"/>
                <w:szCs w:val="18"/>
              </w:rPr>
              <w:t>8,598</w:t>
            </w:r>
          </w:p>
        </w:tc>
        <w:tc>
          <w:tcPr>
            <w:tcW w:w="1097" w:type="dxa"/>
            <w:gridSpan w:val="2"/>
            <w:noWrap/>
            <w:tcMar>
              <w:top w:w="0" w:type="dxa"/>
              <w:left w:w="144" w:type="dxa"/>
              <w:bottom w:w="0" w:type="dxa"/>
              <w:right w:w="0" w:type="dxa"/>
            </w:tcMar>
            <w:hideMark/>
          </w:tcPr>
          <w:p w14:paraId="411E0005"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b/>
                <w:bCs/>
                <w:sz w:val="18"/>
                <w:szCs w:val="18"/>
              </w:rPr>
              <w:t>12,581</w:t>
            </w:r>
          </w:p>
        </w:tc>
        <w:tc>
          <w:tcPr>
            <w:tcW w:w="1313" w:type="dxa"/>
            <w:noWrap/>
            <w:tcMar>
              <w:top w:w="0" w:type="dxa"/>
              <w:left w:w="144" w:type="dxa"/>
              <w:bottom w:w="0" w:type="dxa"/>
              <w:right w:w="0" w:type="dxa"/>
            </w:tcMar>
            <w:hideMark/>
          </w:tcPr>
          <w:p w14:paraId="36F39011"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b/>
                <w:bCs/>
                <w:sz w:val="18"/>
                <w:szCs w:val="18"/>
              </w:rPr>
              <w:t>16,138</w:t>
            </w:r>
          </w:p>
        </w:tc>
        <w:tc>
          <w:tcPr>
            <w:tcW w:w="1246" w:type="dxa"/>
            <w:noWrap/>
            <w:tcMar>
              <w:top w:w="0" w:type="dxa"/>
              <w:left w:w="144" w:type="dxa"/>
              <w:bottom w:w="0" w:type="dxa"/>
              <w:right w:w="0" w:type="dxa"/>
            </w:tcMar>
            <w:hideMark/>
          </w:tcPr>
          <w:p w14:paraId="38EAA442"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16,523</w:t>
            </w:r>
          </w:p>
        </w:tc>
        <w:tc>
          <w:tcPr>
            <w:tcW w:w="1278" w:type="dxa"/>
            <w:gridSpan w:val="2"/>
            <w:noWrap/>
            <w:tcMar>
              <w:top w:w="0" w:type="dxa"/>
              <w:left w:w="144" w:type="dxa"/>
              <w:bottom w:w="0" w:type="dxa"/>
              <w:right w:w="0" w:type="dxa"/>
            </w:tcMar>
            <w:hideMark/>
          </w:tcPr>
          <w:p w14:paraId="1CAC47C7"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8,514</w:t>
            </w:r>
          </w:p>
        </w:tc>
      </w:tr>
      <w:tr w:rsidR="00F37025" w14:paraId="68BCF6B1" w14:textId="77777777" w:rsidTr="008C16B5">
        <w:trPr>
          <w:cantSplit/>
          <w:jc w:val="center"/>
        </w:trPr>
        <w:tc>
          <w:tcPr>
            <w:tcW w:w="3458" w:type="dxa"/>
            <w:hideMark/>
          </w:tcPr>
          <w:p w14:paraId="789BA99F" w14:textId="77777777" w:rsidR="00F37025" w:rsidRDefault="00F37025"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Property and development management income</w:t>
            </w:r>
            <w:r>
              <w:rPr>
                <w:sz w:val="18"/>
                <w:szCs w:val="18"/>
              </w:rPr>
              <w:tab/>
            </w:r>
          </w:p>
        </w:tc>
        <w:tc>
          <w:tcPr>
            <w:tcW w:w="1217" w:type="dxa"/>
          </w:tcPr>
          <w:p w14:paraId="06C72184"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3,495</w:t>
            </w:r>
          </w:p>
        </w:tc>
        <w:tc>
          <w:tcPr>
            <w:tcW w:w="1097" w:type="dxa"/>
            <w:gridSpan w:val="2"/>
            <w:noWrap/>
            <w:tcMar>
              <w:top w:w="0" w:type="dxa"/>
              <w:left w:w="144" w:type="dxa"/>
              <w:bottom w:w="0" w:type="dxa"/>
              <w:right w:w="0" w:type="dxa"/>
            </w:tcMar>
          </w:tcPr>
          <w:p w14:paraId="205D7609"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638</w:t>
            </w:r>
          </w:p>
        </w:tc>
        <w:tc>
          <w:tcPr>
            <w:tcW w:w="1313" w:type="dxa"/>
            <w:noWrap/>
            <w:tcMar>
              <w:top w:w="0" w:type="dxa"/>
              <w:left w:w="144" w:type="dxa"/>
              <w:bottom w:w="0" w:type="dxa"/>
              <w:right w:w="0" w:type="dxa"/>
            </w:tcMar>
            <w:hideMark/>
          </w:tcPr>
          <w:p w14:paraId="3C85E9C6"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3,141</w:t>
            </w:r>
          </w:p>
        </w:tc>
        <w:tc>
          <w:tcPr>
            <w:tcW w:w="1246" w:type="dxa"/>
            <w:noWrap/>
            <w:tcMar>
              <w:top w:w="0" w:type="dxa"/>
              <w:left w:w="144" w:type="dxa"/>
              <w:bottom w:w="0" w:type="dxa"/>
              <w:right w:w="0" w:type="dxa"/>
            </w:tcMar>
            <w:hideMark/>
          </w:tcPr>
          <w:p w14:paraId="786614BD"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1,433</w:t>
            </w:r>
          </w:p>
        </w:tc>
        <w:tc>
          <w:tcPr>
            <w:tcW w:w="1278" w:type="dxa"/>
            <w:gridSpan w:val="2"/>
            <w:noWrap/>
            <w:tcMar>
              <w:top w:w="0" w:type="dxa"/>
              <w:left w:w="144" w:type="dxa"/>
              <w:bottom w:w="0" w:type="dxa"/>
              <w:right w:w="0" w:type="dxa"/>
            </w:tcMar>
            <w:hideMark/>
          </w:tcPr>
          <w:p w14:paraId="7F367F42"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2,175</w:t>
            </w:r>
          </w:p>
        </w:tc>
      </w:tr>
      <w:tr w:rsidR="00F37025" w14:paraId="35451B41" w14:textId="77777777" w:rsidTr="008C16B5">
        <w:trPr>
          <w:cantSplit/>
          <w:jc w:val="center"/>
        </w:trPr>
        <w:tc>
          <w:tcPr>
            <w:tcW w:w="3458" w:type="dxa"/>
            <w:hideMark/>
          </w:tcPr>
          <w:p w14:paraId="3450DDE9" w14:textId="77777777" w:rsidR="00F37025" w:rsidRDefault="00F37025"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Facility management income</w:t>
            </w:r>
            <w:r>
              <w:rPr>
                <w:sz w:val="18"/>
                <w:szCs w:val="18"/>
              </w:rPr>
              <w:tab/>
            </w:r>
          </w:p>
        </w:tc>
        <w:tc>
          <w:tcPr>
            <w:tcW w:w="1217" w:type="dxa"/>
          </w:tcPr>
          <w:p w14:paraId="1D5E05EB"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281</w:t>
            </w:r>
          </w:p>
        </w:tc>
        <w:tc>
          <w:tcPr>
            <w:tcW w:w="1097" w:type="dxa"/>
            <w:gridSpan w:val="2"/>
            <w:noWrap/>
            <w:tcMar>
              <w:top w:w="0" w:type="dxa"/>
              <w:left w:w="144" w:type="dxa"/>
              <w:bottom w:w="0" w:type="dxa"/>
              <w:right w:w="0" w:type="dxa"/>
            </w:tcMar>
          </w:tcPr>
          <w:p w14:paraId="3B15CCC8"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239</w:t>
            </w:r>
          </w:p>
        </w:tc>
        <w:tc>
          <w:tcPr>
            <w:tcW w:w="1313" w:type="dxa"/>
            <w:noWrap/>
            <w:tcMar>
              <w:top w:w="0" w:type="dxa"/>
              <w:left w:w="144" w:type="dxa"/>
              <w:bottom w:w="0" w:type="dxa"/>
              <w:right w:w="0" w:type="dxa"/>
            </w:tcMar>
            <w:hideMark/>
          </w:tcPr>
          <w:p w14:paraId="4E5DE847"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684</w:t>
            </w:r>
          </w:p>
        </w:tc>
        <w:tc>
          <w:tcPr>
            <w:tcW w:w="1246" w:type="dxa"/>
            <w:noWrap/>
            <w:tcMar>
              <w:top w:w="0" w:type="dxa"/>
              <w:left w:w="144" w:type="dxa"/>
              <w:bottom w:w="0" w:type="dxa"/>
              <w:right w:w="0" w:type="dxa"/>
            </w:tcMar>
            <w:hideMark/>
          </w:tcPr>
          <w:p w14:paraId="03A4BA8C"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1,114</w:t>
            </w:r>
          </w:p>
        </w:tc>
        <w:tc>
          <w:tcPr>
            <w:tcW w:w="1278" w:type="dxa"/>
            <w:gridSpan w:val="2"/>
            <w:noWrap/>
            <w:tcMar>
              <w:top w:w="0" w:type="dxa"/>
              <w:left w:w="144" w:type="dxa"/>
              <w:bottom w:w="0" w:type="dxa"/>
              <w:right w:w="0" w:type="dxa"/>
            </w:tcMar>
            <w:hideMark/>
          </w:tcPr>
          <w:p w14:paraId="61953CA9"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1,233</w:t>
            </w:r>
          </w:p>
        </w:tc>
      </w:tr>
      <w:tr w:rsidR="00F37025" w14:paraId="594ECE6A" w14:textId="77777777" w:rsidTr="008C16B5">
        <w:trPr>
          <w:cantSplit/>
          <w:jc w:val="center"/>
        </w:trPr>
        <w:tc>
          <w:tcPr>
            <w:tcW w:w="3458" w:type="dxa"/>
            <w:hideMark/>
          </w:tcPr>
          <w:p w14:paraId="373349C1" w14:textId="77777777" w:rsidR="00F37025" w:rsidRDefault="00F37025" w:rsidP="00B322A7">
            <w:pPr>
              <w:pStyle w:val="NormalWeb"/>
              <w:tabs>
                <w:tab w:val="right" w:leader="dot" w:pos="4620"/>
              </w:tabs>
              <w:spacing w:before="0" w:beforeAutospacing="0" w:after="0" w:afterAutospacing="0"/>
              <w:ind w:left="240" w:hanging="240"/>
              <w:rPr>
                <w:rFonts w:eastAsiaTheme="minorEastAsia"/>
                <w:sz w:val="18"/>
                <w:szCs w:val="18"/>
              </w:rPr>
            </w:pPr>
            <w:r>
              <w:rPr>
                <w:sz w:val="18"/>
                <w:szCs w:val="18"/>
              </w:rPr>
              <w:t>Net valuation gains/(losses) on investment properties</w:t>
            </w:r>
            <w:r>
              <w:rPr>
                <w:sz w:val="18"/>
                <w:szCs w:val="18"/>
              </w:rPr>
              <w:tab/>
            </w:r>
          </w:p>
        </w:tc>
        <w:tc>
          <w:tcPr>
            <w:tcW w:w="1217" w:type="dxa"/>
          </w:tcPr>
          <w:p w14:paraId="45A15358"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sz w:val="18"/>
                <w:szCs w:val="18"/>
              </w:rPr>
              <w:t>59,864</w:t>
            </w:r>
          </w:p>
        </w:tc>
        <w:tc>
          <w:tcPr>
            <w:tcW w:w="1097" w:type="dxa"/>
            <w:gridSpan w:val="2"/>
            <w:noWrap/>
            <w:tcMar>
              <w:top w:w="0" w:type="dxa"/>
              <w:left w:w="144" w:type="dxa"/>
              <w:bottom w:w="0" w:type="dxa"/>
              <w:right w:w="0" w:type="dxa"/>
            </w:tcMar>
          </w:tcPr>
          <w:p w14:paraId="590735D4"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sz w:val="18"/>
                <w:szCs w:val="18"/>
              </w:rPr>
              <w:t>65,127</w:t>
            </w:r>
          </w:p>
        </w:tc>
        <w:tc>
          <w:tcPr>
            <w:tcW w:w="1313" w:type="dxa"/>
            <w:noWrap/>
            <w:tcMar>
              <w:top w:w="0" w:type="dxa"/>
              <w:left w:w="144" w:type="dxa"/>
              <w:bottom w:w="0" w:type="dxa"/>
              <w:right w:w="0" w:type="dxa"/>
            </w:tcMar>
            <w:hideMark/>
          </w:tcPr>
          <w:p w14:paraId="04A8DE36"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rFonts w:eastAsiaTheme="minorEastAsia"/>
                <w:sz w:val="18"/>
                <w:szCs w:val="18"/>
              </w:rPr>
              <w:t>118,900</w:t>
            </w:r>
          </w:p>
        </w:tc>
        <w:tc>
          <w:tcPr>
            <w:tcW w:w="1246" w:type="dxa"/>
            <w:noWrap/>
            <w:tcMar>
              <w:top w:w="0" w:type="dxa"/>
              <w:left w:w="144" w:type="dxa"/>
              <w:bottom w:w="0" w:type="dxa"/>
              <w:right w:w="0" w:type="dxa"/>
            </w:tcMar>
            <w:hideMark/>
          </w:tcPr>
          <w:p w14:paraId="5D616913"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rFonts w:eastAsiaTheme="minorEastAsia"/>
                <w:sz w:val="18"/>
                <w:szCs w:val="18"/>
              </w:rPr>
              <w:t>103,981</w:t>
            </w:r>
          </w:p>
        </w:tc>
        <w:tc>
          <w:tcPr>
            <w:tcW w:w="1278" w:type="dxa"/>
            <w:gridSpan w:val="2"/>
            <w:noWrap/>
            <w:tcMar>
              <w:top w:w="0" w:type="dxa"/>
              <w:left w:w="144" w:type="dxa"/>
              <w:bottom w:w="0" w:type="dxa"/>
              <w:right w:w="0" w:type="dxa"/>
            </w:tcMar>
            <w:hideMark/>
          </w:tcPr>
          <w:p w14:paraId="7D08E53A"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53,920</w:t>
            </w:r>
          </w:p>
        </w:tc>
      </w:tr>
      <w:tr w:rsidR="00F37025" w14:paraId="212EB6B5" w14:textId="77777777" w:rsidTr="008C16B5">
        <w:trPr>
          <w:cantSplit/>
          <w:jc w:val="center"/>
        </w:trPr>
        <w:tc>
          <w:tcPr>
            <w:tcW w:w="3458" w:type="dxa"/>
            <w:hideMark/>
          </w:tcPr>
          <w:p w14:paraId="3F51AB86" w14:textId="77777777" w:rsidR="00F37025" w:rsidRDefault="00F37025"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Administration expenses</w:t>
            </w:r>
            <w:r>
              <w:rPr>
                <w:sz w:val="18"/>
                <w:szCs w:val="18"/>
              </w:rPr>
              <w:tab/>
            </w:r>
          </w:p>
        </w:tc>
        <w:tc>
          <w:tcPr>
            <w:tcW w:w="1217" w:type="dxa"/>
          </w:tcPr>
          <w:p w14:paraId="3B2E068D"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sz w:val="18"/>
                <w:szCs w:val="18"/>
              </w:rPr>
              <w:t>(9,660)</w:t>
            </w:r>
          </w:p>
        </w:tc>
        <w:tc>
          <w:tcPr>
            <w:tcW w:w="1097" w:type="dxa"/>
            <w:gridSpan w:val="2"/>
            <w:noWrap/>
            <w:tcMar>
              <w:top w:w="0" w:type="dxa"/>
              <w:left w:w="144" w:type="dxa"/>
              <w:bottom w:w="0" w:type="dxa"/>
              <w:right w:w="0" w:type="dxa"/>
            </w:tcMar>
          </w:tcPr>
          <w:p w14:paraId="6FBE2503"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sz w:val="18"/>
                <w:szCs w:val="18"/>
              </w:rPr>
              <w:t>(4,904)</w:t>
            </w:r>
          </w:p>
        </w:tc>
        <w:tc>
          <w:tcPr>
            <w:tcW w:w="1313" w:type="dxa"/>
            <w:noWrap/>
            <w:tcMar>
              <w:top w:w="0" w:type="dxa"/>
              <w:left w:w="144" w:type="dxa"/>
              <w:bottom w:w="0" w:type="dxa"/>
              <w:right w:w="0" w:type="dxa"/>
            </w:tcMar>
            <w:hideMark/>
          </w:tcPr>
          <w:p w14:paraId="6C9EE377"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rFonts w:eastAsiaTheme="minorEastAsia"/>
                <w:sz w:val="18"/>
                <w:szCs w:val="18"/>
              </w:rPr>
              <w:t>(15,446)</w:t>
            </w:r>
          </w:p>
        </w:tc>
        <w:tc>
          <w:tcPr>
            <w:tcW w:w="1246" w:type="dxa"/>
            <w:noWrap/>
            <w:tcMar>
              <w:top w:w="0" w:type="dxa"/>
              <w:left w:w="144" w:type="dxa"/>
              <w:bottom w:w="0" w:type="dxa"/>
              <w:right w:w="0" w:type="dxa"/>
            </w:tcMar>
            <w:hideMark/>
          </w:tcPr>
          <w:p w14:paraId="26894458"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rFonts w:eastAsiaTheme="minorEastAsia"/>
                <w:sz w:val="18"/>
                <w:szCs w:val="18"/>
              </w:rPr>
              <w:t>(13,451)</w:t>
            </w:r>
          </w:p>
        </w:tc>
        <w:tc>
          <w:tcPr>
            <w:tcW w:w="1278" w:type="dxa"/>
            <w:gridSpan w:val="2"/>
            <w:noWrap/>
            <w:tcMar>
              <w:top w:w="0" w:type="dxa"/>
              <w:left w:w="144" w:type="dxa"/>
              <w:bottom w:w="0" w:type="dxa"/>
              <w:right w:w="0" w:type="dxa"/>
            </w:tcMar>
            <w:hideMark/>
          </w:tcPr>
          <w:p w14:paraId="7B0F9E09"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(6,556)</w:t>
            </w:r>
          </w:p>
        </w:tc>
      </w:tr>
      <w:tr w:rsidR="00F37025" w14:paraId="455BB1A3" w14:textId="77777777" w:rsidTr="008C16B5">
        <w:trPr>
          <w:cantSplit/>
          <w:jc w:val="center"/>
        </w:trPr>
        <w:tc>
          <w:tcPr>
            <w:tcW w:w="3458" w:type="dxa"/>
            <w:hideMark/>
          </w:tcPr>
          <w:p w14:paraId="182405EA" w14:textId="77777777" w:rsidR="00F37025" w:rsidRDefault="00F37025"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income</w:t>
            </w:r>
            <w:r>
              <w:rPr>
                <w:sz w:val="18"/>
                <w:szCs w:val="18"/>
              </w:rPr>
              <w:tab/>
            </w:r>
          </w:p>
        </w:tc>
        <w:tc>
          <w:tcPr>
            <w:tcW w:w="1217" w:type="dxa"/>
          </w:tcPr>
          <w:p w14:paraId="3903926A"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sz w:val="18"/>
                <w:szCs w:val="18"/>
              </w:rPr>
              <w:t>370</w:t>
            </w:r>
          </w:p>
        </w:tc>
        <w:tc>
          <w:tcPr>
            <w:tcW w:w="1097" w:type="dxa"/>
            <w:gridSpan w:val="2"/>
            <w:noWrap/>
            <w:tcMar>
              <w:top w:w="0" w:type="dxa"/>
              <w:left w:w="144" w:type="dxa"/>
              <w:bottom w:w="0" w:type="dxa"/>
              <w:right w:w="0" w:type="dxa"/>
            </w:tcMar>
          </w:tcPr>
          <w:p w14:paraId="5914AD05"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sz w:val="18"/>
                <w:szCs w:val="18"/>
              </w:rPr>
              <w:t>233</w:t>
            </w:r>
          </w:p>
        </w:tc>
        <w:tc>
          <w:tcPr>
            <w:tcW w:w="1313" w:type="dxa"/>
            <w:noWrap/>
            <w:tcMar>
              <w:top w:w="0" w:type="dxa"/>
              <w:left w:w="144" w:type="dxa"/>
              <w:bottom w:w="0" w:type="dxa"/>
              <w:right w:w="0" w:type="dxa"/>
            </w:tcMar>
            <w:hideMark/>
          </w:tcPr>
          <w:p w14:paraId="093E81B8"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rFonts w:eastAsiaTheme="minorEastAsia"/>
                <w:sz w:val="18"/>
                <w:szCs w:val="18"/>
              </w:rPr>
              <w:t>483</w:t>
            </w:r>
          </w:p>
        </w:tc>
        <w:tc>
          <w:tcPr>
            <w:tcW w:w="1246" w:type="dxa"/>
            <w:noWrap/>
            <w:tcMar>
              <w:top w:w="0" w:type="dxa"/>
              <w:left w:w="144" w:type="dxa"/>
              <w:bottom w:w="0" w:type="dxa"/>
              <w:right w:w="0" w:type="dxa"/>
            </w:tcMar>
            <w:hideMark/>
          </w:tcPr>
          <w:p w14:paraId="3E032EB6"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rFonts w:eastAsiaTheme="minorEastAsia"/>
                <w:sz w:val="18"/>
                <w:szCs w:val="18"/>
              </w:rPr>
              <w:t>487</w:t>
            </w:r>
          </w:p>
        </w:tc>
        <w:tc>
          <w:tcPr>
            <w:tcW w:w="1278" w:type="dxa"/>
            <w:gridSpan w:val="2"/>
            <w:noWrap/>
            <w:tcMar>
              <w:top w:w="0" w:type="dxa"/>
              <w:left w:w="144" w:type="dxa"/>
              <w:bottom w:w="0" w:type="dxa"/>
              <w:right w:w="0" w:type="dxa"/>
            </w:tcMar>
            <w:hideMark/>
          </w:tcPr>
          <w:p w14:paraId="1B23BECE"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348</w:t>
            </w:r>
          </w:p>
        </w:tc>
      </w:tr>
      <w:tr w:rsidR="00F37025" w14:paraId="6126ABFA" w14:textId="77777777" w:rsidTr="008C16B5">
        <w:trPr>
          <w:cantSplit/>
          <w:jc w:val="center"/>
        </w:trPr>
        <w:tc>
          <w:tcPr>
            <w:tcW w:w="3458" w:type="dxa"/>
            <w:hideMark/>
          </w:tcPr>
          <w:p w14:paraId="69BA9B05" w14:textId="77777777" w:rsidR="00F37025" w:rsidRDefault="00F37025"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expenses</w:t>
            </w:r>
            <w:r>
              <w:rPr>
                <w:sz w:val="18"/>
                <w:szCs w:val="18"/>
              </w:rPr>
              <w:tab/>
            </w:r>
          </w:p>
        </w:tc>
        <w:tc>
          <w:tcPr>
            <w:tcW w:w="1217" w:type="dxa"/>
          </w:tcPr>
          <w:p w14:paraId="36DA02BB"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sz w:val="18"/>
                <w:szCs w:val="18"/>
              </w:rPr>
              <w:t>(439)</w:t>
            </w:r>
          </w:p>
        </w:tc>
        <w:tc>
          <w:tcPr>
            <w:tcW w:w="1097" w:type="dxa"/>
            <w:gridSpan w:val="2"/>
            <w:noWrap/>
            <w:tcMar>
              <w:top w:w="0" w:type="dxa"/>
              <w:left w:w="144" w:type="dxa"/>
              <w:bottom w:w="0" w:type="dxa"/>
              <w:right w:w="0" w:type="dxa"/>
            </w:tcMar>
          </w:tcPr>
          <w:p w14:paraId="64A799B2"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sz w:val="18"/>
                <w:szCs w:val="18"/>
              </w:rPr>
              <w:t>(587)</w:t>
            </w:r>
          </w:p>
        </w:tc>
        <w:tc>
          <w:tcPr>
            <w:tcW w:w="1313" w:type="dxa"/>
            <w:noWrap/>
            <w:tcMar>
              <w:top w:w="0" w:type="dxa"/>
              <w:left w:w="144" w:type="dxa"/>
              <w:bottom w:w="0" w:type="dxa"/>
              <w:right w:w="0" w:type="dxa"/>
            </w:tcMar>
            <w:hideMark/>
          </w:tcPr>
          <w:p w14:paraId="0CC032BC"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sz w:val="18"/>
                <w:szCs w:val="18"/>
              </w:rPr>
              <w:t>(1,815)</w:t>
            </w:r>
          </w:p>
        </w:tc>
        <w:tc>
          <w:tcPr>
            <w:tcW w:w="1246" w:type="dxa"/>
            <w:noWrap/>
            <w:tcMar>
              <w:top w:w="0" w:type="dxa"/>
              <w:left w:w="144" w:type="dxa"/>
              <w:bottom w:w="0" w:type="dxa"/>
              <w:right w:w="0" w:type="dxa"/>
            </w:tcMar>
            <w:hideMark/>
          </w:tcPr>
          <w:p w14:paraId="44670D72"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rFonts w:eastAsiaTheme="minorEastAsia"/>
                <w:sz w:val="18"/>
                <w:szCs w:val="18"/>
              </w:rPr>
              <w:t>(1,034)</w:t>
            </w:r>
          </w:p>
        </w:tc>
        <w:tc>
          <w:tcPr>
            <w:tcW w:w="1278" w:type="dxa"/>
            <w:gridSpan w:val="2"/>
            <w:noWrap/>
            <w:tcMar>
              <w:top w:w="0" w:type="dxa"/>
              <w:left w:w="144" w:type="dxa"/>
              <w:bottom w:w="0" w:type="dxa"/>
              <w:right w:w="0" w:type="dxa"/>
            </w:tcMar>
            <w:hideMark/>
          </w:tcPr>
          <w:p w14:paraId="407B9C44"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(881)</w:t>
            </w:r>
          </w:p>
        </w:tc>
      </w:tr>
      <w:tr w:rsidR="00F37025" w14:paraId="7552AD85" w14:textId="77777777" w:rsidTr="008C16B5">
        <w:trPr>
          <w:cantSplit/>
          <w:jc w:val="center"/>
        </w:trPr>
        <w:tc>
          <w:tcPr>
            <w:tcW w:w="3458" w:type="dxa"/>
          </w:tcPr>
          <w:p w14:paraId="23A07668" w14:textId="77777777" w:rsidR="00F37025" w:rsidRDefault="00F37025" w:rsidP="00B322A7">
            <w:pPr>
              <w:pStyle w:val="NormalWeb"/>
              <w:tabs>
                <w:tab w:val="right" w:leader="dot" w:pos="4620"/>
              </w:tabs>
              <w:spacing w:before="0" w:beforeAutospacing="0" w:after="0" w:afterAutospacing="0"/>
              <w:ind w:left="240" w:hanging="240"/>
              <w:jc w:val="right"/>
              <w:rPr>
                <w:sz w:val="18"/>
                <w:szCs w:val="18"/>
              </w:rPr>
            </w:pPr>
            <w:r>
              <w:rPr>
                <w:sz w:val="18"/>
                <w:szCs w:val="18"/>
              </w:rPr>
              <w:t>Share in result of joint venture and associates</w:t>
            </w:r>
            <w:r>
              <w:rPr>
                <w:sz w:val="18"/>
                <w:szCs w:val="18"/>
              </w:rPr>
              <w:tab/>
            </w:r>
          </w:p>
        </w:tc>
        <w:tc>
          <w:tcPr>
            <w:tcW w:w="1217" w:type="dxa"/>
          </w:tcPr>
          <w:p w14:paraId="5DEB2C6D"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bCs/>
                <w:sz w:val="18"/>
                <w:szCs w:val="18"/>
              </w:rPr>
              <w:t>15,167</w:t>
            </w:r>
          </w:p>
        </w:tc>
        <w:tc>
          <w:tcPr>
            <w:tcW w:w="1097" w:type="dxa"/>
            <w:gridSpan w:val="2"/>
            <w:noWrap/>
            <w:tcMar>
              <w:top w:w="0" w:type="dxa"/>
              <w:left w:w="144" w:type="dxa"/>
              <w:bottom w:w="0" w:type="dxa"/>
              <w:right w:w="0" w:type="dxa"/>
            </w:tcMar>
          </w:tcPr>
          <w:p w14:paraId="221437BA"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bCs/>
                <w:sz w:val="18"/>
                <w:szCs w:val="18"/>
              </w:rPr>
              <w:t>(3,279)</w:t>
            </w:r>
          </w:p>
        </w:tc>
        <w:tc>
          <w:tcPr>
            <w:tcW w:w="1313" w:type="dxa"/>
            <w:noWrap/>
            <w:tcMar>
              <w:top w:w="0" w:type="dxa"/>
              <w:left w:w="144" w:type="dxa"/>
              <w:bottom w:w="0" w:type="dxa"/>
              <w:right w:w="0" w:type="dxa"/>
            </w:tcMar>
          </w:tcPr>
          <w:p w14:paraId="7CAAA426" w14:textId="77777777" w:rsidR="00F37025" w:rsidRPr="00F37025" w:rsidRDefault="00F37025" w:rsidP="00B322A7">
            <w:pPr>
              <w:pStyle w:val="NormalWeb"/>
              <w:tabs>
                <w:tab w:val="right" w:pos="900"/>
                <w:tab w:val="decimal" w:pos="940"/>
              </w:tabs>
              <w:spacing w:before="0" w:beforeAutospacing="0" w:after="20" w:afterAutospacing="0"/>
              <w:jc w:val="right"/>
              <w:rPr>
                <w:sz w:val="18"/>
                <w:szCs w:val="18"/>
              </w:rPr>
            </w:pPr>
            <w:r w:rsidRPr="00F37025">
              <w:rPr>
                <w:sz w:val="18"/>
                <w:szCs w:val="18"/>
              </w:rPr>
              <w:t>7,897</w:t>
            </w:r>
          </w:p>
        </w:tc>
        <w:tc>
          <w:tcPr>
            <w:tcW w:w="1246" w:type="dxa"/>
            <w:noWrap/>
            <w:tcMar>
              <w:top w:w="0" w:type="dxa"/>
              <w:left w:w="144" w:type="dxa"/>
              <w:bottom w:w="0" w:type="dxa"/>
              <w:right w:w="0" w:type="dxa"/>
            </w:tcMar>
          </w:tcPr>
          <w:p w14:paraId="39682DE1"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rFonts w:eastAsiaTheme="minorEastAsia"/>
                <w:sz w:val="18"/>
                <w:szCs w:val="18"/>
              </w:rPr>
              <w:t>191</w:t>
            </w:r>
          </w:p>
        </w:tc>
        <w:tc>
          <w:tcPr>
            <w:tcW w:w="1278" w:type="dxa"/>
            <w:gridSpan w:val="2"/>
            <w:noWrap/>
            <w:tcMar>
              <w:top w:w="0" w:type="dxa"/>
              <w:left w:w="144" w:type="dxa"/>
              <w:bottom w:w="0" w:type="dxa"/>
              <w:right w:w="0" w:type="dxa"/>
            </w:tcMar>
          </w:tcPr>
          <w:p w14:paraId="6CB4F61D"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14,473</w:t>
            </w:r>
          </w:p>
        </w:tc>
      </w:tr>
      <w:tr w:rsidR="00F37025" w14:paraId="621C82A4" w14:textId="77777777" w:rsidTr="008C16B5">
        <w:trPr>
          <w:cantSplit/>
          <w:jc w:val="center"/>
        </w:trPr>
        <w:tc>
          <w:tcPr>
            <w:tcW w:w="3458" w:type="dxa"/>
            <w:hideMark/>
          </w:tcPr>
          <w:p w14:paraId="7FD7B23C" w14:textId="77777777" w:rsidR="00F37025" w:rsidRDefault="00F37025"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Operating profit</w:t>
            </w:r>
            <w:r>
              <w:rPr>
                <w:b/>
                <w:bCs/>
                <w:sz w:val="18"/>
                <w:szCs w:val="18"/>
              </w:rPr>
              <w:tab/>
            </w:r>
          </w:p>
        </w:tc>
        <w:tc>
          <w:tcPr>
            <w:tcW w:w="1217" w:type="dxa"/>
          </w:tcPr>
          <w:p w14:paraId="10DDAFCC"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sidRPr="00F37025">
              <w:rPr>
                <w:b/>
                <w:sz w:val="18"/>
                <w:szCs w:val="18"/>
              </w:rPr>
              <w:t>77,676</w:t>
            </w:r>
          </w:p>
        </w:tc>
        <w:tc>
          <w:tcPr>
            <w:tcW w:w="1097" w:type="dxa"/>
            <w:gridSpan w:val="2"/>
            <w:noWrap/>
            <w:tcMar>
              <w:top w:w="0" w:type="dxa"/>
              <w:left w:w="144" w:type="dxa"/>
              <w:bottom w:w="0" w:type="dxa"/>
              <w:right w:w="0" w:type="dxa"/>
            </w:tcMar>
          </w:tcPr>
          <w:p w14:paraId="23ADCC4D"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sidRPr="00F37025">
              <w:rPr>
                <w:b/>
                <w:sz w:val="18"/>
                <w:szCs w:val="18"/>
              </w:rPr>
              <w:t>70,048</w:t>
            </w:r>
          </w:p>
        </w:tc>
        <w:tc>
          <w:tcPr>
            <w:tcW w:w="1313" w:type="dxa"/>
            <w:noWrap/>
            <w:tcMar>
              <w:top w:w="0" w:type="dxa"/>
              <w:left w:w="144" w:type="dxa"/>
              <w:bottom w:w="0" w:type="dxa"/>
              <w:right w:w="0" w:type="dxa"/>
            </w:tcMar>
            <w:hideMark/>
          </w:tcPr>
          <w:p w14:paraId="5D83595F"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sidRPr="00F37025">
              <w:rPr>
                <w:rFonts w:eastAsiaTheme="minorEastAsia"/>
                <w:b/>
                <w:sz w:val="18"/>
                <w:szCs w:val="18"/>
              </w:rPr>
              <w:t>129,982</w:t>
            </w:r>
          </w:p>
        </w:tc>
        <w:tc>
          <w:tcPr>
            <w:tcW w:w="1246" w:type="dxa"/>
            <w:noWrap/>
            <w:tcMar>
              <w:top w:w="0" w:type="dxa"/>
              <w:left w:w="144" w:type="dxa"/>
              <w:bottom w:w="0" w:type="dxa"/>
              <w:right w:w="0" w:type="dxa"/>
            </w:tcMar>
            <w:hideMark/>
          </w:tcPr>
          <w:p w14:paraId="13088295"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sidRPr="00F37025">
              <w:rPr>
                <w:rFonts w:eastAsiaTheme="minorEastAsia"/>
                <w:b/>
                <w:sz w:val="18"/>
                <w:szCs w:val="18"/>
              </w:rPr>
              <w:t>109,244</w:t>
            </w:r>
          </w:p>
        </w:tc>
        <w:tc>
          <w:tcPr>
            <w:tcW w:w="1278" w:type="dxa"/>
            <w:gridSpan w:val="2"/>
            <w:noWrap/>
            <w:tcMar>
              <w:top w:w="0" w:type="dxa"/>
              <w:left w:w="144" w:type="dxa"/>
              <w:bottom w:w="0" w:type="dxa"/>
              <w:right w:w="0" w:type="dxa"/>
            </w:tcMar>
            <w:hideMark/>
          </w:tcPr>
          <w:p w14:paraId="48864547"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73,225</w:t>
            </w:r>
          </w:p>
        </w:tc>
      </w:tr>
      <w:tr w:rsidR="00F37025" w14:paraId="1620A285" w14:textId="77777777" w:rsidTr="008C16B5">
        <w:trPr>
          <w:cantSplit/>
          <w:jc w:val="center"/>
        </w:trPr>
        <w:tc>
          <w:tcPr>
            <w:tcW w:w="3458" w:type="dxa"/>
            <w:hideMark/>
          </w:tcPr>
          <w:p w14:paraId="7ACCC336" w14:textId="77777777" w:rsidR="00F37025" w:rsidRDefault="00F37025"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Financial income</w:t>
            </w:r>
            <w:r>
              <w:rPr>
                <w:sz w:val="18"/>
                <w:szCs w:val="18"/>
              </w:rPr>
              <w:tab/>
            </w:r>
          </w:p>
        </w:tc>
        <w:tc>
          <w:tcPr>
            <w:tcW w:w="1217" w:type="dxa"/>
          </w:tcPr>
          <w:p w14:paraId="1C69F591" w14:textId="77777777" w:rsidR="00F37025" w:rsidRPr="00F37025" w:rsidRDefault="00F37025" w:rsidP="00B322A7">
            <w:pPr>
              <w:pStyle w:val="NormalWeb"/>
              <w:tabs>
                <w:tab w:val="right" w:pos="900"/>
                <w:tab w:val="decimal" w:pos="940"/>
              </w:tabs>
              <w:spacing w:before="0" w:beforeAutospacing="0" w:after="20" w:afterAutospacing="0"/>
              <w:jc w:val="right"/>
              <w:rPr>
                <w:sz w:val="18"/>
                <w:szCs w:val="18"/>
              </w:rPr>
            </w:pPr>
            <w:r w:rsidRPr="00F37025">
              <w:rPr>
                <w:sz w:val="18"/>
                <w:szCs w:val="18"/>
              </w:rPr>
              <w:t>4,208</w:t>
            </w:r>
          </w:p>
        </w:tc>
        <w:tc>
          <w:tcPr>
            <w:tcW w:w="1097" w:type="dxa"/>
            <w:gridSpan w:val="2"/>
            <w:noWrap/>
            <w:tcMar>
              <w:top w:w="0" w:type="dxa"/>
              <w:left w:w="144" w:type="dxa"/>
              <w:bottom w:w="0" w:type="dxa"/>
              <w:right w:w="0" w:type="dxa"/>
            </w:tcMar>
          </w:tcPr>
          <w:p w14:paraId="27FE7466" w14:textId="77777777" w:rsidR="00F37025" w:rsidRPr="00F37025" w:rsidRDefault="00F37025" w:rsidP="00B322A7">
            <w:pPr>
              <w:pStyle w:val="NormalWeb"/>
              <w:tabs>
                <w:tab w:val="right" w:pos="900"/>
                <w:tab w:val="decimal" w:pos="940"/>
              </w:tabs>
              <w:spacing w:before="0" w:beforeAutospacing="0" w:after="20" w:afterAutospacing="0"/>
              <w:jc w:val="right"/>
              <w:rPr>
                <w:sz w:val="18"/>
                <w:szCs w:val="18"/>
              </w:rPr>
            </w:pPr>
            <w:r w:rsidRPr="00F37025">
              <w:rPr>
                <w:sz w:val="18"/>
                <w:szCs w:val="18"/>
              </w:rPr>
              <w:t>558</w:t>
            </w:r>
          </w:p>
        </w:tc>
        <w:tc>
          <w:tcPr>
            <w:tcW w:w="1313" w:type="dxa"/>
            <w:noWrap/>
            <w:tcMar>
              <w:top w:w="0" w:type="dxa"/>
              <w:left w:w="144" w:type="dxa"/>
              <w:bottom w:w="0" w:type="dxa"/>
              <w:right w:w="0" w:type="dxa"/>
            </w:tcMar>
            <w:hideMark/>
          </w:tcPr>
          <w:p w14:paraId="67C433C9"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rFonts w:eastAsiaTheme="minorEastAsia"/>
                <w:sz w:val="18"/>
                <w:szCs w:val="18"/>
              </w:rPr>
              <w:t>2,814</w:t>
            </w:r>
          </w:p>
        </w:tc>
        <w:tc>
          <w:tcPr>
            <w:tcW w:w="1246" w:type="dxa"/>
            <w:noWrap/>
            <w:tcMar>
              <w:top w:w="0" w:type="dxa"/>
              <w:left w:w="144" w:type="dxa"/>
              <w:bottom w:w="0" w:type="dxa"/>
              <w:right w:w="0" w:type="dxa"/>
            </w:tcMar>
            <w:hideMark/>
          </w:tcPr>
          <w:p w14:paraId="6D0391D7" w14:textId="77777777" w:rsidR="00F37025" w:rsidRP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sidRPr="00F37025">
              <w:rPr>
                <w:rFonts w:eastAsiaTheme="minorEastAsia"/>
                <w:sz w:val="18"/>
                <w:szCs w:val="18"/>
              </w:rPr>
              <w:t>466</w:t>
            </w:r>
          </w:p>
        </w:tc>
        <w:tc>
          <w:tcPr>
            <w:tcW w:w="1278" w:type="dxa"/>
            <w:gridSpan w:val="2"/>
            <w:noWrap/>
            <w:tcMar>
              <w:top w:w="0" w:type="dxa"/>
              <w:left w:w="144" w:type="dxa"/>
              <w:bottom w:w="0" w:type="dxa"/>
              <w:right w:w="0" w:type="dxa"/>
            </w:tcMar>
            <w:hideMark/>
          </w:tcPr>
          <w:p w14:paraId="3CFECD8E"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2,880</w:t>
            </w:r>
          </w:p>
        </w:tc>
      </w:tr>
      <w:tr w:rsidR="00F37025" w14:paraId="1702466A" w14:textId="77777777" w:rsidTr="008C16B5">
        <w:trPr>
          <w:cantSplit/>
          <w:jc w:val="center"/>
        </w:trPr>
        <w:tc>
          <w:tcPr>
            <w:tcW w:w="3458" w:type="dxa"/>
          </w:tcPr>
          <w:p w14:paraId="7D078B4D" w14:textId="77777777" w:rsidR="00F37025" w:rsidRDefault="00F37025" w:rsidP="00B322A7">
            <w:pPr>
              <w:pStyle w:val="NormalWeb"/>
              <w:tabs>
                <w:tab w:val="right" w:leader="dot" w:pos="4620"/>
              </w:tabs>
              <w:spacing w:before="0" w:beforeAutospacing="0" w:after="0" w:afterAutospacing="0"/>
              <w:ind w:left="240" w:hanging="240"/>
              <w:jc w:val="right"/>
              <w:rPr>
                <w:sz w:val="18"/>
                <w:szCs w:val="18"/>
              </w:rPr>
            </w:pPr>
            <w:r>
              <w:rPr>
                <w:sz w:val="18"/>
                <w:szCs w:val="18"/>
              </w:rPr>
              <w:t>Financial expenses</w:t>
            </w:r>
            <w:r>
              <w:rPr>
                <w:sz w:val="18"/>
                <w:szCs w:val="18"/>
              </w:rPr>
              <w:tab/>
            </w:r>
          </w:p>
        </w:tc>
        <w:tc>
          <w:tcPr>
            <w:tcW w:w="1217" w:type="dxa"/>
          </w:tcPr>
          <w:p w14:paraId="2577F1A6"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(9,184)</w:t>
            </w:r>
          </w:p>
        </w:tc>
        <w:tc>
          <w:tcPr>
            <w:tcW w:w="1097" w:type="dxa"/>
            <w:gridSpan w:val="2"/>
            <w:noWrap/>
            <w:tcMar>
              <w:top w:w="0" w:type="dxa"/>
              <w:left w:w="144" w:type="dxa"/>
              <w:bottom w:w="0" w:type="dxa"/>
              <w:right w:w="0" w:type="dxa"/>
            </w:tcMar>
          </w:tcPr>
          <w:p w14:paraId="057E3DB5"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sz w:val="18"/>
                <w:szCs w:val="18"/>
              </w:rPr>
              <w:t>(15,156)</w:t>
            </w:r>
          </w:p>
        </w:tc>
        <w:tc>
          <w:tcPr>
            <w:tcW w:w="1313" w:type="dxa"/>
            <w:noWrap/>
            <w:tcMar>
              <w:top w:w="0" w:type="dxa"/>
              <w:left w:w="144" w:type="dxa"/>
              <w:bottom w:w="0" w:type="dxa"/>
              <w:right w:w="0" w:type="dxa"/>
            </w:tcMar>
          </w:tcPr>
          <w:p w14:paraId="5711F868"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(19,720)</w:t>
            </w:r>
          </w:p>
        </w:tc>
        <w:tc>
          <w:tcPr>
            <w:tcW w:w="1246" w:type="dxa"/>
            <w:noWrap/>
            <w:tcMar>
              <w:top w:w="0" w:type="dxa"/>
              <w:left w:w="144" w:type="dxa"/>
              <w:bottom w:w="0" w:type="dxa"/>
              <w:right w:w="0" w:type="dxa"/>
            </w:tcMar>
          </w:tcPr>
          <w:p w14:paraId="67739BB3"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(10,620)</w:t>
            </w:r>
          </w:p>
        </w:tc>
        <w:tc>
          <w:tcPr>
            <w:tcW w:w="1278" w:type="dxa"/>
            <w:gridSpan w:val="2"/>
            <w:noWrap/>
            <w:tcMar>
              <w:top w:w="0" w:type="dxa"/>
              <w:left w:w="144" w:type="dxa"/>
              <w:bottom w:w="0" w:type="dxa"/>
              <w:right w:w="0" w:type="dxa"/>
            </w:tcMar>
          </w:tcPr>
          <w:p w14:paraId="59290DC6"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(10,555)</w:t>
            </w:r>
          </w:p>
        </w:tc>
      </w:tr>
      <w:tr w:rsidR="00F37025" w14:paraId="463D04B9" w14:textId="77777777" w:rsidTr="008C16B5">
        <w:trPr>
          <w:cantSplit/>
          <w:jc w:val="center"/>
        </w:trPr>
        <w:tc>
          <w:tcPr>
            <w:tcW w:w="3458" w:type="dxa"/>
            <w:hideMark/>
          </w:tcPr>
          <w:p w14:paraId="4D54100C" w14:textId="77777777" w:rsidR="00F37025" w:rsidRDefault="00F37025"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Net financial result</w:t>
            </w:r>
            <w:r>
              <w:rPr>
                <w:b/>
                <w:bCs/>
                <w:sz w:val="18"/>
                <w:szCs w:val="18"/>
              </w:rPr>
              <w:tab/>
            </w:r>
          </w:p>
        </w:tc>
        <w:tc>
          <w:tcPr>
            <w:tcW w:w="1217" w:type="dxa"/>
          </w:tcPr>
          <w:p w14:paraId="2CF87766" w14:textId="77777777" w:rsidR="00F37025" w:rsidRDefault="00F37025" w:rsidP="00B322A7">
            <w:pPr>
              <w:pStyle w:val="NormalWeb"/>
              <w:tabs>
                <w:tab w:val="right" w:pos="900"/>
                <w:tab w:val="decimal" w:pos="940"/>
              </w:tabs>
              <w:spacing w:before="0" w:beforeAutospacing="0" w:after="20" w:afterAutospacing="0"/>
              <w:jc w:val="right"/>
              <w:rPr>
                <w:b/>
                <w:sz w:val="18"/>
                <w:szCs w:val="18"/>
              </w:rPr>
            </w:pPr>
            <w:r>
              <w:rPr>
                <w:b/>
                <w:sz w:val="18"/>
                <w:szCs w:val="18"/>
              </w:rPr>
              <w:t>(4,976)</w:t>
            </w:r>
          </w:p>
        </w:tc>
        <w:tc>
          <w:tcPr>
            <w:tcW w:w="1097" w:type="dxa"/>
            <w:gridSpan w:val="2"/>
            <w:noWrap/>
            <w:tcMar>
              <w:top w:w="0" w:type="dxa"/>
              <w:left w:w="144" w:type="dxa"/>
              <w:bottom w:w="0" w:type="dxa"/>
              <w:right w:w="0" w:type="dxa"/>
            </w:tcMar>
          </w:tcPr>
          <w:p w14:paraId="53095221" w14:textId="77777777" w:rsidR="00F37025" w:rsidRDefault="00F37025" w:rsidP="00B322A7">
            <w:pPr>
              <w:pStyle w:val="NormalWeb"/>
              <w:tabs>
                <w:tab w:val="right" w:pos="900"/>
                <w:tab w:val="decimal" w:pos="940"/>
              </w:tabs>
              <w:spacing w:before="0" w:beforeAutospacing="0" w:after="20" w:afterAutospacing="0"/>
              <w:jc w:val="right"/>
              <w:rPr>
                <w:b/>
                <w:sz w:val="18"/>
                <w:szCs w:val="18"/>
              </w:rPr>
            </w:pPr>
            <w:r>
              <w:rPr>
                <w:b/>
                <w:sz w:val="18"/>
                <w:szCs w:val="18"/>
              </w:rPr>
              <w:t>(14,598)</w:t>
            </w:r>
          </w:p>
        </w:tc>
        <w:tc>
          <w:tcPr>
            <w:tcW w:w="1313" w:type="dxa"/>
            <w:noWrap/>
            <w:tcMar>
              <w:top w:w="0" w:type="dxa"/>
              <w:left w:w="144" w:type="dxa"/>
              <w:bottom w:w="0" w:type="dxa"/>
              <w:right w:w="0" w:type="dxa"/>
            </w:tcMar>
            <w:hideMark/>
          </w:tcPr>
          <w:p w14:paraId="27A0A02B"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(16,906)</w:t>
            </w:r>
          </w:p>
        </w:tc>
        <w:tc>
          <w:tcPr>
            <w:tcW w:w="1246" w:type="dxa"/>
            <w:noWrap/>
            <w:tcMar>
              <w:top w:w="0" w:type="dxa"/>
              <w:left w:w="144" w:type="dxa"/>
              <w:bottom w:w="0" w:type="dxa"/>
              <w:right w:w="0" w:type="dxa"/>
            </w:tcMar>
            <w:hideMark/>
          </w:tcPr>
          <w:p w14:paraId="582D65D7"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(10,154)</w:t>
            </w:r>
          </w:p>
        </w:tc>
        <w:tc>
          <w:tcPr>
            <w:tcW w:w="1278" w:type="dxa"/>
            <w:gridSpan w:val="2"/>
            <w:noWrap/>
            <w:tcMar>
              <w:top w:w="0" w:type="dxa"/>
              <w:left w:w="144" w:type="dxa"/>
              <w:bottom w:w="0" w:type="dxa"/>
              <w:right w:w="0" w:type="dxa"/>
            </w:tcMar>
            <w:hideMark/>
          </w:tcPr>
          <w:p w14:paraId="60A8C93D"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(7,675)</w:t>
            </w:r>
          </w:p>
        </w:tc>
      </w:tr>
      <w:tr w:rsidR="00F37025" w14:paraId="2F49D582" w14:textId="77777777" w:rsidTr="008C16B5">
        <w:trPr>
          <w:cantSplit/>
          <w:jc w:val="center"/>
        </w:trPr>
        <w:tc>
          <w:tcPr>
            <w:tcW w:w="3458" w:type="dxa"/>
            <w:hideMark/>
          </w:tcPr>
          <w:p w14:paraId="2DEB05B3" w14:textId="77777777" w:rsidR="00F37025" w:rsidRDefault="00F37025"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Profit before taxes</w:t>
            </w:r>
            <w:r>
              <w:rPr>
                <w:b/>
                <w:bCs/>
                <w:sz w:val="18"/>
                <w:szCs w:val="18"/>
              </w:rPr>
              <w:tab/>
            </w:r>
          </w:p>
        </w:tc>
        <w:tc>
          <w:tcPr>
            <w:tcW w:w="1217" w:type="dxa"/>
          </w:tcPr>
          <w:p w14:paraId="2C466B5C" w14:textId="77777777" w:rsidR="00F37025" w:rsidRDefault="00F37025" w:rsidP="00B322A7">
            <w:pPr>
              <w:pStyle w:val="NormalWeb"/>
              <w:tabs>
                <w:tab w:val="right" w:pos="900"/>
                <w:tab w:val="decimal" w:pos="940"/>
              </w:tabs>
              <w:spacing w:before="0" w:beforeAutospacing="0" w:after="20" w:afterAutospacing="0"/>
              <w:jc w:val="right"/>
              <w:rPr>
                <w:b/>
                <w:sz w:val="18"/>
                <w:szCs w:val="18"/>
              </w:rPr>
            </w:pPr>
            <w:r>
              <w:rPr>
                <w:b/>
                <w:sz w:val="18"/>
                <w:szCs w:val="18"/>
              </w:rPr>
              <w:t>72,700</w:t>
            </w:r>
          </w:p>
        </w:tc>
        <w:tc>
          <w:tcPr>
            <w:tcW w:w="1097" w:type="dxa"/>
            <w:gridSpan w:val="2"/>
            <w:noWrap/>
            <w:tcMar>
              <w:top w:w="0" w:type="dxa"/>
              <w:left w:w="144" w:type="dxa"/>
              <w:bottom w:w="0" w:type="dxa"/>
              <w:right w:w="0" w:type="dxa"/>
            </w:tcMar>
          </w:tcPr>
          <w:p w14:paraId="24917F44" w14:textId="77777777" w:rsidR="00F37025" w:rsidRDefault="00F37025" w:rsidP="00B322A7">
            <w:pPr>
              <w:pStyle w:val="NormalWeb"/>
              <w:tabs>
                <w:tab w:val="right" w:pos="900"/>
                <w:tab w:val="decimal" w:pos="940"/>
              </w:tabs>
              <w:spacing w:before="0" w:beforeAutospacing="0" w:after="20" w:afterAutospacing="0"/>
              <w:jc w:val="right"/>
              <w:rPr>
                <w:b/>
                <w:sz w:val="18"/>
                <w:szCs w:val="18"/>
              </w:rPr>
            </w:pPr>
            <w:r>
              <w:rPr>
                <w:b/>
                <w:sz w:val="18"/>
                <w:szCs w:val="18"/>
              </w:rPr>
              <w:t>55,450</w:t>
            </w:r>
          </w:p>
        </w:tc>
        <w:tc>
          <w:tcPr>
            <w:tcW w:w="1313" w:type="dxa"/>
            <w:noWrap/>
            <w:tcMar>
              <w:top w:w="0" w:type="dxa"/>
              <w:left w:w="144" w:type="dxa"/>
              <w:bottom w:w="0" w:type="dxa"/>
              <w:right w:w="0" w:type="dxa"/>
            </w:tcMar>
            <w:hideMark/>
          </w:tcPr>
          <w:p w14:paraId="7CCC1B2E" w14:textId="69356D42"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b/>
                <w:bCs/>
                <w:sz w:val="18"/>
                <w:szCs w:val="18"/>
              </w:rPr>
              <w:t>113,076</w:t>
            </w:r>
          </w:p>
        </w:tc>
        <w:tc>
          <w:tcPr>
            <w:tcW w:w="1246" w:type="dxa"/>
            <w:noWrap/>
            <w:tcMar>
              <w:top w:w="0" w:type="dxa"/>
              <w:left w:w="144" w:type="dxa"/>
              <w:bottom w:w="0" w:type="dxa"/>
              <w:right w:w="0" w:type="dxa"/>
            </w:tcMar>
            <w:hideMark/>
          </w:tcPr>
          <w:p w14:paraId="3D3BBEDA"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99,090</w:t>
            </w:r>
          </w:p>
        </w:tc>
        <w:tc>
          <w:tcPr>
            <w:tcW w:w="1278" w:type="dxa"/>
            <w:gridSpan w:val="2"/>
            <w:noWrap/>
            <w:tcMar>
              <w:top w:w="0" w:type="dxa"/>
              <w:left w:w="144" w:type="dxa"/>
              <w:bottom w:w="0" w:type="dxa"/>
              <w:right w:w="0" w:type="dxa"/>
            </w:tcMar>
            <w:hideMark/>
          </w:tcPr>
          <w:p w14:paraId="381596E0"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65,550</w:t>
            </w:r>
          </w:p>
        </w:tc>
      </w:tr>
      <w:tr w:rsidR="00F37025" w14:paraId="575DA124" w14:textId="77777777" w:rsidTr="008C16B5">
        <w:trPr>
          <w:cantSplit/>
          <w:jc w:val="center"/>
        </w:trPr>
        <w:tc>
          <w:tcPr>
            <w:tcW w:w="3458" w:type="dxa"/>
            <w:hideMark/>
          </w:tcPr>
          <w:p w14:paraId="3E90B6AA" w14:textId="77777777" w:rsidR="00F37025" w:rsidRDefault="00F37025"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Taxes</w:t>
            </w:r>
            <w:r>
              <w:rPr>
                <w:sz w:val="18"/>
                <w:szCs w:val="18"/>
              </w:rPr>
              <w:tab/>
            </w:r>
          </w:p>
        </w:tc>
        <w:tc>
          <w:tcPr>
            <w:tcW w:w="1217" w:type="dxa"/>
          </w:tcPr>
          <w:p w14:paraId="50BC7AD0"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(10,243)</w:t>
            </w:r>
          </w:p>
        </w:tc>
        <w:tc>
          <w:tcPr>
            <w:tcW w:w="1097" w:type="dxa"/>
            <w:gridSpan w:val="2"/>
            <w:noWrap/>
            <w:tcMar>
              <w:top w:w="0" w:type="dxa"/>
              <w:left w:w="144" w:type="dxa"/>
              <w:bottom w:w="0" w:type="dxa"/>
              <w:right w:w="0" w:type="dxa"/>
            </w:tcMar>
          </w:tcPr>
          <w:p w14:paraId="69C05C58"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(12,712)</w:t>
            </w:r>
          </w:p>
        </w:tc>
        <w:tc>
          <w:tcPr>
            <w:tcW w:w="1313" w:type="dxa"/>
            <w:noWrap/>
            <w:tcMar>
              <w:top w:w="0" w:type="dxa"/>
              <w:left w:w="144" w:type="dxa"/>
              <w:bottom w:w="0" w:type="dxa"/>
              <w:right w:w="0" w:type="dxa"/>
            </w:tcMar>
            <w:hideMark/>
          </w:tcPr>
          <w:p w14:paraId="13A3938F"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(21,790)</w:t>
            </w:r>
          </w:p>
        </w:tc>
        <w:tc>
          <w:tcPr>
            <w:tcW w:w="1246" w:type="dxa"/>
            <w:noWrap/>
            <w:tcMar>
              <w:top w:w="0" w:type="dxa"/>
              <w:left w:w="144" w:type="dxa"/>
              <w:bottom w:w="0" w:type="dxa"/>
              <w:right w:w="0" w:type="dxa"/>
            </w:tcMar>
            <w:hideMark/>
          </w:tcPr>
          <w:p w14:paraId="05608488"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(12,529)</w:t>
            </w:r>
          </w:p>
        </w:tc>
        <w:tc>
          <w:tcPr>
            <w:tcW w:w="1278" w:type="dxa"/>
            <w:gridSpan w:val="2"/>
            <w:noWrap/>
            <w:tcMar>
              <w:top w:w="0" w:type="dxa"/>
              <w:left w:w="144" w:type="dxa"/>
              <w:bottom w:w="0" w:type="dxa"/>
              <w:right w:w="0" w:type="dxa"/>
            </w:tcMar>
            <w:hideMark/>
          </w:tcPr>
          <w:p w14:paraId="62C915FE"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(16,191)</w:t>
            </w:r>
          </w:p>
        </w:tc>
      </w:tr>
      <w:tr w:rsidR="00F37025" w14:paraId="3EEA2B7A" w14:textId="77777777" w:rsidTr="008C16B5">
        <w:trPr>
          <w:cantSplit/>
          <w:trHeight w:val="279"/>
          <w:jc w:val="center"/>
        </w:trPr>
        <w:tc>
          <w:tcPr>
            <w:tcW w:w="3458" w:type="dxa"/>
          </w:tcPr>
          <w:p w14:paraId="3DFBC330" w14:textId="77777777" w:rsidR="00F37025" w:rsidRDefault="00F37025" w:rsidP="00B322A7">
            <w:pPr>
              <w:pStyle w:val="NormalWeb"/>
              <w:tabs>
                <w:tab w:val="right" w:leader="dot" w:pos="4620"/>
              </w:tabs>
              <w:spacing w:before="0" w:beforeAutospacing="0" w:after="0" w:afterAutospacing="0"/>
              <w:ind w:left="240" w:hanging="240"/>
              <w:jc w:val="right"/>
              <w:rPr>
                <w:b/>
                <w:sz w:val="18"/>
                <w:szCs w:val="18"/>
              </w:rPr>
            </w:pPr>
            <w:r>
              <w:rPr>
                <w:b/>
                <w:bCs/>
                <w:sz w:val="18"/>
                <w:szCs w:val="18"/>
              </w:rPr>
              <w:t>Profit for the period</w:t>
            </w:r>
            <w:r>
              <w:rPr>
                <w:b/>
                <w:bCs/>
                <w:sz w:val="18"/>
                <w:szCs w:val="18"/>
              </w:rPr>
              <w:tab/>
            </w:r>
          </w:p>
        </w:tc>
        <w:tc>
          <w:tcPr>
            <w:tcW w:w="1217" w:type="dxa"/>
          </w:tcPr>
          <w:p w14:paraId="7E7BCB7F" w14:textId="77777777" w:rsidR="00F37025" w:rsidRDefault="00F37025" w:rsidP="00B322A7">
            <w:pPr>
              <w:pStyle w:val="NormalWeb"/>
              <w:tabs>
                <w:tab w:val="right" w:pos="900"/>
                <w:tab w:val="decimal" w:pos="940"/>
              </w:tabs>
              <w:spacing w:before="0" w:beforeAutospacing="0" w:after="20" w:afterAutospacing="0"/>
              <w:jc w:val="right"/>
              <w:rPr>
                <w:b/>
                <w:sz w:val="18"/>
                <w:szCs w:val="18"/>
              </w:rPr>
            </w:pPr>
            <w:r>
              <w:rPr>
                <w:b/>
                <w:sz w:val="18"/>
                <w:szCs w:val="18"/>
              </w:rPr>
              <w:t>62,457</w:t>
            </w:r>
          </w:p>
        </w:tc>
        <w:tc>
          <w:tcPr>
            <w:tcW w:w="1097" w:type="dxa"/>
            <w:gridSpan w:val="2"/>
            <w:noWrap/>
            <w:tcMar>
              <w:top w:w="0" w:type="dxa"/>
              <w:left w:w="144" w:type="dxa"/>
              <w:bottom w:w="0" w:type="dxa"/>
              <w:right w:w="0" w:type="dxa"/>
            </w:tcMar>
          </w:tcPr>
          <w:p w14:paraId="6E3AB6C7"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42,738</w:t>
            </w:r>
          </w:p>
        </w:tc>
        <w:tc>
          <w:tcPr>
            <w:tcW w:w="1313" w:type="dxa"/>
            <w:noWrap/>
            <w:tcMar>
              <w:top w:w="0" w:type="dxa"/>
              <w:left w:w="144" w:type="dxa"/>
              <w:bottom w:w="0" w:type="dxa"/>
              <w:right w:w="0" w:type="dxa"/>
            </w:tcMar>
          </w:tcPr>
          <w:p w14:paraId="5D82E302"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b/>
                <w:bCs/>
                <w:sz w:val="18"/>
                <w:szCs w:val="18"/>
              </w:rPr>
              <w:t>91,286</w:t>
            </w:r>
          </w:p>
        </w:tc>
        <w:tc>
          <w:tcPr>
            <w:tcW w:w="1246" w:type="dxa"/>
            <w:noWrap/>
            <w:tcMar>
              <w:top w:w="0" w:type="dxa"/>
              <w:left w:w="144" w:type="dxa"/>
              <w:bottom w:w="0" w:type="dxa"/>
              <w:right w:w="0" w:type="dxa"/>
            </w:tcMar>
          </w:tcPr>
          <w:p w14:paraId="014BA12B"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b/>
                <w:sz w:val="18"/>
                <w:szCs w:val="18"/>
              </w:rPr>
              <w:t>86,561</w:t>
            </w:r>
          </w:p>
        </w:tc>
        <w:tc>
          <w:tcPr>
            <w:tcW w:w="1278" w:type="dxa"/>
            <w:gridSpan w:val="2"/>
            <w:noWrap/>
            <w:tcMar>
              <w:top w:w="0" w:type="dxa"/>
              <w:left w:w="144" w:type="dxa"/>
              <w:bottom w:w="0" w:type="dxa"/>
              <w:right w:w="0" w:type="dxa"/>
            </w:tcMar>
          </w:tcPr>
          <w:p w14:paraId="4D728F24" w14:textId="77777777" w:rsidR="00F37025" w:rsidRDefault="00F37025" w:rsidP="00B322A7">
            <w:pPr>
              <w:pStyle w:val="NormalWeb"/>
              <w:tabs>
                <w:tab w:val="right" w:pos="900"/>
                <w:tab w:val="decimal" w:pos="940"/>
              </w:tabs>
              <w:spacing w:before="0" w:beforeAutospacing="0" w:after="20" w:afterAutospacing="0"/>
              <w:jc w:val="right"/>
              <w:rPr>
                <w:sz w:val="18"/>
                <w:szCs w:val="18"/>
              </w:rPr>
            </w:pPr>
            <w:r>
              <w:rPr>
                <w:b/>
                <w:sz w:val="18"/>
                <w:szCs w:val="18"/>
              </w:rPr>
              <w:t>49,359</w:t>
            </w:r>
          </w:p>
        </w:tc>
      </w:tr>
      <w:tr w:rsidR="00F37025" w14:paraId="26C6915C" w14:textId="77777777" w:rsidTr="008C16B5">
        <w:trPr>
          <w:cantSplit/>
          <w:jc w:val="center"/>
        </w:trPr>
        <w:tc>
          <w:tcPr>
            <w:tcW w:w="3458" w:type="dxa"/>
          </w:tcPr>
          <w:p w14:paraId="3892ACA1" w14:textId="77777777" w:rsidR="00F37025" w:rsidRDefault="00F37025" w:rsidP="00B322A7">
            <w:pPr>
              <w:pStyle w:val="NormalWeb"/>
              <w:tabs>
                <w:tab w:val="right" w:pos="900"/>
                <w:tab w:val="decimal" w:pos="940"/>
              </w:tabs>
              <w:spacing w:before="0" w:beforeAutospacing="0" w:after="20" w:afterAutospacing="0"/>
              <w:rPr>
                <w:rFonts w:eastAsiaTheme="minorEastAsia"/>
                <w:i/>
                <w:sz w:val="18"/>
                <w:szCs w:val="18"/>
              </w:rPr>
            </w:pPr>
            <w:r>
              <w:rPr>
                <w:i/>
                <w:sz w:val="18"/>
                <w:szCs w:val="18"/>
              </w:rPr>
              <w:t>Attributable to:</w:t>
            </w:r>
          </w:p>
        </w:tc>
        <w:tc>
          <w:tcPr>
            <w:tcW w:w="1217" w:type="dxa"/>
          </w:tcPr>
          <w:p w14:paraId="6DF57700" w14:textId="77777777" w:rsidR="00F37025" w:rsidRDefault="00F37025" w:rsidP="00B322A7">
            <w:pPr>
              <w:jc w:val="right"/>
              <w:rPr>
                <w:rFonts w:eastAsiaTheme="minorEastAsia"/>
                <w:sz w:val="18"/>
                <w:szCs w:val="18"/>
              </w:rPr>
            </w:pPr>
          </w:p>
        </w:tc>
        <w:tc>
          <w:tcPr>
            <w:tcW w:w="1097" w:type="dxa"/>
            <w:gridSpan w:val="2"/>
          </w:tcPr>
          <w:p w14:paraId="7CE32505" w14:textId="77777777" w:rsidR="00F37025" w:rsidRDefault="00F37025" w:rsidP="00B322A7">
            <w:pPr>
              <w:jc w:val="right"/>
              <w:rPr>
                <w:rFonts w:eastAsiaTheme="minorEastAsia"/>
                <w:sz w:val="18"/>
                <w:szCs w:val="18"/>
              </w:rPr>
            </w:pPr>
          </w:p>
        </w:tc>
        <w:tc>
          <w:tcPr>
            <w:tcW w:w="2568" w:type="dxa"/>
            <w:gridSpan w:val="3"/>
          </w:tcPr>
          <w:p w14:paraId="311031EB"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i/>
                <w:sz w:val="18"/>
                <w:szCs w:val="18"/>
              </w:rPr>
            </w:pPr>
          </w:p>
        </w:tc>
        <w:tc>
          <w:tcPr>
            <w:tcW w:w="1269" w:type="dxa"/>
          </w:tcPr>
          <w:p w14:paraId="5557DD03"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i/>
                <w:sz w:val="18"/>
                <w:szCs w:val="18"/>
              </w:rPr>
            </w:pPr>
          </w:p>
        </w:tc>
      </w:tr>
      <w:tr w:rsidR="00F37025" w14:paraId="02C2B7A0" w14:textId="77777777" w:rsidTr="008C16B5">
        <w:trPr>
          <w:cantSplit/>
          <w:jc w:val="center"/>
        </w:trPr>
        <w:tc>
          <w:tcPr>
            <w:tcW w:w="3458" w:type="dxa"/>
          </w:tcPr>
          <w:p w14:paraId="2AC34506" w14:textId="77777777" w:rsidR="00F37025" w:rsidRDefault="00F37025" w:rsidP="00B322A7">
            <w:pPr>
              <w:pStyle w:val="NormalWeb"/>
              <w:tabs>
                <w:tab w:val="right" w:leader="dot" w:pos="4620"/>
              </w:tabs>
              <w:spacing w:before="0" w:beforeAutospacing="0" w:after="0" w:afterAutospacing="0"/>
              <w:rPr>
                <w:sz w:val="18"/>
                <w:szCs w:val="18"/>
              </w:rPr>
            </w:pPr>
            <w:r>
              <w:rPr>
                <w:sz w:val="18"/>
                <w:szCs w:val="18"/>
              </w:rPr>
              <w:t>Shareholders of VGP NV</w:t>
            </w:r>
            <w:r>
              <w:rPr>
                <w:sz w:val="18"/>
                <w:szCs w:val="18"/>
              </w:rPr>
              <w:tab/>
            </w:r>
          </w:p>
        </w:tc>
        <w:tc>
          <w:tcPr>
            <w:tcW w:w="1217" w:type="dxa"/>
          </w:tcPr>
          <w:p w14:paraId="203BBF6A" w14:textId="77777777" w:rsidR="00F37025" w:rsidRDefault="00F37025" w:rsidP="00B322A7">
            <w:pPr>
              <w:jc w:val="right"/>
              <w:rPr>
                <w:rFonts w:eastAsiaTheme="minorEastAsia"/>
                <w:sz w:val="18"/>
                <w:szCs w:val="18"/>
              </w:rPr>
            </w:pPr>
            <w:r>
              <w:rPr>
                <w:rFonts w:eastAsiaTheme="minorEastAsia"/>
                <w:sz w:val="18"/>
                <w:szCs w:val="18"/>
              </w:rPr>
              <w:t>62,457</w:t>
            </w:r>
          </w:p>
        </w:tc>
        <w:tc>
          <w:tcPr>
            <w:tcW w:w="1097" w:type="dxa"/>
            <w:gridSpan w:val="2"/>
          </w:tcPr>
          <w:p w14:paraId="2F2AFCE2" w14:textId="77777777" w:rsidR="00F37025" w:rsidRDefault="00F37025" w:rsidP="00B322A7">
            <w:pPr>
              <w:jc w:val="right"/>
              <w:rPr>
                <w:rFonts w:eastAsiaTheme="minorEastAsia"/>
                <w:sz w:val="18"/>
                <w:szCs w:val="18"/>
              </w:rPr>
            </w:pPr>
            <w:r>
              <w:rPr>
                <w:rFonts w:eastAsiaTheme="minorEastAsia"/>
                <w:sz w:val="18"/>
                <w:szCs w:val="18"/>
              </w:rPr>
              <w:t>42,738</w:t>
            </w:r>
          </w:p>
        </w:tc>
        <w:tc>
          <w:tcPr>
            <w:tcW w:w="1313" w:type="dxa"/>
            <w:noWrap/>
            <w:tcMar>
              <w:top w:w="0" w:type="dxa"/>
              <w:left w:w="144" w:type="dxa"/>
              <w:bottom w:w="0" w:type="dxa"/>
              <w:right w:w="0" w:type="dxa"/>
            </w:tcMar>
          </w:tcPr>
          <w:p w14:paraId="1F34267F"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91,286</w:t>
            </w:r>
          </w:p>
        </w:tc>
        <w:tc>
          <w:tcPr>
            <w:tcW w:w="1246" w:type="dxa"/>
            <w:noWrap/>
            <w:tcMar>
              <w:top w:w="0" w:type="dxa"/>
              <w:left w:w="144" w:type="dxa"/>
              <w:bottom w:w="0" w:type="dxa"/>
              <w:right w:w="0" w:type="dxa"/>
            </w:tcMar>
          </w:tcPr>
          <w:p w14:paraId="2EB5990D"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86,561</w:t>
            </w:r>
          </w:p>
        </w:tc>
        <w:tc>
          <w:tcPr>
            <w:tcW w:w="1278" w:type="dxa"/>
            <w:gridSpan w:val="2"/>
            <w:noWrap/>
            <w:tcMar>
              <w:top w:w="0" w:type="dxa"/>
              <w:left w:w="144" w:type="dxa"/>
              <w:bottom w:w="0" w:type="dxa"/>
              <w:right w:w="0" w:type="dxa"/>
            </w:tcMar>
          </w:tcPr>
          <w:p w14:paraId="07BD4312"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49,359</w:t>
            </w:r>
          </w:p>
        </w:tc>
      </w:tr>
      <w:tr w:rsidR="00F37025" w14:paraId="3FAF320E" w14:textId="77777777" w:rsidTr="008C16B5">
        <w:trPr>
          <w:cantSplit/>
          <w:jc w:val="center"/>
        </w:trPr>
        <w:tc>
          <w:tcPr>
            <w:tcW w:w="3458" w:type="dxa"/>
          </w:tcPr>
          <w:p w14:paraId="030B1D71" w14:textId="77777777" w:rsidR="00F37025" w:rsidRDefault="00F37025" w:rsidP="00B322A7">
            <w:pPr>
              <w:pStyle w:val="NormalWeb"/>
              <w:tabs>
                <w:tab w:val="right" w:leader="dot" w:pos="4620"/>
              </w:tabs>
              <w:spacing w:before="0" w:beforeAutospacing="0" w:after="0" w:afterAutospacing="0"/>
              <w:rPr>
                <w:sz w:val="18"/>
                <w:szCs w:val="18"/>
              </w:rPr>
            </w:pPr>
            <w:r>
              <w:rPr>
                <w:sz w:val="18"/>
                <w:szCs w:val="18"/>
              </w:rPr>
              <w:t>Non-controlling interests</w:t>
            </w:r>
            <w:r>
              <w:rPr>
                <w:sz w:val="18"/>
                <w:szCs w:val="18"/>
              </w:rPr>
              <w:tab/>
            </w:r>
          </w:p>
        </w:tc>
        <w:tc>
          <w:tcPr>
            <w:tcW w:w="1217" w:type="dxa"/>
          </w:tcPr>
          <w:p w14:paraId="5C7520E3" w14:textId="77777777" w:rsidR="00F37025" w:rsidRDefault="00F37025" w:rsidP="00B322A7">
            <w:pPr>
              <w:jc w:val="right"/>
              <w:rPr>
                <w:rFonts w:eastAsiaTheme="minorEastAsia"/>
                <w:sz w:val="18"/>
                <w:szCs w:val="18"/>
              </w:rPr>
            </w:pPr>
            <w:r>
              <w:rPr>
                <w:rFonts w:eastAsiaTheme="minorEastAsia"/>
                <w:sz w:val="18"/>
                <w:szCs w:val="18"/>
              </w:rPr>
              <w:t>—</w:t>
            </w:r>
          </w:p>
        </w:tc>
        <w:tc>
          <w:tcPr>
            <w:tcW w:w="1097" w:type="dxa"/>
            <w:gridSpan w:val="2"/>
          </w:tcPr>
          <w:p w14:paraId="147B9515" w14:textId="77777777" w:rsidR="00F37025" w:rsidRDefault="00F37025" w:rsidP="00B322A7">
            <w:pPr>
              <w:jc w:val="right"/>
              <w:rPr>
                <w:rFonts w:eastAsiaTheme="minorEastAsia"/>
                <w:sz w:val="18"/>
                <w:szCs w:val="18"/>
              </w:rPr>
            </w:pPr>
            <w:r>
              <w:rPr>
                <w:rFonts w:eastAsiaTheme="minorEastAsia"/>
                <w:sz w:val="18"/>
                <w:szCs w:val="18"/>
              </w:rPr>
              <w:t>—</w:t>
            </w:r>
          </w:p>
        </w:tc>
        <w:tc>
          <w:tcPr>
            <w:tcW w:w="1313" w:type="dxa"/>
            <w:noWrap/>
            <w:tcMar>
              <w:top w:w="0" w:type="dxa"/>
              <w:left w:w="144" w:type="dxa"/>
              <w:bottom w:w="0" w:type="dxa"/>
              <w:right w:w="0" w:type="dxa"/>
            </w:tcMar>
          </w:tcPr>
          <w:p w14:paraId="6412F2AF" w14:textId="77777777" w:rsidR="00F37025" w:rsidRDefault="00F37025" w:rsidP="00B322A7">
            <w:pPr>
              <w:jc w:val="right"/>
              <w:rPr>
                <w:sz w:val="18"/>
                <w:szCs w:val="18"/>
              </w:rPr>
            </w:pPr>
            <w:r>
              <w:rPr>
                <w:sz w:val="18"/>
                <w:szCs w:val="18"/>
              </w:rPr>
              <w:t>—</w:t>
            </w:r>
          </w:p>
        </w:tc>
        <w:tc>
          <w:tcPr>
            <w:tcW w:w="1246" w:type="dxa"/>
            <w:noWrap/>
            <w:tcMar>
              <w:top w:w="0" w:type="dxa"/>
              <w:left w:w="144" w:type="dxa"/>
              <w:bottom w:w="0" w:type="dxa"/>
              <w:right w:w="0" w:type="dxa"/>
            </w:tcMar>
          </w:tcPr>
          <w:p w14:paraId="45F51C49" w14:textId="77777777" w:rsidR="00F37025" w:rsidRDefault="00F37025" w:rsidP="00B322A7">
            <w:pPr>
              <w:jc w:val="right"/>
            </w:pPr>
            <w:r>
              <w:rPr>
                <w:sz w:val="18"/>
                <w:szCs w:val="18"/>
              </w:rPr>
              <w:t>—</w:t>
            </w:r>
          </w:p>
        </w:tc>
        <w:tc>
          <w:tcPr>
            <w:tcW w:w="1278" w:type="dxa"/>
            <w:gridSpan w:val="2"/>
            <w:noWrap/>
            <w:tcMar>
              <w:top w:w="0" w:type="dxa"/>
              <w:left w:w="144" w:type="dxa"/>
              <w:bottom w:w="0" w:type="dxa"/>
              <w:right w:w="0" w:type="dxa"/>
            </w:tcMar>
          </w:tcPr>
          <w:p w14:paraId="674AE7E5"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p>
        </w:tc>
      </w:tr>
      <w:tr w:rsidR="00F37025" w14:paraId="1000154E" w14:textId="77777777" w:rsidTr="008C16B5">
        <w:trPr>
          <w:cantSplit/>
          <w:jc w:val="center"/>
        </w:trPr>
        <w:tc>
          <w:tcPr>
            <w:tcW w:w="3458" w:type="dxa"/>
            <w:hideMark/>
          </w:tcPr>
          <w:p w14:paraId="3F201236" w14:textId="77777777" w:rsidR="00F37025" w:rsidRDefault="00F37025" w:rsidP="00B322A7">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Profit for the Year</w:t>
            </w:r>
            <w:r>
              <w:rPr>
                <w:b/>
                <w:bCs/>
                <w:sz w:val="18"/>
                <w:szCs w:val="18"/>
              </w:rPr>
              <w:tab/>
            </w:r>
          </w:p>
        </w:tc>
        <w:tc>
          <w:tcPr>
            <w:tcW w:w="1217" w:type="dxa"/>
          </w:tcPr>
          <w:p w14:paraId="4C677443" w14:textId="77777777" w:rsidR="00F37025" w:rsidRDefault="00F37025" w:rsidP="00B322A7">
            <w:pPr>
              <w:pStyle w:val="NormalWeb"/>
              <w:tabs>
                <w:tab w:val="right" w:pos="900"/>
                <w:tab w:val="decimal" w:pos="940"/>
              </w:tabs>
              <w:spacing w:before="0" w:beforeAutospacing="0" w:after="20" w:afterAutospacing="0"/>
              <w:jc w:val="right"/>
              <w:rPr>
                <w:b/>
                <w:sz w:val="18"/>
                <w:szCs w:val="18"/>
              </w:rPr>
            </w:pPr>
            <w:r>
              <w:rPr>
                <w:b/>
                <w:sz w:val="18"/>
                <w:szCs w:val="18"/>
              </w:rPr>
              <w:t>62,457</w:t>
            </w:r>
          </w:p>
        </w:tc>
        <w:tc>
          <w:tcPr>
            <w:tcW w:w="1097" w:type="dxa"/>
            <w:gridSpan w:val="2"/>
          </w:tcPr>
          <w:p w14:paraId="37E41598"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42,738</w:t>
            </w:r>
          </w:p>
        </w:tc>
        <w:tc>
          <w:tcPr>
            <w:tcW w:w="1313" w:type="dxa"/>
            <w:noWrap/>
            <w:tcMar>
              <w:top w:w="0" w:type="dxa"/>
              <w:left w:w="144" w:type="dxa"/>
              <w:bottom w:w="0" w:type="dxa"/>
              <w:right w:w="0" w:type="dxa"/>
            </w:tcMar>
            <w:hideMark/>
          </w:tcPr>
          <w:p w14:paraId="441D273C"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91,286</w:t>
            </w:r>
          </w:p>
        </w:tc>
        <w:tc>
          <w:tcPr>
            <w:tcW w:w="1246" w:type="dxa"/>
            <w:noWrap/>
            <w:tcMar>
              <w:top w:w="0" w:type="dxa"/>
              <w:left w:w="144" w:type="dxa"/>
              <w:bottom w:w="0" w:type="dxa"/>
              <w:right w:w="0" w:type="dxa"/>
            </w:tcMar>
            <w:hideMark/>
          </w:tcPr>
          <w:p w14:paraId="2D76F96C"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86,561</w:t>
            </w:r>
          </w:p>
        </w:tc>
        <w:tc>
          <w:tcPr>
            <w:tcW w:w="1278" w:type="dxa"/>
            <w:gridSpan w:val="2"/>
            <w:noWrap/>
            <w:tcMar>
              <w:top w:w="0" w:type="dxa"/>
              <w:left w:w="144" w:type="dxa"/>
              <w:bottom w:w="0" w:type="dxa"/>
              <w:right w:w="0" w:type="dxa"/>
            </w:tcMar>
            <w:hideMark/>
          </w:tcPr>
          <w:p w14:paraId="484B68CB"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49,359</w:t>
            </w:r>
          </w:p>
        </w:tc>
      </w:tr>
      <w:tr w:rsidR="00F37025" w14:paraId="327407A9" w14:textId="77777777" w:rsidTr="008C16B5">
        <w:trPr>
          <w:cantSplit/>
          <w:jc w:val="center"/>
        </w:trPr>
        <w:tc>
          <w:tcPr>
            <w:tcW w:w="3458" w:type="dxa"/>
          </w:tcPr>
          <w:p w14:paraId="6E3E17D7" w14:textId="77777777" w:rsidR="00F37025" w:rsidRDefault="00F37025" w:rsidP="00B322A7">
            <w:pPr>
              <w:pStyle w:val="NormalWeb"/>
              <w:tabs>
                <w:tab w:val="right" w:leader="dot" w:pos="4620"/>
              </w:tabs>
              <w:spacing w:before="0" w:beforeAutospacing="0" w:after="0" w:afterAutospacing="0"/>
              <w:rPr>
                <w:sz w:val="18"/>
                <w:szCs w:val="18"/>
              </w:rPr>
            </w:pPr>
            <w:r>
              <w:rPr>
                <w:sz w:val="18"/>
                <w:szCs w:val="18"/>
              </w:rPr>
              <w:t>Other comprehensive income to be reclassified to profit or loss in subsequent periods</w:t>
            </w:r>
          </w:p>
        </w:tc>
        <w:tc>
          <w:tcPr>
            <w:tcW w:w="1217" w:type="dxa"/>
          </w:tcPr>
          <w:p w14:paraId="5F259062"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w:t>
            </w:r>
          </w:p>
        </w:tc>
        <w:tc>
          <w:tcPr>
            <w:tcW w:w="1097" w:type="dxa"/>
            <w:gridSpan w:val="2"/>
          </w:tcPr>
          <w:p w14:paraId="3F20F46A"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w:t>
            </w:r>
          </w:p>
        </w:tc>
        <w:tc>
          <w:tcPr>
            <w:tcW w:w="1313" w:type="dxa"/>
            <w:noWrap/>
            <w:tcMar>
              <w:top w:w="0" w:type="dxa"/>
              <w:left w:w="144" w:type="dxa"/>
              <w:bottom w:w="0" w:type="dxa"/>
              <w:right w:w="0" w:type="dxa"/>
            </w:tcMar>
          </w:tcPr>
          <w:p w14:paraId="6E4D672A" w14:textId="77777777" w:rsidR="00F37025" w:rsidRDefault="00F37025" w:rsidP="00B322A7">
            <w:pPr>
              <w:jc w:val="right"/>
              <w:rPr>
                <w:sz w:val="18"/>
                <w:szCs w:val="18"/>
              </w:rPr>
            </w:pPr>
            <w:r>
              <w:rPr>
                <w:sz w:val="18"/>
                <w:szCs w:val="18"/>
              </w:rPr>
              <w:t>—</w:t>
            </w:r>
          </w:p>
        </w:tc>
        <w:tc>
          <w:tcPr>
            <w:tcW w:w="1246" w:type="dxa"/>
            <w:noWrap/>
            <w:tcMar>
              <w:top w:w="0" w:type="dxa"/>
              <w:left w:w="144" w:type="dxa"/>
              <w:bottom w:w="0" w:type="dxa"/>
              <w:right w:w="0" w:type="dxa"/>
            </w:tcMar>
          </w:tcPr>
          <w:p w14:paraId="2A7B9C3D" w14:textId="77777777" w:rsidR="00F37025" w:rsidRDefault="00F37025" w:rsidP="00B322A7">
            <w:pPr>
              <w:jc w:val="right"/>
            </w:pPr>
            <w:r>
              <w:rPr>
                <w:sz w:val="18"/>
                <w:szCs w:val="18"/>
              </w:rPr>
              <w:t>—</w:t>
            </w:r>
          </w:p>
        </w:tc>
        <w:tc>
          <w:tcPr>
            <w:tcW w:w="1278" w:type="dxa"/>
            <w:gridSpan w:val="2"/>
            <w:noWrap/>
            <w:tcMar>
              <w:top w:w="0" w:type="dxa"/>
              <w:left w:w="144" w:type="dxa"/>
              <w:bottom w:w="0" w:type="dxa"/>
              <w:right w:w="0" w:type="dxa"/>
            </w:tcMar>
          </w:tcPr>
          <w:p w14:paraId="63258BE0" w14:textId="77777777" w:rsidR="00F37025" w:rsidRDefault="00F37025" w:rsidP="00B322A7">
            <w:pPr>
              <w:jc w:val="right"/>
            </w:pPr>
            <w:r>
              <w:rPr>
                <w:sz w:val="18"/>
                <w:szCs w:val="18"/>
              </w:rPr>
              <w:t>—</w:t>
            </w:r>
          </w:p>
        </w:tc>
      </w:tr>
      <w:tr w:rsidR="00F37025" w14:paraId="6849D3B2" w14:textId="77777777" w:rsidTr="008C16B5">
        <w:trPr>
          <w:cantSplit/>
          <w:jc w:val="center"/>
        </w:trPr>
        <w:tc>
          <w:tcPr>
            <w:tcW w:w="3458" w:type="dxa"/>
          </w:tcPr>
          <w:p w14:paraId="2856BED4" w14:textId="77777777" w:rsidR="00F37025" w:rsidRDefault="00F37025" w:rsidP="00B322A7">
            <w:pPr>
              <w:pStyle w:val="NormalWeb"/>
              <w:tabs>
                <w:tab w:val="right" w:leader="dot" w:pos="4620"/>
              </w:tabs>
              <w:spacing w:before="0" w:beforeAutospacing="0" w:after="0" w:afterAutospacing="0"/>
              <w:rPr>
                <w:sz w:val="18"/>
                <w:szCs w:val="18"/>
              </w:rPr>
            </w:pPr>
            <w:r>
              <w:rPr>
                <w:sz w:val="18"/>
                <w:szCs w:val="18"/>
              </w:rPr>
              <w:t>Other comprehensive income not to be reclassified to profit or loss in subsequent periods</w:t>
            </w:r>
          </w:p>
        </w:tc>
        <w:tc>
          <w:tcPr>
            <w:tcW w:w="1217" w:type="dxa"/>
          </w:tcPr>
          <w:p w14:paraId="22E39C17"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w:t>
            </w:r>
          </w:p>
        </w:tc>
        <w:tc>
          <w:tcPr>
            <w:tcW w:w="1097" w:type="dxa"/>
            <w:gridSpan w:val="2"/>
          </w:tcPr>
          <w:p w14:paraId="10E7E65D"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w:t>
            </w:r>
          </w:p>
        </w:tc>
        <w:tc>
          <w:tcPr>
            <w:tcW w:w="1313" w:type="dxa"/>
            <w:noWrap/>
            <w:tcMar>
              <w:top w:w="0" w:type="dxa"/>
              <w:left w:w="144" w:type="dxa"/>
              <w:bottom w:w="0" w:type="dxa"/>
              <w:right w:w="0" w:type="dxa"/>
            </w:tcMar>
          </w:tcPr>
          <w:p w14:paraId="2B7D469E" w14:textId="77777777" w:rsidR="00F37025" w:rsidRDefault="00F37025" w:rsidP="00B322A7">
            <w:pPr>
              <w:jc w:val="right"/>
              <w:rPr>
                <w:sz w:val="18"/>
                <w:szCs w:val="18"/>
              </w:rPr>
            </w:pPr>
            <w:r>
              <w:rPr>
                <w:sz w:val="18"/>
                <w:szCs w:val="18"/>
              </w:rPr>
              <w:t>—</w:t>
            </w:r>
          </w:p>
        </w:tc>
        <w:tc>
          <w:tcPr>
            <w:tcW w:w="1246" w:type="dxa"/>
            <w:noWrap/>
            <w:tcMar>
              <w:top w:w="0" w:type="dxa"/>
              <w:left w:w="144" w:type="dxa"/>
              <w:bottom w:w="0" w:type="dxa"/>
              <w:right w:w="0" w:type="dxa"/>
            </w:tcMar>
          </w:tcPr>
          <w:p w14:paraId="000AE428" w14:textId="77777777" w:rsidR="00F37025" w:rsidRDefault="00F37025" w:rsidP="00B322A7">
            <w:pPr>
              <w:jc w:val="right"/>
            </w:pPr>
            <w:r>
              <w:rPr>
                <w:sz w:val="18"/>
                <w:szCs w:val="18"/>
              </w:rPr>
              <w:t>—</w:t>
            </w:r>
          </w:p>
        </w:tc>
        <w:tc>
          <w:tcPr>
            <w:tcW w:w="1278" w:type="dxa"/>
            <w:gridSpan w:val="2"/>
            <w:noWrap/>
            <w:tcMar>
              <w:top w:w="0" w:type="dxa"/>
              <w:left w:w="144" w:type="dxa"/>
              <w:bottom w:w="0" w:type="dxa"/>
              <w:right w:w="0" w:type="dxa"/>
            </w:tcMar>
          </w:tcPr>
          <w:p w14:paraId="3CDF9452" w14:textId="77777777" w:rsidR="00F37025" w:rsidRDefault="00F37025" w:rsidP="00B322A7">
            <w:pPr>
              <w:jc w:val="right"/>
            </w:pPr>
            <w:r>
              <w:rPr>
                <w:sz w:val="18"/>
                <w:szCs w:val="18"/>
              </w:rPr>
              <w:t>—</w:t>
            </w:r>
          </w:p>
        </w:tc>
      </w:tr>
      <w:tr w:rsidR="00F37025" w14:paraId="5912A28C" w14:textId="77777777" w:rsidTr="008C16B5">
        <w:trPr>
          <w:cantSplit/>
          <w:jc w:val="center"/>
        </w:trPr>
        <w:tc>
          <w:tcPr>
            <w:tcW w:w="3458" w:type="dxa"/>
          </w:tcPr>
          <w:p w14:paraId="734B4D32" w14:textId="77777777" w:rsidR="00F37025" w:rsidRDefault="00F37025" w:rsidP="00B322A7">
            <w:pPr>
              <w:pStyle w:val="NormalWeb"/>
              <w:tabs>
                <w:tab w:val="right" w:leader="dot" w:pos="4620"/>
              </w:tabs>
              <w:spacing w:before="0" w:beforeAutospacing="0" w:after="0" w:afterAutospacing="0"/>
              <w:rPr>
                <w:sz w:val="18"/>
                <w:szCs w:val="18"/>
              </w:rPr>
            </w:pPr>
            <w:r>
              <w:rPr>
                <w:sz w:val="18"/>
                <w:szCs w:val="18"/>
              </w:rPr>
              <w:t>Other comprehensive income for the period</w:t>
            </w:r>
          </w:p>
        </w:tc>
        <w:tc>
          <w:tcPr>
            <w:tcW w:w="1217" w:type="dxa"/>
          </w:tcPr>
          <w:p w14:paraId="2ADD68D5" w14:textId="77777777" w:rsidR="00F37025" w:rsidRDefault="00F37025" w:rsidP="00B322A7">
            <w:pPr>
              <w:jc w:val="right"/>
            </w:pPr>
            <w:r>
              <w:rPr>
                <w:sz w:val="18"/>
                <w:szCs w:val="18"/>
              </w:rPr>
              <w:t>—</w:t>
            </w:r>
          </w:p>
        </w:tc>
        <w:tc>
          <w:tcPr>
            <w:tcW w:w="1097" w:type="dxa"/>
            <w:gridSpan w:val="2"/>
            <w:noWrap/>
            <w:tcMar>
              <w:top w:w="0" w:type="dxa"/>
              <w:left w:w="144" w:type="dxa"/>
              <w:bottom w:w="0" w:type="dxa"/>
              <w:right w:w="0" w:type="dxa"/>
            </w:tcMar>
          </w:tcPr>
          <w:p w14:paraId="0B0B7BFD" w14:textId="77777777" w:rsidR="00F37025" w:rsidRDefault="00F37025" w:rsidP="00B322A7">
            <w:pPr>
              <w:jc w:val="right"/>
            </w:pPr>
            <w:r>
              <w:rPr>
                <w:sz w:val="18"/>
                <w:szCs w:val="18"/>
              </w:rPr>
              <w:t>—</w:t>
            </w:r>
          </w:p>
        </w:tc>
        <w:tc>
          <w:tcPr>
            <w:tcW w:w="1313" w:type="dxa"/>
            <w:noWrap/>
            <w:tcMar>
              <w:top w:w="0" w:type="dxa"/>
              <w:left w:w="144" w:type="dxa"/>
              <w:bottom w:w="0" w:type="dxa"/>
              <w:right w:w="0" w:type="dxa"/>
            </w:tcMar>
          </w:tcPr>
          <w:p w14:paraId="52A04CC2" w14:textId="77777777" w:rsidR="00F37025" w:rsidRDefault="00F37025" w:rsidP="00B322A7">
            <w:pPr>
              <w:jc w:val="right"/>
              <w:rPr>
                <w:sz w:val="18"/>
                <w:szCs w:val="18"/>
              </w:rPr>
            </w:pPr>
            <w:r>
              <w:rPr>
                <w:sz w:val="18"/>
                <w:szCs w:val="18"/>
              </w:rPr>
              <w:t>—</w:t>
            </w:r>
          </w:p>
        </w:tc>
        <w:tc>
          <w:tcPr>
            <w:tcW w:w="1246" w:type="dxa"/>
            <w:noWrap/>
            <w:tcMar>
              <w:top w:w="0" w:type="dxa"/>
              <w:left w:w="144" w:type="dxa"/>
              <w:bottom w:w="0" w:type="dxa"/>
              <w:right w:w="0" w:type="dxa"/>
            </w:tcMar>
          </w:tcPr>
          <w:p w14:paraId="6AADA2FD" w14:textId="77777777" w:rsidR="00F37025" w:rsidRDefault="00F37025" w:rsidP="00B322A7">
            <w:pPr>
              <w:jc w:val="right"/>
            </w:pPr>
            <w:r>
              <w:rPr>
                <w:sz w:val="18"/>
                <w:szCs w:val="18"/>
              </w:rPr>
              <w:t>—</w:t>
            </w:r>
          </w:p>
        </w:tc>
        <w:tc>
          <w:tcPr>
            <w:tcW w:w="1278" w:type="dxa"/>
            <w:gridSpan w:val="2"/>
            <w:noWrap/>
            <w:tcMar>
              <w:top w:w="0" w:type="dxa"/>
              <w:left w:w="144" w:type="dxa"/>
              <w:bottom w:w="0" w:type="dxa"/>
              <w:right w:w="0" w:type="dxa"/>
            </w:tcMar>
          </w:tcPr>
          <w:p w14:paraId="2252AF0F" w14:textId="77777777" w:rsidR="00F37025" w:rsidRDefault="00F37025" w:rsidP="00B322A7">
            <w:pPr>
              <w:jc w:val="right"/>
            </w:pPr>
            <w:r>
              <w:rPr>
                <w:sz w:val="18"/>
                <w:szCs w:val="18"/>
              </w:rPr>
              <w:t>—</w:t>
            </w:r>
          </w:p>
        </w:tc>
      </w:tr>
      <w:tr w:rsidR="00F37025" w14:paraId="3AF3BF5D" w14:textId="77777777" w:rsidTr="008C16B5">
        <w:trPr>
          <w:cantSplit/>
          <w:jc w:val="center"/>
        </w:trPr>
        <w:tc>
          <w:tcPr>
            <w:tcW w:w="3458" w:type="dxa"/>
            <w:hideMark/>
          </w:tcPr>
          <w:p w14:paraId="3AF2B55E" w14:textId="77777777" w:rsidR="00F37025" w:rsidRDefault="00F37025" w:rsidP="00B322A7">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Total comprehensive income / (loss) of the period</w:t>
            </w:r>
            <w:r>
              <w:rPr>
                <w:b/>
                <w:bCs/>
                <w:sz w:val="18"/>
                <w:szCs w:val="18"/>
              </w:rPr>
              <w:tab/>
            </w:r>
          </w:p>
        </w:tc>
        <w:tc>
          <w:tcPr>
            <w:tcW w:w="1217" w:type="dxa"/>
          </w:tcPr>
          <w:p w14:paraId="0C24AF31" w14:textId="77777777" w:rsidR="00F37025" w:rsidRDefault="00F37025" w:rsidP="00B322A7">
            <w:pPr>
              <w:pStyle w:val="NormalWeb"/>
              <w:tabs>
                <w:tab w:val="right" w:pos="900"/>
                <w:tab w:val="decimal" w:pos="940"/>
              </w:tabs>
              <w:spacing w:before="0" w:beforeAutospacing="0" w:after="20" w:afterAutospacing="0"/>
              <w:jc w:val="right"/>
              <w:rPr>
                <w:b/>
                <w:sz w:val="18"/>
                <w:szCs w:val="18"/>
              </w:rPr>
            </w:pPr>
            <w:r>
              <w:rPr>
                <w:b/>
                <w:sz w:val="18"/>
                <w:szCs w:val="18"/>
              </w:rPr>
              <w:t>62,457</w:t>
            </w:r>
          </w:p>
        </w:tc>
        <w:tc>
          <w:tcPr>
            <w:tcW w:w="1097" w:type="dxa"/>
            <w:gridSpan w:val="2"/>
          </w:tcPr>
          <w:p w14:paraId="7661AEAF"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42,738</w:t>
            </w:r>
          </w:p>
        </w:tc>
        <w:tc>
          <w:tcPr>
            <w:tcW w:w="1313" w:type="dxa"/>
            <w:noWrap/>
            <w:tcMar>
              <w:top w:w="0" w:type="dxa"/>
              <w:left w:w="144" w:type="dxa"/>
              <w:bottom w:w="0" w:type="dxa"/>
              <w:right w:w="0" w:type="dxa"/>
            </w:tcMar>
            <w:hideMark/>
          </w:tcPr>
          <w:p w14:paraId="1C775F25"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91,286</w:t>
            </w:r>
          </w:p>
        </w:tc>
        <w:tc>
          <w:tcPr>
            <w:tcW w:w="1246" w:type="dxa"/>
            <w:noWrap/>
            <w:tcMar>
              <w:top w:w="0" w:type="dxa"/>
              <w:left w:w="144" w:type="dxa"/>
              <w:bottom w:w="0" w:type="dxa"/>
              <w:right w:w="0" w:type="dxa"/>
            </w:tcMar>
            <w:hideMark/>
          </w:tcPr>
          <w:p w14:paraId="2A89D3C0"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86,561</w:t>
            </w:r>
          </w:p>
        </w:tc>
        <w:tc>
          <w:tcPr>
            <w:tcW w:w="1278" w:type="dxa"/>
            <w:gridSpan w:val="2"/>
            <w:noWrap/>
            <w:tcMar>
              <w:top w:w="0" w:type="dxa"/>
              <w:left w:w="144" w:type="dxa"/>
              <w:bottom w:w="0" w:type="dxa"/>
              <w:right w:w="0" w:type="dxa"/>
            </w:tcMar>
            <w:hideMark/>
          </w:tcPr>
          <w:p w14:paraId="048D4744"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49,359</w:t>
            </w:r>
          </w:p>
        </w:tc>
      </w:tr>
      <w:tr w:rsidR="00F37025" w14:paraId="2D36A592" w14:textId="77777777" w:rsidTr="008C16B5">
        <w:trPr>
          <w:cantSplit/>
          <w:jc w:val="center"/>
        </w:trPr>
        <w:tc>
          <w:tcPr>
            <w:tcW w:w="3458" w:type="dxa"/>
          </w:tcPr>
          <w:p w14:paraId="34012D73" w14:textId="77777777" w:rsidR="00F37025" w:rsidRDefault="00F37025" w:rsidP="00B322A7">
            <w:pPr>
              <w:pStyle w:val="NormalWeb"/>
              <w:tabs>
                <w:tab w:val="right" w:pos="900"/>
                <w:tab w:val="decimal" w:pos="940"/>
              </w:tabs>
              <w:spacing w:before="0" w:beforeAutospacing="0" w:after="20" w:afterAutospacing="0"/>
              <w:rPr>
                <w:i/>
                <w:sz w:val="18"/>
                <w:szCs w:val="18"/>
              </w:rPr>
            </w:pPr>
            <w:r>
              <w:rPr>
                <w:i/>
                <w:sz w:val="18"/>
                <w:szCs w:val="18"/>
              </w:rPr>
              <w:t>Attributable to:</w:t>
            </w:r>
          </w:p>
        </w:tc>
        <w:tc>
          <w:tcPr>
            <w:tcW w:w="1217" w:type="dxa"/>
          </w:tcPr>
          <w:p w14:paraId="2C396660"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i/>
                <w:sz w:val="18"/>
                <w:szCs w:val="18"/>
              </w:rPr>
            </w:pPr>
            <w:r>
              <w:rPr>
                <w:sz w:val="18"/>
                <w:szCs w:val="18"/>
              </w:rPr>
              <w:t>—</w:t>
            </w:r>
          </w:p>
        </w:tc>
        <w:tc>
          <w:tcPr>
            <w:tcW w:w="1089" w:type="dxa"/>
          </w:tcPr>
          <w:p w14:paraId="3119434C"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i/>
                <w:sz w:val="18"/>
                <w:szCs w:val="18"/>
              </w:rPr>
            </w:pPr>
            <w:r>
              <w:rPr>
                <w:sz w:val="18"/>
                <w:szCs w:val="18"/>
              </w:rPr>
              <w:t>—</w:t>
            </w:r>
          </w:p>
        </w:tc>
        <w:tc>
          <w:tcPr>
            <w:tcW w:w="1321" w:type="dxa"/>
            <w:gridSpan w:val="2"/>
          </w:tcPr>
          <w:p w14:paraId="31378CF5"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i/>
                <w:sz w:val="18"/>
                <w:szCs w:val="18"/>
              </w:rPr>
            </w:pPr>
          </w:p>
        </w:tc>
        <w:tc>
          <w:tcPr>
            <w:tcW w:w="1255" w:type="dxa"/>
            <w:gridSpan w:val="2"/>
          </w:tcPr>
          <w:p w14:paraId="3B275E62"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i/>
                <w:sz w:val="18"/>
                <w:szCs w:val="18"/>
              </w:rPr>
            </w:pPr>
          </w:p>
        </w:tc>
        <w:tc>
          <w:tcPr>
            <w:tcW w:w="1269" w:type="dxa"/>
          </w:tcPr>
          <w:p w14:paraId="705CA519"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i/>
                <w:sz w:val="18"/>
                <w:szCs w:val="18"/>
              </w:rPr>
            </w:pPr>
          </w:p>
        </w:tc>
      </w:tr>
      <w:tr w:rsidR="00F37025" w14:paraId="57919264" w14:textId="77777777" w:rsidTr="008C16B5">
        <w:trPr>
          <w:cantSplit/>
          <w:jc w:val="center"/>
        </w:trPr>
        <w:tc>
          <w:tcPr>
            <w:tcW w:w="3458" w:type="dxa"/>
          </w:tcPr>
          <w:p w14:paraId="247AA4B0" w14:textId="77777777" w:rsidR="00F37025" w:rsidRDefault="00F37025" w:rsidP="00B322A7">
            <w:pPr>
              <w:pStyle w:val="NormalWeb"/>
              <w:tabs>
                <w:tab w:val="right" w:leader="dot" w:pos="4620"/>
              </w:tabs>
              <w:spacing w:before="0" w:beforeAutospacing="0" w:after="0" w:afterAutospacing="0"/>
              <w:ind w:left="960" w:hanging="240"/>
              <w:rPr>
                <w:sz w:val="18"/>
                <w:szCs w:val="18"/>
              </w:rPr>
            </w:pPr>
            <w:r>
              <w:rPr>
                <w:sz w:val="18"/>
                <w:szCs w:val="18"/>
              </w:rPr>
              <w:t>Shareholders of VGP NV</w:t>
            </w:r>
            <w:r>
              <w:rPr>
                <w:sz w:val="18"/>
                <w:szCs w:val="18"/>
              </w:rPr>
              <w:tab/>
            </w:r>
          </w:p>
        </w:tc>
        <w:tc>
          <w:tcPr>
            <w:tcW w:w="1217" w:type="dxa"/>
          </w:tcPr>
          <w:p w14:paraId="100CB4D4" w14:textId="77777777" w:rsidR="00F37025" w:rsidRDefault="00F37025" w:rsidP="00B322A7">
            <w:pPr>
              <w:pStyle w:val="NormalWeb"/>
              <w:tabs>
                <w:tab w:val="right" w:pos="900"/>
                <w:tab w:val="decimal" w:pos="940"/>
              </w:tabs>
              <w:spacing w:before="0" w:beforeAutospacing="0" w:after="20" w:afterAutospacing="0"/>
              <w:jc w:val="right"/>
              <w:rPr>
                <w:b/>
                <w:sz w:val="18"/>
                <w:szCs w:val="18"/>
              </w:rPr>
            </w:pPr>
            <w:r>
              <w:rPr>
                <w:b/>
                <w:sz w:val="18"/>
                <w:szCs w:val="18"/>
              </w:rPr>
              <w:t>62,457</w:t>
            </w:r>
          </w:p>
        </w:tc>
        <w:tc>
          <w:tcPr>
            <w:tcW w:w="1097" w:type="dxa"/>
            <w:gridSpan w:val="2"/>
            <w:noWrap/>
            <w:tcMar>
              <w:top w:w="0" w:type="dxa"/>
              <w:left w:w="144" w:type="dxa"/>
              <w:bottom w:w="0" w:type="dxa"/>
              <w:right w:w="0" w:type="dxa"/>
            </w:tcMar>
          </w:tcPr>
          <w:p w14:paraId="5281E808"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42,738</w:t>
            </w:r>
          </w:p>
        </w:tc>
        <w:tc>
          <w:tcPr>
            <w:tcW w:w="1313" w:type="dxa"/>
            <w:noWrap/>
            <w:tcMar>
              <w:top w:w="0" w:type="dxa"/>
              <w:left w:w="144" w:type="dxa"/>
              <w:bottom w:w="0" w:type="dxa"/>
              <w:right w:w="0" w:type="dxa"/>
            </w:tcMar>
          </w:tcPr>
          <w:p w14:paraId="5CAF4B87" w14:textId="77777777" w:rsidR="00F37025" w:rsidRDefault="00F37025" w:rsidP="00B322A7">
            <w:pPr>
              <w:jc w:val="right"/>
              <w:rPr>
                <w:sz w:val="18"/>
                <w:szCs w:val="18"/>
              </w:rPr>
            </w:pPr>
            <w:r>
              <w:rPr>
                <w:sz w:val="18"/>
                <w:szCs w:val="18"/>
              </w:rPr>
              <w:t>91,286</w:t>
            </w:r>
          </w:p>
        </w:tc>
        <w:tc>
          <w:tcPr>
            <w:tcW w:w="1246" w:type="dxa"/>
            <w:noWrap/>
            <w:tcMar>
              <w:top w:w="0" w:type="dxa"/>
              <w:left w:w="144" w:type="dxa"/>
              <w:bottom w:w="0" w:type="dxa"/>
              <w:right w:w="0" w:type="dxa"/>
            </w:tcMar>
          </w:tcPr>
          <w:p w14:paraId="4BF164F7" w14:textId="77777777" w:rsidR="00F37025" w:rsidRDefault="00F37025" w:rsidP="00B322A7">
            <w:pPr>
              <w:jc w:val="right"/>
              <w:rPr>
                <w:sz w:val="18"/>
                <w:szCs w:val="18"/>
              </w:rPr>
            </w:pPr>
            <w:r>
              <w:rPr>
                <w:sz w:val="18"/>
                <w:szCs w:val="18"/>
              </w:rPr>
              <w:t>86,561</w:t>
            </w:r>
          </w:p>
        </w:tc>
        <w:tc>
          <w:tcPr>
            <w:tcW w:w="1278" w:type="dxa"/>
            <w:gridSpan w:val="2"/>
            <w:noWrap/>
            <w:tcMar>
              <w:top w:w="0" w:type="dxa"/>
              <w:left w:w="144" w:type="dxa"/>
              <w:bottom w:w="0" w:type="dxa"/>
              <w:right w:w="0" w:type="dxa"/>
            </w:tcMar>
          </w:tcPr>
          <w:p w14:paraId="06BB394A"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49,359</w:t>
            </w:r>
          </w:p>
        </w:tc>
      </w:tr>
      <w:tr w:rsidR="00F37025" w14:paraId="52BA966C" w14:textId="77777777" w:rsidTr="008C16B5">
        <w:trPr>
          <w:cantSplit/>
          <w:jc w:val="center"/>
        </w:trPr>
        <w:tc>
          <w:tcPr>
            <w:tcW w:w="3458" w:type="dxa"/>
          </w:tcPr>
          <w:p w14:paraId="06A9DD40" w14:textId="77777777" w:rsidR="00F37025" w:rsidRDefault="00F37025" w:rsidP="00B322A7">
            <w:pPr>
              <w:pStyle w:val="NormalWeb"/>
              <w:tabs>
                <w:tab w:val="right" w:leader="dot" w:pos="4620"/>
              </w:tabs>
              <w:spacing w:before="0" w:beforeAutospacing="0" w:after="0" w:afterAutospacing="0"/>
              <w:ind w:left="960" w:hanging="240"/>
              <w:rPr>
                <w:sz w:val="18"/>
                <w:szCs w:val="18"/>
              </w:rPr>
            </w:pPr>
            <w:r>
              <w:rPr>
                <w:sz w:val="18"/>
                <w:szCs w:val="18"/>
              </w:rPr>
              <w:t>Non-controlling interests</w:t>
            </w:r>
            <w:r>
              <w:rPr>
                <w:sz w:val="18"/>
                <w:szCs w:val="18"/>
              </w:rPr>
              <w:tab/>
            </w:r>
          </w:p>
        </w:tc>
        <w:tc>
          <w:tcPr>
            <w:tcW w:w="1217" w:type="dxa"/>
          </w:tcPr>
          <w:p w14:paraId="3D998856"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w:t>
            </w:r>
          </w:p>
        </w:tc>
        <w:tc>
          <w:tcPr>
            <w:tcW w:w="1097" w:type="dxa"/>
            <w:gridSpan w:val="2"/>
            <w:noWrap/>
            <w:tcMar>
              <w:top w:w="0" w:type="dxa"/>
              <w:left w:w="144" w:type="dxa"/>
              <w:bottom w:w="0" w:type="dxa"/>
              <w:right w:w="0" w:type="dxa"/>
            </w:tcMar>
          </w:tcPr>
          <w:p w14:paraId="46102BE6" w14:textId="77777777" w:rsidR="00F37025" w:rsidRDefault="00F3702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w:t>
            </w:r>
          </w:p>
        </w:tc>
        <w:tc>
          <w:tcPr>
            <w:tcW w:w="1313" w:type="dxa"/>
            <w:noWrap/>
            <w:tcMar>
              <w:top w:w="0" w:type="dxa"/>
              <w:left w:w="144" w:type="dxa"/>
              <w:bottom w:w="0" w:type="dxa"/>
              <w:right w:w="0" w:type="dxa"/>
            </w:tcMar>
          </w:tcPr>
          <w:p w14:paraId="7570FC87" w14:textId="77777777" w:rsidR="00F37025" w:rsidRDefault="00F37025" w:rsidP="00B322A7">
            <w:pPr>
              <w:jc w:val="right"/>
              <w:rPr>
                <w:sz w:val="18"/>
                <w:szCs w:val="18"/>
              </w:rPr>
            </w:pPr>
            <w:r>
              <w:rPr>
                <w:sz w:val="18"/>
                <w:szCs w:val="18"/>
              </w:rPr>
              <w:t>—</w:t>
            </w:r>
          </w:p>
        </w:tc>
        <w:tc>
          <w:tcPr>
            <w:tcW w:w="1246" w:type="dxa"/>
            <w:noWrap/>
            <w:tcMar>
              <w:top w:w="0" w:type="dxa"/>
              <w:left w:w="144" w:type="dxa"/>
              <w:bottom w:w="0" w:type="dxa"/>
              <w:right w:w="0" w:type="dxa"/>
            </w:tcMar>
          </w:tcPr>
          <w:p w14:paraId="0A94CF6B" w14:textId="77777777" w:rsidR="00F37025" w:rsidRDefault="00F37025" w:rsidP="00B322A7">
            <w:pPr>
              <w:jc w:val="right"/>
            </w:pPr>
            <w:r>
              <w:rPr>
                <w:sz w:val="18"/>
                <w:szCs w:val="18"/>
              </w:rPr>
              <w:t>—</w:t>
            </w:r>
          </w:p>
        </w:tc>
        <w:tc>
          <w:tcPr>
            <w:tcW w:w="1278" w:type="dxa"/>
            <w:gridSpan w:val="2"/>
            <w:noWrap/>
            <w:tcMar>
              <w:top w:w="0" w:type="dxa"/>
              <w:left w:w="144" w:type="dxa"/>
              <w:bottom w:w="0" w:type="dxa"/>
              <w:right w:w="0" w:type="dxa"/>
            </w:tcMar>
          </w:tcPr>
          <w:p w14:paraId="09E5DF77" w14:textId="77777777" w:rsidR="00F37025" w:rsidRDefault="00F37025" w:rsidP="00B322A7">
            <w:pPr>
              <w:jc w:val="right"/>
            </w:pPr>
            <w:r>
              <w:rPr>
                <w:sz w:val="18"/>
                <w:szCs w:val="18"/>
              </w:rPr>
              <w:t>—</w:t>
            </w:r>
          </w:p>
        </w:tc>
      </w:tr>
    </w:tbl>
    <w:p w14:paraId="3DE7F36B" w14:textId="0F87871C" w:rsidR="00F37025" w:rsidRDefault="00F37025">
      <w:pPr>
        <w:pStyle w:val="NormalWeb"/>
        <w:keepNext/>
        <w:spacing w:before="0" w:beforeAutospacing="0" w:after="0" w:afterAutospacing="0"/>
      </w:pPr>
    </w:p>
    <w:p w14:paraId="12477BD2" w14:textId="77777777" w:rsidR="00F76607" w:rsidRDefault="001863F0">
      <w:pPr>
        <w:pStyle w:val="NormalWeb"/>
        <w:keepNext/>
        <w:spacing w:before="240" w:beforeAutospacing="0" w:after="0" w:afterAutospacing="0"/>
      </w:pPr>
      <w:r>
        <w:rPr>
          <w:b/>
          <w:bCs/>
          <w:sz w:val="18"/>
          <w:szCs w:val="18"/>
        </w:rPr>
        <w:t>Consolidated Balance Sheet Information</w:t>
      </w:r>
    </w:p>
    <w:p w14:paraId="1F87A86A" w14:textId="77777777" w:rsidR="008C16B5" w:rsidRDefault="001863F0">
      <w:pPr>
        <w:pStyle w:val="NormalWeb"/>
        <w:keepNext/>
        <w:spacing w:before="0" w:beforeAutospacing="0" w:after="0" w:afterAutospacing="0"/>
      </w:pPr>
      <w:r>
        <w:t>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305"/>
        <w:gridCol w:w="1540"/>
        <w:gridCol w:w="1428"/>
        <w:gridCol w:w="1274"/>
        <w:gridCol w:w="1200"/>
      </w:tblGrid>
      <w:tr w:rsidR="008C16B5" w14:paraId="1FEA7B76" w14:textId="77777777" w:rsidTr="008C16B5">
        <w:trPr>
          <w:cantSplit/>
          <w:trHeight w:val="246"/>
          <w:tblHeader/>
          <w:jc w:val="center"/>
        </w:trPr>
        <w:tc>
          <w:tcPr>
            <w:tcW w:w="4305" w:type="dxa"/>
            <w:tcMar>
              <w:top w:w="0" w:type="dxa"/>
              <w:left w:w="144" w:type="dxa"/>
              <w:bottom w:w="0" w:type="dxa"/>
              <w:right w:w="0" w:type="dxa"/>
            </w:tcMar>
            <w:vAlign w:val="bottom"/>
            <w:hideMark/>
          </w:tcPr>
          <w:p w14:paraId="3254B357" w14:textId="77777777" w:rsidR="008C16B5" w:rsidRDefault="008C16B5" w:rsidP="00B322A7">
            <w:pPr>
              <w:pStyle w:val="la2"/>
              <w:keepNext/>
              <w:rPr>
                <w:rFonts w:eastAsiaTheme="minorEastAsia"/>
                <w:sz w:val="16"/>
                <w:szCs w:val="16"/>
              </w:rPr>
            </w:pPr>
            <w:r>
              <w:rPr>
                <w:sz w:val="16"/>
                <w:szCs w:val="16"/>
              </w:rPr>
              <w:t> </w:t>
            </w:r>
          </w:p>
        </w:tc>
        <w:tc>
          <w:tcPr>
            <w:tcW w:w="1540" w:type="dxa"/>
            <w:tcMar>
              <w:top w:w="0" w:type="dxa"/>
              <w:left w:w="144" w:type="dxa"/>
              <w:bottom w:w="0" w:type="dxa"/>
              <w:right w:w="0" w:type="dxa"/>
            </w:tcMar>
            <w:vAlign w:val="bottom"/>
            <w:hideMark/>
          </w:tcPr>
          <w:p w14:paraId="7670D95C" w14:textId="77777777" w:rsidR="008C16B5" w:rsidRDefault="008C16B5" w:rsidP="00B322A7">
            <w:pPr>
              <w:jc w:val="center"/>
              <w:rPr>
                <w:rFonts w:eastAsiaTheme="minorEastAsia"/>
                <w:sz w:val="16"/>
                <w:szCs w:val="16"/>
              </w:rPr>
            </w:pPr>
            <w:r>
              <w:rPr>
                <w:b/>
                <w:bCs/>
                <w:sz w:val="16"/>
                <w:szCs w:val="16"/>
              </w:rPr>
              <w:t>As of 30-Jun</w:t>
            </w:r>
            <w:r>
              <w:rPr>
                <w:sz w:val="16"/>
                <w:szCs w:val="16"/>
              </w:rPr>
              <w:t> </w:t>
            </w:r>
          </w:p>
        </w:tc>
        <w:tc>
          <w:tcPr>
            <w:tcW w:w="3902" w:type="dxa"/>
            <w:gridSpan w:val="3"/>
            <w:tcMar>
              <w:top w:w="0" w:type="dxa"/>
              <w:left w:w="144" w:type="dxa"/>
              <w:bottom w:w="0" w:type="dxa"/>
              <w:right w:w="0" w:type="dxa"/>
            </w:tcMar>
            <w:vAlign w:val="bottom"/>
            <w:hideMark/>
          </w:tcPr>
          <w:p w14:paraId="624F8692" w14:textId="77777777" w:rsidR="008C16B5" w:rsidRDefault="008C16B5" w:rsidP="00B322A7">
            <w:pPr>
              <w:jc w:val="center"/>
              <w:rPr>
                <w:rFonts w:eastAsiaTheme="minorEastAsia"/>
                <w:sz w:val="16"/>
                <w:szCs w:val="16"/>
              </w:rPr>
            </w:pPr>
            <w:r>
              <w:rPr>
                <w:b/>
                <w:bCs/>
                <w:sz w:val="16"/>
                <w:szCs w:val="16"/>
              </w:rPr>
              <w:t>As of 31-Dec </w:t>
            </w:r>
            <w:r>
              <w:rPr>
                <w:sz w:val="16"/>
                <w:szCs w:val="16"/>
              </w:rPr>
              <w:t> </w:t>
            </w:r>
          </w:p>
        </w:tc>
      </w:tr>
      <w:tr w:rsidR="008C16B5" w14:paraId="1A48EFB0" w14:textId="77777777" w:rsidTr="008C16B5">
        <w:trPr>
          <w:cantSplit/>
          <w:trHeight w:val="255"/>
          <w:tblHeader/>
          <w:jc w:val="center"/>
        </w:trPr>
        <w:tc>
          <w:tcPr>
            <w:tcW w:w="4305" w:type="dxa"/>
            <w:tcMar>
              <w:top w:w="0" w:type="dxa"/>
              <w:left w:w="144" w:type="dxa"/>
              <w:bottom w:w="0" w:type="dxa"/>
              <w:right w:w="0" w:type="dxa"/>
            </w:tcMar>
            <w:vAlign w:val="bottom"/>
            <w:hideMark/>
          </w:tcPr>
          <w:p w14:paraId="018F3157" w14:textId="77777777" w:rsidR="008C16B5" w:rsidRDefault="008C16B5" w:rsidP="00B322A7">
            <w:pPr>
              <w:pStyle w:val="la2"/>
              <w:keepNext/>
              <w:rPr>
                <w:rFonts w:eastAsiaTheme="minorEastAsia"/>
                <w:sz w:val="16"/>
                <w:szCs w:val="16"/>
              </w:rPr>
            </w:pPr>
            <w:r>
              <w:rPr>
                <w:sz w:val="16"/>
                <w:szCs w:val="16"/>
              </w:rPr>
              <w:t> </w:t>
            </w:r>
          </w:p>
        </w:tc>
        <w:tc>
          <w:tcPr>
            <w:tcW w:w="1540" w:type="dxa"/>
            <w:tcMar>
              <w:top w:w="0" w:type="dxa"/>
              <w:left w:w="144" w:type="dxa"/>
              <w:bottom w:w="0" w:type="dxa"/>
              <w:right w:w="0" w:type="dxa"/>
            </w:tcMar>
            <w:vAlign w:val="bottom"/>
            <w:hideMark/>
          </w:tcPr>
          <w:p w14:paraId="6D64976A" w14:textId="77777777" w:rsidR="008C16B5" w:rsidRDefault="008C16B5" w:rsidP="00B322A7">
            <w:pPr>
              <w:jc w:val="center"/>
              <w:rPr>
                <w:rFonts w:eastAsiaTheme="minorEastAsia"/>
                <w:sz w:val="16"/>
                <w:szCs w:val="16"/>
              </w:rPr>
            </w:pPr>
            <w:r>
              <w:rPr>
                <w:b/>
                <w:bCs/>
                <w:sz w:val="16"/>
                <w:szCs w:val="16"/>
              </w:rPr>
              <w:t>2017</w:t>
            </w:r>
            <w:r>
              <w:rPr>
                <w:sz w:val="16"/>
                <w:szCs w:val="16"/>
              </w:rPr>
              <w:t xml:space="preserve">   </w:t>
            </w:r>
          </w:p>
        </w:tc>
        <w:tc>
          <w:tcPr>
            <w:tcW w:w="1428" w:type="dxa"/>
            <w:tcMar>
              <w:top w:w="0" w:type="dxa"/>
              <w:left w:w="144" w:type="dxa"/>
              <w:bottom w:w="0" w:type="dxa"/>
              <w:right w:w="0" w:type="dxa"/>
            </w:tcMar>
            <w:vAlign w:val="bottom"/>
            <w:hideMark/>
          </w:tcPr>
          <w:p w14:paraId="4711C248" w14:textId="77777777" w:rsidR="008C16B5" w:rsidRDefault="008C16B5" w:rsidP="00B322A7">
            <w:pPr>
              <w:jc w:val="center"/>
              <w:rPr>
                <w:rFonts w:eastAsiaTheme="minorEastAsia"/>
                <w:sz w:val="16"/>
                <w:szCs w:val="16"/>
              </w:rPr>
            </w:pPr>
            <w:r>
              <w:rPr>
                <w:b/>
                <w:bCs/>
                <w:sz w:val="16"/>
                <w:szCs w:val="16"/>
              </w:rPr>
              <w:t>2016</w:t>
            </w:r>
            <w:r>
              <w:rPr>
                <w:sz w:val="16"/>
                <w:szCs w:val="16"/>
              </w:rPr>
              <w:t xml:space="preserve">  </w:t>
            </w:r>
          </w:p>
        </w:tc>
        <w:tc>
          <w:tcPr>
            <w:tcW w:w="1274" w:type="dxa"/>
            <w:tcMar>
              <w:top w:w="0" w:type="dxa"/>
              <w:left w:w="144" w:type="dxa"/>
              <w:bottom w:w="0" w:type="dxa"/>
              <w:right w:w="0" w:type="dxa"/>
            </w:tcMar>
            <w:vAlign w:val="bottom"/>
            <w:hideMark/>
          </w:tcPr>
          <w:p w14:paraId="0F572471" w14:textId="77777777" w:rsidR="008C16B5" w:rsidRDefault="008C16B5" w:rsidP="00B322A7">
            <w:pPr>
              <w:jc w:val="center"/>
              <w:rPr>
                <w:rFonts w:eastAsiaTheme="minorEastAsia"/>
                <w:sz w:val="16"/>
                <w:szCs w:val="16"/>
              </w:rPr>
            </w:pPr>
            <w:r>
              <w:rPr>
                <w:b/>
                <w:bCs/>
                <w:sz w:val="16"/>
                <w:szCs w:val="16"/>
              </w:rPr>
              <w:t>2015</w:t>
            </w:r>
            <w:r>
              <w:rPr>
                <w:sz w:val="16"/>
                <w:szCs w:val="16"/>
              </w:rPr>
              <w:t> </w:t>
            </w:r>
          </w:p>
        </w:tc>
        <w:tc>
          <w:tcPr>
            <w:tcW w:w="1200" w:type="dxa"/>
            <w:tcMar>
              <w:top w:w="0" w:type="dxa"/>
              <w:left w:w="144" w:type="dxa"/>
              <w:bottom w:w="0" w:type="dxa"/>
              <w:right w:w="0" w:type="dxa"/>
            </w:tcMar>
            <w:vAlign w:val="bottom"/>
            <w:hideMark/>
          </w:tcPr>
          <w:p w14:paraId="1D1DC630" w14:textId="77777777" w:rsidR="008C16B5" w:rsidRDefault="008C16B5" w:rsidP="00B322A7">
            <w:pPr>
              <w:jc w:val="center"/>
              <w:rPr>
                <w:rFonts w:eastAsiaTheme="minorEastAsia"/>
                <w:sz w:val="16"/>
                <w:szCs w:val="16"/>
              </w:rPr>
            </w:pPr>
            <w:r>
              <w:rPr>
                <w:b/>
                <w:bCs/>
                <w:sz w:val="16"/>
                <w:szCs w:val="16"/>
              </w:rPr>
              <w:t>2014</w:t>
            </w:r>
            <w:r>
              <w:rPr>
                <w:sz w:val="16"/>
                <w:szCs w:val="16"/>
              </w:rPr>
              <w:t xml:space="preserve">  </w:t>
            </w:r>
          </w:p>
        </w:tc>
      </w:tr>
      <w:tr w:rsidR="008C16B5" w14:paraId="7FB6781B" w14:textId="77777777" w:rsidTr="008C16B5">
        <w:trPr>
          <w:cantSplit/>
          <w:trHeight w:val="183"/>
          <w:tblHeader/>
          <w:jc w:val="center"/>
        </w:trPr>
        <w:tc>
          <w:tcPr>
            <w:tcW w:w="4305" w:type="dxa"/>
            <w:tcMar>
              <w:top w:w="0" w:type="dxa"/>
              <w:left w:w="144" w:type="dxa"/>
              <w:bottom w:w="0" w:type="dxa"/>
              <w:right w:w="0" w:type="dxa"/>
            </w:tcMar>
            <w:vAlign w:val="bottom"/>
            <w:hideMark/>
          </w:tcPr>
          <w:p w14:paraId="7B1FFB04" w14:textId="66F1231B" w:rsidR="008C16B5" w:rsidRDefault="008C16B5" w:rsidP="00B322A7">
            <w:pPr>
              <w:pStyle w:val="la2"/>
              <w:keepNext/>
              <w:rPr>
                <w:rFonts w:eastAsiaTheme="minorEastAsia"/>
                <w:sz w:val="16"/>
                <w:szCs w:val="16"/>
              </w:rPr>
            </w:pPr>
          </w:p>
        </w:tc>
        <w:tc>
          <w:tcPr>
            <w:tcW w:w="5442" w:type="dxa"/>
            <w:gridSpan w:val="4"/>
            <w:tcMar>
              <w:top w:w="0" w:type="dxa"/>
              <w:left w:w="144" w:type="dxa"/>
              <w:bottom w:w="0" w:type="dxa"/>
              <w:right w:w="0" w:type="dxa"/>
            </w:tcMar>
            <w:vAlign w:val="bottom"/>
            <w:hideMark/>
          </w:tcPr>
          <w:p w14:paraId="14EDBE9E" w14:textId="77777777" w:rsidR="008C16B5" w:rsidRDefault="008C16B5" w:rsidP="00B322A7">
            <w:pPr>
              <w:jc w:val="center"/>
              <w:rPr>
                <w:i/>
                <w:sz w:val="16"/>
                <w:szCs w:val="16"/>
              </w:rPr>
            </w:pPr>
            <w:r>
              <w:rPr>
                <w:bCs/>
                <w:i/>
                <w:sz w:val="16"/>
                <w:szCs w:val="16"/>
              </w:rPr>
              <w:t>(€ thousands)</w:t>
            </w:r>
          </w:p>
        </w:tc>
      </w:tr>
      <w:tr w:rsidR="008C16B5" w14:paraId="164C4C9D" w14:textId="77777777" w:rsidTr="008C16B5">
        <w:trPr>
          <w:cantSplit/>
          <w:trHeight w:val="228"/>
          <w:jc w:val="center"/>
        </w:trPr>
        <w:tc>
          <w:tcPr>
            <w:tcW w:w="4305" w:type="dxa"/>
          </w:tcPr>
          <w:p w14:paraId="162A934E" w14:textId="77777777" w:rsidR="008C16B5" w:rsidRDefault="008C16B5" w:rsidP="00B322A7">
            <w:pPr>
              <w:pStyle w:val="NormalWeb"/>
              <w:keepNext/>
              <w:tabs>
                <w:tab w:val="right" w:leader="dot" w:pos="4620"/>
              </w:tabs>
              <w:spacing w:before="0" w:beforeAutospacing="0" w:after="0" w:afterAutospacing="0"/>
              <w:ind w:left="240" w:hanging="240"/>
              <w:rPr>
                <w:i/>
                <w:sz w:val="18"/>
                <w:szCs w:val="18"/>
              </w:rPr>
            </w:pPr>
            <w:r>
              <w:rPr>
                <w:i/>
                <w:sz w:val="18"/>
                <w:szCs w:val="18"/>
              </w:rPr>
              <w:t>Assets:</w:t>
            </w:r>
          </w:p>
        </w:tc>
        <w:tc>
          <w:tcPr>
            <w:tcW w:w="5442" w:type="dxa"/>
            <w:gridSpan w:val="4"/>
            <w:noWrap/>
            <w:tcMar>
              <w:top w:w="0" w:type="dxa"/>
              <w:left w:w="144" w:type="dxa"/>
              <w:bottom w:w="0" w:type="dxa"/>
              <w:right w:w="0" w:type="dxa"/>
            </w:tcMar>
            <w:vAlign w:val="bottom"/>
          </w:tcPr>
          <w:p w14:paraId="7A61D599"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p>
        </w:tc>
      </w:tr>
      <w:tr w:rsidR="008C16B5" w14:paraId="1329CB36" w14:textId="77777777" w:rsidTr="008C16B5">
        <w:trPr>
          <w:cantSplit/>
          <w:trHeight w:val="228"/>
          <w:jc w:val="center"/>
        </w:trPr>
        <w:tc>
          <w:tcPr>
            <w:tcW w:w="4305" w:type="dxa"/>
            <w:hideMark/>
          </w:tcPr>
          <w:p w14:paraId="0823EA98" w14:textId="77777777" w:rsidR="008C16B5" w:rsidRDefault="008C16B5" w:rsidP="00B322A7">
            <w:pPr>
              <w:pStyle w:val="NormalWeb"/>
              <w:keepNext/>
              <w:tabs>
                <w:tab w:val="right" w:leader="dot" w:pos="4620"/>
              </w:tabs>
              <w:spacing w:before="0" w:beforeAutospacing="0" w:after="0" w:afterAutospacing="0"/>
              <w:ind w:left="240" w:hanging="240"/>
              <w:rPr>
                <w:rFonts w:eastAsiaTheme="minorEastAsia"/>
                <w:sz w:val="18"/>
                <w:szCs w:val="18"/>
              </w:rPr>
            </w:pPr>
            <w:r>
              <w:rPr>
                <w:sz w:val="18"/>
                <w:szCs w:val="18"/>
              </w:rPr>
              <w:t>Goodwill</w:t>
            </w:r>
            <w:r>
              <w:rPr>
                <w:sz w:val="18"/>
                <w:szCs w:val="18"/>
              </w:rPr>
              <w:tab/>
            </w:r>
          </w:p>
        </w:tc>
        <w:tc>
          <w:tcPr>
            <w:tcW w:w="1540" w:type="dxa"/>
            <w:noWrap/>
            <w:tcMar>
              <w:top w:w="0" w:type="dxa"/>
              <w:left w:w="144" w:type="dxa"/>
              <w:bottom w:w="0" w:type="dxa"/>
              <w:right w:w="0" w:type="dxa"/>
            </w:tcMar>
            <w:hideMark/>
          </w:tcPr>
          <w:p w14:paraId="64EB8E9A" w14:textId="77777777" w:rsidR="008C16B5" w:rsidRDefault="008C16B5" w:rsidP="00B322A7">
            <w:pPr>
              <w:jc w:val="right"/>
              <w:rPr>
                <w:sz w:val="18"/>
                <w:szCs w:val="18"/>
              </w:rPr>
            </w:pPr>
            <w:r>
              <w:rPr>
                <w:sz w:val="18"/>
                <w:szCs w:val="18"/>
              </w:rPr>
              <w:t>—</w:t>
            </w:r>
          </w:p>
        </w:tc>
        <w:tc>
          <w:tcPr>
            <w:tcW w:w="1428" w:type="dxa"/>
            <w:noWrap/>
            <w:tcMar>
              <w:top w:w="0" w:type="dxa"/>
              <w:left w:w="144" w:type="dxa"/>
              <w:bottom w:w="0" w:type="dxa"/>
              <w:right w:w="0" w:type="dxa"/>
            </w:tcMar>
            <w:hideMark/>
          </w:tcPr>
          <w:p w14:paraId="3BCA8B6D" w14:textId="77777777" w:rsidR="008C16B5" w:rsidRDefault="008C16B5" w:rsidP="00B322A7">
            <w:pPr>
              <w:jc w:val="right"/>
              <w:rPr>
                <w:sz w:val="18"/>
                <w:szCs w:val="18"/>
              </w:rPr>
            </w:pPr>
            <w:r>
              <w:rPr>
                <w:sz w:val="18"/>
                <w:szCs w:val="18"/>
              </w:rPr>
              <w:t>—</w:t>
            </w:r>
          </w:p>
        </w:tc>
        <w:tc>
          <w:tcPr>
            <w:tcW w:w="1274" w:type="dxa"/>
            <w:noWrap/>
            <w:tcMar>
              <w:top w:w="0" w:type="dxa"/>
              <w:left w:w="144" w:type="dxa"/>
              <w:bottom w:w="0" w:type="dxa"/>
              <w:right w:w="0" w:type="dxa"/>
            </w:tcMar>
            <w:vAlign w:val="bottom"/>
            <w:hideMark/>
          </w:tcPr>
          <w:p w14:paraId="6453BA80"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631</w:t>
            </w:r>
          </w:p>
        </w:tc>
        <w:tc>
          <w:tcPr>
            <w:tcW w:w="1200" w:type="dxa"/>
            <w:noWrap/>
            <w:tcMar>
              <w:top w:w="0" w:type="dxa"/>
              <w:left w:w="144" w:type="dxa"/>
              <w:bottom w:w="0" w:type="dxa"/>
              <w:right w:w="0" w:type="dxa"/>
            </w:tcMar>
            <w:vAlign w:val="bottom"/>
            <w:hideMark/>
          </w:tcPr>
          <w:p w14:paraId="7B269B89"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631</w:t>
            </w:r>
          </w:p>
        </w:tc>
      </w:tr>
      <w:tr w:rsidR="008C16B5" w14:paraId="3A030420" w14:textId="77777777" w:rsidTr="008C16B5">
        <w:trPr>
          <w:cantSplit/>
          <w:trHeight w:val="219"/>
          <w:jc w:val="center"/>
        </w:trPr>
        <w:tc>
          <w:tcPr>
            <w:tcW w:w="4305" w:type="dxa"/>
            <w:hideMark/>
          </w:tcPr>
          <w:p w14:paraId="45659495" w14:textId="77777777" w:rsidR="008C16B5" w:rsidRDefault="008C16B5" w:rsidP="00B322A7">
            <w:pPr>
              <w:pStyle w:val="NormalWeb"/>
              <w:keepNext/>
              <w:tabs>
                <w:tab w:val="right" w:leader="dot" w:pos="4620"/>
              </w:tabs>
              <w:spacing w:before="0" w:beforeAutospacing="0" w:after="0" w:afterAutospacing="0"/>
              <w:ind w:left="240" w:hanging="240"/>
              <w:rPr>
                <w:rFonts w:eastAsiaTheme="minorEastAsia"/>
                <w:sz w:val="18"/>
                <w:szCs w:val="18"/>
              </w:rPr>
            </w:pPr>
            <w:r>
              <w:rPr>
                <w:sz w:val="18"/>
                <w:szCs w:val="18"/>
              </w:rPr>
              <w:t>Intangible assets</w:t>
            </w:r>
            <w:r>
              <w:rPr>
                <w:sz w:val="18"/>
                <w:szCs w:val="18"/>
              </w:rPr>
              <w:tab/>
            </w:r>
          </w:p>
        </w:tc>
        <w:tc>
          <w:tcPr>
            <w:tcW w:w="1540" w:type="dxa"/>
            <w:noWrap/>
            <w:tcMar>
              <w:top w:w="0" w:type="dxa"/>
              <w:left w:w="144" w:type="dxa"/>
              <w:bottom w:w="0" w:type="dxa"/>
              <w:right w:w="0" w:type="dxa"/>
            </w:tcMar>
            <w:vAlign w:val="bottom"/>
            <w:hideMark/>
          </w:tcPr>
          <w:p w14:paraId="6501FA48"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30</w:t>
            </w:r>
          </w:p>
        </w:tc>
        <w:tc>
          <w:tcPr>
            <w:tcW w:w="1428" w:type="dxa"/>
            <w:noWrap/>
            <w:tcMar>
              <w:top w:w="0" w:type="dxa"/>
              <w:left w:w="144" w:type="dxa"/>
              <w:bottom w:w="0" w:type="dxa"/>
              <w:right w:w="0" w:type="dxa"/>
            </w:tcMar>
            <w:vAlign w:val="bottom"/>
            <w:hideMark/>
          </w:tcPr>
          <w:p w14:paraId="17EB9A6A"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14</w:t>
            </w:r>
          </w:p>
        </w:tc>
        <w:tc>
          <w:tcPr>
            <w:tcW w:w="1274" w:type="dxa"/>
            <w:noWrap/>
            <w:tcMar>
              <w:top w:w="0" w:type="dxa"/>
              <w:left w:w="144" w:type="dxa"/>
              <w:bottom w:w="0" w:type="dxa"/>
              <w:right w:w="0" w:type="dxa"/>
            </w:tcMar>
            <w:vAlign w:val="bottom"/>
            <w:hideMark/>
          </w:tcPr>
          <w:p w14:paraId="448F8A75"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12</w:t>
            </w:r>
          </w:p>
        </w:tc>
        <w:tc>
          <w:tcPr>
            <w:tcW w:w="1200" w:type="dxa"/>
            <w:noWrap/>
            <w:tcMar>
              <w:top w:w="0" w:type="dxa"/>
              <w:left w:w="144" w:type="dxa"/>
              <w:bottom w:w="0" w:type="dxa"/>
              <w:right w:w="0" w:type="dxa"/>
            </w:tcMar>
            <w:vAlign w:val="bottom"/>
            <w:hideMark/>
          </w:tcPr>
          <w:p w14:paraId="51BF7BF3"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57</w:t>
            </w:r>
          </w:p>
        </w:tc>
      </w:tr>
      <w:tr w:rsidR="008C16B5" w14:paraId="15A748FB" w14:textId="77777777" w:rsidTr="008C16B5">
        <w:trPr>
          <w:cantSplit/>
          <w:trHeight w:val="219"/>
          <w:jc w:val="center"/>
        </w:trPr>
        <w:tc>
          <w:tcPr>
            <w:tcW w:w="4305" w:type="dxa"/>
          </w:tcPr>
          <w:p w14:paraId="20C21A37" w14:textId="77777777" w:rsidR="008C16B5" w:rsidRDefault="008C16B5" w:rsidP="00B322A7">
            <w:pPr>
              <w:pStyle w:val="NormalWeb"/>
              <w:keepNext/>
              <w:tabs>
                <w:tab w:val="right" w:leader="dot" w:pos="4620"/>
              </w:tabs>
              <w:spacing w:before="0" w:beforeAutospacing="0" w:after="0" w:afterAutospacing="0"/>
              <w:ind w:left="240" w:hanging="240"/>
              <w:rPr>
                <w:sz w:val="18"/>
                <w:szCs w:val="18"/>
              </w:rPr>
            </w:pPr>
            <w:r>
              <w:rPr>
                <w:sz w:val="18"/>
                <w:szCs w:val="18"/>
              </w:rPr>
              <w:t>Investment properties</w:t>
            </w:r>
            <w:r>
              <w:rPr>
                <w:sz w:val="18"/>
                <w:szCs w:val="18"/>
              </w:rPr>
              <w:tab/>
            </w:r>
          </w:p>
        </w:tc>
        <w:tc>
          <w:tcPr>
            <w:tcW w:w="1540" w:type="dxa"/>
            <w:noWrap/>
            <w:tcMar>
              <w:top w:w="0" w:type="dxa"/>
              <w:left w:w="144" w:type="dxa"/>
              <w:bottom w:w="0" w:type="dxa"/>
              <w:right w:w="0" w:type="dxa"/>
            </w:tcMar>
            <w:vAlign w:val="bottom"/>
          </w:tcPr>
          <w:p w14:paraId="51747A9C"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500,186</w:t>
            </w:r>
          </w:p>
        </w:tc>
        <w:tc>
          <w:tcPr>
            <w:tcW w:w="1428" w:type="dxa"/>
            <w:noWrap/>
            <w:tcMar>
              <w:top w:w="0" w:type="dxa"/>
              <w:left w:w="144" w:type="dxa"/>
              <w:bottom w:w="0" w:type="dxa"/>
              <w:right w:w="0" w:type="dxa"/>
            </w:tcMar>
            <w:vAlign w:val="bottom"/>
          </w:tcPr>
          <w:p w14:paraId="7C908936"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550,262</w:t>
            </w:r>
          </w:p>
        </w:tc>
        <w:tc>
          <w:tcPr>
            <w:tcW w:w="1274" w:type="dxa"/>
            <w:noWrap/>
            <w:tcMar>
              <w:top w:w="0" w:type="dxa"/>
              <w:left w:w="144" w:type="dxa"/>
              <w:bottom w:w="0" w:type="dxa"/>
              <w:right w:w="0" w:type="dxa"/>
            </w:tcMar>
            <w:vAlign w:val="bottom"/>
          </w:tcPr>
          <w:p w14:paraId="4FECD4F4"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173,972</w:t>
            </w:r>
          </w:p>
        </w:tc>
        <w:tc>
          <w:tcPr>
            <w:tcW w:w="1200" w:type="dxa"/>
            <w:noWrap/>
            <w:tcMar>
              <w:top w:w="0" w:type="dxa"/>
              <w:left w:w="144" w:type="dxa"/>
              <w:bottom w:w="0" w:type="dxa"/>
              <w:right w:w="0" w:type="dxa"/>
            </w:tcMar>
            <w:vAlign w:val="bottom"/>
          </w:tcPr>
          <w:p w14:paraId="4BB263B1"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416,089</w:t>
            </w:r>
          </w:p>
        </w:tc>
      </w:tr>
      <w:tr w:rsidR="008C16B5" w14:paraId="5759ED91" w14:textId="77777777" w:rsidTr="008C16B5">
        <w:trPr>
          <w:cantSplit/>
          <w:trHeight w:val="219"/>
          <w:jc w:val="center"/>
        </w:trPr>
        <w:tc>
          <w:tcPr>
            <w:tcW w:w="4305" w:type="dxa"/>
          </w:tcPr>
          <w:p w14:paraId="4DA78A31" w14:textId="77777777" w:rsidR="008C16B5" w:rsidRDefault="008C16B5" w:rsidP="00B322A7">
            <w:pPr>
              <w:pStyle w:val="NormalWeb"/>
              <w:keepNext/>
              <w:tabs>
                <w:tab w:val="right" w:leader="dot" w:pos="4620"/>
              </w:tabs>
              <w:spacing w:before="0" w:beforeAutospacing="0" w:after="0" w:afterAutospacing="0"/>
              <w:ind w:left="240" w:hanging="240"/>
              <w:rPr>
                <w:sz w:val="18"/>
                <w:szCs w:val="18"/>
              </w:rPr>
            </w:pPr>
            <w:r>
              <w:rPr>
                <w:sz w:val="18"/>
                <w:szCs w:val="18"/>
              </w:rPr>
              <w:t>Property, plant and equipment</w:t>
            </w:r>
            <w:r>
              <w:rPr>
                <w:sz w:val="18"/>
                <w:szCs w:val="18"/>
              </w:rPr>
              <w:tab/>
            </w:r>
          </w:p>
        </w:tc>
        <w:tc>
          <w:tcPr>
            <w:tcW w:w="1540" w:type="dxa"/>
            <w:noWrap/>
            <w:tcMar>
              <w:top w:w="0" w:type="dxa"/>
              <w:left w:w="144" w:type="dxa"/>
              <w:bottom w:w="0" w:type="dxa"/>
              <w:right w:w="0" w:type="dxa"/>
            </w:tcMar>
            <w:vAlign w:val="bottom"/>
          </w:tcPr>
          <w:p w14:paraId="2F6D5ECE"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530</w:t>
            </w:r>
          </w:p>
        </w:tc>
        <w:tc>
          <w:tcPr>
            <w:tcW w:w="1428" w:type="dxa"/>
            <w:noWrap/>
            <w:tcMar>
              <w:top w:w="0" w:type="dxa"/>
              <w:left w:w="144" w:type="dxa"/>
              <w:bottom w:w="0" w:type="dxa"/>
              <w:right w:w="0" w:type="dxa"/>
            </w:tcMar>
            <w:vAlign w:val="bottom"/>
          </w:tcPr>
          <w:p w14:paraId="11DAD8FC"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517</w:t>
            </w:r>
          </w:p>
        </w:tc>
        <w:tc>
          <w:tcPr>
            <w:tcW w:w="1274" w:type="dxa"/>
            <w:noWrap/>
            <w:tcMar>
              <w:top w:w="0" w:type="dxa"/>
              <w:left w:w="144" w:type="dxa"/>
              <w:bottom w:w="0" w:type="dxa"/>
              <w:right w:w="0" w:type="dxa"/>
            </w:tcMar>
            <w:vAlign w:val="bottom"/>
          </w:tcPr>
          <w:p w14:paraId="13C2EE5A"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378</w:t>
            </w:r>
          </w:p>
        </w:tc>
        <w:tc>
          <w:tcPr>
            <w:tcW w:w="1200" w:type="dxa"/>
            <w:noWrap/>
            <w:tcMar>
              <w:top w:w="0" w:type="dxa"/>
              <w:left w:w="144" w:type="dxa"/>
              <w:bottom w:w="0" w:type="dxa"/>
              <w:right w:w="0" w:type="dxa"/>
            </w:tcMar>
            <w:vAlign w:val="bottom"/>
          </w:tcPr>
          <w:p w14:paraId="383EAC04"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370</w:t>
            </w:r>
          </w:p>
        </w:tc>
      </w:tr>
      <w:tr w:rsidR="008C16B5" w14:paraId="4D221304" w14:textId="77777777" w:rsidTr="008C16B5">
        <w:trPr>
          <w:cantSplit/>
          <w:trHeight w:val="219"/>
          <w:jc w:val="center"/>
        </w:trPr>
        <w:tc>
          <w:tcPr>
            <w:tcW w:w="4305" w:type="dxa"/>
          </w:tcPr>
          <w:p w14:paraId="2FFBC4E5" w14:textId="77777777" w:rsidR="008C16B5" w:rsidRDefault="008C16B5" w:rsidP="00B322A7">
            <w:pPr>
              <w:pStyle w:val="NormalWeb"/>
              <w:keepNext/>
              <w:tabs>
                <w:tab w:val="right" w:leader="dot" w:pos="4620"/>
              </w:tabs>
              <w:spacing w:before="0" w:beforeAutospacing="0" w:after="0" w:afterAutospacing="0"/>
              <w:ind w:left="240" w:hanging="240"/>
              <w:rPr>
                <w:sz w:val="18"/>
                <w:szCs w:val="18"/>
              </w:rPr>
            </w:pPr>
            <w:r>
              <w:rPr>
                <w:sz w:val="18"/>
                <w:szCs w:val="18"/>
              </w:rPr>
              <w:t>Non-current financial assets</w:t>
            </w:r>
            <w:r>
              <w:rPr>
                <w:sz w:val="18"/>
                <w:szCs w:val="18"/>
              </w:rPr>
              <w:tab/>
            </w:r>
          </w:p>
        </w:tc>
        <w:tc>
          <w:tcPr>
            <w:tcW w:w="1540" w:type="dxa"/>
            <w:noWrap/>
            <w:tcMar>
              <w:top w:w="0" w:type="dxa"/>
              <w:left w:w="144" w:type="dxa"/>
              <w:bottom w:w="0" w:type="dxa"/>
              <w:right w:w="0" w:type="dxa"/>
            </w:tcMar>
            <w:vAlign w:val="bottom"/>
          </w:tcPr>
          <w:p w14:paraId="68BD4A46"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782</w:t>
            </w:r>
          </w:p>
        </w:tc>
        <w:tc>
          <w:tcPr>
            <w:tcW w:w="1428" w:type="dxa"/>
            <w:noWrap/>
            <w:tcMar>
              <w:top w:w="0" w:type="dxa"/>
              <w:left w:w="144" w:type="dxa"/>
              <w:bottom w:w="0" w:type="dxa"/>
              <w:right w:w="0" w:type="dxa"/>
            </w:tcMar>
            <w:vAlign w:val="bottom"/>
          </w:tcPr>
          <w:p w14:paraId="40D74B67"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w:t>
            </w:r>
          </w:p>
        </w:tc>
        <w:tc>
          <w:tcPr>
            <w:tcW w:w="1274" w:type="dxa"/>
            <w:noWrap/>
            <w:tcMar>
              <w:top w:w="0" w:type="dxa"/>
              <w:left w:w="144" w:type="dxa"/>
              <w:bottom w:w="0" w:type="dxa"/>
              <w:right w:w="0" w:type="dxa"/>
            </w:tcMar>
            <w:vAlign w:val="bottom"/>
          </w:tcPr>
          <w:p w14:paraId="1E747E72"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216</w:t>
            </w:r>
          </w:p>
        </w:tc>
        <w:tc>
          <w:tcPr>
            <w:tcW w:w="1200" w:type="dxa"/>
            <w:noWrap/>
            <w:tcMar>
              <w:top w:w="0" w:type="dxa"/>
              <w:left w:w="144" w:type="dxa"/>
              <w:bottom w:w="0" w:type="dxa"/>
              <w:right w:w="0" w:type="dxa"/>
            </w:tcMar>
            <w:vAlign w:val="bottom"/>
          </w:tcPr>
          <w:p w14:paraId="76238E96"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w:t>
            </w:r>
          </w:p>
        </w:tc>
      </w:tr>
      <w:tr w:rsidR="008C16B5" w14:paraId="5E81143A" w14:textId="77777777" w:rsidTr="008C16B5">
        <w:trPr>
          <w:cantSplit/>
          <w:trHeight w:val="219"/>
          <w:jc w:val="center"/>
        </w:trPr>
        <w:tc>
          <w:tcPr>
            <w:tcW w:w="4305" w:type="dxa"/>
          </w:tcPr>
          <w:p w14:paraId="2F406A7A" w14:textId="77777777" w:rsidR="008C16B5" w:rsidRDefault="008C16B5" w:rsidP="00B322A7">
            <w:pPr>
              <w:pStyle w:val="NormalWeb"/>
              <w:keepNext/>
              <w:tabs>
                <w:tab w:val="right" w:leader="dot" w:pos="4620"/>
              </w:tabs>
              <w:spacing w:before="0" w:beforeAutospacing="0" w:after="0" w:afterAutospacing="0"/>
              <w:ind w:left="240" w:hanging="240"/>
              <w:rPr>
                <w:sz w:val="18"/>
                <w:szCs w:val="18"/>
              </w:rPr>
            </w:pPr>
            <w:r>
              <w:rPr>
                <w:sz w:val="18"/>
                <w:szCs w:val="18"/>
              </w:rPr>
              <w:t>Investments in joint venture and associates</w:t>
            </w:r>
            <w:r>
              <w:rPr>
                <w:sz w:val="18"/>
                <w:szCs w:val="18"/>
              </w:rPr>
              <w:tab/>
            </w:r>
          </w:p>
        </w:tc>
        <w:tc>
          <w:tcPr>
            <w:tcW w:w="1540" w:type="dxa"/>
            <w:noWrap/>
            <w:tcMar>
              <w:top w:w="0" w:type="dxa"/>
              <w:left w:w="144" w:type="dxa"/>
              <w:bottom w:w="0" w:type="dxa"/>
              <w:right w:w="0" w:type="dxa"/>
            </w:tcMar>
            <w:vAlign w:val="bottom"/>
          </w:tcPr>
          <w:p w14:paraId="5541A4FC"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130,254</w:t>
            </w:r>
          </w:p>
        </w:tc>
        <w:tc>
          <w:tcPr>
            <w:tcW w:w="1428" w:type="dxa"/>
            <w:noWrap/>
            <w:tcMar>
              <w:top w:w="0" w:type="dxa"/>
              <w:left w:w="144" w:type="dxa"/>
              <w:bottom w:w="0" w:type="dxa"/>
              <w:right w:w="0" w:type="dxa"/>
            </w:tcMar>
            <w:vAlign w:val="bottom"/>
          </w:tcPr>
          <w:p w14:paraId="52632925"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89,194</w:t>
            </w:r>
          </w:p>
        </w:tc>
        <w:tc>
          <w:tcPr>
            <w:tcW w:w="1274" w:type="dxa"/>
            <w:noWrap/>
            <w:tcMar>
              <w:top w:w="0" w:type="dxa"/>
              <w:left w:w="144" w:type="dxa"/>
              <w:bottom w:w="0" w:type="dxa"/>
              <w:right w:w="0" w:type="dxa"/>
            </w:tcMar>
            <w:vAlign w:val="bottom"/>
          </w:tcPr>
          <w:p w14:paraId="412E42DD"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(103)</w:t>
            </w:r>
          </w:p>
        </w:tc>
        <w:tc>
          <w:tcPr>
            <w:tcW w:w="1200" w:type="dxa"/>
            <w:noWrap/>
            <w:tcMar>
              <w:top w:w="0" w:type="dxa"/>
              <w:left w:w="144" w:type="dxa"/>
              <w:bottom w:w="0" w:type="dxa"/>
              <w:right w:w="0" w:type="dxa"/>
            </w:tcMar>
            <w:vAlign w:val="bottom"/>
          </w:tcPr>
          <w:p w14:paraId="26C7EAA2"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17</w:t>
            </w:r>
          </w:p>
        </w:tc>
      </w:tr>
      <w:tr w:rsidR="008C16B5" w14:paraId="19F51D77" w14:textId="77777777" w:rsidTr="008C16B5">
        <w:trPr>
          <w:cantSplit/>
          <w:trHeight w:val="219"/>
          <w:jc w:val="center"/>
        </w:trPr>
        <w:tc>
          <w:tcPr>
            <w:tcW w:w="4305" w:type="dxa"/>
          </w:tcPr>
          <w:p w14:paraId="18F1EAEF" w14:textId="77777777" w:rsidR="008C16B5" w:rsidRDefault="008C16B5" w:rsidP="00B322A7">
            <w:pPr>
              <w:pStyle w:val="NormalWeb"/>
              <w:keepNext/>
              <w:tabs>
                <w:tab w:val="right" w:leader="dot" w:pos="4620"/>
              </w:tabs>
              <w:spacing w:before="0" w:beforeAutospacing="0" w:after="0" w:afterAutospacing="0"/>
              <w:ind w:left="240" w:hanging="240"/>
              <w:rPr>
                <w:sz w:val="18"/>
                <w:szCs w:val="18"/>
              </w:rPr>
            </w:pPr>
            <w:r>
              <w:rPr>
                <w:sz w:val="18"/>
                <w:szCs w:val="18"/>
              </w:rPr>
              <w:t>Other non-current receivables</w:t>
            </w:r>
            <w:r>
              <w:rPr>
                <w:sz w:val="18"/>
                <w:szCs w:val="18"/>
              </w:rPr>
              <w:tab/>
            </w:r>
          </w:p>
        </w:tc>
        <w:tc>
          <w:tcPr>
            <w:tcW w:w="1540" w:type="dxa"/>
            <w:noWrap/>
            <w:tcMar>
              <w:top w:w="0" w:type="dxa"/>
              <w:left w:w="144" w:type="dxa"/>
              <w:bottom w:w="0" w:type="dxa"/>
              <w:right w:w="0" w:type="dxa"/>
            </w:tcMar>
            <w:vAlign w:val="bottom"/>
          </w:tcPr>
          <w:p w14:paraId="13CEA1F4"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16,232</w:t>
            </w:r>
          </w:p>
        </w:tc>
        <w:tc>
          <w:tcPr>
            <w:tcW w:w="1428" w:type="dxa"/>
            <w:noWrap/>
            <w:tcMar>
              <w:top w:w="0" w:type="dxa"/>
              <w:left w:w="144" w:type="dxa"/>
              <w:bottom w:w="0" w:type="dxa"/>
              <w:right w:w="0" w:type="dxa"/>
            </w:tcMar>
            <w:vAlign w:val="bottom"/>
          </w:tcPr>
          <w:p w14:paraId="7927B9EC"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8,315</w:t>
            </w:r>
          </w:p>
        </w:tc>
        <w:tc>
          <w:tcPr>
            <w:tcW w:w="1274" w:type="dxa"/>
            <w:noWrap/>
            <w:tcMar>
              <w:top w:w="0" w:type="dxa"/>
              <w:left w:w="144" w:type="dxa"/>
              <w:bottom w:w="0" w:type="dxa"/>
              <w:right w:w="0" w:type="dxa"/>
            </w:tcMar>
          </w:tcPr>
          <w:p w14:paraId="041479FD" w14:textId="77777777" w:rsidR="008C16B5" w:rsidRDefault="008C16B5" w:rsidP="00B322A7">
            <w:pPr>
              <w:jc w:val="right"/>
              <w:rPr>
                <w:sz w:val="18"/>
                <w:szCs w:val="18"/>
              </w:rPr>
            </w:pPr>
            <w:r>
              <w:rPr>
                <w:sz w:val="18"/>
                <w:szCs w:val="18"/>
              </w:rPr>
              <w:t>—</w:t>
            </w:r>
          </w:p>
        </w:tc>
        <w:tc>
          <w:tcPr>
            <w:tcW w:w="1200" w:type="dxa"/>
            <w:noWrap/>
            <w:tcMar>
              <w:top w:w="0" w:type="dxa"/>
              <w:left w:w="144" w:type="dxa"/>
              <w:bottom w:w="0" w:type="dxa"/>
              <w:right w:w="0" w:type="dxa"/>
            </w:tcMar>
            <w:vAlign w:val="bottom"/>
          </w:tcPr>
          <w:p w14:paraId="20989E14"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w:t>
            </w:r>
          </w:p>
        </w:tc>
      </w:tr>
      <w:tr w:rsidR="008C16B5" w14:paraId="53F7664B" w14:textId="77777777" w:rsidTr="008C16B5">
        <w:trPr>
          <w:cantSplit/>
          <w:trHeight w:val="219"/>
          <w:jc w:val="center"/>
        </w:trPr>
        <w:tc>
          <w:tcPr>
            <w:tcW w:w="4305" w:type="dxa"/>
          </w:tcPr>
          <w:p w14:paraId="6B781A8C" w14:textId="77777777" w:rsidR="008C16B5" w:rsidRDefault="008C16B5" w:rsidP="00B322A7">
            <w:pPr>
              <w:pStyle w:val="NormalWeb"/>
              <w:keepNext/>
              <w:tabs>
                <w:tab w:val="right" w:leader="dot" w:pos="4620"/>
              </w:tabs>
              <w:spacing w:before="0" w:beforeAutospacing="0" w:after="0" w:afterAutospacing="0"/>
              <w:ind w:left="240" w:hanging="240"/>
              <w:rPr>
                <w:sz w:val="18"/>
                <w:szCs w:val="18"/>
              </w:rPr>
            </w:pPr>
            <w:r>
              <w:rPr>
                <w:sz w:val="18"/>
                <w:szCs w:val="18"/>
              </w:rPr>
              <w:t>Deferred tax assets</w:t>
            </w:r>
            <w:r>
              <w:rPr>
                <w:sz w:val="18"/>
                <w:szCs w:val="18"/>
              </w:rPr>
              <w:tab/>
            </w:r>
          </w:p>
        </w:tc>
        <w:tc>
          <w:tcPr>
            <w:tcW w:w="1540" w:type="dxa"/>
            <w:noWrap/>
            <w:tcMar>
              <w:top w:w="0" w:type="dxa"/>
              <w:left w:w="144" w:type="dxa"/>
              <w:bottom w:w="0" w:type="dxa"/>
              <w:right w:w="0" w:type="dxa"/>
            </w:tcMar>
            <w:vAlign w:val="bottom"/>
          </w:tcPr>
          <w:p w14:paraId="799F4F29"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440</w:t>
            </w:r>
          </w:p>
        </w:tc>
        <w:tc>
          <w:tcPr>
            <w:tcW w:w="1428" w:type="dxa"/>
            <w:noWrap/>
            <w:tcMar>
              <w:top w:w="0" w:type="dxa"/>
              <w:left w:w="144" w:type="dxa"/>
              <w:bottom w:w="0" w:type="dxa"/>
              <w:right w:w="0" w:type="dxa"/>
            </w:tcMar>
            <w:vAlign w:val="bottom"/>
          </w:tcPr>
          <w:p w14:paraId="6FACE415"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w:t>
            </w:r>
          </w:p>
        </w:tc>
        <w:tc>
          <w:tcPr>
            <w:tcW w:w="1274" w:type="dxa"/>
            <w:noWrap/>
            <w:tcMar>
              <w:top w:w="0" w:type="dxa"/>
              <w:left w:w="144" w:type="dxa"/>
              <w:bottom w:w="0" w:type="dxa"/>
              <w:right w:w="0" w:type="dxa"/>
            </w:tcMar>
            <w:vAlign w:val="bottom"/>
          </w:tcPr>
          <w:p w14:paraId="56B6F423"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89</w:t>
            </w:r>
          </w:p>
        </w:tc>
        <w:tc>
          <w:tcPr>
            <w:tcW w:w="1200" w:type="dxa"/>
            <w:noWrap/>
            <w:tcMar>
              <w:top w:w="0" w:type="dxa"/>
              <w:left w:w="144" w:type="dxa"/>
              <w:bottom w:w="0" w:type="dxa"/>
              <w:right w:w="0" w:type="dxa"/>
            </w:tcMar>
            <w:vAlign w:val="bottom"/>
          </w:tcPr>
          <w:p w14:paraId="43C0BBF4"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258</w:t>
            </w:r>
          </w:p>
        </w:tc>
      </w:tr>
      <w:tr w:rsidR="008C16B5" w14:paraId="0F77CF6A" w14:textId="77777777" w:rsidTr="008C16B5">
        <w:trPr>
          <w:cantSplit/>
          <w:trHeight w:val="266"/>
          <w:jc w:val="center"/>
        </w:trPr>
        <w:tc>
          <w:tcPr>
            <w:tcW w:w="4305" w:type="dxa"/>
            <w:hideMark/>
          </w:tcPr>
          <w:p w14:paraId="551C1F3D" w14:textId="77777777" w:rsidR="008C16B5" w:rsidRDefault="008C16B5" w:rsidP="00B322A7">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Total non-current assets</w:t>
            </w:r>
            <w:r>
              <w:rPr>
                <w:b/>
                <w:bCs/>
                <w:sz w:val="18"/>
                <w:szCs w:val="18"/>
              </w:rPr>
              <w:tab/>
            </w:r>
          </w:p>
        </w:tc>
        <w:tc>
          <w:tcPr>
            <w:tcW w:w="1540" w:type="dxa"/>
            <w:noWrap/>
            <w:tcMar>
              <w:top w:w="0" w:type="dxa"/>
              <w:left w:w="144" w:type="dxa"/>
              <w:bottom w:w="0" w:type="dxa"/>
              <w:right w:w="0" w:type="dxa"/>
            </w:tcMar>
            <w:vAlign w:val="bottom"/>
          </w:tcPr>
          <w:p w14:paraId="32E758C1"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648,454</w:t>
            </w:r>
          </w:p>
        </w:tc>
        <w:tc>
          <w:tcPr>
            <w:tcW w:w="1428" w:type="dxa"/>
            <w:noWrap/>
            <w:tcMar>
              <w:top w:w="0" w:type="dxa"/>
              <w:left w:w="144" w:type="dxa"/>
              <w:bottom w:w="0" w:type="dxa"/>
              <w:right w:w="0" w:type="dxa"/>
            </w:tcMar>
            <w:vAlign w:val="bottom"/>
            <w:hideMark/>
          </w:tcPr>
          <w:p w14:paraId="7044A5AC"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648,310</w:t>
            </w:r>
          </w:p>
        </w:tc>
        <w:tc>
          <w:tcPr>
            <w:tcW w:w="1274" w:type="dxa"/>
            <w:noWrap/>
            <w:tcMar>
              <w:top w:w="0" w:type="dxa"/>
              <w:left w:w="144" w:type="dxa"/>
              <w:bottom w:w="0" w:type="dxa"/>
              <w:right w:w="0" w:type="dxa"/>
            </w:tcMar>
            <w:vAlign w:val="bottom"/>
            <w:hideMark/>
          </w:tcPr>
          <w:p w14:paraId="1494B538"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175,195</w:t>
            </w:r>
          </w:p>
        </w:tc>
        <w:tc>
          <w:tcPr>
            <w:tcW w:w="1200" w:type="dxa"/>
            <w:noWrap/>
            <w:tcMar>
              <w:top w:w="0" w:type="dxa"/>
              <w:left w:w="144" w:type="dxa"/>
              <w:bottom w:w="0" w:type="dxa"/>
              <w:right w:w="0" w:type="dxa"/>
            </w:tcMar>
            <w:vAlign w:val="bottom"/>
            <w:hideMark/>
          </w:tcPr>
          <w:p w14:paraId="27F8D107"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417,422</w:t>
            </w:r>
          </w:p>
        </w:tc>
      </w:tr>
      <w:tr w:rsidR="008C16B5" w14:paraId="37558110" w14:textId="77777777" w:rsidTr="008C16B5">
        <w:trPr>
          <w:cantSplit/>
          <w:trHeight w:val="279"/>
          <w:jc w:val="center"/>
        </w:trPr>
        <w:tc>
          <w:tcPr>
            <w:tcW w:w="4305" w:type="dxa"/>
            <w:hideMark/>
          </w:tcPr>
          <w:p w14:paraId="025CCF22" w14:textId="77777777" w:rsidR="008C16B5" w:rsidRDefault="008C16B5" w:rsidP="00B322A7">
            <w:pPr>
              <w:pStyle w:val="NormalWeb"/>
              <w:tabs>
                <w:tab w:val="right" w:leader="dot" w:pos="4620"/>
              </w:tabs>
              <w:spacing w:before="0" w:beforeAutospacing="0" w:after="0" w:afterAutospacing="0"/>
              <w:ind w:left="240" w:hanging="240"/>
              <w:rPr>
                <w:rFonts w:eastAsiaTheme="minorEastAsia"/>
                <w:sz w:val="18"/>
                <w:szCs w:val="18"/>
              </w:rPr>
            </w:pPr>
            <w:r>
              <w:rPr>
                <w:bCs/>
                <w:sz w:val="18"/>
                <w:szCs w:val="18"/>
              </w:rPr>
              <w:t>Trade and other receivables</w:t>
            </w:r>
            <w:r>
              <w:rPr>
                <w:bCs/>
                <w:sz w:val="18"/>
                <w:szCs w:val="18"/>
              </w:rPr>
              <w:tab/>
            </w:r>
          </w:p>
        </w:tc>
        <w:tc>
          <w:tcPr>
            <w:tcW w:w="1540" w:type="dxa"/>
            <w:noWrap/>
            <w:tcMar>
              <w:top w:w="0" w:type="dxa"/>
              <w:left w:w="144" w:type="dxa"/>
              <w:bottom w:w="0" w:type="dxa"/>
              <w:right w:w="0" w:type="dxa"/>
            </w:tcMar>
            <w:vAlign w:val="bottom"/>
          </w:tcPr>
          <w:p w14:paraId="3D82F29D"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42,209</w:t>
            </w:r>
          </w:p>
        </w:tc>
        <w:tc>
          <w:tcPr>
            <w:tcW w:w="1428" w:type="dxa"/>
            <w:noWrap/>
            <w:tcMar>
              <w:top w:w="0" w:type="dxa"/>
              <w:left w:w="144" w:type="dxa"/>
              <w:bottom w:w="0" w:type="dxa"/>
              <w:right w:w="0" w:type="dxa"/>
            </w:tcMar>
            <w:vAlign w:val="bottom"/>
            <w:hideMark/>
          </w:tcPr>
          <w:p w14:paraId="63A251C5"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19,426</w:t>
            </w:r>
          </w:p>
        </w:tc>
        <w:tc>
          <w:tcPr>
            <w:tcW w:w="1274" w:type="dxa"/>
            <w:noWrap/>
            <w:tcMar>
              <w:top w:w="0" w:type="dxa"/>
              <w:left w:w="144" w:type="dxa"/>
              <w:bottom w:w="0" w:type="dxa"/>
              <w:right w:w="0" w:type="dxa"/>
            </w:tcMar>
            <w:vAlign w:val="bottom"/>
            <w:hideMark/>
          </w:tcPr>
          <w:p w14:paraId="6527D026"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4,927</w:t>
            </w:r>
          </w:p>
        </w:tc>
        <w:tc>
          <w:tcPr>
            <w:tcW w:w="1200" w:type="dxa"/>
            <w:noWrap/>
            <w:tcMar>
              <w:top w:w="0" w:type="dxa"/>
              <w:left w:w="144" w:type="dxa"/>
              <w:bottom w:w="0" w:type="dxa"/>
              <w:right w:w="0" w:type="dxa"/>
            </w:tcMar>
            <w:vAlign w:val="bottom"/>
            <w:hideMark/>
          </w:tcPr>
          <w:p w14:paraId="43693CFD"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6,822</w:t>
            </w:r>
          </w:p>
        </w:tc>
      </w:tr>
      <w:tr w:rsidR="008C16B5" w14:paraId="0AD6F3E0" w14:textId="77777777" w:rsidTr="008C16B5">
        <w:trPr>
          <w:cantSplit/>
          <w:trHeight w:val="261"/>
          <w:jc w:val="center"/>
        </w:trPr>
        <w:tc>
          <w:tcPr>
            <w:tcW w:w="4305" w:type="dxa"/>
            <w:hideMark/>
          </w:tcPr>
          <w:p w14:paraId="664523C5" w14:textId="77777777" w:rsidR="008C16B5" w:rsidRDefault="008C16B5" w:rsidP="00B322A7">
            <w:pPr>
              <w:pStyle w:val="NormalWeb"/>
              <w:tabs>
                <w:tab w:val="right" w:leader="dot" w:pos="4620"/>
              </w:tabs>
              <w:spacing w:before="0" w:beforeAutospacing="0" w:after="0" w:afterAutospacing="0"/>
              <w:ind w:left="240" w:hanging="240"/>
              <w:rPr>
                <w:rFonts w:eastAsiaTheme="minorEastAsia"/>
                <w:sz w:val="18"/>
                <w:szCs w:val="18"/>
              </w:rPr>
            </w:pPr>
            <w:r>
              <w:rPr>
                <w:sz w:val="18"/>
                <w:szCs w:val="18"/>
              </w:rPr>
              <w:t>Cash and cash equivalents</w:t>
            </w:r>
            <w:r>
              <w:rPr>
                <w:sz w:val="18"/>
                <w:szCs w:val="18"/>
              </w:rPr>
              <w:tab/>
            </w:r>
          </w:p>
        </w:tc>
        <w:tc>
          <w:tcPr>
            <w:tcW w:w="1540" w:type="dxa"/>
            <w:noWrap/>
            <w:tcMar>
              <w:top w:w="0" w:type="dxa"/>
              <w:left w:w="144" w:type="dxa"/>
              <w:bottom w:w="0" w:type="dxa"/>
              <w:right w:w="0" w:type="dxa"/>
            </w:tcMar>
            <w:vAlign w:val="bottom"/>
          </w:tcPr>
          <w:p w14:paraId="057A180F"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141,545</w:t>
            </w:r>
          </w:p>
        </w:tc>
        <w:tc>
          <w:tcPr>
            <w:tcW w:w="1428" w:type="dxa"/>
            <w:noWrap/>
            <w:tcMar>
              <w:top w:w="0" w:type="dxa"/>
              <w:left w:w="144" w:type="dxa"/>
              <w:bottom w:w="0" w:type="dxa"/>
              <w:right w:w="0" w:type="dxa"/>
            </w:tcMar>
            <w:vAlign w:val="bottom"/>
            <w:hideMark/>
          </w:tcPr>
          <w:p w14:paraId="37F9A29C"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71,595</w:t>
            </w:r>
          </w:p>
        </w:tc>
        <w:tc>
          <w:tcPr>
            <w:tcW w:w="1274" w:type="dxa"/>
            <w:noWrap/>
            <w:tcMar>
              <w:top w:w="0" w:type="dxa"/>
              <w:left w:w="144" w:type="dxa"/>
              <w:bottom w:w="0" w:type="dxa"/>
              <w:right w:w="0" w:type="dxa"/>
            </w:tcMar>
            <w:vAlign w:val="bottom"/>
            <w:hideMark/>
          </w:tcPr>
          <w:p w14:paraId="7EE0061F"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9,825</w:t>
            </w:r>
          </w:p>
        </w:tc>
        <w:tc>
          <w:tcPr>
            <w:tcW w:w="1200" w:type="dxa"/>
            <w:noWrap/>
            <w:tcMar>
              <w:top w:w="0" w:type="dxa"/>
              <w:left w:w="144" w:type="dxa"/>
              <w:bottom w:w="0" w:type="dxa"/>
              <w:right w:w="0" w:type="dxa"/>
            </w:tcMar>
            <w:vAlign w:val="bottom"/>
            <w:hideMark/>
          </w:tcPr>
          <w:p w14:paraId="7357D017"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43,595</w:t>
            </w:r>
          </w:p>
        </w:tc>
      </w:tr>
      <w:tr w:rsidR="008C16B5" w14:paraId="484D3D53" w14:textId="77777777" w:rsidTr="008C16B5">
        <w:trPr>
          <w:cantSplit/>
          <w:trHeight w:val="270"/>
          <w:jc w:val="center"/>
        </w:trPr>
        <w:tc>
          <w:tcPr>
            <w:tcW w:w="4305" w:type="dxa"/>
            <w:hideMark/>
          </w:tcPr>
          <w:p w14:paraId="7356930B" w14:textId="77777777" w:rsidR="008C16B5" w:rsidRDefault="008C16B5" w:rsidP="00B322A7">
            <w:pPr>
              <w:pStyle w:val="NormalWeb"/>
              <w:tabs>
                <w:tab w:val="right" w:leader="dot" w:pos="4620"/>
              </w:tabs>
              <w:spacing w:before="0" w:beforeAutospacing="0" w:after="0" w:afterAutospacing="0"/>
              <w:ind w:left="240" w:hanging="240"/>
              <w:rPr>
                <w:rFonts w:eastAsiaTheme="minorEastAsia"/>
                <w:sz w:val="18"/>
                <w:szCs w:val="18"/>
              </w:rPr>
            </w:pPr>
            <w:r>
              <w:rPr>
                <w:sz w:val="18"/>
                <w:szCs w:val="18"/>
              </w:rPr>
              <w:t>Disposal group held for sale</w:t>
            </w:r>
            <w:r>
              <w:rPr>
                <w:sz w:val="18"/>
                <w:szCs w:val="18"/>
              </w:rPr>
              <w:tab/>
            </w:r>
          </w:p>
        </w:tc>
        <w:tc>
          <w:tcPr>
            <w:tcW w:w="1540" w:type="dxa"/>
            <w:noWrap/>
            <w:tcMar>
              <w:top w:w="0" w:type="dxa"/>
              <w:left w:w="144" w:type="dxa"/>
              <w:bottom w:w="0" w:type="dxa"/>
              <w:right w:w="0" w:type="dxa"/>
            </w:tcMar>
            <w:vAlign w:val="bottom"/>
          </w:tcPr>
          <w:p w14:paraId="5B53EF73"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190,227</w:t>
            </w:r>
          </w:p>
        </w:tc>
        <w:tc>
          <w:tcPr>
            <w:tcW w:w="1428" w:type="dxa"/>
            <w:noWrap/>
            <w:tcMar>
              <w:top w:w="0" w:type="dxa"/>
              <w:left w:w="144" w:type="dxa"/>
              <w:bottom w:w="0" w:type="dxa"/>
              <w:right w:w="0" w:type="dxa"/>
            </w:tcMar>
            <w:vAlign w:val="bottom"/>
            <w:hideMark/>
          </w:tcPr>
          <w:p w14:paraId="3E1602B1"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132,263</w:t>
            </w:r>
          </w:p>
        </w:tc>
        <w:tc>
          <w:tcPr>
            <w:tcW w:w="1274" w:type="dxa"/>
            <w:noWrap/>
            <w:tcMar>
              <w:top w:w="0" w:type="dxa"/>
              <w:left w:w="144" w:type="dxa"/>
              <w:bottom w:w="0" w:type="dxa"/>
              <w:right w:w="0" w:type="dxa"/>
            </w:tcMar>
            <w:vAlign w:val="bottom"/>
            <w:hideMark/>
          </w:tcPr>
          <w:p w14:paraId="6D721A10"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527,361</w:t>
            </w:r>
          </w:p>
        </w:tc>
        <w:tc>
          <w:tcPr>
            <w:tcW w:w="1200" w:type="dxa"/>
            <w:noWrap/>
            <w:tcMar>
              <w:top w:w="0" w:type="dxa"/>
              <w:left w:w="144" w:type="dxa"/>
              <w:bottom w:w="0" w:type="dxa"/>
              <w:right w:w="0" w:type="dxa"/>
            </w:tcMar>
            <w:vAlign w:val="bottom"/>
            <w:hideMark/>
          </w:tcPr>
          <w:p w14:paraId="4D5EC8E1"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w:t>
            </w:r>
          </w:p>
        </w:tc>
      </w:tr>
      <w:tr w:rsidR="008C16B5" w14:paraId="5FD0AB88" w14:textId="77777777" w:rsidTr="008C16B5">
        <w:trPr>
          <w:cantSplit/>
          <w:trHeight w:val="189"/>
          <w:jc w:val="center"/>
        </w:trPr>
        <w:tc>
          <w:tcPr>
            <w:tcW w:w="4305" w:type="dxa"/>
            <w:hideMark/>
          </w:tcPr>
          <w:p w14:paraId="56366DF8" w14:textId="77777777" w:rsidR="008C16B5" w:rsidRDefault="008C16B5" w:rsidP="00B322A7">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Total current assets</w:t>
            </w:r>
            <w:r>
              <w:rPr>
                <w:b/>
                <w:bCs/>
                <w:sz w:val="18"/>
                <w:szCs w:val="18"/>
              </w:rPr>
              <w:tab/>
            </w:r>
          </w:p>
        </w:tc>
        <w:tc>
          <w:tcPr>
            <w:tcW w:w="1540" w:type="dxa"/>
            <w:noWrap/>
            <w:tcMar>
              <w:top w:w="0" w:type="dxa"/>
              <w:left w:w="144" w:type="dxa"/>
              <w:bottom w:w="0" w:type="dxa"/>
              <w:right w:w="0" w:type="dxa"/>
            </w:tcMar>
            <w:vAlign w:val="bottom"/>
            <w:hideMark/>
          </w:tcPr>
          <w:p w14:paraId="0125B49D"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b/>
                <w:bCs/>
                <w:sz w:val="18"/>
                <w:szCs w:val="18"/>
              </w:rPr>
              <w:t>373,981</w:t>
            </w:r>
          </w:p>
        </w:tc>
        <w:tc>
          <w:tcPr>
            <w:tcW w:w="1428" w:type="dxa"/>
            <w:noWrap/>
            <w:tcMar>
              <w:top w:w="0" w:type="dxa"/>
              <w:left w:w="144" w:type="dxa"/>
              <w:bottom w:w="0" w:type="dxa"/>
              <w:right w:w="0" w:type="dxa"/>
            </w:tcMar>
            <w:vAlign w:val="bottom"/>
            <w:hideMark/>
          </w:tcPr>
          <w:p w14:paraId="1E8EA5A2"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223,284</w:t>
            </w:r>
          </w:p>
        </w:tc>
        <w:tc>
          <w:tcPr>
            <w:tcW w:w="1274" w:type="dxa"/>
            <w:noWrap/>
            <w:tcMar>
              <w:top w:w="0" w:type="dxa"/>
              <w:left w:w="144" w:type="dxa"/>
              <w:bottom w:w="0" w:type="dxa"/>
              <w:right w:w="0" w:type="dxa"/>
            </w:tcMar>
            <w:vAlign w:val="bottom"/>
            <w:hideMark/>
          </w:tcPr>
          <w:p w14:paraId="6174ECFA"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542,113</w:t>
            </w:r>
          </w:p>
        </w:tc>
        <w:tc>
          <w:tcPr>
            <w:tcW w:w="1200" w:type="dxa"/>
            <w:noWrap/>
            <w:tcMar>
              <w:top w:w="0" w:type="dxa"/>
              <w:left w:w="144" w:type="dxa"/>
              <w:bottom w:w="0" w:type="dxa"/>
              <w:right w:w="0" w:type="dxa"/>
            </w:tcMar>
            <w:vAlign w:val="bottom"/>
            <w:hideMark/>
          </w:tcPr>
          <w:p w14:paraId="5DB40FD8"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50,417</w:t>
            </w:r>
          </w:p>
        </w:tc>
      </w:tr>
      <w:tr w:rsidR="008C16B5" w14:paraId="77AD336C" w14:textId="77777777" w:rsidTr="008C16B5">
        <w:trPr>
          <w:cantSplit/>
          <w:trHeight w:val="243"/>
          <w:jc w:val="center"/>
        </w:trPr>
        <w:tc>
          <w:tcPr>
            <w:tcW w:w="4305" w:type="dxa"/>
            <w:hideMark/>
          </w:tcPr>
          <w:p w14:paraId="635166FB" w14:textId="77777777" w:rsidR="008C16B5" w:rsidRDefault="008C16B5" w:rsidP="00B322A7">
            <w:pPr>
              <w:pStyle w:val="NormalWeb"/>
              <w:tabs>
                <w:tab w:val="right" w:leader="dot" w:pos="4620"/>
              </w:tabs>
              <w:spacing w:before="0" w:beforeAutospacing="0" w:after="0" w:afterAutospacing="0"/>
              <w:ind w:left="240" w:hanging="240"/>
              <w:rPr>
                <w:rFonts w:eastAsiaTheme="minorEastAsia"/>
                <w:sz w:val="18"/>
                <w:szCs w:val="18"/>
              </w:rPr>
            </w:pPr>
            <w:r>
              <w:rPr>
                <w:b/>
                <w:bCs/>
                <w:sz w:val="18"/>
                <w:szCs w:val="18"/>
              </w:rPr>
              <w:t>Total assets</w:t>
            </w:r>
            <w:r>
              <w:rPr>
                <w:b/>
                <w:bCs/>
                <w:sz w:val="18"/>
                <w:szCs w:val="18"/>
              </w:rPr>
              <w:tab/>
            </w:r>
          </w:p>
        </w:tc>
        <w:tc>
          <w:tcPr>
            <w:tcW w:w="1540" w:type="dxa"/>
            <w:noWrap/>
            <w:tcMar>
              <w:top w:w="0" w:type="dxa"/>
              <w:left w:w="144" w:type="dxa"/>
              <w:bottom w:w="0" w:type="dxa"/>
              <w:right w:w="0" w:type="dxa"/>
            </w:tcMar>
            <w:vAlign w:val="bottom"/>
          </w:tcPr>
          <w:p w14:paraId="44E89E93"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1,022,435</w:t>
            </w:r>
          </w:p>
        </w:tc>
        <w:tc>
          <w:tcPr>
            <w:tcW w:w="1428" w:type="dxa"/>
            <w:noWrap/>
            <w:tcMar>
              <w:top w:w="0" w:type="dxa"/>
              <w:left w:w="144" w:type="dxa"/>
              <w:bottom w:w="0" w:type="dxa"/>
              <w:right w:w="0" w:type="dxa"/>
            </w:tcMar>
            <w:vAlign w:val="bottom"/>
            <w:hideMark/>
          </w:tcPr>
          <w:p w14:paraId="2B183CC1"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871,594</w:t>
            </w:r>
          </w:p>
        </w:tc>
        <w:tc>
          <w:tcPr>
            <w:tcW w:w="1274" w:type="dxa"/>
            <w:noWrap/>
            <w:tcMar>
              <w:top w:w="0" w:type="dxa"/>
              <w:left w:w="144" w:type="dxa"/>
              <w:bottom w:w="0" w:type="dxa"/>
              <w:right w:w="0" w:type="dxa"/>
            </w:tcMar>
            <w:vAlign w:val="bottom"/>
            <w:hideMark/>
          </w:tcPr>
          <w:p w14:paraId="5BDF794D"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717,308</w:t>
            </w:r>
          </w:p>
        </w:tc>
        <w:tc>
          <w:tcPr>
            <w:tcW w:w="1200" w:type="dxa"/>
            <w:noWrap/>
            <w:tcMar>
              <w:top w:w="0" w:type="dxa"/>
              <w:left w:w="144" w:type="dxa"/>
              <w:bottom w:w="0" w:type="dxa"/>
              <w:right w:w="0" w:type="dxa"/>
            </w:tcMar>
            <w:vAlign w:val="bottom"/>
            <w:hideMark/>
          </w:tcPr>
          <w:p w14:paraId="273D59DD"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467,839</w:t>
            </w:r>
          </w:p>
        </w:tc>
      </w:tr>
      <w:tr w:rsidR="008C16B5" w14:paraId="36F4278C" w14:textId="77777777" w:rsidTr="008C16B5">
        <w:trPr>
          <w:cantSplit/>
          <w:trHeight w:val="261"/>
          <w:jc w:val="center"/>
        </w:trPr>
        <w:tc>
          <w:tcPr>
            <w:tcW w:w="4305" w:type="dxa"/>
            <w:hideMark/>
          </w:tcPr>
          <w:p w14:paraId="4A9AA2A8" w14:textId="77777777" w:rsidR="008C16B5" w:rsidRDefault="008C16B5" w:rsidP="00B322A7">
            <w:pPr>
              <w:pStyle w:val="NormalWeb"/>
              <w:tabs>
                <w:tab w:val="right" w:leader="dot" w:pos="4620"/>
              </w:tabs>
              <w:spacing w:before="0" w:beforeAutospacing="0" w:after="0" w:afterAutospacing="0"/>
              <w:ind w:left="240" w:hanging="240"/>
              <w:rPr>
                <w:rFonts w:eastAsiaTheme="minorEastAsia"/>
                <w:i/>
                <w:sz w:val="18"/>
                <w:szCs w:val="18"/>
              </w:rPr>
            </w:pPr>
            <w:r>
              <w:rPr>
                <w:i/>
                <w:sz w:val="18"/>
                <w:szCs w:val="18"/>
              </w:rPr>
              <w:t>Shareholders' equity and liabilities:</w:t>
            </w:r>
          </w:p>
        </w:tc>
        <w:tc>
          <w:tcPr>
            <w:tcW w:w="5442" w:type="dxa"/>
            <w:gridSpan w:val="4"/>
            <w:noWrap/>
            <w:tcMar>
              <w:top w:w="0" w:type="dxa"/>
              <w:left w:w="144" w:type="dxa"/>
              <w:bottom w:w="0" w:type="dxa"/>
              <w:right w:w="0" w:type="dxa"/>
            </w:tcMar>
            <w:vAlign w:val="bottom"/>
            <w:hideMark/>
          </w:tcPr>
          <w:p w14:paraId="295EDA94"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p>
        </w:tc>
      </w:tr>
      <w:tr w:rsidR="008C16B5" w14:paraId="79BF1D0C" w14:textId="77777777" w:rsidTr="008C16B5">
        <w:trPr>
          <w:cantSplit/>
          <w:trHeight w:val="261"/>
          <w:jc w:val="center"/>
        </w:trPr>
        <w:tc>
          <w:tcPr>
            <w:tcW w:w="4305" w:type="dxa"/>
          </w:tcPr>
          <w:p w14:paraId="4F9E0026" w14:textId="77777777" w:rsidR="008C16B5" w:rsidRDefault="008C16B5" w:rsidP="00B322A7">
            <w:pPr>
              <w:pStyle w:val="NormalWeb"/>
              <w:tabs>
                <w:tab w:val="right" w:leader="dot" w:pos="4620"/>
              </w:tabs>
              <w:spacing w:before="0" w:beforeAutospacing="0" w:after="0" w:afterAutospacing="0"/>
              <w:ind w:left="240" w:hanging="240"/>
              <w:rPr>
                <w:sz w:val="18"/>
                <w:szCs w:val="18"/>
              </w:rPr>
            </w:pPr>
            <w:r>
              <w:rPr>
                <w:sz w:val="18"/>
                <w:szCs w:val="18"/>
              </w:rPr>
              <w:t>Share capital</w:t>
            </w:r>
            <w:r>
              <w:rPr>
                <w:sz w:val="18"/>
                <w:szCs w:val="18"/>
              </w:rPr>
              <w:tab/>
            </w:r>
          </w:p>
        </w:tc>
        <w:tc>
          <w:tcPr>
            <w:tcW w:w="1540" w:type="dxa"/>
            <w:noWrap/>
            <w:tcMar>
              <w:top w:w="0" w:type="dxa"/>
              <w:left w:w="144" w:type="dxa"/>
              <w:bottom w:w="0" w:type="dxa"/>
              <w:right w:w="0" w:type="dxa"/>
            </w:tcMar>
            <w:vAlign w:val="bottom"/>
          </w:tcPr>
          <w:p w14:paraId="7B7886EC"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62,251</w:t>
            </w:r>
          </w:p>
        </w:tc>
        <w:tc>
          <w:tcPr>
            <w:tcW w:w="1428" w:type="dxa"/>
            <w:noWrap/>
            <w:tcMar>
              <w:top w:w="0" w:type="dxa"/>
              <w:left w:w="144" w:type="dxa"/>
              <w:bottom w:w="0" w:type="dxa"/>
              <w:right w:w="0" w:type="dxa"/>
            </w:tcMar>
            <w:vAlign w:val="bottom"/>
          </w:tcPr>
          <w:p w14:paraId="59DCF2C2"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62,251</w:t>
            </w:r>
          </w:p>
        </w:tc>
        <w:tc>
          <w:tcPr>
            <w:tcW w:w="1274" w:type="dxa"/>
            <w:noWrap/>
            <w:tcMar>
              <w:top w:w="0" w:type="dxa"/>
              <w:left w:w="144" w:type="dxa"/>
              <w:bottom w:w="0" w:type="dxa"/>
              <w:right w:w="0" w:type="dxa"/>
            </w:tcMar>
            <w:vAlign w:val="bottom"/>
          </w:tcPr>
          <w:p w14:paraId="0C59F364"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62,251</w:t>
            </w:r>
          </w:p>
        </w:tc>
        <w:tc>
          <w:tcPr>
            <w:tcW w:w="1200" w:type="dxa"/>
            <w:noWrap/>
            <w:tcMar>
              <w:top w:w="0" w:type="dxa"/>
              <w:left w:w="144" w:type="dxa"/>
              <w:bottom w:w="0" w:type="dxa"/>
              <w:right w:w="0" w:type="dxa"/>
            </w:tcMar>
            <w:vAlign w:val="bottom"/>
          </w:tcPr>
          <w:p w14:paraId="71DB00EB"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62,251</w:t>
            </w:r>
          </w:p>
        </w:tc>
      </w:tr>
      <w:tr w:rsidR="008C16B5" w14:paraId="0C5B4934" w14:textId="77777777" w:rsidTr="008C16B5">
        <w:trPr>
          <w:cantSplit/>
          <w:trHeight w:val="261"/>
          <w:jc w:val="center"/>
        </w:trPr>
        <w:tc>
          <w:tcPr>
            <w:tcW w:w="4305" w:type="dxa"/>
          </w:tcPr>
          <w:p w14:paraId="33CA41EE" w14:textId="77777777" w:rsidR="008C16B5" w:rsidRDefault="008C16B5" w:rsidP="00B322A7">
            <w:pPr>
              <w:pStyle w:val="NormalWeb"/>
              <w:tabs>
                <w:tab w:val="right" w:leader="dot" w:pos="4620"/>
              </w:tabs>
              <w:spacing w:before="0" w:beforeAutospacing="0" w:after="0" w:afterAutospacing="0"/>
              <w:ind w:left="240" w:hanging="240"/>
              <w:rPr>
                <w:sz w:val="18"/>
                <w:szCs w:val="18"/>
              </w:rPr>
            </w:pPr>
            <w:r>
              <w:rPr>
                <w:sz w:val="18"/>
                <w:szCs w:val="18"/>
              </w:rPr>
              <w:t>Retained Earnings</w:t>
            </w:r>
            <w:r>
              <w:rPr>
                <w:sz w:val="18"/>
                <w:szCs w:val="18"/>
              </w:rPr>
              <w:tab/>
            </w:r>
          </w:p>
        </w:tc>
        <w:tc>
          <w:tcPr>
            <w:tcW w:w="1540" w:type="dxa"/>
            <w:noWrap/>
            <w:tcMar>
              <w:top w:w="0" w:type="dxa"/>
              <w:left w:w="144" w:type="dxa"/>
              <w:bottom w:w="0" w:type="dxa"/>
              <w:right w:w="0" w:type="dxa"/>
            </w:tcMar>
            <w:vAlign w:val="bottom"/>
          </w:tcPr>
          <w:p w14:paraId="715028F1"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bCs/>
                <w:sz w:val="18"/>
                <w:szCs w:val="18"/>
              </w:rPr>
              <w:t>370,372</w:t>
            </w:r>
          </w:p>
        </w:tc>
        <w:tc>
          <w:tcPr>
            <w:tcW w:w="1428" w:type="dxa"/>
            <w:noWrap/>
            <w:tcMar>
              <w:top w:w="0" w:type="dxa"/>
              <w:left w:w="144" w:type="dxa"/>
              <w:bottom w:w="0" w:type="dxa"/>
              <w:right w:w="0" w:type="dxa"/>
            </w:tcMar>
            <w:vAlign w:val="bottom"/>
          </w:tcPr>
          <w:p w14:paraId="2B3F8B74"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327,985</w:t>
            </w:r>
          </w:p>
        </w:tc>
        <w:tc>
          <w:tcPr>
            <w:tcW w:w="1274" w:type="dxa"/>
            <w:noWrap/>
            <w:tcMar>
              <w:top w:w="0" w:type="dxa"/>
              <w:left w:w="144" w:type="dxa"/>
              <w:bottom w:w="0" w:type="dxa"/>
              <w:right w:w="0" w:type="dxa"/>
            </w:tcMar>
            <w:vAlign w:val="bottom"/>
          </w:tcPr>
          <w:p w14:paraId="3FD5BC2E"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239,658</w:t>
            </w:r>
          </w:p>
        </w:tc>
        <w:tc>
          <w:tcPr>
            <w:tcW w:w="1200" w:type="dxa"/>
            <w:noWrap/>
            <w:tcMar>
              <w:top w:w="0" w:type="dxa"/>
              <w:left w:w="144" w:type="dxa"/>
              <w:bottom w:w="0" w:type="dxa"/>
              <w:right w:w="0" w:type="dxa"/>
            </w:tcMar>
            <w:vAlign w:val="bottom"/>
          </w:tcPr>
          <w:p w14:paraId="05A0FECA"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153,097</w:t>
            </w:r>
          </w:p>
        </w:tc>
      </w:tr>
      <w:tr w:rsidR="008C16B5" w14:paraId="554A810B" w14:textId="77777777" w:rsidTr="008C16B5">
        <w:trPr>
          <w:cantSplit/>
          <w:trHeight w:val="261"/>
          <w:jc w:val="center"/>
        </w:trPr>
        <w:tc>
          <w:tcPr>
            <w:tcW w:w="4305" w:type="dxa"/>
          </w:tcPr>
          <w:p w14:paraId="2513FDC0" w14:textId="77777777" w:rsidR="008C16B5" w:rsidRDefault="008C16B5" w:rsidP="00B322A7">
            <w:pPr>
              <w:pStyle w:val="NormalWeb"/>
              <w:tabs>
                <w:tab w:val="right" w:leader="dot" w:pos="4620"/>
              </w:tabs>
              <w:spacing w:before="0" w:beforeAutospacing="0" w:after="0" w:afterAutospacing="0"/>
              <w:ind w:left="240" w:hanging="240"/>
              <w:rPr>
                <w:sz w:val="18"/>
                <w:szCs w:val="18"/>
              </w:rPr>
            </w:pPr>
            <w:r>
              <w:rPr>
                <w:sz w:val="18"/>
                <w:szCs w:val="18"/>
              </w:rPr>
              <w:t>Other reserves</w:t>
            </w:r>
            <w:r>
              <w:rPr>
                <w:sz w:val="18"/>
                <w:szCs w:val="18"/>
              </w:rPr>
              <w:tab/>
            </w:r>
          </w:p>
        </w:tc>
        <w:tc>
          <w:tcPr>
            <w:tcW w:w="1540" w:type="dxa"/>
            <w:noWrap/>
            <w:tcMar>
              <w:top w:w="0" w:type="dxa"/>
              <w:left w:w="144" w:type="dxa"/>
              <w:bottom w:w="0" w:type="dxa"/>
              <w:right w:w="0" w:type="dxa"/>
            </w:tcMar>
            <w:vAlign w:val="bottom"/>
          </w:tcPr>
          <w:p w14:paraId="0AFA6886"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69</w:t>
            </w:r>
          </w:p>
        </w:tc>
        <w:tc>
          <w:tcPr>
            <w:tcW w:w="1428" w:type="dxa"/>
            <w:noWrap/>
            <w:tcMar>
              <w:top w:w="0" w:type="dxa"/>
              <w:left w:w="144" w:type="dxa"/>
              <w:bottom w:w="0" w:type="dxa"/>
              <w:right w:w="0" w:type="dxa"/>
            </w:tcMar>
            <w:vAlign w:val="bottom"/>
          </w:tcPr>
          <w:p w14:paraId="438891E1"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69</w:t>
            </w:r>
          </w:p>
        </w:tc>
        <w:tc>
          <w:tcPr>
            <w:tcW w:w="1274" w:type="dxa"/>
            <w:noWrap/>
            <w:tcMar>
              <w:top w:w="0" w:type="dxa"/>
              <w:left w:w="144" w:type="dxa"/>
              <w:bottom w:w="0" w:type="dxa"/>
              <w:right w:w="0" w:type="dxa"/>
            </w:tcMar>
            <w:vAlign w:val="bottom"/>
          </w:tcPr>
          <w:p w14:paraId="69513D3A"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69</w:t>
            </w:r>
          </w:p>
        </w:tc>
        <w:tc>
          <w:tcPr>
            <w:tcW w:w="1200" w:type="dxa"/>
            <w:noWrap/>
            <w:tcMar>
              <w:top w:w="0" w:type="dxa"/>
              <w:left w:w="144" w:type="dxa"/>
              <w:bottom w:w="0" w:type="dxa"/>
              <w:right w:w="0" w:type="dxa"/>
            </w:tcMar>
            <w:vAlign w:val="bottom"/>
          </w:tcPr>
          <w:p w14:paraId="6CA6C7C3"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69</w:t>
            </w:r>
          </w:p>
        </w:tc>
      </w:tr>
      <w:tr w:rsidR="008C16B5" w14:paraId="76421A0C" w14:textId="77777777" w:rsidTr="008C16B5">
        <w:trPr>
          <w:cantSplit/>
          <w:trHeight w:val="261"/>
          <w:jc w:val="center"/>
        </w:trPr>
        <w:tc>
          <w:tcPr>
            <w:tcW w:w="4305" w:type="dxa"/>
          </w:tcPr>
          <w:p w14:paraId="264570EB" w14:textId="77777777" w:rsidR="008C16B5" w:rsidRDefault="008C16B5" w:rsidP="00B322A7">
            <w:pPr>
              <w:pStyle w:val="NormalWeb"/>
              <w:tabs>
                <w:tab w:val="right" w:leader="dot" w:pos="4620"/>
              </w:tabs>
              <w:spacing w:before="0" w:beforeAutospacing="0" w:after="0" w:afterAutospacing="0"/>
              <w:ind w:left="240" w:hanging="240"/>
              <w:rPr>
                <w:sz w:val="18"/>
                <w:szCs w:val="18"/>
              </w:rPr>
            </w:pPr>
            <w:r>
              <w:rPr>
                <w:sz w:val="18"/>
                <w:szCs w:val="18"/>
              </w:rPr>
              <w:t>Other equity</w:t>
            </w:r>
            <w:r>
              <w:rPr>
                <w:sz w:val="18"/>
                <w:szCs w:val="18"/>
              </w:rPr>
              <w:tab/>
            </w:r>
          </w:p>
        </w:tc>
        <w:tc>
          <w:tcPr>
            <w:tcW w:w="1540" w:type="dxa"/>
            <w:noWrap/>
            <w:tcMar>
              <w:top w:w="0" w:type="dxa"/>
              <w:left w:w="144" w:type="dxa"/>
              <w:bottom w:w="0" w:type="dxa"/>
              <w:right w:w="0" w:type="dxa"/>
            </w:tcMar>
          </w:tcPr>
          <w:p w14:paraId="5109ACC1" w14:textId="77777777" w:rsidR="008C16B5" w:rsidRDefault="008C16B5" w:rsidP="00B322A7">
            <w:pPr>
              <w:jc w:val="right"/>
              <w:rPr>
                <w:sz w:val="18"/>
                <w:szCs w:val="18"/>
              </w:rPr>
            </w:pPr>
            <w:r>
              <w:rPr>
                <w:sz w:val="18"/>
                <w:szCs w:val="18"/>
              </w:rPr>
              <w:t>—</w:t>
            </w:r>
          </w:p>
        </w:tc>
        <w:tc>
          <w:tcPr>
            <w:tcW w:w="1428" w:type="dxa"/>
            <w:noWrap/>
            <w:tcMar>
              <w:top w:w="0" w:type="dxa"/>
              <w:left w:w="144" w:type="dxa"/>
              <w:bottom w:w="0" w:type="dxa"/>
              <w:right w:w="0" w:type="dxa"/>
            </w:tcMar>
          </w:tcPr>
          <w:p w14:paraId="7B354997" w14:textId="77777777" w:rsidR="008C16B5" w:rsidRDefault="008C16B5" w:rsidP="00B322A7">
            <w:pPr>
              <w:jc w:val="right"/>
              <w:rPr>
                <w:sz w:val="18"/>
                <w:szCs w:val="18"/>
              </w:rPr>
            </w:pPr>
            <w:r>
              <w:rPr>
                <w:sz w:val="18"/>
                <w:szCs w:val="18"/>
              </w:rPr>
              <w:t>—</w:t>
            </w:r>
          </w:p>
        </w:tc>
        <w:tc>
          <w:tcPr>
            <w:tcW w:w="1274" w:type="dxa"/>
            <w:noWrap/>
            <w:tcMar>
              <w:top w:w="0" w:type="dxa"/>
              <w:left w:w="144" w:type="dxa"/>
              <w:bottom w:w="0" w:type="dxa"/>
              <w:right w:w="0" w:type="dxa"/>
            </w:tcMar>
            <w:vAlign w:val="bottom"/>
          </w:tcPr>
          <w:p w14:paraId="4655321F"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60,000</w:t>
            </w:r>
          </w:p>
        </w:tc>
        <w:tc>
          <w:tcPr>
            <w:tcW w:w="1200" w:type="dxa"/>
            <w:noWrap/>
            <w:tcMar>
              <w:top w:w="0" w:type="dxa"/>
              <w:left w:w="144" w:type="dxa"/>
              <w:bottom w:w="0" w:type="dxa"/>
              <w:right w:w="0" w:type="dxa"/>
            </w:tcMar>
            <w:vAlign w:val="bottom"/>
          </w:tcPr>
          <w:p w14:paraId="4D70AA4D"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w:t>
            </w:r>
          </w:p>
        </w:tc>
      </w:tr>
      <w:tr w:rsidR="008C16B5" w14:paraId="66F8B8AD" w14:textId="77777777" w:rsidTr="008C16B5">
        <w:trPr>
          <w:cantSplit/>
          <w:trHeight w:val="261"/>
          <w:jc w:val="center"/>
        </w:trPr>
        <w:tc>
          <w:tcPr>
            <w:tcW w:w="4305" w:type="dxa"/>
          </w:tcPr>
          <w:p w14:paraId="60EE2289" w14:textId="77777777" w:rsidR="008C16B5" w:rsidRDefault="008C16B5" w:rsidP="00B322A7">
            <w:pPr>
              <w:pStyle w:val="NormalWeb"/>
              <w:tabs>
                <w:tab w:val="right" w:leader="dot" w:pos="4620"/>
              </w:tabs>
              <w:spacing w:before="0" w:beforeAutospacing="0" w:after="0" w:afterAutospacing="0"/>
              <w:ind w:left="240" w:hanging="240"/>
              <w:rPr>
                <w:b/>
                <w:sz w:val="18"/>
                <w:szCs w:val="18"/>
              </w:rPr>
            </w:pPr>
            <w:r>
              <w:rPr>
                <w:b/>
                <w:sz w:val="18"/>
                <w:szCs w:val="18"/>
              </w:rPr>
              <w:t>Shareholders' equity</w:t>
            </w:r>
            <w:r>
              <w:rPr>
                <w:b/>
                <w:sz w:val="18"/>
                <w:szCs w:val="18"/>
              </w:rPr>
              <w:tab/>
            </w:r>
          </w:p>
        </w:tc>
        <w:tc>
          <w:tcPr>
            <w:tcW w:w="1540" w:type="dxa"/>
            <w:noWrap/>
            <w:tcMar>
              <w:top w:w="0" w:type="dxa"/>
              <w:left w:w="144" w:type="dxa"/>
              <w:bottom w:w="0" w:type="dxa"/>
              <w:right w:w="0" w:type="dxa"/>
            </w:tcMar>
            <w:vAlign w:val="bottom"/>
          </w:tcPr>
          <w:p w14:paraId="2AAFDC6E" w14:textId="77777777" w:rsidR="008C16B5" w:rsidRDefault="008C16B5" w:rsidP="00B322A7">
            <w:pPr>
              <w:pStyle w:val="NormalWeb"/>
              <w:tabs>
                <w:tab w:val="right" w:pos="900"/>
                <w:tab w:val="decimal" w:pos="940"/>
              </w:tabs>
              <w:spacing w:before="0" w:beforeAutospacing="0" w:after="20" w:afterAutospacing="0"/>
              <w:jc w:val="right"/>
              <w:rPr>
                <w:b/>
                <w:sz w:val="18"/>
                <w:szCs w:val="18"/>
              </w:rPr>
            </w:pPr>
            <w:r>
              <w:rPr>
                <w:b/>
                <w:sz w:val="18"/>
                <w:szCs w:val="18"/>
              </w:rPr>
              <w:t>432,692</w:t>
            </w:r>
          </w:p>
        </w:tc>
        <w:tc>
          <w:tcPr>
            <w:tcW w:w="1428" w:type="dxa"/>
            <w:noWrap/>
            <w:tcMar>
              <w:top w:w="0" w:type="dxa"/>
              <w:left w:w="144" w:type="dxa"/>
              <w:bottom w:w="0" w:type="dxa"/>
              <w:right w:w="0" w:type="dxa"/>
            </w:tcMar>
            <w:vAlign w:val="bottom"/>
          </w:tcPr>
          <w:p w14:paraId="37A828B3"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390,305</w:t>
            </w:r>
          </w:p>
        </w:tc>
        <w:tc>
          <w:tcPr>
            <w:tcW w:w="1274" w:type="dxa"/>
            <w:noWrap/>
            <w:tcMar>
              <w:top w:w="0" w:type="dxa"/>
              <w:left w:w="144" w:type="dxa"/>
              <w:bottom w:w="0" w:type="dxa"/>
              <w:right w:w="0" w:type="dxa"/>
            </w:tcMar>
            <w:vAlign w:val="bottom"/>
          </w:tcPr>
          <w:p w14:paraId="492E3278"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361,978</w:t>
            </w:r>
          </w:p>
        </w:tc>
        <w:tc>
          <w:tcPr>
            <w:tcW w:w="1200" w:type="dxa"/>
            <w:noWrap/>
            <w:tcMar>
              <w:top w:w="0" w:type="dxa"/>
              <w:left w:w="144" w:type="dxa"/>
              <w:bottom w:w="0" w:type="dxa"/>
              <w:right w:w="0" w:type="dxa"/>
            </w:tcMar>
            <w:vAlign w:val="bottom"/>
          </w:tcPr>
          <w:p w14:paraId="0C52FE76"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215,417</w:t>
            </w:r>
          </w:p>
        </w:tc>
      </w:tr>
      <w:tr w:rsidR="008C16B5" w14:paraId="19D9549B" w14:textId="77777777" w:rsidTr="008C16B5">
        <w:trPr>
          <w:cantSplit/>
          <w:trHeight w:val="261"/>
          <w:jc w:val="center"/>
        </w:trPr>
        <w:tc>
          <w:tcPr>
            <w:tcW w:w="4305" w:type="dxa"/>
          </w:tcPr>
          <w:p w14:paraId="6ED1AD72" w14:textId="77777777" w:rsidR="008C16B5" w:rsidRDefault="008C16B5" w:rsidP="00B322A7">
            <w:pPr>
              <w:pStyle w:val="NormalWeb"/>
              <w:tabs>
                <w:tab w:val="right" w:leader="dot" w:pos="4620"/>
              </w:tabs>
              <w:spacing w:before="0" w:beforeAutospacing="0" w:after="0" w:afterAutospacing="0"/>
              <w:ind w:left="240" w:hanging="240"/>
              <w:rPr>
                <w:sz w:val="18"/>
                <w:szCs w:val="18"/>
              </w:rPr>
            </w:pPr>
            <w:r>
              <w:rPr>
                <w:sz w:val="18"/>
                <w:szCs w:val="18"/>
              </w:rPr>
              <w:t>Non-current financial debt</w:t>
            </w:r>
            <w:r>
              <w:rPr>
                <w:sz w:val="18"/>
                <w:szCs w:val="18"/>
              </w:rPr>
              <w:tab/>
            </w:r>
          </w:p>
        </w:tc>
        <w:tc>
          <w:tcPr>
            <w:tcW w:w="1540" w:type="dxa"/>
            <w:noWrap/>
            <w:tcMar>
              <w:top w:w="0" w:type="dxa"/>
              <w:left w:w="144" w:type="dxa"/>
              <w:bottom w:w="0" w:type="dxa"/>
              <w:right w:w="0" w:type="dxa"/>
            </w:tcMar>
            <w:vAlign w:val="bottom"/>
          </w:tcPr>
          <w:p w14:paraId="7CF7DE21"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386,882</w:t>
            </w:r>
          </w:p>
        </w:tc>
        <w:tc>
          <w:tcPr>
            <w:tcW w:w="1428" w:type="dxa"/>
            <w:noWrap/>
            <w:tcMar>
              <w:top w:w="0" w:type="dxa"/>
              <w:left w:w="144" w:type="dxa"/>
              <w:bottom w:w="0" w:type="dxa"/>
              <w:right w:w="0" w:type="dxa"/>
            </w:tcMar>
            <w:vAlign w:val="bottom"/>
          </w:tcPr>
          <w:p w14:paraId="4C119199"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327,923</w:t>
            </w:r>
          </w:p>
        </w:tc>
        <w:tc>
          <w:tcPr>
            <w:tcW w:w="1274" w:type="dxa"/>
            <w:noWrap/>
            <w:tcMar>
              <w:top w:w="0" w:type="dxa"/>
              <w:left w:w="144" w:type="dxa"/>
              <w:bottom w:w="0" w:type="dxa"/>
              <w:right w:w="0" w:type="dxa"/>
            </w:tcMar>
            <w:vAlign w:val="bottom"/>
          </w:tcPr>
          <w:p w14:paraId="590B6CED"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170,800</w:t>
            </w:r>
          </w:p>
        </w:tc>
        <w:tc>
          <w:tcPr>
            <w:tcW w:w="1200" w:type="dxa"/>
            <w:noWrap/>
            <w:tcMar>
              <w:top w:w="0" w:type="dxa"/>
              <w:left w:w="144" w:type="dxa"/>
              <w:bottom w:w="0" w:type="dxa"/>
              <w:right w:w="0" w:type="dxa"/>
            </w:tcMar>
            <w:vAlign w:val="bottom"/>
          </w:tcPr>
          <w:p w14:paraId="265EB1D7"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193,034</w:t>
            </w:r>
          </w:p>
        </w:tc>
      </w:tr>
      <w:tr w:rsidR="008C16B5" w14:paraId="21BF3870" w14:textId="77777777" w:rsidTr="008C16B5">
        <w:trPr>
          <w:cantSplit/>
          <w:trHeight w:val="261"/>
          <w:jc w:val="center"/>
        </w:trPr>
        <w:tc>
          <w:tcPr>
            <w:tcW w:w="4305" w:type="dxa"/>
          </w:tcPr>
          <w:p w14:paraId="418F8D6F" w14:textId="77777777" w:rsidR="008C16B5" w:rsidRDefault="008C16B5" w:rsidP="00B322A7">
            <w:pPr>
              <w:pStyle w:val="NormalWeb"/>
              <w:tabs>
                <w:tab w:val="right" w:leader="dot" w:pos="4620"/>
              </w:tabs>
              <w:spacing w:before="0" w:beforeAutospacing="0" w:after="0" w:afterAutospacing="0"/>
              <w:ind w:left="240" w:hanging="240"/>
              <w:rPr>
                <w:sz w:val="18"/>
                <w:szCs w:val="18"/>
              </w:rPr>
            </w:pPr>
            <w:r>
              <w:rPr>
                <w:sz w:val="18"/>
                <w:szCs w:val="18"/>
              </w:rPr>
              <w:t>Other non-current financial liabilities</w:t>
            </w:r>
            <w:r>
              <w:rPr>
                <w:sz w:val="18"/>
                <w:szCs w:val="18"/>
              </w:rPr>
              <w:tab/>
            </w:r>
          </w:p>
        </w:tc>
        <w:tc>
          <w:tcPr>
            <w:tcW w:w="1540" w:type="dxa"/>
            <w:noWrap/>
            <w:tcMar>
              <w:top w:w="0" w:type="dxa"/>
              <w:left w:w="144" w:type="dxa"/>
              <w:bottom w:w="0" w:type="dxa"/>
              <w:right w:w="0" w:type="dxa"/>
            </w:tcMar>
            <w:vAlign w:val="bottom"/>
          </w:tcPr>
          <w:p w14:paraId="3B31ADF9"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1,689</w:t>
            </w:r>
          </w:p>
        </w:tc>
        <w:tc>
          <w:tcPr>
            <w:tcW w:w="1428" w:type="dxa"/>
            <w:noWrap/>
            <w:tcMar>
              <w:top w:w="0" w:type="dxa"/>
              <w:left w:w="144" w:type="dxa"/>
              <w:bottom w:w="0" w:type="dxa"/>
              <w:right w:w="0" w:type="dxa"/>
            </w:tcMar>
            <w:vAlign w:val="bottom"/>
          </w:tcPr>
          <w:p w14:paraId="7BEBEA57"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5,348</w:t>
            </w:r>
          </w:p>
        </w:tc>
        <w:tc>
          <w:tcPr>
            <w:tcW w:w="1274" w:type="dxa"/>
            <w:noWrap/>
            <w:tcMar>
              <w:top w:w="0" w:type="dxa"/>
              <w:left w:w="144" w:type="dxa"/>
              <w:bottom w:w="0" w:type="dxa"/>
              <w:right w:w="0" w:type="dxa"/>
            </w:tcMar>
            <w:vAlign w:val="bottom"/>
          </w:tcPr>
          <w:p w14:paraId="248A1759"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967</w:t>
            </w:r>
          </w:p>
        </w:tc>
        <w:tc>
          <w:tcPr>
            <w:tcW w:w="1200" w:type="dxa"/>
            <w:noWrap/>
            <w:tcMar>
              <w:top w:w="0" w:type="dxa"/>
              <w:left w:w="144" w:type="dxa"/>
              <w:bottom w:w="0" w:type="dxa"/>
              <w:right w:w="0" w:type="dxa"/>
            </w:tcMar>
            <w:vAlign w:val="bottom"/>
          </w:tcPr>
          <w:p w14:paraId="60AE8207"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1,656</w:t>
            </w:r>
          </w:p>
        </w:tc>
      </w:tr>
      <w:tr w:rsidR="008C16B5" w14:paraId="01BBC367" w14:textId="77777777" w:rsidTr="008C16B5">
        <w:trPr>
          <w:cantSplit/>
          <w:trHeight w:val="261"/>
          <w:jc w:val="center"/>
        </w:trPr>
        <w:tc>
          <w:tcPr>
            <w:tcW w:w="4305" w:type="dxa"/>
          </w:tcPr>
          <w:p w14:paraId="3FE4D7C3" w14:textId="77777777" w:rsidR="008C16B5" w:rsidRDefault="008C16B5" w:rsidP="00B322A7">
            <w:pPr>
              <w:pStyle w:val="NormalWeb"/>
              <w:tabs>
                <w:tab w:val="right" w:leader="dot" w:pos="4620"/>
              </w:tabs>
              <w:spacing w:before="0" w:beforeAutospacing="0" w:after="0" w:afterAutospacing="0"/>
              <w:ind w:left="240" w:hanging="240"/>
              <w:rPr>
                <w:sz w:val="18"/>
                <w:szCs w:val="18"/>
              </w:rPr>
            </w:pPr>
            <w:r>
              <w:rPr>
                <w:sz w:val="18"/>
                <w:szCs w:val="18"/>
              </w:rPr>
              <w:t>Other non-current liabilities</w:t>
            </w:r>
            <w:r>
              <w:rPr>
                <w:sz w:val="18"/>
                <w:szCs w:val="18"/>
              </w:rPr>
              <w:tab/>
            </w:r>
          </w:p>
        </w:tc>
        <w:tc>
          <w:tcPr>
            <w:tcW w:w="1540" w:type="dxa"/>
            <w:noWrap/>
            <w:tcMar>
              <w:top w:w="0" w:type="dxa"/>
              <w:left w:w="144" w:type="dxa"/>
              <w:bottom w:w="0" w:type="dxa"/>
              <w:right w:w="0" w:type="dxa"/>
            </w:tcMar>
            <w:vAlign w:val="bottom"/>
          </w:tcPr>
          <w:p w14:paraId="49361AB9"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2,534</w:t>
            </w:r>
          </w:p>
        </w:tc>
        <w:tc>
          <w:tcPr>
            <w:tcW w:w="1428" w:type="dxa"/>
            <w:noWrap/>
            <w:tcMar>
              <w:top w:w="0" w:type="dxa"/>
              <w:left w:w="144" w:type="dxa"/>
              <w:bottom w:w="0" w:type="dxa"/>
              <w:right w:w="0" w:type="dxa"/>
            </w:tcMar>
            <w:vAlign w:val="bottom"/>
          </w:tcPr>
          <w:p w14:paraId="3BABFE9A"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2,432</w:t>
            </w:r>
          </w:p>
        </w:tc>
        <w:tc>
          <w:tcPr>
            <w:tcW w:w="1274" w:type="dxa"/>
            <w:noWrap/>
            <w:tcMar>
              <w:top w:w="0" w:type="dxa"/>
              <w:left w:w="144" w:type="dxa"/>
              <w:bottom w:w="0" w:type="dxa"/>
              <w:right w:w="0" w:type="dxa"/>
            </w:tcMar>
            <w:vAlign w:val="bottom"/>
          </w:tcPr>
          <w:p w14:paraId="50533A27"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405</w:t>
            </w:r>
          </w:p>
        </w:tc>
        <w:tc>
          <w:tcPr>
            <w:tcW w:w="1200" w:type="dxa"/>
            <w:noWrap/>
            <w:tcMar>
              <w:top w:w="0" w:type="dxa"/>
              <w:left w:w="144" w:type="dxa"/>
              <w:bottom w:w="0" w:type="dxa"/>
              <w:right w:w="0" w:type="dxa"/>
            </w:tcMar>
            <w:vAlign w:val="bottom"/>
          </w:tcPr>
          <w:p w14:paraId="23EACCB3"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1,122</w:t>
            </w:r>
          </w:p>
        </w:tc>
      </w:tr>
      <w:tr w:rsidR="008C16B5" w14:paraId="094D68E7" w14:textId="77777777" w:rsidTr="008C16B5">
        <w:trPr>
          <w:cantSplit/>
          <w:trHeight w:val="261"/>
          <w:jc w:val="center"/>
        </w:trPr>
        <w:tc>
          <w:tcPr>
            <w:tcW w:w="4305" w:type="dxa"/>
          </w:tcPr>
          <w:p w14:paraId="1B43E7C3" w14:textId="77777777" w:rsidR="008C16B5" w:rsidRDefault="008C16B5" w:rsidP="00B322A7">
            <w:pPr>
              <w:pStyle w:val="NormalWeb"/>
              <w:tabs>
                <w:tab w:val="right" w:leader="dot" w:pos="4620"/>
              </w:tabs>
              <w:spacing w:before="0" w:beforeAutospacing="0" w:after="0" w:afterAutospacing="0"/>
              <w:ind w:left="240" w:hanging="240"/>
              <w:rPr>
                <w:sz w:val="18"/>
                <w:szCs w:val="18"/>
              </w:rPr>
            </w:pPr>
            <w:r>
              <w:rPr>
                <w:sz w:val="18"/>
                <w:szCs w:val="18"/>
              </w:rPr>
              <w:t>Deferred tax liabilities</w:t>
            </w:r>
            <w:r>
              <w:rPr>
                <w:sz w:val="18"/>
                <w:szCs w:val="18"/>
              </w:rPr>
              <w:tab/>
            </w:r>
          </w:p>
        </w:tc>
        <w:tc>
          <w:tcPr>
            <w:tcW w:w="1540" w:type="dxa"/>
            <w:noWrap/>
            <w:tcMar>
              <w:top w:w="0" w:type="dxa"/>
              <w:left w:w="144" w:type="dxa"/>
              <w:bottom w:w="0" w:type="dxa"/>
              <w:right w:w="0" w:type="dxa"/>
            </w:tcMar>
            <w:vAlign w:val="bottom"/>
          </w:tcPr>
          <w:p w14:paraId="171EF72A"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19,927</w:t>
            </w:r>
          </w:p>
        </w:tc>
        <w:tc>
          <w:tcPr>
            <w:tcW w:w="1428" w:type="dxa"/>
            <w:noWrap/>
            <w:tcMar>
              <w:top w:w="0" w:type="dxa"/>
              <w:left w:w="144" w:type="dxa"/>
              <w:bottom w:w="0" w:type="dxa"/>
              <w:right w:w="0" w:type="dxa"/>
            </w:tcMar>
            <w:vAlign w:val="bottom"/>
          </w:tcPr>
          <w:p w14:paraId="19FCD024"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20,012</w:t>
            </w:r>
          </w:p>
        </w:tc>
        <w:tc>
          <w:tcPr>
            <w:tcW w:w="1274" w:type="dxa"/>
            <w:noWrap/>
            <w:tcMar>
              <w:top w:w="0" w:type="dxa"/>
              <w:left w:w="144" w:type="dxa"/>
              <w:bottom w:w="0" w:type="dxa"/>
              <w:right w:w="0" w:type="dxa"/>
            </w:tcMar>
            <w:vAlign w:val="bottom"/>
          </w:tcPr>
          <w:p w14:paraId="12C9AC4E"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8,247</w:t>
            </w:r>
          </w:p>
        </w:tc>
        <w:tc>
          <w:tcPr>
            <w:tcW w:w="1200" w:type="dxa"/>
            <w:noWrap/>
            <w:tcMar>
              <w:top w:w="0" w:type="dxa"/>
              <w:left w:w="144" w:type="dxa"/>
              <w:bottom w:w="0" w:type="dxa"/>
              <w:right w:w="0" w:type="dxa"/>
            </w:tcMar>
            <w:vAlign w:val="bottom"/>
          </w:tcPr>
          <w:p w14:paraId="5DE3DACA"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27,329</w:t>
            </w:r>
          </w:p>
        </w:tc>
      </w:tr>
      <w:tr w:rsidR="008C16B5" w14:paraId="75E4C7D2" w14:textId="77777777" w:rsidTr="008C16B5">
        <w:trPr>
          <w:cantSplit/>
          <w:trHeight w:val="261"/>
          <w:jc w:val="center"/>
        </w:trPr>
        <w:tc>
          <w:tcPr>
            <w:tcW w:w="4305" w:type="dxa"/>
          </w:tcPr>
          <w:p w14:paraId="79BE2082" w14:textId="77777777" w:rsidR="008C16B5" w:rsidRDefault="008C16B5" w:rsidP="00B322A7">
            <w:pPr>
              <w:pStyle w:val="NormalWeb"/>
              <w:tabs>
                <w:tab w:val="right" w:leader="dot" w:pos="4620"/>
              </w:tabs>
              <w:spacing w:before="0" w:beforeAutospacing="0" w:after="0" w:afterAutospacing="0"/>
              <w:ind w:left="240" w:hanging="240"/>
              <w:rPr>
                <w:b/>
                <w:sz w:val="18"/>
                <w:szCs w:val="18"/>
              </w:rPr>
            </w:pPr>
            <w:r>
              <w:rPr>
                <w:b/>
                <w:sz w:val="18"/>
                <w:szCs w:val="18"/>
              </w:rPr>
              <w:t>Total non-current liabilities</w:t>
            </w:r>
            <w:r>
              <w:rPr>
                <w:b/>
                <w:sz w:val="18"/>
                <w:szCs w:val="18"/>
              </w:rPr>
              <w:tab/>
            </w:r>
          </w:p>
        </w:tc>
        <w:tc>
          <w:tcPr>
            <w:tcW w:w="1540" w:type="dxa"/>
            <w:noWrap/>
            <w:tcMar>
              <w:top w:w="0" w:type="dxa"/>
              <w:left w:w="144" w:type="dxa"/>
              <w:bottom w:w="0" w:type="dxa"/>
              <w:right w:w="0" w:type="dxa"/>
            </w:tcMar>
            <w:vAlign w:val="bottom"/>
          </w:tcPr>
          <w:p w14:paraId="0DF21D15" w14:textId="77777777" w:rsidR="008C16B5" w:rsidRDefault="008C16B5" w:rsidP="00B322A7">
            <w:pPr>
              <w:pStyle w:val="NormalWeb"/>
              <w:tabs>
                <w:tab w:val="right" w:pos="900"/>
                <w:tab w:val="decimal" w:pos="940"/>
              </w:tabs>
              <w:spacing w:before="0" w:beforeAutospacing="0" w:after="20" w:afterAutospacing="0"/>
              <w:jc w:val="right"/>
              <w:rPr>
                <w:b/>
                <w:sz w:val="18"/>
                <w:szCs w:val="18"/>
              </w:rPr>
            </w:pPr>
            <w:r>
              <w:rPr>
                <w:b/>
                <w:sz w:val="18"/>
                <w:szCs w:val="18"/>
              </w:rPr>
              <w:t>411,032</w:t>
            </w:r>
          </w:p>
        </w:tc>
        <w:tc>
          <w:tcPr>
            <w:tcW w:w="1428" w:type="dxa"/>
            <w:noWrap/>
            <w:tcMar>
              <w:top w:w="0" w:type="dxa"/>
              <w:left w:w="144" w:type="dxa"/>
              <w:bottom w:w="0" w:type="dxa"/>
              <w:right w:w="0" w:type="dxa"/>
            </w:tcMar>
            <w:vAlign w:val="bottom"/>
          </w:tcPr>
          <w:p w14:paraId="1C5259DD"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355,715</w:t>
            </w:r>
          </w:p>
        </w:tc>
        <w:tc>
          <w:tcPr>
            <w:tcW w:w="1274" w:type="dxa"/>
            <w:noWrap/>
            <w:tcMar>
              <w:top w:w="0" w:type="dxa"/>
              <w:left w:w="144" w:type="dxa"/>
              <w:bottom w:w="0" w:type="dxa"/>
              <w:right w:w="0" w:type="dxa"/>
            </w:tcMar>
            <w:vAlign w:val="bottom"/>
          </w:tcPr>
          <w:p w14:paraId="1E4E45B5"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180,419</w:t>
            </w:r>
          </w:p>
        </w:tc>
        <w:tc>
          <w:tcPr>
            <w:tcW w:w="1200" w:type="dxa"/>
            <w:noWrap/>
            <w:tcMar>
              <w:top w:w="0" w:type="dxa"/>
              <w:left w:w="144" w:type="dxa"/>
              <w:bottom w:w="0" w:type="dxa"/>
              <w:right w:w="0" w:type="dxa"/>
            </w:tcMar>
            <w:vAlign w:val="bottom"/>
          </w:tcPr>
          <w:p w14:paraId="3BD5031A"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223,141</w:t>
            </w:r>
          </w:p>
        </w:tc>
      </w:tr>
      <w:tr w:rsidR="008C16B5" w14:paraId="5CA2B73B" w14:textId="77777777" w:rsidTr="008C16B5">
        <w:trPr>
          <w:cantSplit/>
          <w:trHeight w:val="261"/>
          <w:jc w:val="center"/>
        </w:trPr>
        <w:tc>
          <w:tcPr>
            <w:tcW w:w="4305" w:type="dxa"/>
          </w:tcPr>
          <w:p w14:paraId="64D2B926" w14:textId="77777777" w:rsidR="008C16B5" w:rsidRDefault="008C16B5" w:rsidP="00B322A7">
            <w:pPr>
              <w:pStyle w:val="NormalWeb"/>
              <w:tabs>
                <w:tab w:val="right" w:leader="dot" w:pos="4620"/>
              </w:tabs>
              <w:spacing w:before="0" w:beforeAutospacing="0" w:after="0" w:afterAutospacing="0"/>
              <w:ind w:left="240" w:hanging="240"/>
              <w:rPr>
                <w:sz w:val="18"/>
                <w:szCs w:val="18"/>
              </w:rPr>
            </w:pPr>
            <w:r>
              <w:rPr>
                <w:sz w:val="18"/>
                <w:szCs w:val="18"/>
              </w:rPr>
              <w:t>Current financial debt</w:t>
            </w:r>
            <w:r>
              <w:rPr>
                <w:sz w:val="18"/>
                <w:szCs w:val="18"/>
              </w:rPr>
              <w:tab/>
            </w:r>
          </w:p>
        </w:tc>
        <w:tc>
          <w:tcPr>
            <w:tcW w:w="1540" w:type="dxa"/>
            <w:noWrap/>
            <w:tcMar>
              <w:top w:w="0" w:type="dxa"/>
              <w:left w:w="144" w:type="dxa"/>
              <w:bottom w:w="0" w:type="dxa"/>
              <w:right w:w="0" w:type="dxa"/>
            </w:tcMar>
          </w:tcPr>
          <w:p w14:paraId="0315DC5F"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89,087</w:t>
            </w:r>
          </w:p>
        </w:tc>
        <w:tc>
          <w:tcPr>
            <w:tcW w:w="1428" w:type="dxa"/>
            <w:noWrap/>
            <w:tcMar>
              <w:top w:w="0" w:type="dxa"/>
              <w:left w:w="144" w:type="dxa"/>
              <w:bottom w:w="0" w:type="dxa"/>
              <w:right w:w="0" w:type="dxa"/>
            </w:tcMar>
            <w:vAlign w:val="bottom"/>
          </w:tcPr>
          <w:p w14:paraId="78B3DBC2"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81,674</w:t>
            </w:r>
          </w:p>
        </w:tc>
        <w:tc>
          <w:tcPr>
            <w:tcW w:w="1274" w:type="dxa"/>
            <w:noWrap/>
            <w:tcMar>
              <w:top w:w="0" w:type="dxa"/>
              <w:left w:w="144" w:type="dxa"/>
              <w:bottom w:w="0" w:type="dxa"/>
              <w:right w:w="0" w:type="dxa"/>
            </w:tcMar>
            <w:vAlign w:val="bottom"/>
          </w:tcPr>
          <w:p w14:paraId="2702AAF9"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3,522</w:t>
            </w:r>
          </w:p>
        </w:tc>
        <w:tc>
          <w:tcPr>
            <w:tcW w:w="1200" w:type="dxa"/>
            <w:noWrap/>
            <w:tcMar>
              <w:top w:w="0" w:type="dxa"/>
              <w:left w:w="144" w:type="dxa"/>
              <w:bottom w:w="0" w:type="dxa"/>
              <w:right w:w="0" w:type="dxa"/>
            </w:tcMar>
            <w:vAlign w:val="bottom"/>
          </w:tcPr>
          <w:p w14:paraId="2C65E8DA"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5,722</w:t>
            </w:r>
          </w:p>
        </w:tc>
      </w:tr>
      <w:tr w:rsidR="008C16B5" w14:paraId="4766FF90" w14:textId="77777777" w:rsidTr="008C16B5">
        <w:trPr>
          <w:cantSplit/>
          <w:trHeight w:val="261"/>
          <w:jc w:val="center"/>
        </w:trPr>
        <w:tc>
          <w:tcPr>
            <w:tcW w:w="4305" w:type="dxa"/>
          </w:tcPr>
          <w:p w14:paraId="695C2993" w14:textId="77777777" w:rsidR="008C16B5" w:rsidRDefault="008C16B5" w:rsidP="00B322A7">
            <w:pPr>
              <w:pStyle w:val="NormalWeb"/>
              <w:tabs>
                <w:tab w:val="right" w:leader="dot" w:pos="4620"/>
              </w:tabs>
              <w:spacing w:before="0" w:beforeAutospacing="0" w:after="0" w:afterAutospacing="0"/>
              <w:ind w:left="240" w:hanging="240"/>
              <w:rPr>
                <w:sz w:val="18"/>
                <w:szCs w:val="18"/>
              </w:rPr>
            </w:pPr>
            <w:r>
              <w:rPr>
                <w:sz w:val="18"/>
                <w:szCs w:val="18"/>
              </w:rPr>
              <w:t>Other current financial liabilities</w:t>
            </w:r>
            <w:r>
              <w:rPr>
                <w:sz w:val="18"/>
                <w:szCs w:val="18"/>
              </w:rPr>
              <w:tab/>
            </w:r>
          </w:p>
        </w:tc>
        <w:tc>
          <w:tcPr>
            <w:tcW w:w="1540" w:type="dxa"/>
            <w:noWrap/>
            <w:tcMar>
              <w:top w:w="0" w:type="dxa"/>
              <w:left w:w="144" w:type="dxa"/>
              <w:bottom w:w="0" w:type="dxa"/>
              <w:right w:w="0" w:type="dxa"/>
            </w:tcMar>
          </w:tcPr>
          <w:p w14:paraId="0FB3CFC3"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2,110</w:t>
            </w:r>
          </w:p>
        </w:tc>
        <w:tc>
          <w:tcPr>
            <w:tcW w:w="1428" w:type="dxa"/>
            <w:noWrap/>
            <w:tcMar>
              <w:top w:w="0" w:type="dxa"/>
              <w:left w:w="144" w:type="dxa"/>
              <w:bottom w:w="0" w:type="dxa"/>
              <w:right w:w="0" w:type="dxa"/>
            </w:tcMar>
            <w:vAlign w:val="bottom"/>
          </w:tcPr>
          <w:p w14:paraId="003619C6"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w:t>
            </w:r>
          </w:p>
        </w:tc>
        <w:tc>
          <w:tcPr>
            <w:tcW w:w="1274" w:type="dxa"/>
            <w:noWrap/>
            <w:tcMar>
              <w:top w:w="0" w:type="dxa"/>
              <w:left w:w="144" w:type="dxa"/>
              <w:bottom w:w="0" w:type="dxa"/>
              <w:right w:w="0" w:type="dxa"/>
            </w:tcMar>
            <w:vAlign w:val="bottom"/>
          </w:tcPr>
          <w:p w14:paraId="368781AB"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w:t>
            </w:r>
          </w:p>
        </w:tc>
        <w:tc>
          <w:tcPr>
            <w:tcW w:w="1200" w:type="dxa"/>
            <w:noWrap/>
            <w:tcMar>
              <w:top w:w="0" w:type="dxa"/>
              <w:left w:w="144" w:type="dxa"/>
              <w:bottom w:w="0" w:type="dxa"/>
              <w:right w:w="0" w:type="dxa"/>
            </w:tcMar>
            <w:vAlign w:val="bottom"/>
          </w:tcPr>
          <w:p w14:paraId="07865491"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w:t>
            </w:r>
          </w:p>
        </w:tc>
      </w:tr>
      <w:tr w:rsidR="008C16B5" w14:paraId="29AC23BF" w14:textId="77777777" w:rsidTr="008C16B5">
        <w:trPr>
          <w:cantSplit/>
          <w:trHeight w:val="261"/>
          <w:jc w:val="center"/>
        </w:trPr>
        <w:tc>
          <w:tcPr>
            <w:tcW w:w="4305" w:type="dxa"/>
          </w:tcPr>
          <w:p w14:paraId="55671CB1" w14:textId="77777777" w:rsidR="008C16B5" w:rsidRDefault="008C16B5" w:rsidP="00B322A7">
            <w:pPr>
              <w:pStyle w:val="NormalWeb"/>
              <w:tabs>
                <w:tab w:val="right" w:leader="dot" w:pos="4620"/>
              </w:tabs>
              <w:spacing w:before="0" w:beforeAutospacing="0" w:after="0" w:afterAutospacing="0"/>
              <w:ind w:left="240" w:hanging="240"/>
              <w:rPr>
                <w:sz w:val="18"/>
                <w:szCs w:val="18"/>
              </w:rPr>
            </w:pPr>
            <w:r>
              <w:rPr>
                <w:sz w:val="18"/>
                <w:szCs w:val="18"/>
              </w:rPr>
              <w:t>Trade debts and other current liabilities</w:t>
            </w:r>
            <w:r>
              <w:rPr>
                <w:sz w:val="18"/>
                <w:szCs w:val="18"/>
              </w:rPr>
              <w:tab/>
            </w:r>
          </w:p>
        </w:tc>
        <w:tc>
          <w:tcPr>
            <w:tcW w:w="1540" w:type="dxa"/>
            <w:noWrap/>
            <w:tcMar>
              <w:top w:w="0" w:type="dxa"/>
              <w:left w:w="144" w:type="dxa"/>
              <w:bottom w:w="0" w:type="dxa"/>
              <w:right w:w="0" w:type="dxa"/>
            </w:tcMar>
          </w:tcPr>
          <w:p w14:paraId="6FC482EC"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58,862</w:t>
            </w:r>
          </w:p>
        </w:tc>
        <w:tc>
          <w:tcPr>
            <w:tcW w:w="1428" w:type="dxa"/>
            <w:noWrap/>
            <w:tcMar>
              <w:top w:w="0" w:type="dxa"/>
              <w:left w:w="144" w:type="dxa"/>
              <w:bottom w:w="0" w:type="dxa"/>
              <w:right w:w="0" w:type="dxa"/>
            </w:tcMar>
            <w:vAlign w:val="bottom"/>
          </w:tcPr>
          <w:p w14:paraId="60DF82A8"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35,496</w:t>
            </w:r>
          </w:p>
        </w:tc>
        <w:tc>
          <w:tcPr>
            <w:tcW w:w="1274" w:type="dxa"/>
            <w:noWrap/>
            <w:tcMar>
              <w:top w:w="0" w:type="dxa"/>
              <w:left w:w="144" w:type="dxa"/>
              <w:bottom w:w="0" w:type="dxa"/>
              <w:right w:w="0" w:type="dxa"/>
            </w:tcMar>
            <w:vAlign w:val="bottom"/>
          </w:tcPr>
          <w:p w14:paraId="79A448A9"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10,342</w:t>
            </w:r>
          </w:p>
        </w:tc>
        <w:tc>
          <w:tcPr>
            <w:tcW w:w="1200" w:type="dxa"/>
            <w:noWrap/>
            <w:tcMar>
              <w:top w:w="0" w:type="dxa"/>
              <w:left w:w="144" w:type="dxa"/>
              <w:bottom w:w="0" w:type="dxa"/>
              <w:right w:w="0" w:type="dxa"/>
            </w:tcMar>
            <w:vAlign w:val="bottom"/>
          </w:tcPr>
          <w:p w14:paraId="2E846F3C"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23,559</w:t>
            </w:r>
          </w:p>
        </w:tc>
      </w:tr>
      <w:tr w:rsidR="008C16B5" w14:paraId="6F81941A" w14:textId="77777777" w:rsidTr="008C16B5">
        <w:trPr>
          <w:cantSplit/>
          <w:trHeight w:val="261"/>
          <w:jc w:val="center"/>
        </w:trPr>
        <w:tc>
          <w:tcPr>
            <w:tcW w:w="4305" w:type="dxa"/>
          </w:tcPr>
          <w:p w14:paraId="4BE40CC9" w14:textId="77777777" w:rsidR="008C16B5" w:rsidRDefault="008C16B5" w:rsidP="00B322A7">
            <w:pPr>
              <w:pStyle w:val="NormalWeb"/>
              <w:tabs>
                <w:tab w:val="right" w:leader="dot" w:pos="4620"/>
              </w:tabs>
              <w:spacing w:before="0" w:beforeAutospacing="0" w:after="0" w:afterAutospacing="0"/>
              <w:ind w:left="240" w:hanging="240"/>
              <w:rPr>
                <w:sz w:val="18"/>
                <w:szCs w:val="18"/>
              </w:rPr>
            </w:pPr>
            <w:r>
              <w:rPr>
                <w:sz w:val="18"/>
                <w:szCs w:val="18"/>
              </w:rPr>
              <w:t>Liabilities related to disposal group held for sale</w:t>
            </w:r>
            <w:r>
              <w:rPr>
                <w:sz w:val="18"/>
                <w:szCs w:val="18"/>
              </w:rPr>
              <w:tab/>
            </w:r>
          </w:p>
        </w:tc>
        <w:tc>
          <w:tcPr>
            <w:tcW w:w="1540" w:type="dxa"/>
            <w:noWrap/>
            <w:tcMar>
              <w:top w:w="0" w:type="dxa"/>
              <w:left w:w="144" w:type="dxa"/>
              <w:bottom w:w="0" w:type="dxa"/>
              <w:right w:w="0" w:type="dxa"/>
            </w:tcMar>
          </w:tcPr>
          <w:p w14:paraId="06CB4FEB"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28,652</w:t>
            </w:r>
          </w:p>
        </w:tc>
        <w:tc>
          <w:tcPr>
            <w:tcW w:w="1428" w:type="dxa"/>
            <w:noWrap/>
            <w:tcMar>
              <w:top w:w="0" w:type="dxa"/>
              <w:left w:w="144" w:type="dxa"/>
              <w:bottom w:w="0" w:type="dxa"/>
              <w:right w:w="0" w:type="dxa"/>
            </w:tcMar>
            <w:vAlign w:val="bottom"/>
          </w:tcPr>
          <w:p w14:paraId="40C59621"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8,404</w:t>
            </w:r>
          </w:p>
        </w:tc>
        <w:tc>
          <w:tcPr>
            <w:tcW w:w="1274" w:type="dxa"/>
            <w:noWrap/>
            <w:tcMar>
              <w:top w:w="0" w:type="dxa"/>
              <w:left w:w="144" w:type="dxa"/>
              <w:bottom w:w="0" w:type="dxa"/>
              <w:right w:w="0" w:type="dxa"/>
            </w:tcMar>
            <w:vAlign w:val="bottom"/>
          </w:tcPr>
          <w:p w14:paraId="771D4CD2"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rFonts w:eastAsiaTheme="minorEastAsia"/>
                <w:sz w:val="18"/>
                <w:szCs w:val="18"/>
              </w:rPr>
              <w:t>161,047</w:t>
            </w:r>
          </w:p>
        </w:tc>
        <w:tc>
          <w:tcPr>
            <w:tcW w:w="1200" w:type="dxa"/>
            <w:noWrap/>
            <w:tcMar>
              <w:top w:w="0" w:type="dxa"/>
              <w:left w:w="144" w:type="dxa"/>
              <w:bottom w:w="0" w:type="dxa"/>
              <w:right w:w="0" w:type="dxa"/>
            </w:tcMar>
            <w:vAlign w:val="bottom"/>
          </w:tcPr>
          <w:p w14:paraId="3A191684"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sz w:val="18"/>
                <w:szCs w:val="18"/>
              </w:rPr>
            </w:pPr>
            <w:r>
              <w:rPr>
                <w:sz w:val="18"/>
                <w:szCs w:val="18"/>
              </w:rPr>
              <w:t>—</w:t>
            </w:r>
          </w:p>
        </w:tc>
      </w:tr>
      <w:tr w:rsidR="008C16B5" w14:paraId="36670996" w14:textId="77777777" w:rsidTr="008C16B5">
        <w:trPr>
          <w:cantSplit/>
          <w:trHeight w:val="261"/>
          <w:jc w:val="center"/>
        </w:trPr>
        <w:tc>
          <w:tcPr>
            <w:tcW w:w="4305" w:type="dxa"/>
          </w:tcPr>
          <w:p w14:paraId="591B9497" w14:textId="77777777" w:rsidR="008C16B5" w:rsidRDefault="008C16B5" w:rsidP="00B322A7">
            <w:pPr>
              <w:pStyle w:val="NormalWeb"/>
              <w:tabs>
                <w:tab w:val="right" w:leader="dot" w:pos="4620"/>
              </w:tabs>
              <w:spacing w:before="0" w:beforeAutospacing="0" w:after="0" w:afterAutospacing="0"/>
              <w:ind w:left="240" w:hanging="240"/>
              <w:rPr>
                <w:b/>
                <w:sz w:val="18"/>
                <w:szCs w:val="18"/>
              </w:rPr>
            </w:pPr>
            <w:r>
              <w:rPr>
                <w:b/>
                <w:sz w:val="18"/>
                <w:szCs w:val="18"/>
              </w:rPr>
              <w:t>Total current liabilities</w:t>
            </w:r>
            <w:r>
              <w:rPr>
                <w:b/>
                <w:sz w:val="18"/>
                <w:szCs w:val="18"/>
              </w:rPr>
              <w:tab/>
            </w:r>
          </w:p>
        </w:tc>
        <w:tc>
          <w:tcPr>
            <w:tcW w:w="1540" w:type="dxa"/>
            <w:noWrap/>
            <w:tcMar>
              <w:top w:w="0" w:type="dxa"/>
              <w:left w:w="144" w:type="dxa"/>
              <w:bottom w:w="0" w:type="dxa"/>
              <w:right w:w="0" w:type="dxa"/>
            </w:tcMar>
            <w:vAlign w:val="bottom"/>
          </w:tcPr>
          <w:p w14:paraId="12205B78" w14:textId="77777777" w:rsidR="008C16B5" w:rsidRDefault="008C16B5" w:rsidP="00B322A7">
            <w:pPr>
              <w:pStyle w:val="NormalWeb"/>
              <w:tabs>
                <w:tab w:val="right" w:pos="900"/>
                <w:tab w:val="decimal" w:pos="940"/>
              </w:tabs>
              <w:spacing w:before="0" w:beforeAutospacing="0" w:after="20" w:afterAutospacing="0"/>
              <w:jc w:val="right"/>
              <w:rPr>
                <w:b/>
                <w:sz w:val="18"/>
                <w:szCs w:val="18"/>
              </w:rPr>
            </w:pPr>
            <w:r>
              <w:rPr>
                <w:b/>
                <w:sz w:val="18"/>
                <w:szCs w:val="18"/>
              </w:rPr>
              <w:t>178,711</w:t>
            </w:r>
          </w:p>
        </w:tc>
        <w:tc>
          <w:tcPr>
            <w:tcW w:w="1428" w:type="dxa"/>
            <w:noWrap/>
            <w:tcMar>
              <w:top w:w="0" w:type="dxa"/>
              <w:left w:w="144" w:type="dxa"/>
              <w:bottom w:w="0" w:type="dxa"/>
              <w:right w:w="0" w:type="dxa"/>
            </w:tcMar>
            <w:vAlign w:val="bottom"/>
          </w:tcPr>
          <w:p w14:paraId="7E61D2AC"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125,574</w:t>
            </w:r>
          </w:p>
        </w:tc>
        <w:tc>
          <w:tcPr>
            <w:tcW w:w="1274" w:type="dxa"/>
            <w:noWrap/>
            <w:tcMar>
              <w:top w:w="0" w:type="dxa"/>
              <w:left w:w="144" w:type="dxa"/>
              <w:bottom w:w="0" w:type="dxa"/>
              <w:right w:w="0" w:type="dxa"/>
            </w:tcMar>
            <w:vAlign w:val="bottom"/>
          </w:tcPr>
          <w:p w14:paraId="09DC06A6"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174,911</w:t>
            </w:r>
          </w:p>
        </w:tc>
        <w:tc>
          <w:tcPr>
            <w:tcW w:w="1200" w:type="dxa"/>
            <w:noWrap/>
            <w:tcMar>
              <w:top w:w="0" w:type="dxa"/>
              <w:left w:w="144" w:type="dxa"/>
              <w:bottom w:w="0" w:type="dxa"/>
              <w:right w:w="0" w:type="dxa"/>
            </w:tcMar>
            <w:vAlign w:val="bottom"/>
          </w:tcPr>
          <w:p w14:paraId="58F7D303"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29,281</w:t>
            </w:r>
          </w:p>
        </w:tc>
      </w:tr>
      <w:tr w:rsidR="008C16B5" w14:paraId="7725271F" w14:textId="77777777" w:rsidTr="008C16B5">
        <w:trPr>
          <w:cantSplit/>
          <w:trHeight w:val="261"/>
          <w:jc w:val="center"/>
        </w:trPr>
        <w:tc>
          <w:tcPr>
            <w:tcW w:w="4305" w:type="dxa"/>
          </w:tcPr>
          <w:p w14:paraId="29E77DC2" w14:textId="77777777" w:rsidR="008C16B5" w:rsidRDefault="008C16B5" w:rsidP="00B322A7">
            <w:pPr>
              <w:pStyle w:val="NormalWeb"/>
              <w:tabs>
                <w:tab w:val="right" w:leader="dot" w:pos="4620"/>
              </w:tabs>
              <w:spacing w:before="0" w:beforeAutospacing="0" w:after="0" w:afterAutospacing="0"/>
              <w:ind w:left="240" w:hanging="240"/>
              <w:rPr>
                <w:b/>
                <w:sz w:val="18"/>
                <w:szCs w:val="18"/>
              </w:rPr>
            </w:pPr>
            <w:r>
              <w:rPr>
                <w:b/>
                <w:sz w:val="18"/>
                <w:szCs w:val="18"/>
              </w:rPr>
              <w:t>Total liabilities</w:t>
            </w:r>
            <w:r>
              <w:rPr>
                <w:b/>
                <w:sz w:val="18"/>
                <w:szCs w:val="18"/>
              </w:rPr>
              <w:tab/>
            </w:r>
          </w:p>
        </w:tc>
        <w:tc>
          <w:tcPr>
            <w:tcW w:w="1540" w:type="dxa"/>
            <w:noWrap/>
            <w:tcMar>
              <w:top w:w="0" w:type="dxa"/>
              <w:left w:w="144" w:type="dxa"/>
              <w:bottom w:w="0" w:type="dxa"/>
              <w:right w:w="0" w:type="dxa"/>
            </w:tcMar>
            <w:vAlign w:val="bottom"/>
          </w:tcPr>
          <w:p w14:paraId="30D05325" w14:textId="77777777" w:rsidR="008C16B5" w:rsidRDefault="008C16B5" w:rsidP="00B322A7">
            <w:pPr>
              <w:pStyle w:val="NormalWeb"/>
              <w:tabs>
                <w:tab w:val="right" w:pos="900"/>
                <w:tab w:val="decimal" w:pos="940"/>
              </w:tabs>
              <w:spacing w:before="0" w:beforeAutospacing="0" w:after="20" w:afterAutospacing="0"/>
              <w:jc w:val="right"/>
              <w:rPr>
                <w:b/>
                <w:sz w:val="18"/>
                <w:szCs w:val="18"/>
              </w:rPr>
            </w:pPr>
            <w:r>
              <w:rPr>
                <w:b/>
                <w:sz w:val="18"/>
                <w:szCs w:val="18"/>
              </w:rPr>
              <w:t>589,743</w:t>
            </w:r>
          </w:p>
        </w:tc>
        <w:tc>
          <w:tcPr>
            <w:tcW w:w="1428" w:type="dxa"/>
            <w:noWrap/>
            <w:tcMar>
              <w:top w:w="0" w:type="dxa"/>
              <w:left w:w="144" w:type="dxa"/>
              <w:bottom w:w="0" w:type="dxa"/>
              <w:right w:w="0" w:type="dxa"/>
            </w:tcMar>
            <w:vAlign w:val="bottom"/>
          </w:tcPr>
          <w:p w14:paraId="431279D9"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481,289</w:t>
            </w:r>
          </w:p>
        </w:tc>
        <w:tc>
          <w:tcPr>
            <w:tcW w:w="1274" w:type="dxa"/>
            <w:noWrap/>
            <w:tcMar>
              <w:top w:w="0" w:type="dxa"/>
              <w:left w:w="144" w:type="dxa"/>
              <w:bottom w:w="0" w:type="dxa"/>
              <w:right w:w="0" w:type="dxa"/>
            </w:tcMar>
            <w:vAlign w:val="bottom"/>
          </w:tcPr>
          <w:p w14:paraId="36D957A5"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355,330</w:t>
            </w:r>
          </w:p>
        </w:tc>
        <w:tc>
          <w:tcPr>
            <w:tcW w:w="1200" w:type="dxa"/>
            <w:noWrap/>
            <w:tcMar>
              <w:top w:w="0" w:type="dxa"/>
              <w:left w:w="144" w:type="dxa"/>
              <w:bottom w:w="0" w:type="dxa"/>
              <w:right w:w="0" w:type="dxa"/>
            </w:tcMar>
            <w:vAlign w:val="bottom"/>
          </w:tcPr>
          <w:p w14:paraId="4B04184D"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252,422</w:t>
            </w:r>
          </w:p>
        </w:tc>
      </w:tr>
      <w:tr w:rsidR="008C16B5" w14:paraId="47F9EE40" w14:textId="77777777" w:rsidTr="008C16B5">
        <w:trPr>
          <w:cantSplit/>
          <w:trHeight w:val="261"/>
          <w:jc w:val="center"/>
        </w:trPr>
        <w:tc>
          <w:tcPr>
            <w:tcW w:w="4305" w:type="dxa"/>
          </w:tcPr>
          <w:p w14:paraId="675AD8B4" w14:textId="77777777" w:rsidR="008C16B5" w:rsidRDefault="008C16B5" w:rsidP="00B322A7">
            <w:pPr>
              <w:pStyle w:val="NormalWeb"/>
              <w:tabs>
                <w:tab w:val="right" w:leader="dot" w:pos="4620"/>
              </w:tabs>
              <w:spacing w:before="0" w:beforeAutospacing="0" w:after="0" w:afterAutospacing="0"/>
              <w:ind w:left="240" w:hanging="240"/>
              <w:rPr>
                <w:b/>
                <w:sz w:val="18"/>
                <w:szCs w:val="18"/>
              </w:rPr>
            </w:pPr>
            <w:r>
              <w:rPr>
                <w:b/>
                <w:sz w:val="18"/>
                <w:szCs w:val="18"/>
              </w:rPr>
              <w:t>Total shareholders' equity and liabilities</w:t>
            </w:r>
            <w:r>
              <w:rPr>
                <w:b/>
                <w:sz w:val="18"/>
                <w:szCs w:val="18"/>
              </w:rPr>
              <w:tab/>
            </w:r>
          </w:p>
        </w:tc>
        <w:tc>
          <w:tcPr>
            <w:tcW w:w="1540" w:type="dxa"/>
            <w:noWrap/>
            <w:tcMar>
              <w:top w:w="0" w:type="dxa"/>
              <w:left w:w="144" w:type="dxa"/>
              <w:bottom w:w="0" w:type="dxa"/>
              <w:right w:w="0" w:type="dxa"/>
            </w:tcMar>
            <w:vAlign w:val="bottom"/>
          </w:tcPr>
          <w:p w14:paraId="233868C1" w14:textId="77777777" w:rsidR="008C16B5" w:rsidRDefault="008C16B5" w:rsidP="00B322A7">
            <w:pPr>
              <w:pStyle w:val="NormalWeb"/>
              <w:tabs>
                <w:tab w:val="right" w:pos="900"/>
                <w:tab w:val="decimal" w:pos="940"/>
              </w:tabs>
              <w:spacing w:before="0" w:beforeAutospacing="0" w:after="20" w:afterAutospacing="0"/>
              <w:jc w:val="right"/>
              <w:rPr>
                <w:b/>
                <w:sz w:val="18"/>
                <w:szCs w:val="18"/>
              </w:rPr>
            </w:pPr>
            <w:r>
              <w:rPr>
                <w:b/>
                <w:sz w:val="18"/>
                <w:szCs w:val="18"/>
              </w:rPr>
              <w:t>1,022,435</w:t>
            </w:r>
          </w:p>
        </w:tc>
        <w:tc>
          <w:tcPr>
            <w:tcW w:w="1428" w:type="dxa"/>
            <w:noWrap/>
            <w:tcMar>
              <w:top w:w="0" w:type="dxa"/>
              <w:left w:w="144" w:type="dxa"/>
              <w:bottom w:w="0" w:type="dxa"/>
              <w:right w:w="0" w:type="dxa"/>
            </w:tcMar>
            <w:vAlign w:val="bottom"/>
          </w:tcPr>
          <w:p w14:paraId="46177527"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871,594</w:t>
            </w:r>
          </w:p>
        </w:tc>
        <w:tc>
          <w:tcPr>
            <w:tcW w:w="1274" w:type="dxa"/>
            <w:noWrap/>
            <w:tcMar>
              <w:top w:w="0" w:type="dxa"/>
              <w:left w:w="144" w:type="dxa"/>
              <w:bottom w:w="0" w:type="dxa"/>
              <w:right w:w="0" w:type="dxa"/>
            </w:tcMar>
            <w:vAlign w:val="bottom"/>
          </w:tcPr>
          <w:p w14:paraId="0CF6261F"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717,308</w:t>
            </w:r>
          </w:p>
        </w:tc>
        <w:tc>
          <w:tcPr>
            <w:tcW w:w="1200" w:type="dxa"/>
            <w:noWrap/>
            <w:tcMar>
              <w:top w:w="0" w:type="dxa"/>
              <w:left w:w="144" w:type="dxa"/>
              <w:bottom w:w="0" w:type="dxa"/>
              <w:right w:w="0" w:type="dxa"/>
            </w:tcMar>
            <w:vAlign w:val="bottom"/>
          </w:tcPr>
          <w:p w14:paraId="5A213BA4" w14:textId="77777777" w:rsidR="008C16B5" w:rsidRDefault="008C16B5" w:rsidP="00B322A7">
            <w:pPr>
              <w:pStyle w:val="NormalWeb"/>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467,839</w:t>
            </w:r>
          </w:p>
        </w:tc>
      </w:tr>
    </w:tbl>
    <w:p w14:paraId="5B65F3F0" w14:textId="50BA8B87" w:rsidR="00F76607" w:rsidRDefault="00F76607">
      <w:pPr>
        <w:pStyle w:val="NormalWeb"/>
        <w:keepNext/>
        <w:spacing w:before="0" w:beforeAutospacing="0" w:after="0" w:afterAutospacing="0"/>
      </w:pPr>
    </w:p>
    <w:tbl>
      <w:tblPr>
        <w:tblW w:w="5000" w:type="pct"/>
        <w:jc w:val="center"/>
        <w:tblCellMar>
          <w:left w:w="0" w:type="dxa"/>
          <w:right w:w="0" w:type="dxa"/>
        </w:tblCellMar>
        <w:tblLook w:val="04A0" w:firstRow="1" w:lastRow="0" w:firstColumn="1" w:lastColumn="0" w:noHBand="0" w:noVBand="1"/>
      </w:tblPr>
      <w:tblGrid>
        <w:gridCol w:w="4079"/>
        <w:gridCol w:w="1717"/>
        <w:gridCol w:w="34"/>
        <w:gridCol w:w="1436"/>
        <w:gridCol w:w="1281"/>
        <w:gridCol w:w="1206"/>
      </w:tblGrid>
      <w:tr w:rsidR="00F76607" w14:paraId="19016905" w14:textId="77777777" w:rsidTr="008C16B5">
        <w:trPr>
          <w:tblHeader/>
          <w:jc w:val="center"/>
        </w:trPr>
        <w:tc>
          <w:tcPr>
            <w:tcW w:w="4079" w:type="dxa"/>
            <w:vAlign w:val="center"/>
            <w:hideMark/>
          </w:tcPr>
          <w:p w14:paraId="714C376B" w14:textId="77777777" w:rsidR="00F76607" w:rsidRDefault="00F76607">
            <w:pPr>
              <w:rPr>
                <w:sz w:val="1"/>
                <w:szCs w:val="18"/>
              </w:rPr>
            </w:pPr>
          </w:p>
        </w:tc>
        <w:tc>
          <w:tcPr>
            <w:tcW w:w="1717" w:type="dxa"/>
            <w:vAlign w:val="center"/>
            <w:hideMark/>
          </w:tcPr>
          <w:p w14:paraId="13F70008" w14:textId="77777777" w:rsidR="00F76607" w:rsidRDefault="00F76607">
            <w:pPr>
              <w:rPr>
                <w:sz w:val="1"/>
                <w:szCs w:val="18"/>
              </w:rPr>
            </w:pPr>
          </w:p>
        </w:tc>
        <w:tc>
          <w:tcPr>
            <w:tcW w:w="34" w:type="dxa"/>
            <w:vAlign w:val="center"/>
            <w:hideMark/>
          </w:tcPr>
          <w:p w14:paraId="05C8E5A3" w14:textId="77777777" w:rsidR="00F76607" w:rsidRDefault="00F76607">
            <w:pPr>
              <w:rPr>
                <w:sz w:val="1"/>
                <w:szCs w:val="18"/>
              </w:rPr>
            </w:pPr>
          </w:p>
        </w:tc>
        <w:tc>
          <w:tcPr>
            <w:tcW w:w="1436" w:type="dxa"/>
            <w:vAlign w:val="center"/>
            <w:hideMark/>
          </w:tcPr>
          <w:p w14:paraId="071E5092" w14:textId="77777777" w:rsidR="00F76607" w:rsidRDefault="00F76607">
            <w:pPr>
              <w:rPr>
                <w:sz w:val="1"/>
                <w:szCs w:val="18"/>
              </w:rPr>
            </w:pPr>
          </w:p>
        </w:tc>
        <w:tc>
          <w:tcPr>
            <w:tcW w:w="1281" w:type="dxa"/>
            <w:vAlign w:val="center"/>
            <w:hideMark/>
          </w:tcPr>
          <w:p w14:paraId="3105A6EA" w14:textId="77777777" w:rsidR="00F76607" w:rsidRDefault="00F76607">
            <w:pPr>
              <w:rPr>
                <w:sz w:val="1"/>
                <w:szCs w:val="18"/>
              </w:rPr>
            </w:pPr>
          </w:p>
        </w:tc>
        <w:tc>
          <w:tcPr>
            <w:tcW w:w="1206" w:type="dxa"/>
            <w:vAlign w:val="center"/>
            <w:hideMark/>
          </w:tcPr>
          <w:p w14:paraId="40E1297D" w14:textId="77777777" w:rsidR="00F76607" w:rsidRDefault="00F76607">
            <w:pPr>
              <w:rPr>
                <w:sz w:val="1"/>
                <w:szCs w:val="18"/>
              </w:rPr>
            </w:pPr>
          </w:p>
        </w:tc>
      </w:tr>
    </w:tbl>
    <w:p w14:paraId="62654E15" w14:textId="77777777" w:rsidR="00F76607" w:rsidRDefault="00F76607">
      <w:pPr>
        <w:pStyle w:val="NormalWeb"/>
        <w:spacing w:before="180" w:beforeAutospacing="0" w:after="0" w:afterAutospacing="0"/>
        <w:rPr>
          <w:sz w:val="2"/>
          <w:szCs w:val="2"/>
        </w:rPr>
      </w:pPr>
    </w:p>
    <w:p w14:paraId="63716B0C" w14:textId="71E74CCF" w:rsidR="00F76607" w:rsidRDefault="001863F0">
      <w:pPr>
        <w:pStyle w:val="NormalWeb"/>
        <w:keepNext/>
        <w:spacing w:before="0" w:beforeAutospacing="0" w:after="0" w:afterAutospacing="0"/>
        <w:rPr>
          <w:b/>
          <w:bCs/>
          <w:sz w:val="18"/>
          <w:szCs w:val="18"/>
        </w:rPr>
      </w:pPr>
      <w:r>
        <w:rPr>
          <w:b/>
          <w:bCs/>
          <w:sz w:val="18"/>
          <w:szCs w:val="18"/>
        </w:rPr>
        <w:lastRenderedPageBreak/>
        <w:t>Consolidated Statement of Cash Flow Information</w:t>
      </w:r>
    </w:p>
    <w:p w14:paraId="517A9689" w14:textId="77777777" w:rsidR="008C16B5" w:rsidRDefault="008C16B5">
      <w:pPr>
        <w:pStyle w:val="NormalWeb"/>
        <w:keepNext/>
        <w:spacing w:before="0" w:beforeAutospacing="0" w:after="0" w:afterAutospacing="0"/>
      </w:pPr>
    </w:p>
    <w:tbl>
      <w:tblPr>
        <w:tblW w:w="492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104"/>
        <w:gridCol w:w="975"/>
        <w:gridCol w:w="1098"/>
        <w:gridCol w:w="1324"/>
        <w:gridCol w:w="1366"/>
        <w:gridCol w:w="1742"/>
      </w:tblGrid>
      <w:tr w:rsidR="008C16B5" w14:paraId="492DD258" w14:textId="77777777" w:rsidTr="00B322A7">
        <w:trPr>
          <w:cantSplit/>
          <w:tblHeader/>
          <w:jc w:val="center"/>
        </w:trPr>
        <w:tc>
          <w:tcPr>
            <w:tcW w:w="3154" w:type="dxa"/>
            <w:tcMar>
              <w:top w:w="0" w:type="dxa"/>
              <w:left w:w="144" w:type="dxa"/>
              <w:bottom w:w="0" w:type="dxa"/>
              <w:right w:w="0" w:type="dxa"/>
            </w:tcMar>
            <w:hideMark/>
          </w:tcPr>
          <w:p w14:paraId="31BC4279" w14:textId="77777777" w:rsidR="008C16B5" w:rsidRDefault="008C16B5" w:rsidP="00B322A7">
            <w:pPr>
              <w:pStyle w:val="la2"/>
              <w:keepNext/>
              <w:keepLines/>
              <w:rPr>
                <w:rFonts w:eastAsiaTheme="minorEastAsia"/>
                <w:sz w:val="16"/>
                <w:szCs w:val="16"/>
              </w:rPr>
            </w:pPr>
            <w:r>
              <w:rPr>
                <w:sz w:val="16"/>
                <w:szCs w:val="16"/>
              </w:rPr>
              <w:t> </w:t>
            </w:r>
          </w:p>
        </w:tc>
        <w:tc>
          <w:tcPr>
            <w:tcW w:w="2105" w:type="dxa"/>
            <w:gridSpan w:val="2"/>
          </w:tcPr>
          <w:p w14:paraId="1E4EDCEC" w14:textId="77777777" w:rsidR="008C16B5" w:rsidRDefault="008C16B5" w:rsidP="00B322A7">
            <w:pPr>
              <w:keepNext/>
              <w:keepLines/>
              <w:jc w:val="center"/>
              <w:rPr>
                <w:rFonts w:eastAsiaTheme="minorEastAsia"/>
                <w:sz w:val="16"/>
                <w:szCs w:val="16"/>
              </w:rPr>
            </w:pPr>
            <w:r>
              <w:rPr>
                <w:b/>
                <w:bCs/>
                <w:sz w:val="16"/>
                <w:szCs w:val="16"/>
              </w:rPr>
              <w:t>For the six</w:t>
            </w:r>
            <w:r>
              <w:rPr>
                <w:b/>
                <w:bCs/>
                <w:sz w:val="16"/>
                <w:szCs w:val="16"/>
              </w:rPr>
              <w:br/>
              <w:t>months ended 30-Jun</w:t>
            </w:r>
          </w:p>
        </w:tc>
        <w:tc>
          <w:tcPr>
            <w:tcW w:w="4500" w:type="dxa"/>
            <w:gridSpan w:val="3"/>
            <w:tcMar>
              <w:top w:w="0" w:type="dxa"/>
              <w:left w:w="144" w:type="dxa"/>
              <w:bottom w:w="0" w:type="dxa"/>
              <w:right w:w="0" w:type="dxa"/>
            </w:tcMar>
            <w:hideMark/>
          </w:tcPr>
          <w:p w14:paraId="527E0FB7" w14:textId="77777777" w:rsidR="008C16B5" w:rsidRDefault="008C16B5" w:rsidP="00B322A7">
            <w:pPr>
              <w:keepNext/>
              <w:keepLines/>
              <w:jc w:val="center"/>
              <w:rPr>
                <w:rFonts w:eastAsiaTheme="minorEastAsia"/>
                <w:sz w:val="16"/>
                <w:szCs w:val="16"/>
              </w:rPr>
            </w:pPr>
            <w:r>
              <w:rPr>
                <w:b/>
                <w:bCs/>
                <w:sz w:val="16"/>
                <w:szCs w:val="16"/>
              </w:rPr>
              <w:t>For the year ended</w:t>
            </w:r>
            <w:r>
              <w:rPr>
                <w:b/>
                <w:bCs/>
                <w:sz w:val="16"/>
                <w:szCs w:val="16"/>
              </w:rPr>
              <w:br/>
              <w:t>31-Dec</w:t>
            </w:r>
            <w:r>
              <w:rPr>
                <w:sz w:val="16"/>
                <w:szCs w:val="16"/>
              </w:rPr>
              <w:t> </w:t>
            </w:r>
          </w:p>
        </w:tc>
      </w:tr>
      <w:tr w:rsidR="008C16B5" w14:paraId="36F802B1" w14:textId="77777777" w:rsidTr="00B322A7">
        <w:trPr>
          <w:cantSplit/>
          <w:tblHeader/>
          <w:jc w:val="center"/>
        </w:trPr>
        <w:tc>
          <w:tcPr>
            <w:tcW w:w="3154" w:type="dxa"/>
            <w:tcMar>
              <w:top w:w="0" w:type="dxa"/>
              <w:left w:w="144" w:type="dxa"/>
              <w:bottom w:w="0" w:type="dxa"/>
              <w:right w:w="0" w:type="dxa"/>
            </w:tcMar>
            <w:hideMark/>
          </w:tcPr>
          <w:p w14:paraId="7DEB6543" w14:textId="77777777" w:rsidR="008C16B5" w:rsidRDefault="008C16B5" w:rsidP="00B322A7">
            <w:pPr>
              <w:pStyle w:val="la2"/>
              <w:keepNext/>
              <w:keepLines/>
              <w:rPr>
                <w:rFonts w:eastAsiaTheme="minorEastAsia"/>
                <w:sz w:val="16"/>
                <w:szCs w:val="16"/>
              </w:rPr>
            </w:pPr>
            <w:r>
              <w:rPr>
                <w:sz w:val="16"/>
                <w:szCs w:val="16"/>
              </w:rPr>
              <w:t> </w:t>
            </w:r>
          </w:p>
        </w:tc>
        <w:tc>
          <w:tcPr>
            <w:tcW w:w="991" w:type="dxa"/>
          </w:tcPr>
          <w:p w14:paraId="4A98BFBD" w14:textId="77777777" w:rsidR="008C16B5" w:rsidRDefault="008C16B5" w:rsidP="00B322A7">
            <w:pPr>
              <w:keepNext/>
              <w:keepLines/>
              <w:jc w:val="center"/>
              <w:rPr>
                <w:rFonts w:eastAsiaTheme="minorEastAsia"/>
                <w:sz w:val="16"/>
                <w:szCs w:val="16"/>
              </w:rPr>
            </w:pPr>
            <w:r>
              <w:rPr>
                <w:b/>
                <w:bCs/>
                <w:sz w:val="16"/>
                <w:szCs w:val="16"/>
              </w:rPr>
              <w:t>2017</w:t>
            </w:r>
          </w:p>
        </w:tc>
        <w:tc>
          <w:tcPr>
            <w:tcW w:w="1114" w:type="dxa"/>
            <w:tcMar>
              <w:top w:w="0" w:type="dxa"/>
              <w:left w:w="144" w:type="dxa"/>
              <w:bottom w:w="0" w:type="dxa"/>
              <w:right w:w="0" w:type="dxa"/>
            </w:tcMar>
            <w:hideMark/>
          </w:tcPr>
          <w:p w14:paraId="61008E00" w14:textId="77777777" w:rsidR="008C16B5" w:rsidRDefault="008C16B5" w:rsidP="00B322A7">
            <w:pPr>
              <w:keepNext/>
              <w:keepLines/>
              <w:jc w:val="center"/>
              <w:rPr>
                <w:rFonts w:eastAsiaTheme="minorEastAsia"/>
                <w:sz w:val="16"/>
                <w:szCs w:val="16"/>
              </w:rPr>
            </w:pPr>
            <w:r>
              <w:rPr>
                <w:b/>
                <w:bCs/>
                <w:sz w:val="16"/>
                <w:szCs w:val="16"/>
              </w:rPr>
              <w:t>2016</w:t>
            </w:r>
          </w:p>
        </w:tc>
        <w:tc>
          <w:tcPr>
            <w:tcW w:w="1344" w:type="dxa"/>
            <w:tcMar>
              <w:top w:w="0" w:type="dxa"/>
              <w:left w:w="144" w:type="dxa"/>
              <w:bottom w:w="0" w:type="dxa"/>
              <w:right w:w="0" w:type="dxa"/>
            </w:tcMar>
            <w:hideMark/>
          </w:tcPr>
          <w:p w14:paraId="6D5475C2" w14:textId="77777777" w:rsidR="008C16B5" w:rsidRDefault="008C16B5" w:rsidP="00B322A7">
            <w:pPr>
              <w:keepNext/>
              <w:keepLines/>
              <w:jc w:val="center"/>
              <w:rPr>
                <w:rFonts w:eastAsiaTheme="minorEastAsia"/>
                <w:sz w:val="16"/>
                <w:szCs w:val="16"/>
              </w:rPr>
            </w:pPr>
            <w:r>
              <w:rPr>
                <w:b/>
                <w:bCs/>
                <w:sz w:val="16"/>
                <w:szCs w:val="16"/>
              </w:rPr>
              <w:t>2016</w:t>
            </w:r>
          </w:p>
        </w:tc>
        <w:tc>
          <w:tcPr>
            <w:tcW w:w="1387" w:type="dxa"/>
            <w:tcMar>
              <w:top w:w="0" w:type="dxa"/>
              <w:left w:w="144" w:type="dxa"/>
              <w:bottom w:w="0" w:type="dxa"/>
              <w:right w:w="0" w:type="dxa"/>
            </w:tcMar>
            <w:hideMark/>
          </w:tcPr>
          <w:p w14:paraId="5C36728F" w14:textId="77777777" w:rsidR="008C16B5" w:rsidRDefault="008C16B5" w:rsidP="00B322A7">
            <w:pPr>
              <w:keepNext/>
              <w:keepLines/>
              <w:jc w:val="center"/>
              <w:rPr>
                <w:rFonts w:eastAsiaTheme="minorEastAsia"/>
                <w:sz w:val="16"/>
                <w:szCs w:val="16"/>
              </w:rPr>
            </w:pPr>
            <w:r>
              <w:rPr>
                <w:b/>
                <w:bCs/>
                <w:sz w:val="16"/>
                <w:szCs w:val="16"/>
              </w:rPr>
              <w:t>2015</w:t>
            </w:r>
          </w:p>
        </w:tc>
        <w:tc>
          <w:tcPr>
            <w:tcW w:w="1769" w:type="dxa"/>
            <w:tcMar>
              <w:top w:w="0" w:type="dxa"/>
              <w:left w:w="144" w:type="dxa"/>
              <w:bottom w:w="0" w:type="dxa"/>
              <w:right w:w="0" w:type="dxa"/>
            </w:tcMar>
            <w:hideMark/>
          </w:tcPr>
          <w:p w14:paraId="2FD5C51F" w14:textId="22E26EB1" w:rsidR="008C16B5" w:rsidRDefault="008C16B5" w:rsidP="008C16B5">
            <w:pPr>
              <w:keepNext/>
              <w:keepLines/>
              <w:jc w:val="center"/>
              <w:rPr>
                <w:rFonts w:eastAsiaTheme="minorEastAsia"/>
                <w:sz w:val="16"/>
                <w:szCs w:val="16"/>
              </w:rPr>
            </w:pPr>
            <w:r>
              <w:rPr>
                <w:b/>
                <w:bCs/>
                <w:sz w:val="16"/>
                <w:szCs w:val="16"/>
              </w:rPr>
              <w:t>2014</w:t>
            </w:r>
            <w:r>
              <w:rPr>
                <w:rStyle w:val="FootnoteReference"/>
                <w:b/>
                <w:bCs/>
                <w:sz w:val="16"/>
                <w:szCs w:val="16"/>
              </w:rPr>
              <w:footnoteReference w:id="2"/>
            </w:r>
          </w:p>
        </w:tc>
      </w:tr>
      <w:tr w:rsidR="008C16B5" w14:paraId="64ABC7D0" w14:textId="77777777" w:rsidTr="00B322A7">
        <w:trPr>
          <w:cantSplit/>
          <w:tblHeader/>
          <w:jc w:val="center"/>
        </w:trPr>
        <w:tc>
          <w:tcPr>
            <w:tcW w:w="3154" w:type="dxa"/>
            <w:tcMar>
              <w:top w:w="0" w:type="dxa"/>
              <w:left w:w="144" w:type="dxa"/>
              <w:bottom w:w="0" w:type="dxa"/>
              <w:right w:w="0" w:type="dxa"/>
            </w:tcMar>
            <w:hideMark/>
          </w:tcPr>
          <w:p w14:paraId="638BFE44" w14:textId="77777777" w:rsidR="008C16B5" w:rsidRDefault="008C16B5" w:rsidP="00B322A7">
            <w:pPr>
              <w:pStyle w:val="la2"/>
              <w:keepNext/>
              <w:keepLines/>
              <w:rPr>
                <w:rFonts w:eastAsiaTheme="minorEastAsia"/>
                <w:sz w:val="16"/>
                <w:szCs w:val="16"/>
              </w:rPr>
            </w:pPr>
            <w:r>
              <w:rPr>
                <w:sz w:val="16"/>
                <w:szCs w:val="16"/>
              </w:rPr>
              <w:t> </w:t>
            </w:r>
          </w:p>
        </w:tc>
        <w:tc>
          <w:tcPr>
            <w:tcW w:w="6605" w:type="dxa"/>
            <w:gridSpan w:val="5"/>
          </w:tcPr>
          <w:p w14:paraId="0CA658DD" w14:textId="77777777" w:rsidR="008C16B5" w:rsidRDefault="008C16B5" w:rsidP="00B322A7">
            <w:pPr>
              <w:keepNext/>
              <w:keepLines/>
              <w:jc w:val="center"/>
              <w:rPr>
                <w:i/>
                <w:sz w:val="16"/>
                <w:szCs w:val="16"/>
              </w:rPr>
            </w:pPr>
            <w:r>
              <w:rPr>
                <w:bCs/>
                <w:i/>
                <w:sz w:val="16"/>
                <w:szCs w:val="16"/>
              </w:rPr>
              <w:t>(€ thousands)</w:t>
            </w:r>
          </w:p>
        </w:tc>
      </w:tr>
      <w:tr w:rsidR="008C16B5" w14:paraId="1C335767" w14:textId="77777777" w:rsidTr="00B322A7">
        <w:trPr>
          <w:cantSplit/>
          <w:jc w:val="center"/>
        </w:trPr>
        <w:tc>
          <w:tcPr>
            <w:tcW w:w="3154" w:type="dxa"/>
            <w:hideMark/>
          </w:tcPr>
          <w:p w14:paraId="2D1D52E0" w14:textId="77777777" w:rsidR="008C16B5" w:rsidRDefault="008C16B5" w:rsidP="00B322A7">
            <w:pPr>
              <w:pStyle w:val="NormalWeb"/>
              <w:keepNext/>
              <w:keepLines/>
              <w:tabs>
                <w:tab w:val="right" w:pos="800"/>
                <w:tab w:val="decimal" w:pos="840"/>
              </w:tabs>
              <w:spacing w:before="0" w:beforeAutospacing="0" w:after="20" w:afterAutospacing="0"/>
              <w:rPr>
                <w:rFonts w:eastAsiaTheme="minorEastAsia"/>
                <w:sz w:val="18"/>
                <w:szCs w:val="18"/>
              </w:rPr>
            </w:pPr>
            <w:r>
              <w:rPr>
                <w:i/>
                <w:sz w:val="18"/>
                <w:szCs w:val="18"/>
              </w:rPr>
              <w:t>Cash flows from operating activities</w:t>
            </w:r>
            <w:r>
              <w:rPr>
                <w:rFonts w:eastAsiaTheme="minorEastAsia"/>
                <w:sz w:val="18"/>
                <w:szCs w:val="18"/>
              </w:rPr>
              <w:t>:</w:t>
            </w:r>
          </w:p>
        </w:tc>
        <w:tc>
          <w:tcPr>
            <w:tcW w:w="991" w:type="dxa"/>
          </w:tcPr>
          <w:p w14:paraId="59012CD2" w14:textId="77777777" w:rsidR="008C16B5" w:rsidRDefault="008C16B5" w:rsidP="00B322A7">
            <w:pPr>
              <w:pStyle w:val="NormalWeb"/>
              <w:keepNext/>
              <w:keepLines/>
              <w:tabs>
                <w:tab w:val="right" w:pos="800"/>
                <w:tab w:val="decimal" w:pos="840"/>
              </w:tabs>
              <w:spacing w:before="0" w:beforeAutospacing="0" w:after="20" w:afterAutospacing="0"/>
              <w:jc w:val="center"/>
              <w:rPr>
                <w:rFonts w:eastAsiaTheme="minorEastAsia"/>
                <w:sz w:val="18"/>
                <w:szCs w:val="18"/>
              </w:rPr>
            </w:pPr>
          </w:p>
        </w:tc>
        <w:tc>
          <w:tcPr>
            <w:tcW w:w="1114" w:type="dxa"/>
          </w:tcPr>
          <w:p w14:paraId="1D215F24" w14:textId="77777777" w:rsidR="008C16B5" w:rsidRDefault="008C16B5" w:rsidP="00B322A7">
            <w:pPr>
              <w:pStyle w:val="NormalWeb"/>
              <w:keepNext/>
              <w:keepLines/>
              <w:tabs>
                <w:tab w:val="right" w:pos="800"/>
                <w:tab w:val="decimal" w:pos="840"/>
              </w:tabs>
              <w:spacing w:before="0" w:beforeAutospacing="0" w:after="20" w:afterAutospacing="0"/>
              <w:jc w:val="center"/>
              <w:rPr>
                <w:rFonts w:eastAsiaTheme="minorEastAsia"/>
                <w:sz w:val="18"/>
                <w:szCs w:val="18"/>
              </w:rPr>
            </w:pPr>
          </w:p>
        </w:tc>
        <w:tc>
          <w:tcPr>
            <w:tcW w:w="1344" w:type="dxa"/>
          </w:tcPr>
          <w:p w14:paraId="244B9C4E"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p>
        </w:tc>
        <w:tc>
          <w:tcPr>
            <w:tcW w:w="1387" w:type="dxa"/>
          </w:tcPr>
          <w:p w14:paraId="03B826F8"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p>
        </w:tc>
        <w:tc>
          <w:tcPr>
            <w:tcW w:w="1769" w:type="dxa"/>
          </w:tcPr>
          <w:p w14:paraId="4ABBA846"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p>
        </w:tc>
      </w:tr>
      <w:tr w:rsidR="008C16B5" w14:paraId="472C2FEC" w14:textId="77777777" w:rsidTr="00B322A7">
        <w:trPr>
          <w:cantSplit/>
          <w:jc w:val="center"/>
        </w:trPr>
        <w:tc>
          <w:tcPr>
            <w:tcW w:w="3154" w:type="dxa"/>
          </w:tcPr>
          <w:p w14:paraId="78ACD950"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Profit before taxes</w:t>
            </w:r>
            <w:r>
              <w:rPr>
                <w:sz w:val="18"/>
                <w:szCs w:val="18"/>
              </w:rPr>
              <w:tab/>
            </w:r>
          </w:p>
        </w:tc>
        <w:tc>
          <w:tcPr>
            <w:tcW w:w="991" w:type="dxa"/>
          </w:tcPr>
          <w:p w14:paraId="1A19DC88"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72,700</w:t>
            </w:r>
          </w:p>
        </w:tc>
        <w:tc>
          <w:tcPr>
            <w:tcW w:w="1114" w:type="dxa"/>
            <w:noWrap/>
            <w:tcMar>
              <w:top w:w="0" w:type="dxa"/>
              <w:left w:w="144" w:type="dxa"/>
              <w:bottom w:w="0" w:type="dxa"/>
              <w:right w:w="0" w:type="dxa"/>
            </w:tcMar>
          </w:tcPr>
          <w:p w14:paraId="6D2E1AA8"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55,450</w:t>
            </w:r>
          </w:p>
        </w:tc>
        <w:tc>
          <w:tcPr>
            <w:tcW w:w="1344" w:type="dxa"/>
            <w:noWrap/>
            <w:tcMar>
              <w:top w:w="0" w:type="dxa"/>
              <w:left w:w="144" w:type="dxa"/>
              <w:bottom w:w="0" w:type="dxa"/>
              <w:right w:w="0" w:type="dxa"/>
            </w:tcMar>
          </w:tcPr>
          <w:p w14:paraId="1CC1834A"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113,076</w:t>
            </w:r>
          </w:p>
        </w:tc>
        <w:tc>
          <w:tcPr>
            <w:tcW w:w="1387" w:type="dxa"/>
            <w:noWrap/>
            <w:tcMar>
              <w:top w:w="0" w:type="dxa"/>
              <w:left w:w="144" w:type="dxa"/>
              <w:bottom w:w="0" w:type="dxa"/>
              <w:right w:w="0" w:type="dxa"/>
            </w:tcMar>
          </w:tcPr>
          <w:p w14:paraId="46D662DB"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99,090</w:t>
            </w:r>
          </w:p>
        </w:tc>
        <w:tc>
          <w:tcPr>
            <w:tcW w:w="1769" w:type="dxa"/>
            <w:noWrap/>
            <w:tcMar>
              <w:top w:w="0" w:type="dxa"/>
              <w:left w:w="144" w:type="dxa"/>
              <w:bottom w:w="0" w:type="dxa"/>
              <w:right w:w="0" w:type="dxa"/>
            </w:tcMar>
          </w:tcPr>
          <w:p w14:paraId="299B5582"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65,550</w:t>
            </w:r>
          </w:p>
        </w:tc>
      </w:tr>
      <w:tr w:rsidR="008C16B5" w14:paraId="0BBA781C" w14:textId="77777777" w:rsidTr="00B322A7">
        <w:trPr>
          <w:cantSplit/>
          <w:jc w:val="center"/>
        </w:trPr>
        <w:tc>
          <w:tcPr>
            <w:tcW w:w="3154" w:type="dxa"/>
          </w:tcPr>
          <w:p w14:paraId="05374675" w14:textId="77777777" w:rsidR="008C16B5" w:rsidRDefault="008C16B5" w:rsidP="00B322A7">
            <w:pPr>
              <w:pStyle w:val="NormalWeb"/>
              <w:keepNext/>
              <w:keepLines/>
              <w:tabs>
                <w:tab w:val="right" w:pos="800"/>
                <w:tab w:val="decimal" w:pos="840"/>
              </w:tabs>
              <w:spacing w:before="0" w:beforeAutospacing="0" w:after="20" w:afterAutospacing="0"/>
              <w:rPr>
                <w:rFonts w:eastAsiaTheme="minorEastAsia"/>
                <w:sz w:val="18"/>
                <w:szCs w:val="18"/>
              </w:rPr>
            </w:pPr>
            <w:r>
              <w:rPr>
                <w:i/>
                <w:sz w:val="18"/>
                <w:szCs w:val="18"/>
              </w:rPr>
              <w:t>Adjustments for:</w:t>
            </w:r>
          </w:p>
        </w:tc>
        <w:tc>
          <w:tcPr>
            <w:tcW w:w="991" w:type="dxa"/>
          </w:tcPr>
          <w:p w14:paraId="3496A230"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p>
        </w:tc>
        <w:tc>
          <w:tcPr>
            <w:tcW w:w="1114" w:type="dxa"/>
          </w:tcPr>
          <w:p w14:paraId="11D8E14F"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p>
        </w:tc>
        <w:tc>
          <w:tcPr>
            <w:tcW w:w="1344" w:type="dxa"/>
          </w:tcPr>
          <w:p w14:paraId="48484D52"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p>
        </w:tc>
        <w:tc>
          <w:tcPr>
            <w:tcW w:w="1387" w:type="dxa"/>
          </w:tcPr>
          <w:p w14:paraId="18CB106B"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p>
        </w:tc>
        <w:tc>
          <w:tcPr>
            <w:tcW w:w="1769" w:type="dxa"/>
          </w:tcPr>
          <w:p w14:paraId="4141933E"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p>
        </w:tc>
      </w:tr>
      <w:tr w:rsidR="008C16B5" w14:paraId="1A0595AC" w14:textId="77777777" w:rsidTr="00B322A7">
        <w:trPr>
          <w:cantSplit/>
          <w:jc w:val="center"/>
        </w:trPr>
        <w:tc>
          <w:tcPr>
            <w:tcW w:w="3154" w:type="dxa"/>
          </w:tcPr>
          <w:p w14:paraId="0B9E81B3"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 xml:space="preserve">Depreciation </w:t>
            </w:r>
            <w:r>
              <w:rPr>
                <w:sz w:val="18"/>
                <w:szCs w:val="18"/>
              </w:rPr>
              <w:tab/>
            </w:r>
          </w:p>
        </w:tc>
        <w:tc>
          <w:tcPr>
            <w:tcW w:w="991" w:type="dxa"/>
          </w:tcPr>
          <w:p w14:paraId="5AE253FE"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89</w:t>
            </w:r>
          </w:p>
        </w:tc>
        <w:tc>
          <w:tcPr>
            <w:tcW w:w="1114" w:type="dxa"/>
            <w:noWrap/>
            <w:tcMar>
              <w:top w:w="0" w:type="dxa"/>
              <w:left w:w="144" w:type="dxa"/>
              <w:bottom w:w="0" w:type="dxa"/>
              <w:right w:w="0" w:type="dxa"/>
            </w:tcMar>
          </w:tcPr>
          <w:p w14:paraId="37BD184E"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258</w:t>
            </w:r>
          </w:p>
        </w:tc>
        <w:tc>
          <w:tcPr>
            <w:tcW w:w="1344" w:type="dxa"/>
            <w:noWrap/>
            <w:tcMar>
              <w:top w:w="0" w:type="dxa"/>
              <w:left w:w="144" w:type="dxa"/>
              <w:bottom w:w="0" w:type="dxa"/>
              <w:right w:w="0" w:type="dxa"/>
            </w:tcMar>
          </w:tcPr>
          <w:p w14:paraId="6C5A4ACA"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897</w:t>
            </w:r>
          </w:p>
        </w:tc>
        <w:tc>
          <w:tcPr>
            <w:tcW w:w="1387" w:type="dxa"/>
            <w:noWrap/>
            <w:tcMar>
              <w:top w:w="0" w:type="dxa"/>
              <w:left w:w="144" w:type="dxa"/>
              <w:bottom w:w="0" w:type="dxa"/>
              <w:right w:w="0" w:type="dxa"/>
            </w:tcMar>
          </w:tcPr>
          <w:p w14:paraId="5EF41B25"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734</w:t>
            </w:r>
          </w:p>
        </w:tc>
        <w:tc>
          <w:tcPr>
            <w:tcW w:w="1769" w:type="dxa"/>
            <w:noWrap/>
            <w:tcMar>
              <w:top w:w="0" w:type="dxa"/>
              <w:left w:w="144" w:type="dxa"/>
              <w:bottom w:w="0" w:type="dxa"/>
              <w:right w:w="0" w:type="dxa"/>
            </w:tcMar>
          </w:tcPr>
          <w:p w14:paraId="55C24CB5"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178</w:t>
            </w:r>
          </w:p>
        </w:tc>
      </w:tr>
      <w:tr w:rsidR="008C16B5" w14:paraId="249F07CD" w14:textId="77777777" w:rsidTr="00B322A7">
        <w:trPr>
          <w:cantSplit/>
          <w:jc w:val="center"/>
        </w:trPr>
        <w:tc>
          <w:tcPr>
            <w:tcW w:w="3154" w:type="dxa"/>
          </w:tcPr>
          <w:p w14:paraId="634B99C2"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proofErr w:type="spellStart"/>
            <w:r>
              <w:rPr>
                <w:sz w:val="18"/>
                <w:szCs w:val="18"/>
              </w:rPr>
              <w:t>Unrealised</w:t>
            </w:r>
            <w:proofErr w:type="spellEnd"/>
            <w:r>
              <w:rPr>
                <w:sz w:val="18"/>
                <w:szCs w:val="18"/>
              </w:rPr>
              <w:t xml:space="preserve"> (gains) / losses on investment properties</w:t>
            </w:r>
            <w:r>
              <w:rPr>
                <w:sz w:val="18"/>
                <w:szCs w:val="18"/>
              </w:rPr>
              <w:tab/>
            </w:r>
          </w:p>
        </w:tc>
        <w:tc>
          <w:tcPr>
            <w:tcW w:w="991" w:type="dxa"/>
          </w:tcPr>
          <w:p w14:paraId="6656A31B"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(59,522)</w:t>
            </w:r>
          </w:p>
        </w:tc>
        <w:tc>
          <w:tcPr>
            <w:tcW w:w="1114" w:type="dxa"/>
            <w:noWrap/>
            <w:tcMar>
              <w:top w:w="0" w:type="dxa"/>
              <w:left w:w="144" w:type="dxa"/>
              <w:bottom w:w="0" w:type="dxa"/>
              <w:right w:w="0" w:type="dxa"/>
            </w:tcMar>
          </w:tcPr>
          <w:p w14:paraId="24BC37C6"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(42,997)</w:t>
            </w:r>
          </w:p>
        </w:tc>
        <w:tc>
          <w:tcPr>
            <w:tcW w:w="1344" w:type="dxa"/>
            <w:noWrap/>
            <w:tcMar>
              <w:top w:w="0" w:type="dxa"/>
              <w:left w:w="144" w:type="dxa"/>
              <w:bottom w:w="0" w:type="dxa"/>
              <w:right w:w="0" w:type="dxa"/>
            </w:tcMar>
          </w:tcPr>
          <w:p w14:paraId="63B46F29"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(97,696)</w:t>
            </w:r>
          </w:p>
        </w:tc>
        <w:tc>
          <w:tcPr>
            <w:tcW w:w="1387" w:type="dxa"/>
            <w:noWrap/>
            <w:tcMar>
              <w:top w:w="0" w:type="dxa"/>
              <w:left w:w="144" w:type="dxa"/>
              <w:bottom w:w="0" w:type="dxa"/>
              <w:right w:w="0" w:type="dxa"/>
            </w:tcMar>
          </w:tcPr>
          <w:p w14:paraId="1C1955A2"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(103,975)</w:t>
            </w:r>
          </w:p>
        </w:tc>
        <w:tc>
          <w:tcPr>
            <w:tcW w:w="1769" w:type="dxa"/>
            <w:noWrap/>
            <w:tcMar>
              <w:top w:w="0" w:type="dxa"/>
              <w:left w:w="144" w:type="dxa"/>
              <w:bottom w:w="0" w:type="dxa"/>
              <w:right w:w="0" w:type="dxa"/>
            </w:tcMar>
          </w:tcPr>
          <w:p w14:paraId="12F6E43F"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(58,160)</w:t>
            </w:r>
          </w:p>
        </w:tc>
      </w:tr>
      <w:tr w:rsidR="008C16B5" w14:paraId="5202D015" w14:textId="77777777" w:rsidTr="00B322A7">
        <w:trPr>
          <w:cantSplit/>
          <w:jc w:val="center"/>
        </w:trPr>
        <w:tc>
          <w:tcPr>
            <w:tcW w:w="3154" w:type="dxa"/>
          </w:tcPr>
          <w:p w14:paraId="03FAFED2"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proofErr w:type="spellStart"/>
            <w:r>
              <w:rPr>
                <w:sz w:val="18"/>
                <w:szCs w:val="18"/>
              </w:rPr>
              <w:t>Realised</w:t>
            </w:r>
            <w:proofErr w:type="spellEnd"/>
            <w:r>
              <w:rPr>
                <w:sz w:val="18"/>
                <w:szCs w:val="18"/>
              </w:rPr>
              <w:t xml:space="preserve"> (gains) losses on disposal of subsidiaries and investment properties</w:t>
            </w:r>
            <w:r>
              <w:rPr>
                <w:sz w:val="18"/>
                <w:szCs w:val="18"/>
              </w:rPr>
              <w:tab/>
            </w:r>
          </w:p>
        </w:tc>
        <w:tc>
          <w:tcPr>
            <w:tcW w:w="991" w:type="dxa"/>
          </w:tcPr>
          <w:p w14:paraId="4F0E6C5F"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(342)</w:t>
            </w:r>
          </w:p>
        </w:tc>
        <w:tc>
          <w:tcPr>
            <w:tcW w:w="1114" w:type="dxa"/>
            <w:noWrap/>
            <w:tcMar>
              <w:top w:w="0" w:type="dxa"/>
              <w:left w:w="144" w:type="dxa"/>
              <w:bottom w:w="0" w:type="dxa"/>
              <w:right w:w="0" w:type="dxa"/>
            </w:tcMar>
          </w:tcPr>
          <w:p w14:paraId="7760472F"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(22,131)</w:t>
            </w:r>
          </w:p>
        </w:tc>
        <w:tc>
          <w:tcPr>
            <w:tcW w:w="1344" w:type="dxa"/>
            <w:noWrap/>
            <w:tcMar>
              <w:top w:w="0" w:type="dxa"/>
              <w:left w:w="144" w:type="dxa"/>
              <w:bottom w:w="0" w:type="dxa"/>
              <w:right w:w="0" w:type="dxa"/>
            </w:tcMar>
          </w:tcPr>
          <w:p w14:paraId="4397CBA3"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(21,204)</w:t>
            </w:r>
          </w:p>
        </w:tc>
        <w:tc>
          <w:tcPr>
            <w:tcW w:w="1387" w:type="dxa"/>
            <w:noWrap/>
            <w:tcMar>
              <w:top w:w="0" w:type="dxa"/>
              <w:left w:w="144" w:type="dxa"/>
              <w:bottom w:w="0" w:type="dxa"/>
              <w:right w:w="0" w:type="dxa"/>
            </w:tcMar>
          </w:tcPr>
          <w:p w14:paraId="316C05E8"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(6)</w:t>
            </w:r>
          </w:p>
        </w:tc>
        <w:tc>
          <w:tcPr>
            <w:tcW w:w="1769" w:type="dxa"/>
            <w:noWrap/>
            <w:tcMar>
              <w:top w:w="0" w:type="dxa"/>
              <w:left w:w="144" w:type="dxa"/>
              <w:bottom w:w="0" w:type="dxa"/>
              <w:right w:w="0" w:type="dxa"/>
            </w:tcMar>
          </w:tcPr>
          <w:p w14:paraId="182B5905"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4,241</w:t>
            </w:r>
          </w:p>
        </w:tc>
      </w:tr>
      <w:tr w:rsidR="008C16B5" w14:paraId="16D800A4" w14:textId="77777777" w:rsidTr="00B322A7">
        <w:trPr>
          <w:cantSplit/>
          <w:jc w:val="center"/>
        </w:trPr>
        <w:tc>
          <w:tcPr>
            <w:tcW w:w="3154" w:type="dxa"/>
          </w:tcPr>
          <w:p w14:paraId="50F5A978"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proofErr w:type="spellStart"/>
            <w:r>
              <w:rPr>
                <w:sz w:val="18"/>
                <w:szCs w:val="18"/>
              </w:rPr>
              <w:t>Unrealised</w:t>
            </w:r>
            <w:proofErr w:type="spellEnd"/>
            <w:r>
              <w:rPr>
                <w:sz w:val="18"/>
                <w:szCs w:val="18"/>
              </w:rPr>
              <w:t xml:space="preserve"> (Gains) / losses on financial instruments and foreign exchange</w:t>
            </w:r>
            <w:r>
              <w:rPr>
                <w:sz w:val="18"/>
                <w:szCs w:val="18"/>
              </w:rPr>
              <w:tab/>
            </w:r>
          </w:p>
        </w:tc>
        <w:tc>
          <w:tcPr>
            <w:tcW w:w="991" w:type="dxa"/>
          </w:tcPr>
          <w:p w14:paraId="7B733363"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(1,998)</w:t>
            </w:r>
          </w:p>
        </w:tc>
        <w:tc>
          <w:tcPr>
            <w:tcW w:w="1114" w:type="dxa"/>
            <w:noWrap/>
            <w:tcMar>
              <w:top w:w="0" w:type="dxa"/>
              <w:left w:w="144" w:type="dxa"/>
              <w:bottom w:w="0" w:type="dxa"/>
              <w:right w:w="0" w:type="dxa"/>
            </w:tcMar>
          </w:tcPr>
          <w:p w14:paraId="0D875228"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6,462</w:t>
            </w:r>
          </w:p>
        </w:tc>
        <w:tc>
          <w:tcPr>
            <w:tcW w:w="1344" w:type="dxa"/>
            <w:noWrap/>
            <w:tcMar>
              <w:top w:w="0" w:type="dxa"/>
              <w:left w:w="144" w:type="dxa"/>
              <w:bottom w:w="0" w:type="dxa"/>
              <w:right w:w="0" w:type="dxa"/>
            </w:tcMar>
          </w:tcPr>
          <w:p w14:paraId="1B677F4E"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4,723</w:t>
            </w:r>
          </w:p>
        </w:tc>
        <w:tc>
          <w:tcPr>
            <w:tcW w:w="1387" w:type="dxa"/>
            <w:noWrap/>
            <w:tcMar>
              <w:top w:w="0" w:type="dxa"/>
              <w:left w:w="144" w:type="dxa"/>
              <w:bottom w:w="0" w:type="dxa"/>
              <w:right w:w="0" w:type="dxa"/>
            </w:tcMar>
          </w:tcPr>
          <w:p w14:paraId="6C8BA4B5"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245</w:t>
            </w:r>
          </w:p>
        </w:tc>
        <w:tc>
          <w:tcPr>
            <w:tcW w:w="1769" w:type="dxa"/>
            <w:noWrap/>
            <w:tcMar>
              <w:top w:w="0" w:type="dxa"/>
              <w:left w:w="144" w:type="dxa"/>
              <w:bottom w:w="0" w:type="dxa"/>
              <w:right w:w="0" w:type="dxa"/>
            </w:tcMar>
          </w:tcPr>
          <w:p w14:paraId="443A97A2"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1,407</w:t>
            </w:r>
          </w:p>
        </w:tc>
      </w:tr>
      <w:tr w:rsidR="008C16B5" w14:paraId="727EDE37" w14:textId="77777777" w:rsidTr="00B322A7">
        <w:trPr>
          <w:cantSplit/>
          <w:jc w:val="center"/>
        </w:trPr>
        <w:tc>
          <w:tcPr>
            <w:tcW w:w="3154" w:type="dxa"/>
          </w:tcPr>
          <w:p w14:paraId="779D3E6F"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 xml:space="preserve">Interest (received) </w:t>
            </w:r>
            <w:r>
              <w:rPr>
                <w:sz w:val="18"/>
                <w:szCs w:val="18"/>
              </w:rPr>
              <w:tab/>
            </w:r>
          </w:p>
        </w:tc>
        <w:tc>
          <w:tcPr>
            <w:tcW w:w="991" w:type="dxa"/>
          </w:tcPr>
          <w:p w14:paraId="667124A1"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(2,134)</w:t>
            </w:r>
          </w:p>
        </w:tc>
        <w:tc>
          <w:tcPr>
            <w:tcW w:w="1114" w:type="dxa"/>
            <w:noWrap/>
            <w:tcMar>
              <w:top w:w="0" w:type="dxa"/>
              <w:left w:w="144" w:type="dxa"/>
              <w:bottom w:w="0" w:type="dxa"/>
              <w:right w:w="0" w:type="dxa"/>
            </w:tcMar>
          </w:tcPr>
          <w:p w14:paraId="1D971B84"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(516)</w:t>
            </w:r>
          </w:p>
        </w:tc>
        <w:tc>
          <w:tcPr>
            <w:tcW w:w="1344" w:type="dxa"/>
            <w:noWrap/>
            <w:tcMar>
              <w:top w:w="0" w:type="dxa"/>
              <w:left w:w="144" w:type="dxa"/>
              <w:bottom w:w="0" w:type="dxa"/>
              <w:right w:w="0" w:type="dxa"/>
            </w:tcMar>
          </w:tcPr>
          <w:p w14:paraId="4907676D"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(2,636)</w:t>
            </w:r>
          </w:p>
        </w:tc>
        <w:tc>
          <w:tcPr>
            <w:tcW w:w="1387" w:type="dxa"/>
            <w:noWrap/>
            <w:tcMar>
              <w:top w:w="0" w:type="dxa"/>
              <w:left w:w="144" w:type="dxa"/>
              <w:bottom w:w="0" w:type="dxa"/>
              <w:right w:w="0" w:type="dxa"/>
            </w:tcMar>
          </w:tcPr>
          <w:p w14:paraId="3C179D96"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(21)</w:t>
            </w:r>
          </w:p>
        </w:tc>
        <w:tc>
          <w:tcPr>
            <w:tcW w:w="1769" w:type="dxa"/>
            <w:noWrap/>
            <w:tcMar>
              <w:top w:w="0" w:type="dxa"/>
              <w:left w:w="144" w:type="dxa"/>
              <w:bottom w:w="0" w:type="dxa"/>
              <w:right w:w="0" w:type="dxa"/>
            </w:tcMar>
          </w:tcPr>
          <w:p w14:paraId="710546ED"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(2,880)</w:t>
            </w:r>
          </w:p>
        </w:tc>
      </w:tr>
      <w:tr w:rsidR="008C16B5" w14:paraId="15B1CC65" w14:textId="77777777" w:rsidTr="00B322A7">
        <w:trPr>
          <w:cantSplit/>
          <w:jc w:val="center"/>
        </w:trPr>
        <w:tc>
          <w:tcPr>
            <w:tcW w:w="3154" w:type="dxa"/>
          </w:tcPr>
          <w:p w14:paraId="081FE862"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Interest paid</w:t>
            </w:r>
            <w:r>
              <w:rPr>
                <w:sz w:val="18"/>
                <w:szCs w:val="18"/>
              </w:rPr>
              <w:tab/>
            </w:r>
          </w:p>
        </w:tc>
        <w:tc>
          <w:tcPr>
            <w:tcW w:w="991" w:type="dxa"/>
          </w:tcPr>
          <w:p w14:paraId="4B22A994"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9,108</w:t>
            </w:r>
          </w:p>
        </w:tc>
        <w:tc>
          <w:tcPr>
            <w:tcW w:w="1114" w:type="dxa"/>
            <w:noWrap/>
            <w:tcMar>
              <w:top w:w="0" w:type="dxa"/>
              <w:left w:w="144" w:type="dxa"/>
              <w:bottom w:w="0" w:type="dxa"/>
              <w:right w:w="0" w:type="dxa"/>
            </w:tcMar>
          </w:tcPr>
          <w:p w14:paraId="0BD07287"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8,653</w:t>
            </w:r>
          </w:p>
        </w:tc>
        <w:tc>
          <w:tcPr>
            <w:tcW w:w="1344" w:type="dxa"/>
            <w:noWrap/>
            <w:tcMar>
              <w:top w:w="0" w:type="dxa"/>
              <w:left w:w="144" w:type="dxa"/>
              <w:bottom w:w="0" w:type="dxa"/>
              <w:right w:w="0" w:type="dxa"/>
            </w:tcMar>
          </w:tcPr>
          <w:p w14:paraId="56C65DC3"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14,820</w:t>
            </w:r>
          </w:p>
        </w:tc>
        <w:tc>
          <w:tcPr>
            <w:tcW w:w="1387" w:type="dxa"/>
            <w:noWrap/>
            <w:tcMar>
              <w:top w:w="0" w:type="dxa"/>
              <w:left w:w="144" w:type="dxa"/>
              <w:bottom w:w="0" w:type="dxa"/>
              <w:right w:w="0" w:type="dxa"/>
            </w:tcMar>
          </w:tcPr>
          <w:p w14:paraId="1307EEF0"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10,194</w:t>
            </w:r>
          </w:p>
        </w:tc>
        <w:tc>
          <w:tcPr>
            <w:tcW w:w="1769" w:type="dxa"/>
            <w:noWrap/>
            <w:tcMar>
              <w:top w:w="0" w:type="dxa"/>
              <w:left w:w="144" w:type="dxa"/>
              <w:bottom w:w="0" w:type="dxa"/>
              <w:right w:w="0" w:type="dxa"/>
            </w:tcMar>
          </w:tcPr>
          <w:p w14:paraId="326632A6"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9,093</w:t>
            </w:r>
          </w:p>
        </w:tc>
      </w:tr>
      <w:tr w:rsidR="008C16B5" w14:paraId="70930299" w14:textId="77777777" w:rsidTr="00B322A7">
        <w:trPr>
          <w:cantSplit/>
          <w:jc w:val="center"/>
        </w:trPr>
        <w:tc>
          <w:tcPr>
            <w:tcW w:w="3154" w:type="dxa"/>
          </w:tcPr>
          <w:p w14:paraId="60FAFA1C"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Share in result of associates</w:t>
            </w:r>
            <w:r>
              <w:rPr>
                <w:sz w:val="18"/>
                <w:szCs w:val="18"/>
              </w:rPr>
              <w:tab/>
            </w:r>
          </w:p>
        </w:tc>
        <w:tc>
          <w:tcPr>
            <w:tcW w:w="991" w:type="dxa"/>
          </w:tcPr>
          <w:p w14:paraId="1759DF96"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(15,167)</w:t>
            </w:r>
          </w:p>
        </w:tc>
        <w:tc>
          <w:tcPr>
            <w:tcW w:w="1114" w:type="dxa"/>
            <w:noWrap/>
            <w:tcMar>
              <w:top w:w="0" w:type="dxa"/>
              <w:left w:w="144" w:type="dxa"/>
              <w:bottom w:w="0" w:type="dxa"/>
              <w:right w:w="0" w:type="dxa"/>
            </w:tcMar>
          </w:tcPr>
          <w:p w14:paraId="6DE3480B"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3,279</w:t>
            </w:r>
          </w:p>
        </w:tc>
        <w:tc>
          <w:tcPr>
            <w:tcW w:w="1344" w:type="dxa"/>
            <w:noWrap/>
            <w:tcMar>
              <w:top w:w="0" w:type="dxa"/>
              <w:left w:w="144" w:type="dxa"/>
              <w:bottom w:w="0" w:type="dxa"/>
              <w:right w:w="0" w:type="dxa"/>
            </w:tcMar>
          </w:tcPr>
          <w:p w14:paraId="434FC3EF"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(7,897)</w:t>
            </w:r>
          </w:p>
        </w:tc>
        <w:tc>
          <w:tcPr>
            <w:tcW w:w="1387" w:type="dxa"/>
            <w:noWrap/>
            <w:tcMar>
              <w:top w:w="0" w:type="dxa"/>
              <w:left w:w="144" w:type="dxa"/>
              <w:bottom w:w="0" w:type="dxa"/>
              <w:right w:w="0" w:type="dxa"/>
            </w:tcMar>
          </w:tcPr>
          <w:p w14:paraId="661C7E11"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(191)</w:t>
            </w:r>
          </w:p>
        </w:tc>
        <w:tc>
          <w:tcPr>
            <w:tcW w:w="1769" w:type="dxa"/>
            <w:noWrap/>
            <w:tcMar>
              <w:top w:w="0" w:type="dxa"/>
              <w:left w:w="144" w:type="dxa"/>
              <w:bottom w:w="0" w:type="dxa"/>
              <w:right w:w="0" w:type="dxa"/>
            </w:tcMar>
          </w:tcPr>
          <w:p w14:paraId="6E1D2EA3"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(9,248)</w:t>
            </w:r>
          </w:p>
        </w:tc>
      </w:tr>
      <w:tr w:rsidR="008C16B5" w14:paraId="1B5FB652" w14:textId="77777777" w:rsidTr="00B322A7">
        <w:trPr>
          <w:cantSplit/>
          <w:jc w:val="center"/>
        </w:trPr>
        <w:tc>
          <w:tcPr>
            <w:tcW w:w="3154" w:type="dxa"/>
          </w:tcPr>
          <w:p w14:paraId="52D78A43" w14:textId="77777777" w:rsidR="008C16B5" w:rsidRDefault="008C16B5" w:rsidP="00B322A7">
            <w:pPr>
              <w:pStyle w:val="NormalWeb"/>
              <w:keepNext/>
              <w:keepLines/>
              <w:tabs>
                <w:tab w:val="right" w:leader="dot" w:pos="4620"/>
              </w:tabs>
              <w:spacing w:before="0" w:beforeAutospacing="0" w:after="0" w:afterAutospacing="0"/>
              <w:ind w:left="240" w:hanging="240"/>
              <w:rPr>
                <w:rFonts w:eastAsiaTheme="minorEastAsia"/>
                <w:sz w:val="18"/>
                <w:szCs w:val="18"/>
              </w:rPr>
            </w:pPr>
            <w:r>
              <w:rPr>
                <w:b/>
                <w:bCs/>
                <w:sz w:val="18"/>
                <w:szCs w:val="18"/>
              </w:rPr>
              <w:t>Operating profit before changes in working capital and provisions</w:t>
            </w:r>
            <w:r>
              <w:rPr>
                <w:b/>
                <w:bCs/>
                <w:sz w:val="18"/>
                <w:szCs w:val="18"/>
              </w:rPr>
              <w:tab/>
            </w:r>
          </w:p>
        </w:tc>
        <w:tc>
          <w:tcPr>
            <w:tcW w:w="991" w:type="dxa"/>
          </w:tcPr>
          <w:p w14:paraId="31E00EB9"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2,734</w:t>
            </w:r>
          </w:p>
        </w:tc>
        <w:tc>
          <w:tcPr>
            <w:tcW w:w="1114" w:type="dxa"/>
            <w:noWrap/>
            <w:tcMar>
              <w:top w:w="0" w:type="dxa"/>
              <w:left w:w="144" w:type="dxa"/>
              <w:bottom w:w="0" w:type="dxa"/>
              <w:right w:w="0" w:type="dxa"/>
            </w:tcMar>
          </w:tcPr>
          <w:p w14:paraId="7BA195A3"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b/>
                <w:bCs/>
                <w:sz w:val="18"/>
                <w:szCs w:val="18"/>
              </w:rPr>
              <w:t>8,458</w:t>
            </w:r>
          </w:p>
        </w:tc>
        <w:tc>
          <w:tcPr>
            <w:tcW w:w="1344" w:type="dxa"/>
            <w:noWrap/>
            <w:tcMar>
              <w:top w:w="0" w:type="dxa"/>
              <w:left w:w="144" w:type="dxa"/>
              <w:bottom w:w="0" w:type="dxa"/>
              <w:right w:w="0" w:type="dxa"/>
            </w:tcMar>
          </w:tcPr>
          <w:p w14:paraId="00F68488"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4,083</w:t>
            </w:r>
          </w:p>
        </w:tc>
        <w:tc>
          <w:tcPr>
            <w:tcW w:w="1387" w:type="dxa"/>
            <w:noWrap/>
            <w:tcMar>
              <w:top w:w="0" w:type="dxa"/>
              <w:left w:w="144" w:type="dxa"/>
              <w:bottom w:w="0" w:type="dxa"/>
              <w:right w:w="0" w:type="dxa"/>
            </w:tcMar>
          </w:tcPr>
          <w:p w14:paraId="0C4701B1"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6,070</w:t>
            </w:r>
          </w:p>
        </w:tc>
        <w:tc>
          <w:tcPr>
            <w:tcW w:w="1769" w:type="dxa"/>
            <w:noWrap/>
            <w:tcMar>
              <w:top w:w="0" w:type="dxa"/>
              <w:left w:w="144" w:type="dxa"/>
              <w:bottom w:w="0" w:type="dxa"/>
              <w:right w:w="0" w:type="dxa"/>
            </w:tcMar>
          </w:tcPr>
          <w:p w14:paraId="1B18A431"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10,181</w:t>
            </w:r>
          </w:p>
        </w:tc>
      </w:tr>
      <w:tr w:rsidR="008C16B5" w14:paraId="0A13C8C6" w14:textId="77777777" w:rsidTr="00B322A7">
        <w:trPr>
          <w:cantSplit/>
          <w:jc w:val="center"/>
        </w:trPr>
        <w:tc>
          <w:tcPr>
            <w:tcW w:w="3154" w:type="dxa"/>
          </w:tcPr>
          <w:p w14:paraId="41E220B3"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Decrease / (increase) in trade and other receivables</w:t>
            </w:r>
            <w:r>
              <w:rPr>
                <w:sz w:val="18"/>
                <w:szCs w:val="18"/>
              </w:rPr>
              <w:tab/>
            </w:r>
          </w:p>
        </w:tc>
        <w:tc>
          <w:tcPr>
            <w:tcW w:w="991" w:type="dxa"/>
          </w:tcPr>
          <w:p w14:paraId="1B0D3800" w14:textId="77777777" w:rsidR="008C16B5" w:rsidRDefault="008C16B5" w:rsidP="00B322A7">
            <w:pPr>
              <w:pStyle w:val="NormalWeb"/>
              <w:keepNext/>
              <w:keepLines/>
              <w:tabs>
                <w:tab w:val="right" w:pos="1000"/>
                <w:tab w:val="decimal" w:pos="1040"/>
              </w:tabs>
              <w:spacing w:before="0" w:beforeAutospacing="0" w:after="20" w:afterAutospacing="0"/>
              <w:jc w:val="right"/>
              <w:rPr>
                <w:rFonts w:eastAsiaTheme="minorEastAsia"/>
                <w:sz w:val="18"/>
                <w:szCs w:val="18"/>
              </w:rPr>
            </w:pPr>
            <w:r>
              <w:rPr>
                <w:rFonts w:eastAsiaTheme="minorEastAsia"/>
                <w:sz w:val="18"/>
                <w:szCs w:val="18"/>
              </w:rPr>
              <w:t>(722)</w:t>
            </w:r>
          </w:p>
        </w:tc>
        <w:tc>
          <w:tcPr>
            <w:tcW w:w="1114" w:type="dxa"/>
            <w:noWrap/>
            <w:tcMar>
              <w:top w:w="0" w:type="dxa"/>
              <w:left w:w="144" w:type="dxa"/>
              <w:bottom w:w="0" w:type="dxa"/>
              <w:right w:w="0" w:type="dxa"/>
            </w:tcMar>
          </w:tcPr>
          <w:p w14:paraId="652A2660" w14:textId="77777777" w:rsidR="008C16B5" w:rsidRDefault="008C16B5" w:rsidP="00B322A7">
            <w:pPr>
              <w:pStyle w:val="NormalWeb"/>
              <w:keepNext/>
              <w:keepLines/>
              <w:tabs>
                <w:tab w:val="right" w:pos="1000"/>
                <w:tab w:val="decimal" w:pos="1040"/>
              </w:tabs>
              <w:spacing w:before="0" w:beforeAutospacing="0" w:after="20" w:afterAutospacing="0"/>
              <w:jc w:val="right"/>
              <w:rPr>
                <w:rFonts w:eastAsiaTheme="minorEastAsia"/>
                <w:sz w:val="18"/>
                <w:szCs w:val="18"/>
              </w:rPr>
            </w:pPr>
            <w:r>
              <w:rPr>
                <w:bCs/>
                <w:sz w:val="18"/>
                <w:szCs w:val="18"/>
              </w:rPr>
              <w:t>(4,324)</w:t>
            </w:r>
          </w:p>
        </w:tc>
        <w:tc>
          <w:tcPr>
            <w:tcW w:w="1344" w:type="dxa"/>
            <w:noWrap/>
            <w:tcMar>
              <w:top w:w="0" w:type="dxa"/>
              <w:left w:w="144" w:type="dxa"/>
              <w:bottom w:w="0" w:type="dxa"/>
              <w:right w:w="0" w:type="dxa"/>
            </w:tcMar>
          </w:tcPr>
          <w:p w14:paraId="1D0F0A91"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(14,505)</w:t>
            </w:r>
          </w:p>
        </w:tc>
        <w:tc>
          <w:tcPr>
            <w:tcW w:w="1387" w:type="dxa"/>
            <w:noWrap/>
            <w:tcMar>
              <w:top w:w="0" w:type="dxa"/>
              <w:left w:w="144" w:type="dxa"/>
              <w:bottom w:w="0" w:type="dxa"/>
              <w:right w:w="0" w:type="dxa"/>
            </w:tcMar>
          </w:tcPr>
          <w:p w14:paraId="65152069"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(8,555)</w:t>
            </w:r>
          </w:p>
        </w:tc>
        <w:tc>
          <w:tcPr>
            <w:tcW w:w="1769" w:type="dxa"/>
            <w:noWrap/>
            <w:tcMar>
              <w:top w:w="0" w:type="dxa"/>
              <w:left w:w="144" w:type="dxa"/>
              <w:bottom w:w="0" w:type="dxa"/>
              <w:right w:w="0" w:type="dxa"/>
            </w:tcMar>
          </w:tcPr>
          <w:p w14:paraId="76893DC6"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7,561</w:t>
            </w:r>
          </w:p>
        </w:tc>
      </w:tr>
      <w:tr w:rsidR="008C16B5" w14:paraId="67B18364" w14:textId="77777777" w:rsidTr="00B322A7">
        <w:trPr>
          <w:cantSplit/>
          <w:jc w:val="center"/>
        </w:trPr>
        <w:tc>
          <w:tcPr>
            <w:tcW w:w="3154" w:type="dxa"/>
          </w:tcPr>
          <w:p w14:paraId="340A0083"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(Decrease) / increase in trade and other payables</w:t>
            </w:r>
            <w:r>
              <w:rPr>
                <w:sz w:val="18"/>
                <w:szCs w:val="18"/>
              </w:rPr>
              <w:tab/>
            </w:r>
          </w:p>
        </w:tc>
        <w:tc>
          <w:tcPr>
            <w:tcW w:w="991" w:type="dxa"/>
          </w:tcPr>
          <w:p w14:paraId="7EC27E59" w14:textId="77777777" w:rsidR="008C16B5" w:rsidRDefault="008C16B5" w:rsidP="00B322A7">
            <w:pPr>
              <w:pStyle w:val="NormalWeb"/>
              <w:keepNext/>
              <w:keepLines/>
              <w:tabs>
                <w:tab w:val="right" w:pos="1000"/>
                <w:tab w:val="decimal" w:pos="1040"/>
              </w:tabs>
              <w:spacing w:before="0" w:beforeAutospacing="0" w:after="20" w:afterAutospacing="0"/>
              <w:jc w:val="right"/>
              <w:rPr>
                <w:rFonts w:eastAsiaTheme="minorEastAsia"/>
                <w:sz w:val="18"/>
                <w:szCs w:val="18"/>
              </w:rPr>
            </w:pPr>
            <w:r>
              <w:rPr>
                <w:rFonts w:eastAsiaTheme="minorEastAsia"/>
                <w:sz w:val="18"/>
                <w:szCs w:val="18"/>
              </w:rPr>
              <w:t>4,333</w:t>
            </w:r>
          </w:p>
        </w:tc>
        <w:tc>
          <w:tcPr>
            <w:tcW w:w="1114" w:type="dxa"/>
            <w:noWrap/>
            <w:tcMar>
              <w:top w:w="0" w:type="dxa"/>
              <w:left w:w="144" w:type="dxa"/>
              <w:bottom w:w="0" w:type="dxa"/>
              <w:right w:w="0" w:type="dxa"/>
            </w:tcMar>
          </w:tcPr>
          <w:p w14:paraId="06761798" w14:textId="77777777" w:rsidR="008C16B5" w:rsidRDefault="008C16B5" w:rsidP="00B322A7">
            <w:pPr>
              <w:pStyle w:val="NormalWeb"/>
              <w:keepNext/>
              <w:keepLines/>
              <w:tabs>
                <w:tab w:val="right" w:pos="1000"/>
                <w:tab w:val="decimal" w:pos="1040"/>
              </w:tabs>
              <w:spacing w:before="0" w:beforeAutospacing="0" w:after="20" w:afterAutospacing="0"/>
              <w:jc w:val="right"/>
              <w:rPr>
                <w:rFonts w:eastAsiaTheme="minorEastAsia"/>
                <w:sz w:val="18"/>
                <w:szCs w:val="18"/>
              </w:rPr>
            </w:pPr>
            <w:r>
              <w:rPr>
                <w:bCs/>
                <w:sz w:val="18"/>
                <w:szCs w:val="18"/>
              </w:rPr>
              <w:t>18,794</w:t>
            </w:r>
          </w:p>
        </w:tc>
        <w:tc>
          <w:tcPr>
            <w:tcW w:w="1344" w:type="dxa"/>
            <w:noWrap/>
            <w:tcMar>
              <w:top w:w="0" w:type="dxa"/>
              <w:left w:w="144" w:type="dxa"/>
              <w:bottom w:w="0" w:type="dxa"/>
              <w:right w:w="0" w:type="dxa"/>
            </w:tcMar>
          </w:tcPr>
          <w:p w14:paraId="7B73CE0C"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28,681</w:t>
            </w:r>
          </w:p>
        </w:tc>
        <w:tc>
          <w:tcPr>
            <w:tcW w:w="1387" w:type="dxa"/>
            <w:noWrap/>
            <w:tcMar>
              <w:top w:w="0" w:type="dxa"/>
              <w:left w:w="144" w:type="dxa"/>
              <w:bottom w:w="0" w:type="dxa"/>
              <w:right w:w="0" w:type="dxa"/>
            </w:tcMar>
          </w:tcPr>
          <w:p w14:paraId="24B4AC87"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413</w:t>
            </w:r>
          </w:p>
        </w:tc>
        <w:tc>
          <w:tcPr>
            <w:tcW w:w="1769" w:type="dxa"/>
            <w:noWrap/>
            <w:tcMar>
              <w:top w:w="0" w:type="dxa"/>
              <w:left w:w="144" w:type="dxa"/>
              <w:bottom w:w="0" w:type="dxa"/>
              <w:right w:w="0" w:type="dxa"/>
            </w:tcMar>
          </w:tcPr>
          <w:p w14:paraId="424B8EC9"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(12,654)</w:t>
            </w:r>
          </w:p>
        </w:tc>
      </w:tr>
      <w:tr w:rsidR="008C16B5" w14:paraId="74387037" w14:textId="77777777" w:rsidTr="00B322A7">
        <w:trPr>
          <w:cantSplit/>
          <w:jc w:val="center"/>
        </w:trPr>
        <w:tc>
          <w:tcPr>
            <w:tcW w:w="3154" w:type="dxa"/>
          </w:tcPr>
          <w:p w14:paraId="200A9362" w14:textId="77777777" w:rsidR="008C16B5" w:rsidRDefault="008C16B5" w:rsidP="00B322A7">
            <w:pPr>
              <w:pStyle w:val="NormalWeb"/>
              <w:keepNext/>
              <w:keepLines/>
              <w:tabs>
                <w:tab w:val="right" w:leader="dot" w:pos="4620"/>
              </w:tabs>
              <w:spacing w:before="0" w:beforeAutospacing="0" w:after="0" w:afterAutospacing="0"/>
              <w:ind w:left="240" w:hanging="240"/>
              <w:rPr>
                <w:rFonts w:eastAsiaTheme="minorEastAsia"/>
                <w:sz w:val="18"/>
                <w:szCs w:val="18"/>
              </w:rPr>
            </w:pPr>
            <w:r>
              <w:rPr>
                <w:b/>
                <w:bCs/>
                <w:sz w:val="18"/>
                <w:szCs w:val="18"/>
              </w:rPr>
              <w:t>Cash generated from the operations</w:t>
            </w:r>
            <w:r>
              <w:rPr>
                <w:b/>
                <w:bCs/>
                <w:sz w:val="18"/>
                <w:szCs w:val="18"/>
              </w:rPr>
              <w:tab/>
            </w:r>
          </w:p>
        </w:tc>
        <w:tc>
          <w:tcPr>
            <w:tcW w:w="991" w:type="dxa"/>
          </w:tcPr>
          <w:p w14:paraId="50C4DA56"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b/>
                <w:bCs/>
                <w:sz w:val="18"/>
                <w:szCs w:val="18"/>
              </w:rPr>
              <w:t>6,345</w:t>
            </w:r>
          </w:p>
        </w:tc>
        <w:tc>
          <w:tcPr>
            <w:tcW w:w="1114" w:type="dxa"/>
            <w:noWrap/>
            <w:tcMar>
              <w:top w:w="0" w:type="dxa"/>
              <w:left w:w="144" w:type="dxa"/>
              <w:bottom w:w="0" w:type="dxa"/>
              <w:right w:w="0" w:type="dxa"/>
            </w:tcMar>
          </w:tcPr>
          <w:p w14:paraId="2AF8F6E0"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b/>
                <w:bCs/>
                <w:sz w:val="18"/>
                <w:szCs w:val="18"/>
              </w:rPr>
              <w:t>22,928</w:t>
            </w:r>
          </w:p>
        </w:tc>
        <w:tc>
          <w:tcPr>
            <w:tcW w:w="1344" w:type="dxa"/>
            <w:noWrap/>
            <w:tcMar>
              <w:top w:w="0" w:type="dxa"/>
              <w:left w:w="144" w:type="dxa"/>
              <w:bottom w:w="0" w:type="dxa"/>
              <w:right w:w="0" w:type="dxa"/>
            </w:tcMar>
          </w:tcPr>
          <w:p w14:paraId="2C23BCDA"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18,259</w:t>
            </w:r>
          </w:p>
        </w:tc>
        <w:tc>
          <w:tcPr>
            <w:tcW w:w="1387" w:type="dxa"/>
            <w:noWrap/>
            <w:tcMar>
              <w:top w:w="0" w:type="dxa"/>
              <w:left w:w="144" w:type="dxa"/>
              <w:bottom w:w="0" w:type="dxa"/>
              <w:right w:w="0" w:type="dxa"/>
            </w:tcMar>
          </w:tcPr>
          <w:p w14:paraId="7210C9FD"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(2,072)</w:t>
            </w:r>
          </w:p>
        </w:tc>
        <w:tc>
          <w:tcPr>
            <w:tcW w:w="1769" w:type="dxa"/>
            <w:noWrap/>
            <w:tcMar>
              <w:top w:w="0" w:type="dxa"/>
              <w:left w:w="144" w:type="dxa"/>
              <w:bottom w:w="0" w:type="dxa"/>
              <w:right w:w="0" w:type="dxa"/>
            </w:tcMar>
          </w:tcPr>
          <w:p w14:paraId="0921E41A"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5,088</w:t>
            </w:r>
          </w:p>
        </w:tc>
      </w:tr>
      <w:tr w:rsidR="008C16B5" w14:paraId="05AC2F33" w14:textId="77777777" w:rsidTr="00B322A7">
        <w:trPr>
          <w:cantSplit/>
          <w:jc w:val="center"/>
        </w:trPr>
        <w:tc>
          <w:tcPr>
            <w:tcW w:w="3154" w:type="dxa"/>
          </w:tcPr>
          <w:p w14:paraId="3435E5B8"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Interest received</w:t>
            </w:r>
            <w:r>
              <w:rPr>
                <w:sz w:val="18"/>
                <w:szCs w:val="18"/>
              </w:rPr>
              <w:tab/>
            </w:r>
          </w:p>
        </w:tc>
        <w:tc>
          <w:tcPr>
            <w:tcW w:w="991" w:type="dxa"/>
          </w:tcPr>
          <w:p w14:paraId="12BA8183" w14:textId="77777777" w:rsidR="008C16B5" w:rsidRDefault="008C16B5" w:rsidP="00B322A7">
            <w:pPr>
              <w:keepNext/>
              <w:keepLines/>
              <w:jc w:val="right"/>
              <w:rPr>
                <w:sz w:val="18"/>
                <w:szCs w:val="18"/>
              </w:rPr>
            </w:pPr>
            <w:r>
              <w:rPr>
                <w:sz w:val="18"/>
                <w:szCs w:val="18"/>
              </w:rPr>
              <w:t>21</w:t>
            </w:r>
          </w:p>
        </w:tc>
        <w:tc>
          <w:tcPr>
            <w:tcW w:w="1114" w:type="dxa"/>
            <w:noWrap/>
            <w:tcMar>
              <w:top w:w="0" w:type="dxa"/>
              <w:left w:w="144" w:type="dxa"/>
              <w:bottom w:w="0" w:type="dxa"/>
              <w:right w:w="0" w:type="dxa"/>
            </w:tcMar>
          </w:tcPr>
          <w:p w14:paraId="180744E0" w14:textId="77777777" w:rsidR="008C16B5" w:rsidRDefault="008C16B5" w:rsidP="00B322A7">
            <w:pPr>
              <w:keepNext/>
              <w:keepLines/>
              <w:jc w:val="right"/>
              <w:rPr>
                <w:sz w:val="18"/>
                <w:szCs w:val="18"/>
              </w:rPr>
            </w:pPr>
            <w:r>
              <w:rPr>
                <w:bCs/>
                <w:sz w:val="18"/>
                <w:szCs w:val="18"/>
              </w:rPr>
              <w:t>516</w:t>
            </w:r>
          </w:p>
        </w:tc>
        <w:tc>
          <w:tcPr>
            <w:tcW w:w="1344" w:type="dxa"/>
            <w:noWrap/>
            <w:tcMar>
              <w:top w:w="0" w:type="dxa"/>
              <w:left w:w="144" w:type="dxa"/>
              <w:bottom w:w="0" w:type="dxa"/>
              <w:right w:w="0" w:type="dxa"/>
            </w:tcMar>
          </w:tcPr>
          <w:p w14:paraId="69EA0762"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157</w:t>
            </w:r>
          </w:p>
        </w:tc>
        <w:tc>
          <w:tcPr>
            <w:tcW w:w="1387" w:type="dxa"/>
            <w:noWrap/>
            <w:tcMar>
              <w:top w:w="0" w:type="dxa"/>
              <w:left w:w="144" w:type="dxa"/>
              <w:bottom w:w="0" w:type="dxa"/>
              <w:right w:w="0" w:type="dxa"/>
            </w:tcMar>
          </w:tcPr>
          <w:p w14:paraId="522A3BC7"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21</w:t>
            </w:r>
          </w:p>
        </w:tc>
        <w:tc>
          <w:tcPr>
            <w:tcW w:w="1769" w:type="dxa"/>
            <w:noWrap/>
            <w:tcMar>
              <w:top w:w="0" w:type="dxa"/>
              <w:left w:w="144" w:type="dxa"/>
              <w:bottom w:w="0" w:type="dxa"/>
              <w:right w:w="0" w:type="dxa"/>
            </w:tcMar>
          </w:tcPr>
          <w:p w14:paraId="394420D4"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2,880</w:t>
            </w:r>
          </w:p>
        </w:tc>
      </w:tr>
      <w:tr w:rsidR="008C16B5" w14:paraId="312D9D50" w14:textId="77777777" w:rsidTr="00B322A7">
        <w:trPr>
          <w:cantSplit/>
          <w:jc w:val="center"/>
        </w:trPr>
        <w:tc>
          <w:tcPr>
            <w:tcW w:w="3154" w:type="dxa"/>
          </w:tcPr>
          <w:p w14:paraId="399B6443"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 xml:space="preserve">Interest (paid) </w:t>
            </w:r>
            <w:r>
              <w:rPr>
                <w:sz w:val="18"/>
                <w:szCs w:val="18"/>
              </w:rPr>
              <w:tab/>
            </w:r>
          </w:p>
        </w:tc>
        <w:tc>
          <w:tcPr>
            <w:tcW w:w="991" w:type="dxa"/>
          </w:tcPr>
          <w:p w14:paraId="196222AD" w14:textId="77777777" w:rsidR="008C16B5" w:rsidRDefault="008C16B5" w:rsidP="00B322A7">
            <w:pPr>
              <w:keepNext/>
              <w:keepLines/>
              <w:jc w:val="right"/>
              <w:rPr>
                <w:sz w:val="18"/>
                <w:szCs w:val="18"/>
              </w:rPr>
            </w:pPr>
            <w:r>
              <w:rPr>
                <w:sz w:val="18"/>
                <w:szCs w:val="18"/>
              </w:rPr>
              <w:t>(596)</w:t>
            </w:r>
          </w:p>
        </w:tc>
        <w:tc>
          <w:tcPr>
            <w:tcW w:w="1114" w:type="dxa"/>
            <w:noWrap/>
            <w:tcMar>
              <w:top w:w="0" w:type="dxa"/>
              <w:left w:w="144" w:type="dxa"/>
              <w:bottom w:w="0" w:type="dxa"/>
              <w:right w:w="0" w:type="dxa"/>
            </w:tcMar>
          </w:tcPr>
          <w:p w14:paraId="64D9137F" w14:textId="77777777" w:rsidR="008C16B5" w:rsidRDefault="008C16B5" w:rsidP="00B322A7">
            <w:pPr>
              <w:keepNext/>
              <w:keepLines/>
              <w:jc w:val="right"/>
              <w:rPr>
                <w:sz w:val="18"/>
                <w:szCs w:val="18"/>
              </w:rPr>
            </w:pPr>
            <w:r>
              <w:rPr>
                <w:sz w:val="18"/>
                <w:szCs w:val="18"/>
              </w:rPr>
              <w:t>(8,653)</w:t>
            </w:r>
          </w:p>
        </w:tc>
        <w:tc>
          <w:tcPr>
            <w:tcW w:w="1344" w:type="dxa"/>
            <w:noWrap/>
            <w:tcMar>
              <w:top w:w="0" w:type="dxa"/>
              <w:left w:w="144" w:type="dxa"/>
              <w:bottom w:w="0" w:type="dxa"/>
              <w:right w:w="0" w:type="dxa"/>
            </w:tcMar>
          </w:tcPr>
          <w:p w14:paraId="76CDE85E"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(10,684)</w:t>
            </w:r>
          </w:p>
        </w:tc>
        <w:tc>
          <w:tcPr>
            <w:tcW w:w="1387" w:type="dxa"/>
            <w:noWrap/>
            <w:tcMar>
              <w:top w:w="0" w:type="dxa"/>
              <w:left w:w="144" w:type="dxa"/>
              <w:bottom w:w="0" w:type="dxa"/>
              <w:right w:w="0" w:type="dxa"/>
            </w:tcMar>
          </w:tcPr>
          <w:p w14:paraId="54585A4E"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(10,194)</w:t>
            </w:r>
          </w:p>
        </w:tc>
        <w:tc>
          <w:tcPr>
            <w:tcW w:w="1769" w:type="dxa"/>
            <w:noWrap/>
            <w:tcMar>
              <w:top w:w="0" w:type="dxa"/>
              <w:left w:w="144" w:type="dxa"/>
              <w:bottom w:w="0" w:type="dxa"/>
              <w:right w:w="0" w:type="dxa"/>
            </w:tcMar>
          </w:tcPr>
          <w:p w14:paraId="5C8D3B6D"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(9,093)</w:t>
            </w:r>
          </w:p>
        </w:tc>
      </w:tr>
      <w:tr w:rsidR="008C16B5" w14:paraId="38A79ABF" w14:textId="77777777" w:rsidTr="00B322A7">
        <w:trPr>
          <w:cantSplit/>
          <w:jc w:val="center"/>
        </w:trPr>
        <w:tc>
          <w:tcPr>
            <w:tcW w:w="3154" w:type="dxa"/>
          </w:tcPr>
          <w:p w14:paraId="3DF8E24D"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Income taxes paid</w:t>
            </w:r>
            <w:r>
              <w:rPr>
                <w:sz w:val="18"/>
                <w:szCs w:val="18"/>
              </w:rPr>
              <w:tab/>
            </w:r>
          </w:p>
        </w:tc>
        <w:tc>
          <w:tcPr>
            <w:tcW w:w="991" w:type="dxa"/>
          </w:tcPr>
          <w:p w14:paraId="100E6E74" w14:textId="77777777" w:rsidR="008C16B5" w:rsidRDefault="008C16B5" w:rsidP="00B322A7">
            <w:pPr>
              <w:keepNext/>
              <w:keepLines/>
              <w:jc w:val="right"/>
              <w:rPr>
                <w:sz w:val="18"/>
                <w:szCs w:val="18"/>
              </w:rPr>
            </w:pPr>
            <w:r>
              <w:rPr>
                <w:sz w:val="18"/>
                <w:szCs w:val="18"/>
              </w:rPr>
              <w:t>(259)</w:t>
            </w:r>
          </w:p>
        </w:tc>
        <w:tc>
          <w:tcPr>
            <w:tcW w:w="1114" w:type="dxa"/>
            <w:noWrap/>
            <w:tcMar>
              <w:top w:w="0" w:type="dxa"/>
              <w:left w:w="144" w:type="dxa"/>
              <w:bottom w:w="0" w:type="dxa"/>
              <w:right w:w="0" w:type="dxa"/>
            </w:tcMar>
          </w:tcPr>
          <w:p w14:paraId="14B020C0" w14:textId="77777777" w:rsidR="008C16B5" w:rsidRDefault="008C16B5" w:rsidP="00B322A7">
            <w:pPr>
              <w:keepNext/>
              <w:keepLines/>
              <w:jc w:val="right"/>
              <w:rPr>
                <w:sz w:val="18"/>
                <w:szCs w:val="18"/>
              </w:rPr>
            </w:pPr>
            <w:r>
              <w:rPr>
                <w:bCs/>
                <w:sz w:val="18"/>
                <w:szCs w:val="18"/>
              </w:rPr>
              <w:t>(225)</w:t>
            </w:r>
          </w:p>
        </w:tc>
        <w:tc>
          <w:tcPr>
            <w:tcW w:w="1344" w:type="dxa"/>
            <w:noWrap/>
            <w:tcMar>
              <w:top w:w="0" w:type="dxa"/>
              <w:left w:w="144" w:type="dxa"/>
              <w:bottom w:w="0" w:type="dxa"/>
              <w:right w:w="0" w:type="dxa"/>
            </w:tcMar>
          </w:tcPr>
          <w:p w14:paraId="43E5199A"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(939)</w:t>
            </w:r>
          </w:p>
        </w:tc>
        <w:tc>
          <w:tcPr>
            <w:tcW w:w="1387" w:type="dxa"/>
            <w:noWrap/>
            <w:tcMar>
              <w:top w:w="0" w:type="dxa"/>
              <w:left w:w="144" w:type="dxa"/>
              <w:bottom w:w="0" w:type="dxa"/>
              <w:right w:w="0" w:type="dxa"/>
            </w:tcMar>
          </w:tcPr>
          <w:p w14:paraId="4713F718"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(364)</w:t>
            </w:r>
          </w:p>
        </w:tc>
        <w:tc>
          <w:tcPr>
            <w:tcW w:w="1769" w:type="dxa"/>
            <w:noWrap/>
            <w:tcMar>
              <w:top w:w="0" w:type="dxa"/>
              <w:left w:w="144" w:type="dxa"/>
              <w:bottom w:w="0" w:type="dxa"/>
              <w:right w:w="0" w:type="dxa"/>
            </w:tcMar>
          </w:tcPr>
          <w:p w14:paraId="63FB3EDD"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(417)</w:t>
            </w:r>
          </w:p>
        </w:tc>
      </w:tr>
      <w:tr w:rsidR="008C16B5" w14:paraId="60FD6EA8" w14:textId="77777777" w:rsidTr="00B322A7">
        <w:trPr>
          <w:cantSplit/>
          <w:jc w:val="center"/>
        </w:trPr>
        <w:tc>
          <w:tcPr>
            <w:tcW w:w="3154" w:type="dxa"/>
          </w:tcPr>
          <w:p w14:paraId="10E871E6" w14:textId="77777777" w:rsidR="008C16B5" w:rsidRDefault="008C16B5" w:rsidP="00B322A7">
            <w:pPr>
              <w:pStyle w:val="NormalWeb"/>
              <w:keepNext/>
              <w:keepLines/>
              <w:tabs>
                <w:tab w:val="right" w:leader="dot" w:pos="4620"/>
              </w:tabs>
              <w:spacing w:before="0" w:beforeAutospacing="0" w:after="0" w:afterAutospacing="0"/>
              <w:ind w:left="240" w:hanging="240"/>
              <w:rPr>
                <w:rFonts w:eastAsiaTheme="minorEastAsia"/>
                <w:sz w:val="18"/>
                <w:szCs w:val="18"/>
              </w:rPr>
            </w:pPr>
            <w:r>
              <w:rPr>
                <w:b/>
                <w:bCs/>
                <w:sz w:val="18"/>
                <w:szCs w:val="18"/>
              </w:rPr>
              <w:t>Net cash used in operating activities</w:t>
            </w:r>
            <w:r>
              <w:rPr>
                <w:b/>
                <w:bCs/>
                <w:sz w:val="18"/>
                <w:szCs w:val="18"/>
              </w:rPr>
              <w:tab/>
            </w:r>
          </w:p>
        </w:tc>
        <w:tc>
          <w:tcPr>
            <w:tcW w:w="991" w:type="dxa"/>
          </w:tcPr>
          <w:p w14:paraId="4066363C"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b/>
                <w:bCs/>
                <w:sz w:val="18"/>
                <w:szCs w:val="18"/>
              </w:rPr>
              <w:t>5,511</w:t>
            </w:r>
          </w:p>
        </w:tc>
        <w:tc>
          <w:tcPr>
            <w:tcW w:w="1114" w:type="dxa"/>
            <w:noWrap/>
            <w:tcMar>
              <w:top w:w="0" w:type="dxa"/>
              <w:left w:w="144" w:type="dxa"/>
              <w:bottom w:w="0" w:type="dxa"/>
              <w:right w:w="0" w:type="dxa"/>
            </w:tcMar>
          </w:tcPr>
          <w:p w14:paraId="2C3B5FAF"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b/>
                <w:bCs/>
                <w:sz w:val="18"/>
                <w:szCs w:val="18"/>
              </w:rPr>
              <w:t>14,566</w:t>
            </w:r>
          </w:p>
        </w:tc>
        <w:tc>
          <w:tcPr>
            <w:tcW w:w="1344" w:type="dxa"/>
            <w:noWrap/>
            <w:tcMar>
              <w:top w:w="0" w:type="dxa"/>
              <w:left w:w="144" w:type="dxa"/>
              <w:bottom w:w="0" w:type="dxa"/>
              <w:right w:w="0" w:type="dxa"/>
            </w:tcMar>
          </w:tcPr>
          <w:p w14:paraId="7CD285C7"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6,793</w:t>
            </w:r>
          </w:p>
        </w:tc>
        <w:tc>
          <w:tcPr>
            <w:tcW w:w="1387" w:type="dxa"/>
            <w:noWrap/>
            <w:tcMar>
              <w:top w:w="0" w:type="dxa"/>
              <w:left w:w="144" w:type="dxa"/>
              <w:bottom w:w="0" w:type="dxa"/>
              <w:right w:w="0" w:type="dxa"/>
            </w:tcMar>
          </w:tcPr>
          <w:p w14:paraId="33630EE4"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(12,609)</w:t>
            </w:r>
          </w:p>
        </w:tc>
        <w:tc>
          <w:tcPr>
            <w:tcW w:w="1769" w:type="dxa"/>
            <w:noWrap/>
            <w:tcMar>
              <w:top w:w="0" w:type="dxa"/>
              <w:left w:w="144" w:type="dxa"/>
              <w:bottom w:w="0" w:type="dxa"/>
              <w:right w:w="0" w:type="dxa"/>
            </w:tcMar>
          </w:tcPr>
          <w:p w14:paraId="7A3F145F"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(1,542)</w:t>
            </w:r>
          </w:p>
        </w:tc>
      </w:tr>
      <w:tr w:rsidR="008C16B5" w14:paraId="10E9EA34" w14:textId="77777777" w:rsidTr="00B322A7">
        <w:trPr>
          <w:cantSplit/>
          <w:jc w:val="center"/>
        </w:trPr>
        <w:tc>
          <w:tcPr>
            <w:tcW w:w="3154" w:type="dxa"/>
          </w:tcPr>
          <w:p w14:paraId="758AFD77" w14:textId="77777777" w:rsidR="008C16B5" w:rsidRDefault="008C16B5" w:rsidP="00B322A7">
            <w:pPr>
              <w:pStyle w:val="NormalWeb"/>
              <w:keepNext/>
              <w:keepLines/>
              <w:tabs>
                <w:tab w:val="right" w:pos="800"/>
                <w:tab w:val="decimal" w:pos="840"/>
              </w:tabs>
              <w:spacing w:before="0" w:beforeAutospacing="0" w:after="20" w:afterAutospacing="0"/>
              <w:rPr>
                <w:rFonts w:eastAsiaTheme="minorEastAsia"/>
                <w:i/>
                <w:sz w:val="18"/>
                <w:szCs w:val="18"/>
              </w:rPr>
            </w:pPr>
            <w:r>
              <w:rPr>
                <w:rFonts w:eastAsiaTheme="minorEastAsia"/>
                <w:i/>
                <w:sz w:val="18"/>
                <w:szCs w:val="18"/>
              </w:rPr>
              <w:t>Cash flows from Investing Activities</w:t>
            </w:r>
          </w:p>
        </w:tc>
        <w:tc>
          <w:tcPr>
            <w:tcW w:w="991" w:type="dxa"/>
          </w:tcPr>
          <w:p w14:paraId="702AC7A5" w14:textId="77777777" w:rsidR="008C16B5" w:rsidRDefault="008C16B5" w:rsidP="00B322A7">
            <w:pPr>
              <w:keepNext/>
              <w:keepLines/>
              <w:jc w:val="right"/>
              <w:rPr>
                <w:sz w:val="18"/>
                <w:szCs w:val="18"/>
              </w:rPr>
            </w:pPr>
          </w:p>
        </w:tc>
        <w:tc>
          <w:tcPr>
            <w:tcW w:w="1114" w:type="dxa"/>
          </w:tcPr>
          <w:p w14:paraId="343A0A3D" w14:textId="77777777" w:rsidR="008C16B5" w:rsidRDefault="008C16B5" w:rsidP="00B322A7">
            <w:pPr>
              <w:keepNext/>
              <w:keepLines/>
              <w:jc w:val="right"/>
              <w:rPr>
                <w:sz w:val="18"/>
                <w:szCs w:val="18"/>
              </w:rPr>
            </w:pPr>
          </w:p>
        </w:tc>
        <w:tc>
          <w:tcPr>
            <w:tcW w:w="1344" w:type="dxa"/>
          </w:tcPr>
          <w:p w14:paraId="31A7A565"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i/>
                <w:sz w:val="18"/>
                <w:szCs w:val="18"/>
              </w:rPr>
            </w:pPr>
          </w:p>
        </w:tc>
        <w:tc>
          <w:tcPr>
            <w:tcW w:w="1387" w:type="dxa"/>
          </w:tcPr>
          <w:p w14:paraId="0780E85D"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i/>
                <w:sz w:val="18"/>
                <w:szCs w:val="18"/>
              </w:rPr>
            </w:pPr>
          </w:p>
        </w:tc>
        <w:tc>
          <w:tcPr>
            <w:tcW w:w="1769" w:type="dxa"/>
          </w:tcPr>
          <w:p w14:paraId="775EF500"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i/>
                <w:sz w:val="18"/>
                <w:szCs w:val="18"/>
              </w:rPr>
            </w:pPr>
          </w:p>
        </w:tc>
      </w:tr>
      <w:tr w:rsidR="008C16B5" w14:paraId="478375F3" w14:textId="77777777" w:rsidTr="00B322A7">
        <w:trPr>
          <w:cantSplit/>
          <w:jc w:val="center"/>
        </w:trPr>
        <w:tc>
          <w:tcPr>
            <w:tcW w:w="3154" w:type="dxa"/>
          </w:tcPr>
          <w:p w14:paraId="78CA8143"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Proceeds from disposal of subsidiaries</w:t>
            </w:r>
            <w:r>
              <w:rPr>
                <w:sz w:val="18"/>
                <w:szCs w:val="18"/>
              </w:rPr>
              <w:tab/>
            </w:r>
          </w:p>
        </w:tc>
        <w:tc>
          <w:tcPr>
            <w:tcW w:w="991" w:type="dxa"/>
          </w:tcPr>
          <w:p w14:paraId="0BCDE646"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114" w:type="dxa"/>
            <w:noWrap/>
            <w:tcMar>
              <w:top w:w="0" w:type="dxa"/>
              <w:left w:w="144" w:type="dxa"/>
              <w:bottom w:w="0" w:type="dxa"/>
              <w:right w:w="0" w:type="dxa"/>
            </w:tcMar>
          </w:tcPr>
          <w:p w14:paraId="7507B383"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344" w:type="dxa"/>
            <w:noWrap/>
            <w:tcMar>
              <w:top w:w="0" w:type="dxa"/>
              <w:left w:w="144" w:type="dxa"/>
              <w:bottom w:w="0" w:type="dxa"/>
              <w:right w:w="0" w:type="dxa"/>
            </w:tcMar>
          </w:tcPr>
          <w:p w14:paraId="437EAF9C"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387" w:type="dxa"/>
            <w:noWrap/>
            <w:tcMar>
              <w:top w:w="0" w:type="dxa"/>
              <w:left w:w="144" w:type="dxa"/>
              <w:bottom w:w="0" w:type="dxa"/>
              <w:right w:w="0" w:type="dxa"/>
            </w:tcMar>
          </w:tcPr>
          <w:p w14:paraId="6E23D9CC"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311</w:t>
            </w:r>
          </w:p>
        </w:tc>
        <w:tc>
          <w:tcPr>
            <w:tcW w:w="1769" w:type="dxa"/>
            <w:noWrap/>
            <w:tcMar>
              <w:top w:w="0" w:type="dxa"/>
              <w:left w:w="144" w:type="dxa"/>
              <w:bottom w:w="0" w:type="dxa"/>
              <w:right w:w="0" w:type="dxa"/>
            </w:tcMar>
          </w:tcPr>
          <w:p w14:paraId="7067570D"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w:t>
            </w:r>
          </w:p>
        </w:tc>
      </w:tr>
      <w:tr w:rsidR="008C16B5" w14:paraId="63838D9B" w14:textId="77777777" w:rsidTr="00B322A7">
        <w:trPr>
          <w:cantSplit/>
          <w:jc w:val="center"/>
        </w:trPr>
        <w:tc>
          <w:tcPr>
            <w:tcW w:w="3154" w:type="dxa"/>
          </w:tcPr>
          <w:p w14:paraId="1950B83B"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Proceeds from disposal of tangible assets</w:t>
            </w:r>
            <w:r>
              <w:rPr>
                <w:sz w:val="18"/>
                <w:szCs w:val="18"/>
              </w:rPr>
              <w:tab/>
            </w:r>
          </w:p>
        </w:tc>
        <w:tc>
          <w:tcPr>
            <w:tcW w:w="991" w:type="dxa"/>
          </w:tcPr>
          <w:p w14:paraId="48B877D0" w14:textId="77777777" w:rsidR="008C16B5" w:rsidRDefault="008C16B5" w:rsidP="00B322A7">
            <w:pPr>
              <w:keepNext/>
              <w:keepLines/>
              <w:jc w:val="right"/>
              <w:rPr>
                <w:sz w:val="18"/>
                <w:szCs w:val="18"/>
              </w:rPr>
            </w:pPr>
            <w:r>
              <w:rPr>
                <w:sz w:val="18"/>
                <w:szCs w:val="18"/>
              </w:rPr>
              <w:t>2</w:t>
            </w:r>
          </w:p>
        </w:tc>
        <w:tc>
          <w:tcPr>
            <w:tcW w:w="1114" w:type="dxa"/>
            <w:noWrap/>
            <w:tcMar>
              <w:top w:w="0" w:type="dxa"/>
              <w:left w:w="144" w:type="dxa"/>
              <w:bottom w:w="0" w:type="dxa"/>
              <w:right w:w="0" w:type="dxa"/>
            </w:tcMar>
          </w:tcPr>
          <w:p w14:paraId="67D9523B" w14:textId="77777777" w:rsidR="008C16B5" w:rsidRDefault="008C16B5" w:rsidP="00B322A7">
            <w:pPr>
              <w:keepNext/>
              <w:keepLines/>
              <w:jc w:val="right"/>
              <w:rPr>
                <w:sz w:val="18"/>
                <w:szCs w:val="18"/>
              </w:rPr>
            </w:pPr>
            <w:r>
              <w:rPr>
                <w:bCs/>
                <w:sz w:val="18"/>
                <w:szCs w:val="18"/>
              </w:rPr>
              <w:t>36</w:t>
            </w:r>
          </w:p>
        </w:tc>
        <w:tc>
          <w:tcPr>
            <w:tcW w:w="1344" w:type="dxa"/>
            <w:noWrap/>
            <w:tcMar>
              <w:top w:w="0" w:type="dxa"/>
              <w:left w:w="144" w:type="dxa"/>
              <w:bottom w:w="0" w:type="dxa"/>
              <w:right w:w="0" w:type="dxa"/>
            </w:tcMar>
          </w:tcPr>
          <w:p w14:paraId="1734A250"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46</w:t>
            </w:r>
          </w:p>
        </w:tc>
        <w:tc>
          <w:tcPr>
            <w:tcW w:w="1387" w:type="dxa"/>
            <w:noWrap/>
            <w:tcMar>
              <w:top w:w="0" w:type="dxa"/>
              <w:left w:w="144" w:type="dxa"/>
              <w:bottom w:w="0" w:type="dxa"/>
              <w:right w:w="0" w:type="dxa"/>
            </w:tcMar>
          </w:tcPr>
          <w:p w14:paraId="59439AB9"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26</w:t>
            </w:r>
          </w:p>
        </w:tc>
        <w:tc>
          <w:tcPr>
            <w:tcW w:w="1769" w:type="dxa"/>
            <w:noWrap/>
            <w:tcMar>
              <w:top w:w="0" w:type="dxa"/>
              <w:left w:w="144" w:type="dxa"/>
              <w:bottom w:w="0" w:type="dxa"/>
              <w:right w:w="0" w:type="dxa"/>
            </w:tcMar>
          </w:tcPr>
          <w:p w14:paraId="119385E0"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3,324</w:t>
            </w:r>
          </w:p>
        </w:tc>
      </w:tr>
      <w:tr w:rsidR="008C16B5" w14:paraId="353D70C0" w14:textId="77777777" w:rsidTr="00B322A7">
        <w:trPr>
          <w:cantSplit/>
          <w:jc w:val="center"/>
        </w:trPr>
        <w:tc>
          <w:tcPr>
            <w:tcW w:w="3154" w:type="dxa"/>
          </w:tcPr>
          <w:p w14:paraId="48DC6C18"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Acquisition of subsidiaries</w:t>
            </w:r>
            <w:r>
              <w:rPr>
                <w:sz w:val="18"/>
                <w:szCs w:val="18"/>
              </w:rPr>
              <w:tab/>
            </w:r>
          </w:p>
        </w:tc>
        <w:tc>
          <w:tcPr>
            <w:tcW w:w="991" w:type="dxa"/>
          </w:tcPr>
          <w:p w14:paraId="4B2BA711" w14:textId="77777777" w:rsidR="008C16B5" w:rsidRDefault="008C16B5" w:rsidP="00B322A7">
            <w:pPr>
              <w:keepNext/>
              <w:keepLines/>
              <w:jc w:val="right"/>
              <w:rPr>
                <w:sz w:val="18"/>
                <w:szCs w:val="18"/>
              </w:rPr>
            </w:pPr>
            <w:r>
              <w:rPr>
                <w:bCs/>
                <w:sz w:val="18"/>
                <w:szCs w:val="18"/>
              </w:rPr>
              <w:t>—</w:t>
            </w:r>
          </w:p>
        </w:tc>
        <w:tc>
          <w:tcPr>
            <w:tcW w:w="1114" w:type="dxa"/>
            <w:noWrap/>
            <w:tcMar>
              <w:top w:w="0" w:type="dxa"/>
              <w:left w:w="144" w:type="dxa"/>
              <w:bottom w:w="0" w:type="dxa"/>
              <w:right w:w="0" w:type="dxa"/>
            </w:tcMar>
          </w:tcPr>
          <w:p w14:paraId="64B5028D" w14:textId="77777777" w:rsidR="008C16B5" w:rsidRDefault="008C16B5" w:rsidP="00B322A7">
            <w:pPr>
              <w:keepNext/>
              <w:keepLines/>
              <w:jc w:val="right"/>
              <w:rPr>
                <w:sz w:val="18"/>
                <w:szCs w:val="18"/>
              </w:rPr>
            </w:pPr>
            <w:r>
              <w:rPr>
                <w:bCs/>
                <w:sz w:val="18"/>
                <w:szCs w:val="18"/>
              </w:rPr>
              <w:t>(148)</w:t>
            </w:r>
          </w:p>
        </w:tc>
        <w:tc>
          <w:tcPr>
            <w:tcW w:w="1344" w:type="dxa"/>
            <w:noWrap/>
            <w:tcMar>
              <w:top w:w="0" w:type="dxa"/>
              <w:left w:w="144" w:type="dxa"/>
              <w:bottom w:w="0" w:type="dxa"/>
              <w:right w:w="0" w:type="dxa"/>
            </w:tcMar>
          </w:tcPr>
          <w:p w14:paraId="0F2FD117"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387" w:type="dxa"/>
            <w:noWrap/>
            <w:tcMar>
              <w:top w:w="0" w:type="dxa"/>
              <w:left w:w="144" w:type="dxa"/>
              <w:bottom w:w="0" w:type="dxa"/>
              <w:right w:w="0" w:type="dxa"/>
            </w:tcMar>
          </w:tcPr>
          <w:p w14:paraId="3875081E"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(224)</w:t>
            </w:r>
          </w:p>
        </w:tc>
        <w:tc>
          <w:tcPr>
            <w:tcW w:w="1769" w:type="dxa"/>
            <w:noWrap/>
            <w:tcMar>
              <w:top w:w="0" w:type="dxa"/>
              <w:left w:w="144" w:type="dxa"/>
              <w:bottom w:w="0" w:type="dxa"/>
              <w:right w:w="0" w:type="dxa"/>
            </w:tcMar>
          </w:tcPr>
          <w:p w14:paraId="7CC5398A"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(406)</w:t>
            </w:r>
          </w:p>
        </w:tc>
      </w:tr>
      <w:tr w:rsidR="008C16B5" w14:paraId="0CC04702" w14:textId="77777777" w:rsidTr="00B322A7">
        <w:trPr>
          <w:cantSplit/>
          <w:jc w:val="center"/>
        </w:trPr>
        <w:tc>
          <w:tcPr>
            <w:tcW w:w="3154" w:type="dxa"/>
          </w:tcPr>
          <w:p w14:paraId="111B34EB"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Disposal of subsidiaries and investment properties to VGP European Logistics Joint Venture</w:t>
            </w:r>
            <w:r>
              <w:rPr>
                <w:sz w:val="18"/>
                <w:szCs w:val="18"/>
              </w:rPr>
              <w:tab/>
            </w:r>
          </w:p>
        </w:tc>
        <w:tc>
          <w:tcPr>
            <w:tcW w:w="991" w:type="dxa"/>
          </w:tcPr>
          <w:p w14:paraId="5BC9D391"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90,794</w:t>
            </w:r>
          </w:p>
        </w:tc>
        <w:tc>
          <w:tcPr>
            <w:tcW w:w="1114" w:type="dxa"/>
            <w:noWrap/>
            <w:tcMar>
              <w:top w:w="0" w:type="dxa"/>
              <w:left w:w="144" w:type="dxa"/>
              <w:bottom w:w="0" w:type="dxa"/>
              <w:right w:w="0" w:type="dxa"/>
            </w:tcMar>
          </w:tcPr>
          <w:p w14:paraId="68C6445B"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155,911</w:t>
            </w:r>
          </w:p>
        </w:tc>
        <w:tc>
          <w:tcPr>
            <w:tcW w:w="1344" w:type="dxa"/>
            <w:noWrap/>
            <w:tcMar>
              <w:top w:w="0" w:type="dxa"/>
              <w:left w:w="144" w:type="dxa"/>
              <w:bottom w:w="0" w:type="dxa"/>
              <w:right w:w="0" w:type="dxa"/>
            </w:tcMar>
          </w:tcPr>
          <w:p w14:paraId="1939395E" w14:textId="77777777" w:rsidR="008C16B5" w:rsidRDefault="008C16B5" w:rsidP="00B322A7">
            <w:pPr>
              <w:pStyle w:val="NormalWeb"/>
              <w:keepNext/>
              <w:keepLines/>
              <w:tabs>
                <w:tab w:val="right" w:pos="800"/>
                <w:tab w:val="decimal" w:pos="840"/>
              </w:tabs>
              <w:spacing w:before="0" w:beforeAutospacing="0" w:after="20" w:afterAutospacing="0"/>
              <w:jc w:val="right"/>
              <w:rPr>
                <w:sz w:val="18"/>
                <w:szCs w:val="18"/>
              </w:rPr>
            </w:pPr>
            <w:r>
              <w:rPr>
                <w:sz w:val="18"/>
                <w:szCs w:val="18"/>
              </w:rPr>
              <w:t>236,060</w:t>
            </w:r>
          </w:p>
        </w:tc>
        <w:tc>
          <w:tcPr>
            <w:tcW w:w="1387" w:type="dxa"/>
            <w:noWrap/>
            <w:tcMar>
              <w:top w:w="0" w:type="dxa"/>
              <w:left w:w="144" w:type="dxa"/>
              <w:bottom w:w="0" w:type="dxa"/>
              <w:right w:w="0" w:type="dxa"/>
            </w:tcMar>
          </w:tcPr>
          <w:p w14:paraId="435A8A9D"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769" w:type="dxa"/>
            <w:noWrap/>
            <w:tcMar>
              <w:top w:w="0" w:type="dxa"/>
              <w:left w:w="144" w:type="dxa"/>
              <w:bottom w:w="0" w:type="dxa"/>
              <w:right w:w="0" w:type="dxa"/>
            </w:tcMar>
          </w:tcPr>
          <w:p w14:paraId="03847D1C"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w:t>
            </w:r>
          </w:p>
        </w:tc>
      </w:tr>
      <w:tr w:rsidR="008C16B5" w14:paraId="3EBCF4DE" w14:textId="77777777" w:rsidTr="00B322A7">
        <w:trPr>
          <w:cantSplit/>
          <w:jc w:val="center"/>
        </w:trPr>
        <w:tc>
          <w:tcPr>
            <w:tcW w:w="3154" w:type="dxa"/>
          </w:tcPr>
          <w:p w14:paraId="4770D52B"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Distribution by / (investment in) VGP European Logistics Joint Venture</w:t>
            </w:r>
            <w:r>
              <w:rPr>
                <w:sz w:val="18"/>
                <w:szCs w:val="18"/>
              </w:rPr>
              <w:tab/>
            </w:r>
          </w:p>
        </w:tc>
        <w:tc>
          <w:tcPr>
            <w:tcW w:w="991" w:type="dxa"/>
          </w:tcPr>
          <w:p w14:paraId="4EAEAA5D"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114" w:type="dxa"/>
            <w:noWrap/>
            <w:tcMar>
              <w:top w:w="0" w:type="dxa"/>
              <w:left w:w="144" w:type="dxa"/>
              <w:bottom w:w="0" w:type="dxa"/>
              <w:right w:w="0" w:type="dxa"/>
            </w:tcMar>
          </w:tcPr>
          <w:p w14:paraId="1DCA802A"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344" w:type="dxa"/>
            <w:noWrap/>
            <w:tcMar>
              <w:top w:w="0" w:type="dxa"/>
              <w:left w:w="144" w:type="dxa"/>
              <w:bottom w:w="0" w:type="dxa"/>
              <w:right w:w="0" w:type="dxa"/>
            </w:tcMar>
          </w:tcPr>
          <w:p w14:paraId="7CA37E95" w14:textId="77777777" w:rsidR="008C16B5" w:rsidRDefault="008C16B5" w:rsidP="00B322A7">
            <w:pPr>
              <w:pStyle w:val="NormalWeb"/>
              <w:keepNext/>
              <w:keepLines/>
              <w:tabs>
                <w:tab w:val="right" w:pos="800"/>
                <w:tab w:val="decimal" w:pos="840"/>
              </w:tabs>
              <w:spacing w:before="0" w:beforeAutospacing="0" w:after="20" w:afterAutospacing="0"/>
              <w:jc w:val="right"/>
              <w:rPr>
                <w:sz w:val="18"/>
                <w:szCs w:val="18"/>
              </w:rPr>
            </w:pPr>
            <w:r>
              <w:rPr>
                <w:sz w:val="18"/>
                <w:szCs w:val="18"/>
              </w:rPr>
              <w:t>4,678</w:t>
            </w:r>
          </w:p>
        </w:tc>
        <w:tc>
          <w:tcPr>
            <w:tcW w:w="1387" w:type="dxa"/>
            <w:noWrap/>
            <w:tcMar>
              <w:top w:w="0" w:type="dxa"/>
              <w:left w:w="144" w:type="dxa"/>
              <w:bottom w:w="0" w:type="dxa"/>
              <w:right w:w="0" w:type="dxa"/>
            </w:tcMar>
          </w:tcPr>
          <w:p w14:paraId="273C043B" w14:textId="77777777" w:rsidR="008C16B5" w:rsidRDefault="008C16B5" w:rsidP="00B322A7">
            <w:pPr>
              <w:pStyle w:val="NormalWeb"/>
              <w:keepNext/>
              <w:keepLines/>
              <w:tabs>
                <w:tab w:val="right" w:pos="800"/>
                <w:tab w:val="decimal" w:pos="840"/>
              </w:tabs>
              <w:spacing w:before="0" w:beforeAutospacing="0" w:after="20" w:afterAutospacing="0"/>
              <w:jc w:val="right"/>
              <w:rPr>
                <w:sz w:val="18"/>
                <w:szCs w:val="18"/>
              </w:rPr>
            </w:pPr>
            <w:r>
              <w:rPr>
                <w:sz w:val="18"/>
                <w:szCs w:val="18"/>
              </w:rPr>
              <w:t>—</w:t>
            </w:r>
          </w:p>
        </w:tc>
        <w:tc>
          <w:tcPr>
            <w:tcW w:w="1769" w:type="dxa"/>
            <w:noWrap/>
            <w:tcMar>
              <w:top w:w="0" w:type="dxa"/>
              <w:left w:w="144" w:type="dxa"/>
              <w:bottom w:w="0" w:type="dxa"/>
              <w:right w:w="0" w:type="dxa"/>
            </w:tcMar>
          </w:tcPr>
          <w:p w14:paraId="447B06B4" w14:textId="77777777" w:rsidR="008C16B5" w:rsidRDefault="008C16B5" w:rsidP="00B322A7">
            <w:pPr>
              <w:pStyle w:val="NormalWeb"/>
              <w:keepNext/>
              <w:keepLines/>
              <w:tabs>
                <w:tab w:val="right" w:pos="800"/>
                <w:tab w:val="decimal" w:pos="840"/>
              </w:tabs>
              <w:spacing w:before="0" w:beforeAutospacing="0" w:after="20" w:afterAutospacing="0"/>
              <w:jc w:val="right"/>
              <w:rPr>
                <w:sz w:val="18"/>
                <w:szCs w:val="18"/>
              </w:rPr>
            </w:pPr>
            <w:r>
              <w:rPr>
                <w:sz w:val="18"/>
                <w:szCs w:val="18"/>
              </w:rPr>
              <w:t>—</w:t>
            </w:r>
          </w:p>
        </w:tc>
      </w:tr>
      <w:tr w:rsidR="008C16B5" w14:paraId="023AE7CF" w14:textId="77777777" w:rsidTr="00B322A7">
        <w:trPr>
          <w:cantSplit/>
          <w:jc w:val="center"/>
        </w:trPr>
        <w:tc>
          <w:tcPr>
            <w:tcW w:w="3154" w:type="dxa"/>
          </w:tcPr>
          <w:p w14:paraId="720ABB71"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(Loans provided to) / loans repaid by joint venture and associates</w:t>
            </w:r>
            <w:r>
              <w:rPr>
                <w:sz w:val="18"/>
                <w:szCs w:val="18"/>
              </w:rPr>
              <w:tab/>
            </w:r>
          </w:p>
        </w:tc>
        <w:tc>
          <w:tcPr>
            <w:tcW w:w="991" w:type="dxa"/>
          </w:tcPr>
          <w:p w14:paraId="20C5D33E"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(36,794)</w:t>
            </w:r>
          </w:p>
        </w:tc>
        <w:tc>
          <w:tcPr>
            <w:tcW w:w="1114" w:type="dxa"/>
            <w:noWrap/>
            <w:tcMar>
              <w:top w:w="0" w:type="dxa"/>
              <w:left w:w="144" w:type="dxa"/>
              <w:bottom w:w="0" w:type="dxa"/>
              <w:right w:w="0" w:type="dxa"/>
            </w:tcMar>
          </w:tcPr>
          <w:p w14:paraId="6045A84B"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344" w:type="dxa"/>
            <w:noWrap/>
            <w:tcMar>
              <w:top w:w="0" w:type="dxa"/>
              <w:left w:w="144" w:type="dxa"/>
              <w:bottom w:w="0" w:type="dxa"/>
              <w:right w:w="0" w:type="dxa"/>
            </w:tcMar>
          </w:tcPr>
          <w:p w14:paraId="6B563CFB"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(28,546)</w:t>
            </w:r>
          </w:p>
        </w:tc>
        <w:tc>
          <w:tcPr>
            <w:tcW w:w="1387" w:type="dxa"/>
            <w:noWrap/>
            <w:tcMar>
              <w:top w:w="0" w:type="dxa"/>
              <w:left w:w="144" w:type="dxa"/>
              <w:bottom w:w="0" w:type="dxa"/>
              <w:right w:w="0" w:type="dxa"/>
            </w:tcMar>
          </w:tcPr>
          <w:p w14:paraId="666E4D10"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769" w:type="dxa"/>
            <w:noWrap/>
            <w:tcMar>
              <w:top w:w="0" w:type="dxa"/>
              <w:left w:w="144" w:type="dxa"/>
              <w:bottom w:w="0" w:type="dxa"/>
              <w:right w:w="0" w:type="dxa"/>
            </w:tcMar>
          </w:tcPr>
          <w:p w14:paraId="308F3D99"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49,812</w:t>
            </w:r>
          </w:p>
        </w:tc>
      </w:tr>
      <w:tr w:rsidR="008C16B5" w14:paraId="75CED263" w14:textId="77777777" w:rsidTr="00B322A7">
        <w:trPr>
          <w:cantSplit/>
          <w:jc w:val="center"/>
        </w:trPr>
        <w:tc>
          <w:tcPr>
            <w:tcW w:w="3154" w:type="dxa"/>
          </w:tcPr>
          <w:p w14:paraId="28DB9FC8"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Investment property and investment property under construction</w:t>
            </w:r>
            <w:r>
              <w:rPr>
                <w:sz w:val="18"/>
                <w:szCs w:val="18"/>
              </w:rPr>
              <w:tab/>
            </w:r>
          </w:p>
        </w:tc>
        <w:tc>
          <w:tcPr>
            <w:tcW w:w="991" w:type="dxa"/>
          </w:tcPr>
          <w:p w14:paraId="0C8D7C40" w14:textId="77777777" w:rsidR="008C16B5" w:rsidRDefault="008C16B5" w:rsidP="00B322A7">
            <w:pPr>
              <w:keepNext/>
              <w:keepLines/>
              <w:jc w:val="right"/>
              <w:rPr>
                <w:sz w:val="18"/>
                <w:szCs w:val="18"/>
              </w:rPr>
            </w:pPr>
            <w:r>
              <w:rPr>
                <w:bCs/>
                <w:sz w:val="18"/>
                <w:szCs w:val="18"/>
              </w:rPr>
              <w:t>(68,829)</w:t>
            </w:r>
          </w:p>
        </w:tc>
        <w:tc>
          <w:tcPr>
            <w:tcW w:w="1114" w:type="dxa"/>
            <w:noWrap/>
            <w:tcMar>
              <w:top w:w="0" w:type="dxa"/>
              <w:left w:w="144" w:type="dxa"/>
              <w:bottom w:w="0" w:type="dxa"/>
              <w:right w:w="0" w:type="dxa"/>
            </w:tcMar>
          </w:tcPr>
          <w:p w14:paraId="2AE45D65" w14:textId="77777777" w:rsidR="008C16B5" w:rsidRDefault="008C16B5" w:rsidP="00B322A7">
            <w:pPr>
              <w:keepNext/>
              <w:keepLines/>
              <w:jc w:val="right"/>
              <w:rPr>
                <w:sz w:val="18"/>
                <w:szCs w:val="18"/>
              </w:rPr>
            </w:pPr>
            <w:r>
              <w:rPr>
                <w:bCs/>
                <w:sz w:val="18"/>
                <w:szCs w:val="18"/>
              </w:rPr>
              <w:t>(84,279)</w:t>
            </w:r>
          </w:p>
        </w:tc>
        <w:tc>
          <w:tcPr>
            <w:tcW w:w="1344" w:type="dxa"/>
            <w:noWrap/>
            <w:tcMar>
              <w:top w:w="0" w:type="dxa"/>
              <w:left w:w="144" w:type="dxa"/>
              <w:bottom w:w="0" w:type="dxa"/>
              <w:right w:w="0" w:type="dxa"/>
            </w:tcMar>
          </w:tcPr>
          <w:p w14:paraId="15DFC3BC"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(336,654)</w:t>
            </w:r>
          </w:p>
        </w:tc>
        <w:tc>
          <w:tcPr>
            <w:tcW w:w="1387" w:type="dxa"/>
            <w:noWrap/>
            <w:tcMar>
              <w:top w:w="0" w:type="dxa"/>
              <w:left w:w="144" w:type="dxa"/>
              <w:bottom w:w="0" w:type="dxa"/>
              <w:right w:w="0" w:type="dxa"/>
            </w:tcMar>
          </w:tcPr>
          <w:p w14:paraId="4464C72F"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(147,490)</w:t>
            </w:r>
          </w:p>
        </w:tc>
        <w:tc>
          <w:tcPr>
            <w:tcW w:w="1769" w:type="dxa"/>
            <w:noWrap/>
            <w:tcMar>
              <w:top w:w="0" w:type="dxa"/>
              <w:left w:w="144" w:type="dxa"/>
              <w:bottom w:w="0" w:type="dxa"/>
              <w:right w:w="0" w:type="dxa"/>
            </w:tcMar>
          </w:tcPr>
          <w:p w14:paraId="693A1F47"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(112,221)</w:t>
            </w:r>
          </w:p>
        </w:tc>
      </w:tr>
      <w:tr w:rsidR="008C16B5" w14:paraId="60D9F2C8" w14:textId="77777777" w:rsidTr="00B322A7">
        <w:trPr>
          <w:cantSplit/>
          <w:jc w:val="center"/>
        </w:trPr>
        <w:tc>
          <w:tcPr>
            <w:tcW w:w="3154" w:type="dxa"/>
          </w:tcPr>
          <w:p w14:paraId="1A6A19E0" w14:textId="77777777" w:rsidR="008C16B5" w:rsidRDefault="008C16B5" w:rsidP="00B322A7">
            <w:pPr>
              <w:pStyle w:val="NormalWeb"/>
              <w:keepNext/>
              <w:keepLines/>
              <w:tabs>
                <w:tab w:val="right" w:leader="dot" w:pos="4620"/>
              </w:tabs>
              <w:spacing w:before="0" w:beforeAutospacing="0" w:after="0" w:afterAutospacing="0"/>
              <w:ind w:left="240" w:hanging="240"/>
              <w:rPr>
                <w:rFonts w:eastAsiaTheme="minorEastAsia"/>
                <w:sz w:val="18"/>
                <w:szCs w:val="18"/>
              </w:rPr>
            </w:pPr>
            <w:r>
              <w:rPr>
                <w:b/>
                <w:bCs/>
                <w:sz w:val="18"/>
                <w:szCs w:val="18"/>
              </w:rPr>
              <w:t>Net cash used in investing activities</w:t>
            </w:r>
            <w:r>
              <w:rPr>
                <w:b/>
                <w:bCs/>
                <w:sz w:val="18"/>
                <w:szCs w:val="18"/>
              </w:rPr>
              <w:tab/>
            </w:r>
          </w:p>
        </w:tc>
        <w:tc>
          <w:tcPr>
            <w:tcW w:w="991" w:type="dxa"/>
          </w:tcPr>
          <w:p w14:paraId="736F6E3A"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(14,827)</w:t>
            </w:r>
          </w:p>
        </w:tc>
        <w:tc>
          <w:tcPr>
            <w:tcW w:w="1114" w:type="dxa"/>
            <w:noWrap/>
            <w:tcMar>
              <w:top w:w="0" w:type="dxa"/>
              <w:left w:w="144" w:type="dxa"/>
              <w:bottom w:w="0" w:type="dxa"/>
              <w:right w:w="0" w:type="dxa"/>
            </w:tcMar>
          </w:tcPr>
          <w:p w14:paraId="14E4AEB2"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b/>
                <w:bCs/>
                <w:sz w:val="18"/>
                <w:szCs w:val="18"/>
              </w:rPr>
              <w:t>71,520</w:t>
            </w:r>
          </w:p>
        </w:tc>
        <w:tc>
          <w:tcPr>
            <w:tcW w:w="1344" w:type="dxa"/>
            <w:noWrap/>
            <w:tcMar>
              <w:top w:w="0" w:type="dxa"/>
              <w:left w:w="144" w:type="dxa"/>
              <w:bottom w:w="0" w:type="dxa"/>
              <w:right w:w="0" w:type="dxa"/>
            </w:tcMar>
          </w:tcPr>
          <w:p w14:paraId="240E8D73"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(124,416)</w:t>
            </w:r>
          </w:p>
        </w:tc>
        <w:tc>
          <w:tcPr>
            <w:tcW w:w="1387" w:type="dxa"/>
            <w:noWrap/>
            <w:tcMar>
              <w:top w:w="0" w:type="dxa"/>
              <w:left w:w="144" w:type="dxa"/>
              <w:bottom w:w="0" w:type="dxa"/>
              <w:right w:w="0" w:type="dxa"/>
            </w:tcMar>
          </w:tcPr>
          <w:p w14:paraId="5D5543C0"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(147,377)</w:t>
            </w:r>
          </w:p>
        </w:tc>
        <w:tc>
          <w:tcPr>
            <w:tcW w:w="1769" w:type="dxa"/>
            <w:noWrap/>
            <w:tcMar>
              <w:top w:w="0" w:type="dxa"/>
              <w:left w:w="144" w:type="dxa"/>
              <w:bottom w:w="0" w:type="dxa"/>
              <w:right w:w="0" w:type="dxa"/>
            </w:tcMar>
          </w:tcPr>
          <w:p w14:paraId="2B1507D3"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(59,491)</w:t>
            </w:r>
          </w:p>
        </w:tc>
      </w:tr>
      <w:tr w:rsidR="008C16B5" w14:paraId="45565D1B" w14:textId="77777777" w:rsidTr="00B322A7">
        <w:trPr>
          <w:cantSplit/>
          <w:jc w:val="center"/>
        </w:trPr>
        <w:tc>
          <w:tcPr>
            <w:tcW w:w="3154" w:type="dxa"/>
          </w:tcPr>
          <w:p w14:paraId="2443C749" w14:textId="77777777" w:rsidR="008C16B5" w:rsidRDefault="008C16B5" w:rsidP="00B322A7">
            <w:pPr>
              <w:pStyle w:val="NormalWeb"/>
              <w:keepNext/>
              <w:keepLines/>
              <w:tabs>
                <w:tab w:val="right" w:pos="800"/>
                <w:tab w:val="decimal" w:pos="840"/>
              </w:tabs>
              <w:spacing w:before="0" w:beforeAutospacing="0" w:after="20" w:afterAutospacing="0"/>
              <w:rPr>
                <w:rFonts w:eastAsiaTheme="minorEastAsia"/>
                <w:i/>
                <w:sz w:val="18"/>
                <w:szCs w:val="18"/>
              </w:rPr>
            </w:pPr>
            <w:r>
              <w:rPr>
                <w:rFonts w:eastAsiaTheme="minorEastAsia"/>
                <w:i/>
                <w:sz w:val="18"/>
                <w:szCs w:val="18"/>
              </w:rPr>
              <w:t>Cash flows from Financing Activities</w:t>
            </w:r>
          </w:p>
        </w:tc>
        <w:tc>
          <w:tcPr>
            <w:tcW w:w="991" w:type="dxa"/>
          </w:tcPr>
          <w:p w14:paraId="5741132F" w14:textId="77777777" w:rsidR="008C16B5" w:rsidRDefault="008C16B5" w:rsidP="00B322A7">
            <w:pPr>
              <w:keepNext/>
              <w:keepLines/>
              <w:jc w:val="right"/>
              <w:rPr>
                <w:sz w:val="18"/>
                <w:szCs w:val="18"/>
              </w:rPr>
            </w:pPr>
          </w:p>
        </w:tc>
        <w:tc>
          <w:tcPr>
            <w:tcW w:w="1114" w:type="dxa"/>
          </w:tcPr>
          <w:p w14:paraId="7689DFD7" w14:textId="77777777" w:rsidR="008C16B5" w:rsidRDefault="008C16B5" w:rsidP="00B322A7">
            <w:pPr>
              <w:keepNext/>
              <w:keepLines/>
              <w:jc w:val="right"/>
              <w:rPr>
                <w:sz w:val="18"/>
                <w:szCs w:val="18"/>
              </w:rPr>
            </w:pPr>
          </w:p>
        </w:tc>
        <w:tc>
          <w:tcPr>
            <w:tcW w:w="2731" w:type="dxa"/>
            <w:gridSpan w:val="2"/>
          </w:tcPr>
          <w:p w14:paraId="225D3F48"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i/>
                <w:sz w:val="18"/>
                <w:szCs w:val="18"/>
              </w:rPr>
            </w:pPr>
          </w:p>
        </w:tc>
        <w:tc>
          <w:tcPr>
            <w:tcW w:w="1769" w:type="dxa"/>
          </w:tcPr>
          <w:p w14:paraId="6E517084"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i/>
                <w:sz w:val="18"/>
                <w:szCs w:val="18"/>
              </w:rPr>
            </w:pPr>
          </w:p>
        </w:tc>
      </w:tr>
      <w:tr w:rsidR="008C16B5" w14:paraId="522B07C1" w14:textId="77777777" w:rsidTr="00B322A7">
        <w:trPr>
          <w:cantSplit/>
          <w:jc w:val="center"/>
        </w:trPr>
        <w:tc>
          <w:tcPr>
            <w:tcW w:w="3154" w:type="dxa"/>
          </w:tcPr>
          <w:p w14:paraId="1D3EB70B"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Gross dividends paid</w:t>
            </w:r>
            <w:r>
              <w:rPr>
                <w:sz w:val="18"/>
                <w:szCs w:val="18"/>
              </w:rPr>
              <w:tab/>
            </w:r>
          </w:p>
        </w:tc>
        <w:tc>
          <w:tcPr>
            <w:tcW w:w="991" w:type="dxa"/>
          </w:tcPr>
          <w:p w14:paraId="0A00D97F" w14:textId="77777777" w:rsidR="008C16B5" w:rsidRDefault="008C16B5" w:rsidP="00B322A7">
            <w:pPr>
              <w:keepNext/>
              <w:keepLines/>
              <w:jc w:val="right"/>
              <w:rPr>
                <w:sz w:val="18"/>
                <w:szCs w:val="18"/>
              </w:rPr>
            </w:pPr>
            <w:r>
              <w:rPr>
                <w:sz w:val="18"/>
                <w:szCs w:val="18"/>
              </w:rPr>
              <w:t>—</w:t>
            </w:r>
          </w:p>
        </w:tc>
        <w:tc>
          <w:tcPr>
            <w:tcW w:w="1114" w:type="dxa"/>
            <w:noWrap/>
            <w:tcMar>
              <w:top w:w="0" w:type="dxa"/>
              <w:left w:w="144" w:type="dxa"/>
              <w:bottom w:w="0" w:type="dxa"/>
              <w:right w:w="0" w:type="dxa"/>
            </w:tcMar>
          </w:tcPr>
          <w:p w14:paraId="5DA48EF6" w14:textId="77777777" w:rsidR="008C16B5" w:rsidRDefault="008C16B5" w:rsidP="00B322A7">
            <w:pPr>
              <w:keepNext/>
              <w:keepLines/>
              <w:jc w:val="right"/>
              <w:rPr>
                <w:sz w:val="18"/>
                <w:szCs w:val="18"/>
              </w:rPr>
            </w:pPr>
            <w:r>
              <w:rPr>
                <w:sz w:val="18"/>
                <w:szCs w:val="18"/>
              </w:rPr>
              <w:t>—</w:t>
            </w:r>
          </w:p>
        </w:tc>
        <w:tc>
          <w:tcPr>
            <w:tcW w:w="1344" w:type="dxa"/>
            <w:noWrap/>
            <w:tcMar>
              <w:top w:w="0" w:type="dxa"/>
              <w:left w:w="144" w:type="dxa"/>
              <w:bottom w:w="0" w:type="dxa"/>
              <w:right w:w="0" w:type="dxa"/>
            </w:tcMar>
          </w:tcPr>
          <w:p w14:paraId="0D0D6B8E"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387" w:type="dxa"/>
            <w:noWrap/>
            <w:tcMar>
              <w:top w:w="0" w:type="dxa"/>
              <w:left w:w="144" w:type="dxa"/>
              <w:bottom w:w="0" w:type="dxa"/>
              <w:right w:w="0" w:type="dxa"/>
            </w:tcMar>
          </w:tcPr>
          <w:p w14:paraId="56E3E78C"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w:t>
            </w:r>
          </w:p>
        </w:tc>
        <w:tc>
          <w:tcPr>
            <w:tcW w:w="1769" w:type="dxa"/>
            <w:noWrap/>
            <w:tcMar>
              <w:top w:w="0" w:type="dxa"/>
              <w:left w:w="144" w:type="dxa"/>
              <w:bottom w:w="0" w:type="dxa"/>
              <w:right w:w="0" w:type="dxa"/>
            </w:tcMar>
          </w:tcPr>
          <w:p w14:paraId="0036D236"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w:t>
            </w:r>
          </w:p>
        </w:tc>
      </w:tr>
      <w:tr w:rsidR="008C16B5" w14:paraId="62C74219" w14:textId="77777777" w:rsidTr="00B322A7">
        <w:trPr>
          <w:cantSplit/>
          <w:jc w:val="center"/>
        </w:trPr>
        <w:tc>
          <w:tcPr>
            <w:tcW w:w="3154" w:type="dxa"/>
          </w:tcPr>
          <w:p w14:paraId="57D56269"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Net proceeds / (cash out) from the issue / (repayment) hybrid instruments</w:t>
            </w:r>
            <w:r>
              <w:rPr>
                <w:sz w:val="18"/>
                <w:szCs w:val="18"/>
              </w:rPr>
              <w:tab/>
            </w:r>
          </w:p>
        </w:tc>
        <w:tc>
          <w:tcPr>
            <w:tcW w:w="991" w:type="dxa"/>
          </w:tcPr>
          <w:p w14:paraId="302D4291" w14:textId="77777777" w:rsidR="008C16B5" w:rsidRDefault="008C16B5" w:rsidP="00B322A7">
            <w:pPr>
              <w:keepNext/>
              <w:keepLines/>
              <w:jc w:val="right"/>
              <w:rPr>
                <w:sz w:val="18"/>
                <w:szCs w:val="18"/>
              </w:rPr>
            </w:pPr>
            <w:r>
              <w:rPr>
                <w:sz w:val="18"/>
                <w:szCs w:val="18"/>
              </w:rPr>
              <w:t>—</w:t>
            </w:r>
          </w:p>
        </w:tc>
        <w:tc>
          <w:tcPr>
            <w:tcW w:w="1114" w:type="dxa"/>
            <w:noWrap/>
            <w:tcMar>
              <w:top w:w="0" w:type="dxa"/>
              <w:left w:w="144" w:type="dxa"/>
              <w:bottom w:w="0" w:type="dxa"/>
              <w:right w:w="0" w:type="dxa"/>
            </w:tcMar>
          </w:tcPr>
          <w:p w14:paraId="535F8825" w14:textId="77777777" w:rsidR="008C16B5" w:rsidRDefault="008C16B5" w:rsidP="00B322A7">
            <w:pPr>
              <w:keepNext/>
              <w:keepLines/>
              <w:jc w:val="right"/>
              <w:rPr>
                <w:sz w:val="18"/>
                <w:szCs w:val="18"/>
              </w:rPr>
            </w:pPr>
            <w:r>
              <w:rPr>
                <w:bCs/>
                <w:sz w:val="18"/>
                <w:szCs w:val="18"/>
              </w:rPr>
              <w:t>(62,960)</w:t>
            </w:r>
          </w:p>
        </w:tc>
        <w:tc>
          <w:tcPr>
            <w:tcW w:w="1344" w:type="dxa"/>
            <w:noWrap/>
            <w:tcMar>
              <w:top w:w="0" w:type="dxa"/>
              <w:left w:w="144" w:type="dxa"/>
              <w:bottom w:w="0" w:type="dxa"/>
              <w:right w:w="0" w:type="dxa"/>
            </w:tcMar>
          </w:tcPr>
          <w:p w14:paraId="12F6DA9F"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(62,960)</w:t>
            </w:r>
          </w:p>
        </w:tc>
        <w:tc>
          <w:tcPr>
            <w:tcW w:w="1387" w:type="dxa"/>
            <w:noWrap/>
            <w:tcMar>
              <w:top w:w="0" w:type="dxa"/>
              <w:left w:w="144" w:type="dxa"/>
              <w:bottom w:w="0" w:type="dxa"/>
              <w:right w:w="0" w:type="dxa"/>
            </w:tcMar>
          </w:tcPr>
          <w:p w14:paraId="232DBDCF"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60,000</w:t>
            </w:r>
          </w:p>
        </w:tc>
        <w:tc>
          <w:tcPr>
            <w:tcW w:w="1769" w:type="dxa"/>
            <w:noWrap/>
            <w:tcMar>
              <w:top w:w="0" w:type="dxa"/>
              <w:left w:w="144" w:type="dxa"/>
              <w:bottom w:w="0" w:type="dxa"/>
              <w:right w:w="0" w:type="dxa"/>
            </w:tcMar>
          </w:tcPr>
          <w:p w14:paraId="2CD782F2"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w:t>
            </w:r>
          </w:p>
        </w:tc>
      </w:tr>
      <w:tr w:rsidR="008C16B5" w14:paraId="052F9856" w14:textId="77777777" w:rsidTr="00B322A7">
        <w:trPr>
          <w:cantSplit/>
          <w:jc w:val="center"/>
        </w:trPr>
        <w:tc>
          <w:tcPr>
            <w:tcW w:w="3154" w:type="dxa"/>
          </w:tcPr>
          <w:p w14:paraId="113F9E2A"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Proceeds from loans and bonds</w:t>
            </w:r>
            <w:r>
              <w:rPr>
                <w:sz w:val="18"/>
                <w:szCs w:val="18"/>
              </w:rPr>
              <w:tab/>
            </w:r>
          </w:p>
        </w:tc>
        <w:tc>
          <w:tcPr>
            <w:tcW w:w="991" w:type="dxa"/>
          </w:tcPr>
          <w:p w14:paraId="50A36602" w14:textId="77777777" w:rsidR="008C16B5" w:rsidRDefault="008C16B5" w:rsidP="00B322A7">
            <w:pPr>
              <w:keepNext/>
              <w:keepLines/>
              <w:jc w:val="right"/>
              <w:rPr>
                <w:sz w:val="18"/>
                <w:szCs w:val="18"/>
              </w:rPr>
            </w:pPr>
            <w:r>
              <w:rPr>
                <w:sz w:val="18"/>
                <w:szCs w:val="18"/>
              </w:rPr>
              <w:t>79,568</w:t>
            </w:r>
          </w:p>
        </w:tc>
        <w:tc>
          <w:tcPr>
            <w:tcW w:w="1114" w:type="dxa"/>
            <w:noWrap/>
            <w:tcMar>
              <w:top w:w="0" w:type="dxa"/>
              <w:left w:w="144" w:type="dxa"/>
              <w:bottom w:w="0" w:type="dxa"/>
              <w:right w:w="0" w:type="dxa"/>
            </w:tcMar>
          </w:tcPr>
          <w:p w14:paraId="278D2FC6" w14:textId="77777777" w:rsidR="008C16B5" w:rsidRDefault="008C16B5" w:rsidP="00B322A7">
            <w:pPr>
              <w:keepNext/>
              <w:keepLines/>
              <w:jc w:val="right"/>
              <w:rPr>
                <w:sz w:val="18"/>
                <w:szCs w:val="18"/>
              </w:rPr>
            </w:pPr>
            <w:r>
              <w:rPr>
                <w:bCs/>
                <w:sz w:val="18"/>
                <w:szCs w:val="18"/>
              </w:rPr>
              <w:t>50,009</w:t>
            </w:r>
          </w:p>
        </w:tc>
        <w:tc>
          <w:tcPr>
            <w:tcW w:w="1344" w:type="dxa"/>
            <w:noWrap/>
            <w:tcMar>
              <w:top w:w="0" w:type="dxa"/>
              <w:left w:w="144" w:type="dxa"/>
              <w:bottom w:w="0" w:type="dxa"/>
              <w:right w:w="0" w:type="dxa"/>
            </w:tcMar>
          </w:tcPr>
          <w:p w14:paraId="6E6E789F"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283,367</w:t>
            </w:r>
          </w:p>
        </w:tc>
        <w:tc>
          <w:tcPr>
            <w:tcW w:w="1387" w:type="dxa"/>
            <w:noWrap/>
            <w:tcMar>
              <w:top w:w="0" w:type="dxa"/>
              <w:left w:w="144" w:type="dxa"/>
              <w:bottom w:w="0" w:type="dxa"/>
              <w:right w:w="0" w:type="dxa"/>
            </w:tcMar>
          </w:tcPr>
          <w:p w14:paraId="1F1666B9"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83,967</w:t>
            </w:r>
          </w:p>
        </w:tc>
        <w:tc>
          <w:tcPr>
            <w:tcW w:w="1769" w:type="dxa"/>
            <w:noWrap/>
            <w:tcMar>
              <w:top w:w="0" w:type="dxa"/>
              <w:left w:w="144" w:type="dxa"/>
              <w:bottom w:w="0" w:type="dxa"/>
              <w:right w:w="0" w:type="dxa"/>
            </w:tcMar>
          </w:tcPr>
          <w:p w14:paraId="396F7D88"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26,862</w:t>
            </w:r>
          </w:p>
        </w:tc>
      </w:tr>
      <w:tr w:rsidR="008C16B5" w14:paraId="124E90AD" w14:textId="77777777" w:rsidTr="00B322A7">
        <w:trPr>
          <w:cantSplit/>
          <w:jc w:val="center"/>
        </w:trPr>
        <w:tc>
          <w:tcPr>
            <w:tcW w:w="3154" w:type="dxa"/>
          </w:tcPr>
          <w:p w14:paraId="0DF3CB20"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Loan and bond repayments</w:t>
            </w:r>
            <w:r>
              <w:rPr>
                <w:sz w:val="18"/>
                <w:szCs w:val="18"/>
              </w:rPr>
              <w:tab/>
            </w:r>
          </w:p>
        </w:tc>
        <w:tc>
          <w:tcPr>
            <w:tcW w:w="991" w:type="dxa"/>
          </w:tcPr>
          <w:p w14:paraId="5CC440B9" w14:textId="77777777" w:rsidR="008C16B5" w:rsidRDefault="008C16B5" w:rsidP="00B322A7">
            <w:pPr>
              <w:keepNext/>
              <w:keepLines/>
              <w:jc w:val="right"/>
              <w:rPr>
                <w:sz w:val="18"/>
                <w:szCs w:val="18"/>
              </w:rPr>
            </w:pPr>
            <w:r>
              <w:rPr>
                <w:bCs/>
                <w:sz w:val="18"/>
                <w:szCs w:val="18"/>
              </w:rPr>
              <w:t>(4,131)</w:t>
            </w:r>
          </w:p>
        </w:tc>
        <w:tc>
          <w:tcPr>
            <w:tcW w:w="1114" w:type="dxa"/>
            <w:noWrap/>
            <w:tcMar>
              <w:top w:w="0" w:type="dxa"/>
              <w:left w:w="144" w:type="dxa"/>
              <w:bottom w:w="0" w:type="dxa"/>
              <w:right w:w="0" w:type="dxa"/>
            </w:tcMar>
          </w:tcPr>
          <w:p w14:paraId="6FF3D897" w14:textId="77777777" w:rsidR="008C16B5" w:rsidRDefault="008C16B5" w:rsidP="00B322A7">
            <w:pPr>
              <w:keepNext/>
              <w:keepLines/>
              <w:jc w:val="right"/>
              <w:rPr>
                <w:sz w:val="18"/>
                <w:szCs w:val="18"/>
              </w:rPr>
            </w:pPr>
            <w:r>
              <w:rPr>
                <w:bCs/>
                <w:sz w:val="18"/>
                <w:szCs w:val="18"/>
              </w:rPr>
              <w:t>(50,714)</w:t>
            </w:r>
          </w:p>
        </w:tc>
        <w:tc>
          <w:tcPr>
            <w:tcW w:w="1344" w:type="dxa"/>
            <w:noWrap/>
            <w:tcMar>
              <w:top w:w="0" w:type="dxa"/>
              <w:left w:w="144" w:type="dxa"/>
              <w:bottom w:w="0" w:type="dxa"/>
              <w:right w:w="0" w:type="dxa"/>
            </w:tcMar>
          </w:tcPr>
          <w:p w14:paraId="78C8FB75"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(51,536)</w:t>
            </w:r>
          </w:p>
        </w:tc>
        <w:tc>
          <w:tcPr>
            <w:tcW w:w="1387" w:type="dxa"/>
            <w:noWrap/>
            <w:tcMar>
              <w:top w:w="0" w:type="dxa"/>
              <w:left w:w="144" w:type="dxa"/>
              <w:bottom w:w="0" w:type="dxa"/>
              <w:right w:w="0" w:type="dxa"/>
            </w:tcMar>
          </w:tcPr>
          <w:p w14:paraId="5163B934"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(3,914)</w:t>
            </w:r>
          </w:p>
        </w:tc>
        <w:tc>
          <w:tcPr>
            <w:tcW w:w="1769" w:type="dxa"/>
            <w:noWrap/>
            <w:tcMar>
              <w:top w:w="0" w:type="dxa"/>
              <w:left w:w="144" w:type="dxa"/>
              <w:bottom w:w="0" w:type="dxa"/>
              <w:right w:w="0" w:type="dxa"/>
            </w:tcMar>
          </w:tcPr>
          <w:p w14:paraId="79C4E9E9"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(1,612)</w:t>
            </w:r>
          </w:p>
        </w:tc>
      </w:tr>
      <w:tr w:rsidR="008C16B5" w14:paraId="41CE8AD7" w14:textId="77777777" w:rsidTr="00B322A7">
        <w:trPr>
          <w:cantSplit/>
          <w:jc w:val="center"/>
        </w:trPr>
        <w:tc>
          <w:tcPr>
            <w:tcW w:w="3154" w:type="dxa"/>
          </w:tcPr>
          <w:p w14:paraId="6B10E83B" w14:textId="77777777" w:rsidR="008C16B5" w:rsidRDefault="008C16B5" w:rsidP="00B322A7">
            <w:pPr>
              <w:pStyle w:val="NormalWeb"/>
              <w:keepNext/>
              <w:keepLines/>
              <w:tabs>
                <w:tab w:val="right" w:leader="dot" w:pos="4620"/>
              </w:tabs>
              <w:spacing w:before="0" w:beforeAutospacing="0" w:after="0" w:afterAutospacing="0"/>
              <w:ind w:left="240" w:hanging="240"/>
              <w:rPr>
                <w:rFonts w:eastAsiaTheme="minorEastAsia"/>
                <w:sz w:val="18"/>
                <w:szCs w:val="18"/>
              </w:rPr>
            </w:pPr>
            <w:r>
              <w:rPr>
                <w:b/>
                <w:bCs/>
                <w:sz w:val="18"/>
                <w:szCs w:val="18"/>
              </w:rPr>
              <w:t>Net cash used in financing activities</w:t>
            </w:r>
            <w:r>
              <w:rPr>
                <w:b/>
                <w:bCs/>
                <w:sz w:val="18"/>
                <w:szCs w:val="18"/>
              </w:rPr>
              <w:tab/>
            </w:r>
          </w:p>
        </w:tc>
        <w:tc>
          <w:tcPr>
            <w:tcW w:w="991" w:type="dxa"/>
          </w:tcPr>
          <w:p w14:paraId="02A9FFCC"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75,437</w:t>
            </w:r>
          </w:p>
        </w:tc>
        <w:tc>
          <w:tcPr>
            <w:tcW w:w="1114" w:type="dxa"/>
            <w:noWrap/>
            <w:tcMar>
              <w:top w:w="0" w:type="dxa"/>
              <w:left w:w="144" w:type="dxa"/>
              <w:bottom w:w="0" w:type="dxa"/>
              <w:right w:w="0" w:type="dxa"/>
            </w:tcMar>
          </w:tcPr>
          <w:p w14:paraId="4EC6D900"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sz w:val="18"/>
                <w:szCs w:val="18"/>
              </w:rPr>
            </w:pPr>
            <w:r>
              <w:rPr>
                <w:b/>
                <w:bCs/>
                <w:sz w:val="18"/>
                <w:szCs w:val="18"/>
              </w:rPr>
              <w:t>(63,665)</w:t>
            </w:r>
          </w:p>
        </w:tc>
        <w:tc>
          <w:tcPr>
            <w:tcW w:w="1344" w:type="dxa"/>
            <w:noWrap/>
            <w:tcMar>
              <w:top w:w="0" w:type="dxa"/>
              <w:left w:w="144" w:type="dxa"/>
              <w:bottom w:w="0" w:type="dxa"/>
              <w:right w:w="0" w:type="dxa"/>
            </w:tcMar>
          </w:tcPr>
          <w:p w14:paraId="3D7FAF11"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168,871</w:t>
            </w:r>
          </w:p>
        </w:tc>
        <w:tc>
          <w:tcPr>
            <w:tcW w:w="1387" w:type="dxa"/>
            <w:noWrap/>
            <w:tcMar>
              <w:top w:w="0" w:type="dxa"/>
              <w:left w:w="144" w:type="dxa"/>
              <w:bottom w:w="0" w:type="dxa"/>
              <w:right w:w="0" w:type="dxa"/>
            </w:tcMar>
          </w:tcPr>
          <w:p w14:paraId="666BF664"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140,053</w:t>
            </w:r>
          </w:p>
        </w:tc>
        <w:tc>
          <w:tcPr>
            <w:tcW w:w="1769" w:type="dxa"/>
            <w:noWrap/>
            <w:tcMar>
              <w:top w:w="0" w:type="dxa"/>
              <w:left w:w="144" w:type="dxa"/>
              <w:bottom w:w="0" w:type="dxa"/>
              <w:right w:w="0" w:type="dxa"/>
            </w:tcMar>
          </w:tcPr>
          <w:p w14:paraId="56D844A6"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25,250</w:t>
            </w:r>
          </w:p>
        </w:tc>
      </w:tr>
      <w:tr w:rsidR="008C16B5" w14:paraId="3FD056FD" w14:textId="77777777" w:rsidTr="00B322A7">
        <w:trPr>
          <w:cantSplit/>
          <w:jc w:val="center"/>
        </w:trPr>
        <w:tc>
          <w:tcPr>
            <w:tcW w:w="3154" w:type="dxa"/>
          </w:tcPr>
          <w:p w14:paraId="2BB14195" w14:textId="77777777" w:rsidR="008C16B5" w:rsidRDefault="008C16B5" w:rsidP="00B322A7">
            <w:pPr>
              <w:pStyle w:val="NormalWeb"/>
              <w:keepNext/>
              <w:keepLines/>
              <w:tabs>
                <w:tab w:val="right" w:leader="dot" w:pos="4620"/>
              </w:tabs>
              <w:spacing w:before="0" w:beforeAutospacing="0" w:after="0" w:afterAutospacing="0"/>
              <w:ind w:left="240" w:hanging="240"/>
              <w:rPr>
                <w:rFonts w:eastAsiaTheme="minorEastAsia"/>
                <w:sz w:val="18"/>
                <w:szCs w:val="18"/>
              </w:rPr>
            </w:pPr>
            <w:r>
              <w:rPr>
                <w:b/>
                <w:bCs/>
                <w:sz w:val="18"/>
                <w:szCs w:val="18"/>
              </w:rPr>
              <w:t>Net increase / (decrease) in cash and cash equivalents</w:t>
            </w:r>
            <w:r>
              <w:rPr>
                <w:b/>
                <w:bCs/>
                <w:sz w:val="18"/>
                <w:szCs w:val="18"/>
              </w:rPr>
              <w:tab/>
            </w:r>
          </w:p>
        </w:tc>
        <w:tc>
          <w:tcPr>
            <w:tcW w:w="991" w:type="dxa"/>
          </w:tcPr>
          <w:p w14:paraId="4A2DC50C"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sz w:val="18"/>
                <w:szCs w:val="18"/>
              </w:rPr>
            </w:pPr>
            <w:r>
              <w:rPr>
                <w:b/>
                <w:bCs/>
                <w:sz w:val="18"/>
                <w:szCs w:val="18"/>
              </w:rPr>
              <w:t>66,121</w:t>
            </w:r>
          </w:p>
        </w:tc>
        <w:tc>
          <w:tcPr>
            <w:tcW w:w="1114" w:type="dxa"/>
            <w:noWrap/>
            <w:tcMar>
              <w:top w:w="0" w:type="dxa"/>
              <w:left w:w="144" w:type="dxa"/>
              <w:bottom w:w="0" w:type="dxa"/>
              <w:right w:w="0" w:type="dxa"/>
            </w:tcMar>
          </w:tcPr>
          <w:p w14:paraId="58ED47FB"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sz w:val="18"/>
                <w:szCs w:val="18"/>
              </w:rPr>
            </w:pPr>
            <w:r>
              <w:rPr>
                <w:b/>
                <w:bCs/>
                <w:sz w:val="18"/>
                <w:szCs w:val="18"/>
              </w:rPr>
              <w:t>22,421</w:t>
            </w:r>
          </w:p>
        </w:tc>
        <w:tc>
          <w:tcPr>
            <w:tcW w:w="1344" w:type="dxa"/>
            <w:noWrap/>
            <w:tcMar>
              <w:top w:w="0" w:type="dxa"/>
              <w:left w:w="144" w:type="dxa"/>
              <w:bottom w:w="0" w:type="dxa"/>
              <w:right w:w="0" w:type="dxa"/>
            </w:tcMar>
          </w:tcPr>
          <w:p w14:paraId="21EF543B"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51,248</w:t>
            </w:r>
          </w:p>
        </w:tc>
        <w:tc>
          <w:tcPr>
            <w:tcW w:w="1387" w:type="dxa"/>
            <w:noWrap/>
            <w:tcMar>
              <w:top w:w="0" w:type="dxa"/>
              <w:left w:w="144" w:type="dxa"/>
              <w:bottom w:w="0" w:type="dxa"/>
              <w:right w:w="0" w:type="dxa"/>
            </w:tcMar>
          </w:tcPr>
          <w:p w14:paraId="757F326C"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(19,933)</w:t>
            </w:r>
          </w:p>
        </w:tc>
        <w:tc>
          <w:tcPr>
            <w:tcW w:w="1769" w:type="dxa"/>
            <w:noWrap/>
            <w:tcMar>
              <w:top w:w="0" w:type="dxa"/>
              <w:left w:w="144" w:type="dxa"/>
              <w:bottom w:w="0" w:type="dxa"/>
              <w:right w:w="0" w:type="dxa"/>
            </w:tcMar>
          </w:tcPr>
          <w:p w14:paraId="2BBE5504"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(35,783)</w:t>
            </w:r>
          </w:p>
        </w:tc>
      </w:tr>
      <w:tr w:rsidR="008C16B5" w14:paraId="16BE8DDE" w14:textId="77777777" w:rsidTr="00B322A7">
        <w:trPr>
          <w:cantSplit/>
          <w:jc w:val="center"/>
        </w:trPr>
        <w:tc>
          <w:tcPr>
            <w:tcW w:w="3154" w:type="dxa"/>
          </w:tcPr>
          <w:p w14:paraId="36A60E43"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Cash and cash equivalents at the beginning of the period</w:t>
            </w:r>
            <w:r>
              <w:rPr>
                <w:sz w:val="18"/>
                <w:szCs w:val="18"/>
              </w:rPr>
              <w:tab/>
            </w:r>
          </w:p>
        </w:tc>
        <w:tc>
          <w:tcPr>
            <w:tcW w:w="991" w:type="dxa"/>
          </w:tcPr>
          <w:p w14:paraId="1B7DFED4" w14:textId="77777777" w:rsidR="008C16B5" w:rsidRDefault="008C16B5" w:rsidP="00B322A7">
            <w:pPr>
              <w:pStyle w:val="NormalWeb"/>
              <w:keepNext/>
              <w:keepLines/>
              <w:tabs>
                <w:tab w:val="right" w:pos="1000"/>
                <w:tab w:val="decimal" w:pos="1040"/>
              </w:tabs>
              <w:spacing w:before="0" w:beforeAutospacing="0" w:after="20" w:afterAutospacing="0"/>
              <w:jc w:val="right"/>
              <w:rPr>
                <w:rFonts w:eastAsiaTheme="minorEastAsia"/>
                <w:sz w:val="18"/>
                <w:szCs w:val="18"/>
              </w:rPr>
            </w:pPr>
            <w:r>
              <w:rPr>
                <w:rFonts w:eastAsiaTheme="minorEastAsia"/>
                <w:sz w:val="18"/>
                <w:szCs w:val="18"/>
              </w:rPr>
              <w:t>71,595</w:t>
            </w:r>
          </w:p>
        </w:tc>
        <w:tc>
          <w:tcPr>
            <w:tcW w:w="1114" w:type="dxa"/>
            <w:noWrap/>
            <w:tcMar>
              <w:top w:w="0" w:type="dxa"/>
              <w:left w:w="144" w:type="dxa"/>
              <w:bottom w:w="0" w:type="dxa"/>
              <w:right w:w="0" w:type="dxa"/>
            </w:tcMar>
          </w:tcPr>
          <w:p w14:paraId="4BA5C05D" w14:textId="77777777" w:rsidR="008C16B5" w:rsidRDefault="008C16B5" w:rsidP="00B322A7">
            <w:pPr>
              <w:pStyle w:val="NormalWeb"/>
              <w:keepNext/>
              <w:keepLines/>
              <w:tabs>
                <w:tab w:val="right" w:pos="1000"/>
                <w:tab w:val="decimal" w:pos="1040"/>
              </w:tabs>
              <w:spacing w:before="0" w:beforeAutospacing="0" w:after="20" w:afterAutospacing="0"/>
              <w:jc w:val="right"/>
              <w:rPr>
                <w:rFonts w:eastAsiaTheme="minorEastAsia"/>
                <w:sz w:val="18"/>
                <w:szCs w:val="18"/>
              </w:rPr>
            </w:pPr>
            <w:r>
              <w:rPr>
                <w:bCs/>
                <w:sz w:val="18"/>
                <w:szCs w:val="18"/>
              </w:rPr>
              <w:t>9,825</w:t>
            </w:r>
          </w:p>
        </w:tc>
        <w:tc>
          <w:tcPr>
            <w:tcW w:w="1344" w:type="dxa"/>
            <w:noWrap/>
            <w:tcMar>
              <w:top w:w="0" w:type="dxa"/>
              <w:left w:w="144" w:type="dxa"/>
              <w:bottom w:w="0" w:type="dxa"/>
              <w:right w:w="0" w:type="dxa"/>
            </w:tcMar>
          </w:tcPr>
          <w:p w14:paraId="30D19637"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9,825</w:t>
            </w:r>
          </w:p>
        </w:tc>
        <w:tc>
          <w:tcPr>
            <w:tcW w:w="1387" w:type="dxa"/>
            <w:noWrap/>
            <w:tcMar>
              <w:top w:w="0" w:type="dxa"/>
              <w:left w:w="144" w:type="dxa"/>
              <w:bottom w:w="0" w:type="dxa"/>
              <w:right w:w="0" w:type="dxa"/>
            </w:tcMar>
          </w:tcPr>
          <w:p w14:paraId="737C7B11"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43,595</w:t>
            </w:r>
          </w:p>
        </w:tc>
        <w:tc>
          <w:tcPr>
            <w:tcW w:w="1769" w:type="dxa"/>
            <w:noWrap/>
            <w:tcMar>
              <w:top w:w="0" w:type="dxa"/>
              <w:left w:w="144" w:type="dxa"/>
              <w:bottom w:w="0" w:type="dxa"/>
              <w:right w:w="0" w:type="dxa"/>
            </w:tcMar>
          </w:tcPr>
          <w:p w14:paraId="098A3922"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79,226</w:t>
            </w:r>
          </w:p>
        </w:tc>
      </w:tr>
      <w:tr w:rsidR="008C16B5" w14:paraId="52401D4E" w14:textId="77777777" w:rsidTr="00B322A7">
        <w:trPr>
          <w:cantSplit/>
          <w:jc w:val="center"/>
        </w:trPr>
        <w:tc>
          <w:tcPr>
            <w:tcW w:w="3154" w:type="dxa"/>
          </w:tcPr>
          <w:p w14:paraId="27554030"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Effect of exchange rate fluctuations</w:t>
            </w:r>
            <w:r>
              <w:rPr>
                <w:sz w:val="18"/>
                <w:szCs w:val="18"/>
              </w:rPr>
              <w:tab/>
            </w:r>
          </w:p>
        </w:tc>
        <w:tc>
          <w:tcPr>
            <w:tcW w:w="991" w:type="dxa"/>
          </w:tcPr>
          <w:p w14:paraId="0C8C304E" w14:textId="77777777" w:rsidR="008C16B5" w:rsidRDefault="008C16B5" w:rsidP="00B322A7">
            <w:pPr>
              <w:pStyle w:val="NormalWeb"/>
              <w:keepNext/>
              <w:keepLines/>
              <w:tabs>
                <w:tab w:val="right" w:pos="1000"/>
                <w:tab w:val="decimal" w:pos="1040"/>
              </w:tabs>
              <w:spacing w:before="0" w:beforeAutospacing="0" w:after="20" w:afterAutospacing="0"/>
              <w:jc w:val="right"/>
              <w:rPr>
                <w:rFonts w:eastAsiaTheme="minorEastAsia"/>
                <w:sz w:val="18"/>
                <w:szCs w:val="18"/>
              </w:rPr>
            </w:pPr>
            <w:r>
              <w:rPr>
                <w:rFonts w:eastAsiaTheme="minorEastAsia"/>
                <w:sz w:val="18"/>
                <w:szCs w:val="18"/>
              </w:rPr>
              <w:t>412</w:t>
            </w:r>
          </w:p>
        </w:tc>
        <w:tc>
          <w:tcPr>
            <w:tcW w:w="1114" w:type="dxa"/>
            <w:noWrap/>
            <w:tcMar>
              <w:top w:w="0" w:type="dxa"/>
              <w:left w:w="144" w:type="dxa"/>
              <w:bottom w:w="0" w:type="dxa"/>
              <w:right w:w="0" w:type="dxa"/>
            </w:tcMar>
          </w:tcPr>
          <w:p w14:paraId="7925E305" w14:textId="77777777" w:rsidR="008C16B5" w:rsidRDefault="008C16B5" w:rsidP="00B322A7">
            <w:pPr>
              <w:pStyle w:val="NormalWeb"/>
              <w:keepNext/>
              <w:keepLines/>
              <w:tabs>
                <w:tab w:val="right" w:pos="1000"/>
                <w:tab w:val="decimal" w:pos="1040"/>
              </w:tabs>
              <w:spacing w:before="0" w:beforeAutospacing="0" w:after="20" w:afterAutospacing="0"/>
              <w:jc w:val="right"/>
              <w:rPr>
                <w:rFonts w:eastAsiaTheme="minorEastAsia"/>
                <w:sz w:val="18"/>
                <w:szCs w:val="18"/>
              </w:rPr>
            </w:pPr>
            <w:r>
              <w:rPr>
                <w:bCs/>
                <w:sz w:val="18"/>
                <w:szCs w:val="18"/>
              </w:rPr>
              <w:t>176</w:t>
            </w:r>
          </w:p>
        </w:tc>
        <w:tc>
          <w:tcPr>
            <w:tcW w:w="1344" w:type="dxa"/>
            <w:noWrap/>
            <w:tcMar>
              <w:top w:w="0" w:type="dxa"/>
              <w:left w:w="144" w:type="dxa"/>
              <w:bottom w:w="0" w:type="dxa"/>
              <w:right w:w="0" w:type="dxa"/>
            </w:tcMar>
          </w:tcPr>
          <w:p w14:paraId="3D8329FB"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234</w:t>
            </w:r>
          </w:p>
        </w:tc>
        <w:tc>
          <w:tcPr>
            <w:tcW w:w="1387" w:type="dxa"/>
            <w:noWrap/>
            <w:tcMar>
              <w:top w:w="0" w:type="dxa"/>
              <w:left w:w="144" w:type="dxa"/>
              <w:bottom w:w="0" w:type="dxa"/>
              <w:right w:w="0" w:type="dxa"/>
            </w:tcMar>
          </w:tcPr>
          <w:p w14:paraId="6BEE6310"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347</w:t>
            </w:r>
          </w:p>
        </w:tc>
        <w:tc>
          <w:tcPr>
            <w:tcW w:w="1769" w:type="dxa"/>
            <w:noWrap/>
            <w:tcMar>
              <w:top w:w="0" w:type="dxa"/>
              <w:left w:w="144" w:type="dxa"/>
              <w:bottom w:w="0" w:type="dxa"/>
              <w:right w:w="0" w:type="dxa"/>
            </w:tcMar>
          </w:tcPr>
          <w:p w14:paraId="335B57B2"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152</w:t>
            </w:r>
          </w:p>
        </w:tc>
      </w:tr>
      <w:tr w:rsidR="008C16B5" w14:paraId="41479E41" w14:textId="77777777" w:rsidTr="00B322A7">
        <w:trPr>
          <w:cantSplit/>
          <w:jc w:val="center"/>
        </w:trPr>
        <w:tc>
          <w:tcPr>
            <w:tcW w:w="3154" w:type="dxa"/>
          </w:tcPr>
          <w:p w14:paraId="00B12AC8" w14:textId="77777777" w:rsidR="008C16B5" w:rsidRDefault="008C16B5" w:rsidP="00B322A7">
            <w:pPr>
              <w:pStyle w:val="NormalWeb"/>
              <w:keepNext/>
              <w:keepLines/>
              <w:tabs>
                <w:tab w:val="right" w:leader="dot" w:pos="4620"/>
              </w:tabs>
              <w:spacing w:before="0" w:beforeAutospacing="0" w:after="0" w:afterAutospacing="0"/>
              <w:ind w:left="240" w:hanging="240"/>
              <w:rPr>
                <w:sz w:val="18"/>
                <w:szCs w:val="18"/>
              </w:rPr>
            </w:pPr>
            <w:r>
              <w:rPr>
                <w:sz w:val="18"/>
                <w:szCs w:val="18"/>
              </w:rPr>
              <w:t>Reclassification to (-) / from held for sale</w:t>
            </w:r>
            <w:r>
              <w:rPr>
                <w:sz w:val="18"/>
                <w:szCs w:val="18"/>
              </w:rPr>
              <w:tab/>
            </w:r>
          </w:p>
        </w:tc>
        <w:tc>
          <w:tcPr>
            <w:tcW w:w="991" w:type="dxa"/>
          </w:tcPr>
          <w:p w14:paraId="27C2EE49" w14:textId="77777777" w:rsidR="008C16B5" w:rsidRDefault="008C16B5" w:rsidP="00B322A7">
            <w:pPr>
              <w:pStyle w:val="NormalWeb"/>
              <w:keepNext/>
              <w:keepLines/>
              <w:tabs>
                <w:tab w:val="right" w:pos="1000"/>
                <w:tab w:val="decimal" w:pos="1040"/>
              </w:tabs>
              <w:spacing w:before="0" w:beforeAutospacing="0" w:after="20" w:afterAutospacing="0"/>
              <w:jc w:val="right"/>
              <w:rPr>
                <w:rFonts w:eastAsiaTheme="minorEastAsia"/>
                <w:sz w:val="18"/>
                <w:szCs w:val="18"/>
              </w:rPr>
            </w:pPr>
            <w:r>
              <w:rPr>
                <w:rFonts w:eastAsiaTheme="minorEastAsia"/>
                <w:sz w:val="18"/>
                <w:szCs w:val="18"/>
              </w:rPr>
              <w:t>3,417</w:t>
            </w:r>
          </w:p>
        </w:tc>
        <w:tc>
          <w:tcPr>
            <w:tcW w:w="1114" w:type="dxa"/>
            <w:noWrap/>
            <w:tcMar>
              <w:top w:w="0" w:type="dxa"/>
              <w:left w:w="144" w:type="dxa"/>
              <w:bottom w:w="0" w:type="dxa"/>
              <w:right w:w="0" w:type="dxa"/>
            </w:tcMar>
          </w:tcPr>
          <w:p w14:paraId="7C3C1FC3" w14:textId="77777777" w:rsidR="008C16B5" w:rsidRDefault="008C16B5" w:rsidP="00B322A7">
            <w:pPr>
              <w:pStyle w:val="NormalWeb"/>
              <w:keepNext/>
              <w:keepLines/>
              <w:tabs>
                <w:tab w:val="right" w:pos="1000"/>
                <w:tab w:val="decimal" w:pos="1040"/>
              </w:tabs>
              <w:spacing w:before="0" w:beforeAutospacing="0" w:after="20" w:afterAutospacing="0"/>
              <w:jc w:val="right"/>
              <w:rPr>
                <w:rFonts w:eastAsiaTheme="minorEastAsia"/>
                <w:sz w:val="18"/>
                <w:szCs w:val="18"/>
              </w:rPr>
            </w:pPr>
            <w:r>
              <w:rPr>
                <w:bCs/>
                <w:sz w:val="18"/>
                <w:szCs w:val="18"/>
              </w:rPr>
              <w:t>19,329</w:t>
            </w:r>
          </w:p>
        </w:tc>
        <w:tc>
          <w:tcPr>
            <w:tcW w:w="1344" w:type="dxa"/>
            <w:noWrap/>
            <w:tcMar>
              <w:top w:w="0" w:type="dxa"/>
              <w:left w:w="144" w:type="dxa"/>
              <w:bottom w:w="0" w:type="dxa"/>
              <w:right w:w="0" w:type="dxa"/>
            </w:tcMar>
          </w:tcPr>
          <w:p w14:paraId="299B7EDB"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10,288</w:t>
            </w:r>
          </w:p>
        </w:tc>
        <w:tc>
          <w:tcPr>
            <w:tcW w:w="1387" w:type="dxa"/>
            <w:noWrap/>
            <w:tcMar>
              <w:top w:w="0" w:type="dxa"/>
              <w:left w:w="144" w:type="dxa"/>
              <w:bottom w:w="0" w:type="dxa"/>
              <w:right w:w="0" w:type="dxa"/>
            </w:tcMar>
          </w:tcPr>
          <w:p w14:paraId="4D5E4EEE"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rFonts w:eastAsiaTheme="minorEastAsia"/>
                <w:sz w:val="18"/>
                <w:szCs w:val="18"/>
              </w:rPr>
              <w:t>(14,184)</w:t>
            </w:r>
          </w:p>
        </w:tc>
        <w:tc>
          <w:tcPr>
            <w:tcW w:w="1769" w:type="dxa"/>
            <w:noWrap/>
            <w:tcMar>
              <w:top w:w="0" w:type="dxa"/>
              <w:left w:w="144" w:type="dxa"/>
              <w:bottom w:w="0" w:type="dxa"/>
              <w:right w:w="0" w:type="dxa"/>
            </w:tcMar>
          </w:tcPr>
          <w:p w14:paraId="3606E338" w14:textId="77777777" w:rsidR="008C16B5" w:rsidRDefault="008C16B5" w:rsidP="00B322A7">
            <w:pPr>
              <w:pStyle w:val="NormalWeb"/>
              <w:keepNext/>
              <w:keepLines/>
              <w:tabs>
                <w:tab w:val="right" w:pos="800"/>
                <w:tab w:val="decimal" w:pos="840"/>
              </w:tabs>
              <w:spacing w:before="0" w:beforeAutospacing="0" w:after="20" w:afterAutospacing="0"/>
              <w:jc w:val="right"/>
              <w:rPr>
                <w:rFonts w:eastAsiaTheme="minorEastAsia"/>
                <w:sz w:val="18"/>
                <w:szCs w:val="18"/>
              </w:rPr>
            </w:pPr>
            <w:r>
              <w:rPr>
                <w:sz w:val="18"/>
                <w:szCs w:val="18"/>
              </w:rPr>
              <w:t>—</w:t>
            </w:r>
          </w:p>
        </w:tc>
      </w:tr>
      <w:tr w:rsidR="008C16B5" w14:paraId="4222901B" w14:textId="77777777" w:rsidTr="00B322A7">
        <w:trPr>
          <w:cantSplit/>
          <w:jc w:val="center"/>
        </w:trPr>
        <w:tc>
          <w:tcPr>
            <w:tcW w:w="3154" w:type="dxa"/>
          </w:tcPr>
          <w:p w14:paraId="738F0551" w14:textId="77777777" w:rsidR="008C16B5" w:rsidRDefault="008C16B5" w:rsidP="00B322A7">
            <w:pPr>
              <w:pStyle w:val="NormalWeb"/>
              <w:keepNext/>
              <w:keepLines/>
              <w:tabs>
                <w:tab w:val="right" w:leader="dot" w:pos="4620"/>
              </w:tabs>
              <w:spacing w:before="0" w:beforeAutospacing="0" w:after="0" w:afterAutospacing="0"/>
              <w:ind w:left="240" w:hanging="240"/>
              <w:rPr>
                <w:rFonts w:eastAsiaTheme="minorEastAsia"/>
                <w:sz w:val="18"/>
                <w:szCs w:val="18"/>
              </w:rPr>
            </w:pPr>
            <w:r>
              <w:rPr>
                <w:b/>
                <w:bCs/>
                <w:sz w:val="18"/>
                <w:szCs w:val="18"/>
              </w:rPr>
              <w:t>Cash and cash equivalents at the end of the period</w:t>
            </w:r>
            <w:r>
              <w:rPr>
                <w:b/>
                <w:bCs/>
                <w:sz w:val="18"/>
                <w:szCs w:val="18"/>
              </w:rPr>
              <w:tab/>
            </w:r>
          </w:p>
        </w:tc>
        <w:tc>
          <w:tcPr>
            <w:tcW w:w="991" w:type="dxa"/>
          </w:tcPr>
          <w:p w14:paraId="50CBEF3C"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sz w:val="18"/>
                <w:szCs w:val="18"/>
              </w:rPr>
            </w:pPr>
            <w:r>
              <w:rPr>
                <w:b/>
                <w:bCs/>
                <w:sz w:val="18"/>
                <w:szCs w:val="18"/>
              </w:rPr>
              <w:t>141,545</w:t>
            </w:r>
          </w:p>
        </w:tc>
        <w:tc>
          <w:tcPr>
            <w:tcW w:w="1114" w:type="dxa"/>
            <w:noWrap/>
            <w:tcMar>
              <w:top w:w="0" w:type="dxa"/>
              <w:left w:w="144" w:type="dxa"/>
              <w:bottom w:w="0" w:type="dxa"/>
              <w:right w:w="0" w:type="dxa"/>
            </w:tcMar>
          </w:tcPr>
          <w:p w14:paraId="3AA59F8C"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sz w:val="18"/>
                <w:szCs w:val="18"/>
              </w:rPr>
            </w:pPr>
            <w:r>
              <w:rPr>
                <w:b/>
                <w:bCs/>
                <w:sz w:val="18"/>
                <w:szCs w:val="18"/>
              </w:rPr>
              <w:t>51,751</w:t>
            </w:r>
          </w:p>
        </w:tc>
        <w:tc>
          <w:tcPr>
            <w:tcW w:w="1344" w:type="dxa"/>
            <w:noWrap/>
            <w:tcMar>
              <w:top w:w="0" w:type="dxa"/>
              <w:left w:w="144" w:type="dxa"/>
              <w:bottom w:w="0" w:type="dxa"/>
              <w:right w:w="0" w:type="dxa"/>
            </w:tcMar>
          </w:tcPr>
          <w:p w14:paraId="7EE69406"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71,595</w:t>
            </w:r>
          </w:p>
        </w:tc>
        <w:tc>
          <w:tcPr>
            <w:tcW w:w="1387" w:type="dxa"/>
            <w:noWrap/>
            <w:tcMar>
              <w:top w:w="0" w:type="dxa"/>
              <w:left w:w="144" w:type="dxa"/>
              <w:bottom w:w="0" w:type="dxa"/>
              <w:right w:w="0" w:type="dxa"/>
            </w:tcMar>
          </w:tcPr>
          <w:p w14:paraId="6EC9A609"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9,825</w:t>
            </w:r>
          </w:p>
        </w:tc>
        <w:tc>
          <w:tcPr>
            <w:tcW w:w="1769" w:type="dxa"/>
            <w:noWrap/>
            <w:tcMar>
              <w:top w:w="0" w:type="dxa"/>
              <w:left w:w="144" w:type="dxa"/>
              <w:bottom w:w="0" w:type="dxa"/>
              <w:right w:w="0" w:type="dxa"/>
            </w:tcMar>
          </w:tcPr>
          <w:p w14:paraId="48F38AD9" w14:textId="77777777" w:rsidR="008C16B5" w:rsidRDefault="008C16B5" w:rsidP="00B322A7">
            <w:pPr>
              <w:pStyle w:val="NormalWeb"/>
              <w:keepNext/>
              <w:keepLines/>
              <w:tabs>
                <w:tab w:val="right" w:pos="900"/>
                <w:tab w:val="decimal" w:pos="940"/>
              </w:tabs>
              <w:spacing w:before="0" w:beforeAutospacing="0" w:after="20" w:afterAutospacing="0"/>
              <w:jc w:val="right"/>
              <w:rPr>
                <w:rFonts w:eastAsiaTheme="minorEastAsia"/>
                <w:b/>
                <w:sz w:val="18"/>
                <w:szCs w:val="18"/>
              </w:rPr>
            </w:pPr>
            <w:r>
              <w:rPr>
                <w:rFonts w:eastAsiaTheme="minorEastAsia"/>
                <w:b/>
                <w:sz w:val="18"/>
                <w:szCs w:val="18"/>
              </w:rPr>
              <w:t>43,595</w:t>
            </w:r>
          </w:p>
        </w:tc>
      </w:tr>
    </w:tbl>
    <w:p w14:paraId="11248906" w14:textId="77777777" w:rsidR="00F76607" w:rsidRDefault="00F76607">
      <w:pPr>
        <w:pStyle w:val="NormalWeb"/>
        <w:keepNext/>
        <w:spacing w:before="0" w:beforeAutospacing="0" w:after="0" w:afterAutospacing="0"/>
      </w:pPr>
    </w:p>
    <w:p w14:paraId="6B93027A" w14:textId="77777777" w:rsidR="00F76607" w:rsidRDefault="001863F0">
      <w:pPr>
        <w:pStyle w:val="NormalWeb"/>
        <w:keepNext/>
        <w:spacing w:before="240" w:beforeAutospacing="0" w:after="0" w:afterAutospacing="0"/>
      </w:pPr>
      <w:r>
        <w:rPr>
          <w:b/>
          <w:bCs/>
          <w:sz w:val="18"/>
          <w:szCs w:val="18"/>
        </w:rPr>
        <w:t xml:space="preserve">Non-IFRS Financial Data </w:t>
      </w:r>
    </w:p>
    <w:p w14:paraId="01D3054D" w14:textId="77777777" w:rsidR="00F76607" w:rsidRDefault="00F76607">
      <w:pPr>
        <w:pStyle w:val="NormalWeb"/>
        <w:keepNext/>
        <w:spacing w:before="0" w:beforeAutospacing="0" w:after="0" w:afterAutospacing="0"/>
      </w:pPr>
    </w:p>
    <w:tbl>
      <w:tblPr>
        <w:tblW w:w="5000" w:type="pct"/>
        <w:jc w:val="center"/>
        <w:tblCellMar>
          <w:left w:w="0" w:type="dxa"/>
          <w:right w:w="0" w:type="dxa"/>
        </w:tblCellMar>
        <w:tblLook w:val="04A0" w:firstRow="1" w:lastRow="0" w:firstColumn="1" w:lastColumn="0" w:noHBand="0" w:noVBand="1"/>
      </w:tblPr>
      <w:tblGrid>
        <w:gridCol w:w="4355"/>
        <w:gridCol w:w="1175"/>
        <w:gridCol w:w="1277"/>
        <w:gridCol w:w="912"/>
        <w:gridCol w:w="1028"/>
        <w:gridCol w:w="1006"/>
      </w:tblGrid>
      <w:tr w:rsidR="00F76607" w14:paraId="232D00E9" w14:textId="77777777">
        <w:trPr>
          <w:tblHeader/>
          <w:jc w:val="center"/>
        </w:trPr>
        <w:tc>
          <w:tcPr>
            <w:tcW w:w="4353" w:type="dxa"/>
            <w:vAlign w:val="center"/>
            <w:hideMark/>
          </w:tcPr>
          <w:p w14:paraId="177EFB92" w14:textId="77777777" w:rsidR="00F76607" w:rsidRDefault="00F76607">
            <w:pPr>
              <w:rPr>
                <w:sz w:val="1"/>
                <w:szCs w:val="18"/>
                <w:highlight w:val="yellow"/>
              </w:rPr>
            </w:pPr>
          </w:p>
        </w:tc>
        <w:tc>
          <w:tcPr>
            <w:tcW w:w="1175" w:type="dxa"/>
            <w:vAlign w:val="center"/>
            <w:hideMark/>
          </w:tcPr>
          <w:p w14:paraId="7D85C40A" w14:textId="77777777" w:rsidR="00F76607" w:rsidRDefault="00F76607">
            <w:pPr>
              <w:rPr>
                <w:sz w:val="1"/>
                <w:szCs w:val="18"/>
                <w:highlight w:val="yellow"/>
              </w:rPr>
            </w:pPr>
          </w:p>
        </w:tc>
        <w:tc>
          <w:tcPr>
            <w:tcW w:w="1276" w:type="dxa"/>
            <w:vAlign w:val="center"/>
            <w:hideMark/>
          </w:tcPr>
          <w:p w14:paraId="0FBEA6BA" w14:textId="77777777" w:rsidR="00F76607" w:rsidRDefault="00F76607">
            <w:pPr>
              <w:rPr>
                <w:sz w:val="1"/>
                <w:szCs w:val="18"/>
                <w:highlight w:val="yellow"/>
              </w:rPr>
            </w:pPr>
          </w:p>
        </w:tc>
        <w:tc>
          <w:tcPr>
            <w:tcW w:w="911" w:type="dxa"/>
            <w:vAlign w:val="center"/>
            <w:hideMark/>
          </w:tcPr>
          <w:p w14:paraId="200EE10C" w14:textId="77777777" w:rsidR="00F76607" w:rsidRDefault="00F76607">
            <w:pPr>
              <w:rPr>
                <w:sz w:val="1"/>
                <w:szCs w:val="18"/>
                <w:highlight w:val="yellow"/>
              </w:rPr>
            </w:pPr>
          </w:p>
        </w:tc>
        <w:tc>
          <w:tcPr>
            <w:tcW w:w="1027" w:type="dxa"/>
            <w:vAlign w:val="center"/>
            <w:hideMark/>
          </w:tcPr>
          <w:p w14:paraId="75DC5B07" w14:textId="77777777" w:rsidR="00F76607" w:rsidRDefault="00F76607">
            <w:pPr>
              <w:rPr>
                <w:sz w:val="1"/>
                <w:szCs w:val="18"/>
                <w:highlight w:val="yellow"/>
              </w:rPr>
            </w:pPr>
          </w:p>
        </w:tc>
        <w:tc>
          <w:tcPr>
            <w:tcW w:w="1005" w:type="dxa"/>
            <w:vAlign w:val="center"/>
            <w:hideMark/>
          </w:tcPr>
          <w:p w14:paraId="219D1B4C" w14:textId="77777777" w:rsidR="00F76607" w:rsidRDefault="00F76607">
            <w:pPr>
              <w:rPr>
                <w:sz w:val="1"/>
                <w:szCs w:val="18"/>
                <w:highlight w:val="yellow"/>
              </w:rPr>
            </w:pPr>
          </w:p>
        </w:tc>
      </w:tr>
      <w:tr w:rsidR="00F76607" w14:paraId="469A17B1" w14:textId="77777777">
        <w:trPr>
          <w:cantSplit/>
          <w:tblHeader/>
          <w:jc w:val="center"/>
        </w:trPr>
        <w:tc>
          <w:tcPr>
            <w:tcW w:w="4353" w:type="dxa"/>
            <w:tcMar>
              <w:top w:w="0" w:type="dxa"/>
              <w:left w:w="144" w:type="dxa"/>
              <w:bottom w:w="0" w:type="dxa"/>
              <w:right w:w="0" w:type="dxa"/>
            </w:tcMar>
            <w:vAlign w:val="bottom"/>
            <w:hideMark/>
          </w:tcPr>
          <w:p w14:paraId="1088BD5E" w14:textId="77777777" w:rsidR="00F76607" w:rsidRDefault="001863F0">
            <w:pPr>
              <w:pStyle w:val="la2"/>
              <w:keepNext/>
              <w:rPr>
                <w:rFonts w:eastAsiaTheme="minorEastAsia"/>
                <w:sz w:val="16"/>
                <w:szCs w:val="16"/>
              </w:rPr>
            </w:pPr>
            <w:r>
              <w:rPr>
                <w:sz w:val="16"/>
                <w:szCs w:val="16"/>
              </w:rPr>
              <w:t> </w:t>
            </w:r>
          </w:p>
        </w:tc>
        <w:tc>
          <w:tcPr>
            <w:tcW w:w="2451" w:type="dxa"/>
            <w:gridSpan w:val="2"/>
            <w:tcMar>
              <w:top w:w="0" w:type="dxa"/>
              <w:left w:w="144" w:type="dxa"/>
              <w:bottom w:w="0" w:type="dxa"/>
              <w:right w:w="0" w:type="dxa"/>
            </w:tcMar>
            <w:vAlign w:val="bottom"/>
            <w:hideMark/>
          </w:tcPr>
          <w:p w14:paraId="68D58701" w14:textId="77777777" w:rsidR="00F76607" w:rsidRDefault="001863F0">
            <w:pPr>
              <w:jc w:val="center"/>
              <w:rPr>
                <w:b/>
                <w:bCs/>
                <w:sz w:val="16"/>
                <w:szCs w:val="16"/>
              </w:rPr>
            </w:pPr>
            <w:r>
              <w:rPr>
                <w:b/>
                <w:bCs/>
                <w:sz w:val="16"/>
                <w:szCs w:val="16"/>
              </w:rPr>
              <w:t>For the six months ended 30-Jun</w:t>
            </w:r>
          </w:p>
          <w:p w14:paraId="62A9129E" w14:textId="77777777" w:rsidR="00F76607" w:rsidRDefault="001863F0">
            <w:pPr>
              <w:pStyle w:val="rrdsinglerule"/>
              <w:spacing w:before="0"/>
              <w:rPr>
                <w:rFonts w:eastAsiaTheme="minorEastAsia"/>
                <w:sz w:val="16"/>
                <w:szCs w:val="16"/>
              </w:rPr>
            </w:pPr>
            <w:r>
              <w:rPr>
                <w:sz w:val="16"/>
                <w:szCs w:val="16"/>
              </w:rPr>
              <w:t> </w:t>
            </w:r>
          </w:p>
        </w:tc>
        <w:tc>
          <w:tcPr>
            <w:tcW w:w="2943" w:type="dxa"/>
            <w:gridSpan w:val="3"/>
            <w:tcMar>
              <w:top w:w="0" w:type="dxa"/>
              <w:left w:w="144" w:type="dxa"/>
              <w:bottom w:w="0" w:type="dxa"/>
              <w:right w:w="0" w:type="dxa"/>
            </w:tcMar>
            <w:vAlign w:val="bottom"/>
            <w:hideMark/>
          </w:tcPr>
          <w:p w14:paraId="0B3C2EC3" w14:textId="77777777" w:rsidR="00F76607" w:rsidRDefault="001863F0">
            <w:pPr>
              <w:jc w:val="center"/>
              <w:rPr>
                <w:sz w:val="16"/>
                <w:szCs w:val="16"/>
              </w:rPr>
            </w:pPr>
            <w:r>
              <w:rPr>
                <w:b/>
                <w:bCs/>
                <w:sz w:val="16"/>
                <w:szCs w:val="16"/>
              </w:rPr>
              <w:t>For the year ended 31-Dec</w:t>
            </w:r>
            <w:r>
              <w:rPr>
                <w:sz w:val="16"/>
                <w:szCs w:val="16"/>
              </w:rPr>
              <w:t xml:space="preserve"> </w:t>
            </w:r>
          </w:p>
          <w:p w14:paraId="1EDAAFE1" w14:textId="77777777" w:rsidR="00F76607" w:rsidRDefault="001863F0">
            <w:pPr>
              <w:pStyle w:val="rrdsinglerule"/>
              <w:spacing w:before="0"/>
              <w:rPr>
                <w:rFonts w:eastAsiaTheme="minorEastAsia"/>
                <w:sz w:val="16"/>
                <w:szCs w:val="16"/>
              </w:rPr>
            </w:pPr>
            <w:r>
              <w:rPr>
                <w:sz w:val="16"/>
                <w:szCs w:val="16"/>
              </w:rPr>
              <w:t> </w:t>
            </w:r>
          </w:p>
        </w:tc>
      </w:tr>
      <w:tr w:rsidR="00F76607" w14:paraId="621F780C" w14:textId="77777777">
        <w:trPr>
          <w:cantSplit/>
          <w:tblHeader/>
          <w:jc w:val="center"/>
        </w:trPr>
        <w:tc>
          <w:tcPr>
            <w:tcW w:w="4353" w:type="dxa"/>
            <w:tcMar>
              <w:top w:w="0" w:type="dxa"/>
              <w:left w:w="144" w:type="dxa"/>
              <w:bottom w:w="0" w:type="dxa"/>
              <w:right w:w="0" w:type="dxa"/>
            </w:tcMar>
            <w:vAlign w:val="bottom"/>
            <w:hideMark/>
          </w:tcPr>
          <w:p w14:paraId="208BA9AF" w14:textId="77777777" w:rsidR="00F76607" w:rsidRDefault="001863F0">
            <w:pPr>
              <w:pStyle w:val="la2"/>
              <w:keepNext/>
              <w:rPr>
                <w:rFonts w:eastAsiaTheme="minorEastAsia"/>
                <w:sz w:val="16"/>
                <w:szCs w:val="16"/>
              </w:rPr>
            </w:pPr>
            <w:r>
              <w:rPr>
                <w:sz w:val="16"/>
                <w:szCs w:val="16"/>
              </w:rPr>
              <w:t> </w:t>
            </w:r>
          </w:p>
        </w:tc>
        <w:tc>
          <w:tcPr>
            <w:tcW w:w="1175" w:type="dxa"/>
            <w:tcMar>
              <w:top w:w="0" w:type="dxa"/>
              <w:left w:w="144" w:type="dxa"/>
              <w:bottom w:w="0" w:type="dxa"/>
              <w:right w:w="0" w:type="dxa"/>
            </w:tcMar>
            <w:vAlign w:val="bottom"/>
            <w:hideMark/>
          </w:tcPr>
          <w:p w14:paraId="28F963E2" w14:textId="77777777" w:rsidR="00F76607" w:rsidRDefault="001863F0">
            <w:pPr>
              <w:jc w:val="center"/>
              <w:rPr>
                <w:sz w:val="16"/>
                <w:szCs w:val="16"/>
              </w:rPr>
            </w:pPr>
            <w:r>
              <w:rPr>
                <w:b/>
                <w:bCs/>
                <w:sz w:val="16"/>
                <w:szCs w:val="16"/>
              </w:rPr>
              <w:t>2017</w:t>
            </w:r>
            <w:r>
              <w:rPr>
                <w:sz w:val="16"/>
                <w:szCs w:val="16"/>
              </w:rPr>
              <w:t xml:space="preserve"> </w:t>
            </w:r>
          </w:p>
          <w:p w14:paraId="0279AF9E" w14:textId="77777777" w:rsidR="00F76607" w:rsidRDefault="001863F0">
            <w:pPr>
              <w:pStyle w:val="rrdsinglerule"/>
              <w:spacing w:before="0"/>
              <w:rPr>
                <w:rFonts w:eastAsiaTheme="minorEastAsia"/>
                <w:sz w:val="16"/>
                <w:szCs w:val="16"/>
              </w:rPr>
            </w:pPr>
            <w:r>
              <w:rPr>
                <w:sz w:val="16"/>
                <w:szCs w:val="16"/>
              </w:rPr>
              <w:t> </w:t>
            </w:r>
          </w:p>
        </w:tc>
        <w:tc>
          <w:tcPr>
            <w:tcW w:w="1276" w:type="dxa"/>
            <w:tcMar>
              <w:top w:w="0" w:type="dxa"/>
              <w:left w:w="144" w:type="dxa"/>
              <w:bottom w:w="0" w:type="dxa"/>
              <w:right w:w="0" w:type="dxa"/>
            </w:tcMar>
            <w:vAlign w:val="bottom"/>
            <w:hideMark/>
          </w:tcPr>
          <w:p w14:paraId="11530410" w14:textId="77777777" w:rsidR="00F76607" w:rsidRDefault="001863F0">
            <w:pPr>
              <w:jc w:val="center"/>
              <w:rPr>
                <w:sz w:val="16"/>
                <w:szCs w:val="16"/>
              </w:rPr>
            </w:pPr>
            <w:r>
              <w:rPr>
                <w:b/>
                <w:bCs/>
                <w:sz w:val="16"/>
                <w:szCs w:val="16"/>
              </w:rPr>
              <w:t>2016</w:t>
            </w:r>
            <w:r>
              <w:rPr>
                <w:sz w:val="16"/>
                <w:szCs w:val="16"/>
              </w:rPr>
              <w:t xml:space="preserve"> </w:t>
            </w:r>
          </w:p>
          <w:p w14:paraId="38CF8E1E" w14:textId="77777777" w:rsidR="00F76607" w:rsidRDefault="001863F0">
            <w:pPr>
              <w:pStyle w:val="rrdsinglerule"/>
              <w:spacing w:before="0"/>
              <w:rPr>
                <w:rFonts w:eastAsiaTheme="minorEastAsia"/>
                <w:sz w:val="16"/>
                <w:szCs w:val="16"/>
              </w:rPr>
            </w:pPr>
            <w:r>
              <w:rPr>
                <w:sz w:val="16"/>
                <w:szCs w:val="16"/>
              </w:rPr>
              <w:t> </w:t>
            </w:r>
          </w:p>
        </w:tc>
        <w:tc>
          <w:tcPr>
            <w:tcW w:w="911" w:type="dxa"/>
            <w:tcMar>
              <w:top w:w="0" w:type="dxa"/>
              <w:left w:w="144" w:type="dxa"/>
              <w:bottom w:w="0" w:type="dxa"/>
              <w:right w:w="0" w:type="dxa"/>
            </w:tcMar>
            <w:vAlign w:val="bottom"/>
            <w:hideMark/>
          </w:tcPr>
          <w:p w14:paraId="0D8BD723" w14:textId="77777777" w:rsidR="00F76607" w:rsidRDefault="001863F0">
            <w:pPr>
              <w:jc w:val="center"/>
              <w:rPr>
                <w:sz w:val="16"/>
                <w:szCs w:val="16"/>
              </w:rPr>
            </w:pPr>
            <w:r>
              <w:rPr>
                <w:b/>
                <w:bCs/>
                <w:sz w:val="16"/>
                <w:szCs w:val="16"/>
              </w:rPr>
              <w:t>2016</w:t>
            </w:r>
            <w:r>
              <w:rPr>
                <w:sz w:val="16"/>
                <w:szCs w:val="16"/>
              </w:rPr>
              <w:t xml:space="preserve"> </w:t>
            </w:r>
          </w:p>
          <w:p w14:paraId="48C92312" w14:textId="77777777" w:rsidR="00F76607" w:rsidRDefault="001863F0">
            <w:pPr>
              <w:pStyle w:val="rrdsinglerule"/>
              <w:spacing w:before="0"/>
              <w:rPr>
                <w:rFonts w:eastAsiaTheme="minorEastAsia"/>
                <w:sz w:val="16"/>
                <w:szCs w:val="16"/>
              </w:rPr>
            </w:pPr>
            <w:r>
              <w:rPr>
                <w:sz w:val="16"/>
                <w:szCs w:val="16"/>
              </w:rPr>
              <w:t> </w:t>
            </w:r>
          </w:p>
        </w:tc>
        <w:tc>
          <w:tcPr>
            <w:tcW w:w="1027" w:type="dxa"/>
            <w:tcMar>
              <w:top w:w="0" w:type="dxa"/>
              <w:left w:w="144" w:type="dxa"/>
              <w:bottom w:w="0" w:type="dxa"/>
              <w:right w:w="0" w:type="dxa"/>
            </w:tcMar>
            <w:vAlign w:val="bottom"/>
            <w:hideMark/>
          </w:tcPr>
          <w:p w14:paraId="67533CB5" w14:textId="77777777" w:rsidR="00F76607" w:rsidRDefault="001863F0">
            <w:pPr>
              <w:jc w:val="center"/>
              <w:rPr>
                <w:sz w:val="16"/>
                <w:szCs w:val="16"/>
              </w:rPr>
            </w:pPr>
            <w:r>
              <w:rPr>
                <w:b/>
                <w:bCs/>
                <w:sz w:val="16"/>
                <w:szCs w:val="16"/>
              </w:rPr>
              <w:t>2015</w:t>
            </w:r>
            <w:r>
              <w:rPr>
                <w:b/>
                <w:bCs/>
                <w:sz w:val="14"/>
                <w:szCs w:val="14"/>
                <w:vertAlign w:val="superscript"/>
              </w:rPr>
              <w:t>(1)</w:t>
            </w:r>
            <w:r>
              <w:rPr>
                <w:sz w:val="16"/>
                <w:szCs w:val="16"/>
              </w:rPr>
              <w:t xml:space="preserve"> </w:t>
            </w:r>
          </w:p>
          <w:p w14:paraId="7F4CDD6B" w14:textId="77777777" w:rsidR="00F76607" w:rsidRDefault="001863F0">
            <w:pPr>
              <w:pStyle w:val="rrdsinglerule"/>
              <w:spacing w:before="0"/>
              <w:rPr>
                <w:rFonts w:eastAsiaTheme="minorEastAsia"/>
                <w:sz w:val="16"/>
                <w:szCs w:val="16"/>
              </w:rPr>
            </w:pPr>
            <w:r>
              <w:rPr>
                <w:sz w:val="16"/>
                <w:szCs w:val="16"/>
              </w:rPr>
              <w:t> </w:t>
            </w:r>
          </w:p>
        </w:tc>
        <w:tc>
          <w:tcPr>
            <w:tcW w:w="1005" w:type="dxa"/>
            <w:tcMar>
              <w:top w:w="0" w:type="dxa"/>
              <w:left w:w="144" w:type="dxa"/>
              <w:bottom w:w="0" w:type="dxa"/>
              <w:right w:w="0" w:type="dxa"/>
            </w:tcMar>
            <w:vAlign w:val="bottom"/>
            <w:hideMark/>
          </w:tcPr>
          <w:p w14:paraId="42D740C4" w14:textId="77777777" w:rsidR="00F76607" w:rsidRDefault="001863F0">
            <w:pPr>
              <w:jc w:val="center"/>
              <w:rPr>
                <w:sz w:val="16"/>
                <w:szCs w:val="16"/>
              </w:rPr>
            </w:pPr>
            <w:r>
              <w:rPr>
                <w:b/>
                <w:bCs/>
                <w:sz w:val="16"/>
                <w:szCs w:val="16"/>
              </w:rPr>
              <w:t>2014</w:t>
            </w:r>
            <w:r>
              <w:rPr>
                <w:sz w:val="16"/>
                <w:szCs w:val="16"/>
              </w:rPr>
              <w:t xml:space="preserve"> </w:t>
            </w:r>
          </w:p>
          <w:p w14:paraId="56DC7273" w14:textId="77777777" w:rsidR="00F76607" w:rsidRDefault="001863F0">
            <w:pPr>
              <w:pStyle w:val="rrdsinglerule"/>
              <w:spacing w:before="0"/>
              <w:rPr>
                <w:rFonts w:eastAsiaTheme="minorEastAsia"/>
                <w:sz w:val="16"/>
                <w:szCs w:val="16"/>
              </w:rPr>
            </w:pPr>
            <w:r>
              <w:rPr>
                <w:sz w:val="16"/>
                <w:szCs w:val="16"/>
              </w:rPr>
              <w:t> </w:t>
            </w:r>
          </w:p>
        </w:tc>
      </w:tr>
      <w:tr w:rsidR="00F76607" w14:paraId="269C8535" w14:textId="77777777">
        <w:trPr>
          <w:cantSplit/>
          <w:tblHeader/>
          <w:jc w:val="center"/>
        </w:trPr>
        <w:tc>
          <w:tcPr>
            <w:tcW w:w="4353" w:type="dxa"/>
            <w:tcMar>
              <w:top w:w="0" w:type="dxa"/>
              <w:left w:w="144" w:type="dxa"/>
              <w:bottom w:w="0" w:type="dxa"/>
              <w:right w:w="0" w:type="dxa"/>
            </w:tcMar>
            <w:vAlign w:val="bottom"/>
            <w:hideMark/>
          </w:tcPr>
          <w:p w14:paraId="6C4D4F21" w14:textId="77777777" w:rsidR="00F76607" w:rsidRDefault="001863F0">
            <w:pPr>
              <w:pStyle w:val="la2"/>
              <w:keepNext/>
              <w:rPr>
                <w:rFonts w:eastAsiaTheme="minorEastAsia"/>
                <w:sz w:val="16"/>
                <w:szCs w:val="16"/>
              </w:rPr>
            </w:pPr>
            <w:r>
              <w:rPr>
                <w:sz w:val="16"/>
                <w:szCs w:val="16"/>
              </w:rPr>
              <w:t> </w:t>
            </w:r>
          </w:p>
        </w:tc>
        <w:tc>
          <w:tcPr>
            <w:tcW w:w="5394" w:type="dxa"/>
            <w:gridSpan w:val="5"/>
            <w:tcMar>
              <w:top w:w="0" w:type="dxa"/>
              <w:left w:w="144" w:type="dxa"/>
              <w:bottom w:w="0" w:type="dxa"/>
              <w:right w:w="0" w:type="dxa"/>
            </w:tcMar>
            <w:vAlign w:val="bottom"/>
            <w:hideMark/>
          </w:tcPr>
          <w:p w14:paraId="6CE19EF8" w14:textId="77777777" w:rsidR="00F76607" w:rsidRDefault="001863F0">
            <w:pPr>
              <w:jc w:val="center"/>
              <w:rPr>
                <w:i/>
                <w:sz w:val="16"/>
                <w:szCs w:val="16"/>
              </w:rPr>
            </w:pPr>
            <w:r>
              <w:rPr>
                <w:i/>
                <w:iCs/>
                <w:sz w:val="16"/>
                <w:szCs w:val="16"/>
              </w:rPr>
              <w:t>(</w:t>
            </w:r>
            <w:r>
              <w:rPr>
                <w:bCs/>
                <w:i/>
                <w:sz w:val="16"/>
                <w:szCs w:val="16"/>
              </w:rPr>
              <w:t>€ thousands, except as otherwise noted)</w:t>
            </w:r>
          </w:p>
        </w:tc>
      </w:tr>
      <w:tr w:rsidR="00F76607" w14:paraId="3D543F2D" w14:textId="77777777">
        <w:trPr>
          <w:cantSplit/>
          <w:jc w:val="center"/>
        </w:trPr>
        <w:tc>
          <w:tcPr>
            <w:tcW w:w="4353" w:type="dxa"/>
            <w:hideMark/>
          </w:tcPr>
          <w:p w14:paraId="5DAF187F" w14:textId="77777777" w:rsidR="00F76607" w:rsidRDefault="001863F0">
            <w:pPr>
              <w:pStyle w:val="NormalWeb"/>
              <w:tabs>
                <w:tab w:val="right" w:leader="dot" w:pos="4420"/>
              </w:tabs>
              <w:spacing w:before="0" w:beforeAutospacing="0" w:after="0" w:afterAutospacing="0"/>
              <w:ind w:left="240" w:hanging="240"/>
              <w:rPr>
                <w:rFonts w:eastAsiaTheme="minorEastAsia"/>
                <w:sz w:val="18"/>
                <w:szCs w:val="18"/>
              </w:rPr>
            </w:pPr>
            <w:r>
              <w:rPr>
                <w:sz w:val="18"/>
                <w:szCs w:val="18"/>
              </w:rPr>
              <w:t>Total Net Debt</w:t>
            </w:r>
            <w:r>
              <w:rPr>
                <w:sz w:val="18"/>
                <w:szCs w:val="18"/>
              </w:rPr>
              <w:tab/>
            </w:r>
          </w:p>
        </w:tc>
        <w:tc>
          <w:tcPr>
            <w:tcW w:w="1175" w:type="dxa"/>
            <w:noWrap/>
            <w:tcMar>
              <w:top w:w="0" w:type="dxa"/>
              <w:left w:w="144" w:type="dxa"/>
              <w:bottom w:w="0" w:type="dxa"/>
              <w:right w:w="0" w:type="dxa"/>
            </w:tcMar>
            <w:hideMark/>
          </w:tcPr>
          <w:p w14:paraId="214B9C9A" w14:textId="77777777" w:rsidR="00F76607" w:rsidRDefault="001863F0">
            <w:pPr>
              <w:jc w:val="center"/>
            </w:pPr>
            <w:r>
              <w:rPr>
                <w:bCs/>
                <w:sz w:val="18"/>
                <w:szCs w:val="18"/>
              </w:rPr>
              <w:t>356,371</w:t>
            </w:r>
          </w:p>
        </w:tc>
        <w:tc>
          <w:tcPr>
            <w:tcW w:w="1276" w:type="dxa"/>
            <w:noWrap/>
            <w:tcMar>
              <w:top w:w="0" w:type="dxa"/>
              <w:left w:w="144" w:type="dxa"/>
              <w:bottom w:w="0" w:type="dxa"/>
              <w:right w:w="0" w:type="dxa"/>
            </w:tcMar>
            <w:hideMark/>
          </w:tcPr>
          <w:p w14:paraId="6CC378F7" w14:textId="657873F0" w:rsidR="00F76607" w:rsidRDefault="00E961C6">
            <w:pPr>
              <w:jc w:val="center"/>
            </w:pPr>
            <w:r>
              <w:rPr>
                <w:bCs/>
                <w:sz w:val="18"/>
                <w:szCs w:val="18"/>
              </w:rPr>
              <w:t>184,905</w:t>
            </w:r>
          </w:p>
        </w:tc>
        <w:tc>
          <w:tcPr>
            <w:tcW w:w="911" w:type="dxa"/>
            <w:noWrap/>
            <w:tcMar>
              <w:top w:w="0" w:type="dxa"/>
              <w:left w:w="144" w:type="dxa"/>
              <w:bottom w:w="0" w:type="dxa"/>
              <w:right w:w="0" w:type="dxa"/>
            </w:tcMar>
            <w:hideMark/>
          </w:tcPr>
          <w:p w14:paraId="22047E57" w14:textId="63819E10" w:rsidR="00F76607" w:rsidRDefault="00E961C6">
            <w:pPr>
              <w:jc w:val="center"/>
            </w:pPr>
            <w:r>
              <w:rPr>
                <w:bCs/>
                <w:sz w:val="18"/>
                <w:szCs w:val="18"/>
              </w:rPr>
              <w:t>343,350</w:t>
            </w:r>
          </w:p>
        </w:tc>
        <w:tc>
          <w:tcPr>
            <w:tcW w:w="1027" w:type="dxa"/>
            <w:noWrap/>
            <w:tcMar>
              <w:top w:w="0" w:type="dxa"/>
              <w:left w:w="144" w:type="dxa"/>
              <w:bottom w:w="0" w:type="dxa"/>
              <w:right w:w="0" w:type="dxa"/>
            </w:tcMar>
            <w:hideMark/>
          </w:tcPr>
          <w:p w14:paraId="216F8495" w14:textId="7E881575" w:rsidR="00F76607" w:rsidRDefault="00E961C6">
            <w:pPr>
              <w:jc w:val="center"/>
            </w:pPr>
            <w:r>
              <w:rPr>
                <w:bCs/>
                <w:sz w:val="18"/>
                <w:szCs w:val="18"/>
              </w:rPr>
              <w:t>257,972</w:t>
            </w:r>
          </w:p>
        </w:tc>
        <w:tc>
          <w:tcPr>
            <w:tcW w:w="1005" w:type="dxa"/>
            <w:noWrap/>
            <w:tcMar>
              <w:top w:w="0" w:type="dxa"/>
              <w:left w:w="144" w:type="dxa"/>
              <w:bottom w:w="0" w:type="dxa"/>
              <w:right w:w="0" w:type="dxa"/>
            </w:tcMar>
            <w:hideMark/>
          </w:tcPr>
          <w:p w14:paraId="4E3E0BB7" w14:textId="4040ADA0" w:rsidR="00F76607" w:rsidRDefault="00E961C6">
            <w:pPr>
              <w:jc w:val="center"/>
            </w:pPr>
            <w:r>
              <w:rPr>
                <w:bCs/>
                <w:sz w:val="18"/>
                <w:szCs w:val="18"/>
              </w:rPr>
              <w:t>156,817</w:t>
            </w:r>
          </w:p>
        </w:tc>
      </w:tr>
      <w:tr w:rsidR="00F76607" w14:paraId="2338C771" w14:textId="77777777">
        <w:trPr>
          <w:cantSplit/>
          <w:jc w:val="center"/>
        </w:trPr>
        <w:tc>
          <w:tcPr>
            <w:tcW w:w="4353" w:type="dxa"/>
            <w:hideMark/>
          </w:tcPr>
          <w:p w14:paraId="64087710" w14:textId="77777777" w:rsidR="00F76607" w:rsidRDefault="001863F0">
            <w:pPr>
              <w:pStyle w:val="NormalWeb"/>
              <w:tabs>
                <w:tab w:val="right" w:leader="dot" w:pos="4420"/>
              </w:tabs>
              <w:spacing w:before="0" w:beforeAutospacing="0" w:after="0" w:afterAutospacing="0"/>
              <w:ind w:left="240" w:hanging="240"/>
              <w:rPr>
                <w:rFonts w:eastAsiaTheme="minorEastAsia"/>
                <w:sz w:val="18"/>
                <w:szCs w:val="18"/>
              </w:rPr>
            </w:pPr>
            <w:r>
              <w:rPr>
                <w:sz w:val="18"/>
                <w:szCs w:val="18"/>
              </w:rPr>
              <w:t>Gearing Ratio</w:t>
            </w:r>
            <w:r>
              <w:rPr>
                <w:sz w:val="18"/>
                <w:szCs w:val="18"/>
              </w:rPr>
              <w:tab/>
            </w:r>
          </w:p>
        </w:tc>
        <w:tc>
          <w:tcPr>
            <w:tcW w:w="1175" w:type="dxa"/>
            <w:noWrap/>
            <w:tcMar>
              <w:top w:w="0" w:type="dxa"/>
              <w:left w:w="144" w:type="dxa"/>
              <w:bottom w:w="0" w:type="dxa"/>
              <w:right w:w="0" w:type="dxa"/>
            </w:tcMar>
            <w:hideMark/>
          </w:tcPr>
          <w:p w14:paraId="33CC9939" w14:textId="77777777" w:rsidR="00F76607" w:rsidRDefault="001863F0">
            <w:pPr>
              <w:jc w:val="center"/>
            </w:pPr>
            <w:r>
              <w:rPr>
                <w:bCs/>
                <w:sz w:val="18"/>
                <w:szCs w:val="18"/>
              </w:rPr>
              <w:t>34.9%</w:t>
            </w:r>
          </w:p>
        </w:tc>
        <w:tc>
          <w:tcPr>
            <w:tcW w:w="1276" w:type="dxa"/>
            <w:noWrap/>
            <w:tcMar>
              <w:top w:w="0" w:type="dxa"/>
              <w:left w:w="144" w:type="dxa"/>
              <w:bottom w:w="0" w:type="dxa"/>
              <w:right w:w="0" w:type="dxa"/>
            </w:tcMar>
            <w:hideMark/>
          </w:tcPr>
          <w:p w14:paraId="4B1EF593" w14:textId="5068382C" w:rsidR="00F76607" w:rsidRDefault="00E961C6">
            <w:pPr>
              <w:jc w:val="center"/>
            </w:pPr>
            <w:r>
              <w:rPr>
                <w:bCs/>
                <w:sz w:val="18"/>
                <w:szCs w:val="18"/>
              </w:rPr>
              <w:t>23.5</w:t>
            </w:r>
            <w:r w:rsidR="001863F0">
              <w:rPr>
                <w:bCs/>
                <w:sz w:val="18"/>
                <w:szCs w:val="18"/>
              </w:rPr>
              <w:t>%</w:t>
            </w:r>
          </w:p>
        </w:tc>
        <w:tc>
          <w:tcPr>
            <w:tcW w:w="911" w:type="dxa"/>
            <w:noWrap/>
            <w:tcMar>
              <w:top w:w="0" w:type="dxa"/>
              <w:left w:w="144" w:type="dxa"/>
              <w:bottom w:w="0" w:type="dxa"/>
              <w:right w:w="0" w:type="dxa"/>
            </w:tcMar>
            <w:hideMark/>
          </w:tcPr>
          <w:p w14:paraId="7DBFE862" w14:textId="77777777" w:rsidR="00F76607" w:rsidRDefault="001863F0">
            <w:pPr>
              <w:jc w:val="center"/>
            </w:pPr>
            <w:r>
              <w:rPr>
                <w:bCs/>
                <w:sz w:val="18"/>
                <w:szCs w:val="18"/>
              </w:rPr>
              <w:t>39.4%</w:t>
            </w:r>
          </w:p>
        </w:tc>
        <w:tc>
          <w:tcPr>
            <w:tcW w:w="1027" w:type="dxa"/>
            <w:noWrap/>
            <w:tcMar>
              <w:top w:w="0" w:type="dxa"/>
              <w:left w:w="144" w:type="dxa"/>
              <w:bottom w:w="0" w:type="dxa"/>
              <w:right w:w="0" w:type="dxa"/>
            </w:tcMar>
            <w:hideMark/>
          </w:tcPr>
          <w:p w14:paraId="4642EB97" w14:textId="179D00CB" w:rsidR="00F76607" w:rsidRDefault="001863F0">
            <w:pPr>
              <w:jc w:val="center"/>
            </w:pPr>
            <w:r>
              <w:rPr>
                <w:bCs/>
                <w:sz w:val="18"/>
                <w:szCs w:val="18"/>
              </w:rPr>
              <w:t>36.0%</w:t>
            </w:r>
          </w:p>
        </w:tc>
        <w:tc>
          <w:tcPr>
            <w:tcW w:w="1005" w:type="dxa"/>
            <w:noWrap/>
            <w:tcMar>
              <w:top w:w="0" w:type="dxa"/>
              <w:left w:w="144" w:type="dxa"/>
              <w:bottom w:w="0" w:type="dxa"/>
              <w:right w:w="0" w:type="dxa"/>
            </w:tcMar>
            <w:hideMark/>
          </w:tcPr>
          <w:p w14:paraId="1054E097" w14:textId="24F4108F" w:rsidR="00F76607" w:rsidRDefault="001863F0">
            <w:pPr>
              <w:jc w:val="center"/>
            </w:pPr>
            <w:r>
              <w:rPr>
                <w:bCs/>
                <w:sz w:val="18"/>
                <w:szCs w:val="18"/>
              </w:rPr>
              <w:t>33.5%</w:t>
            </w:r>
          </w:p>
        </w:tc>
      </w:tr>
    </w:tbl>
    <w:p w14:paraId="5447F192" w14:textId="77777777" w:rsidR="00F76607" w:rsidRDefault="001863F0">
      <w:pPr>
        <w:pStyle w:val="rfn"/>
        <w:rPr>
          <w:rFonts w:eastAsiaTheme="minorEastAsia"/>
        </w:rPr>
      </w:pPr>
      <w:r>
        <w:t> </w:t>
      </w:r>
    </w:p>
    <w:p w14:paraId="670B5EBB" w14:textId="77777777" w:rsidR="00F76607" w:rsidRDefault="00F76607">
      <w:pPr>
        <w:pStyle w:val="NormalWeb"/>
        <w:spacing w:before="180" w:beforeAutospacing="0" w:after="0" w:afterAutospacing="0"/>
        <w:rPr>
          <w:sz w:val="2"/>
          <w:szCs w:val="2"/>
          <w:highlight w:val="yellow"/>
        </w:rPr>
      </w:pPr>
    </w:p>
    <w:p w14:paraId="3A3E0CF7" w14:textId="77777777" w:rsidR="00F76607" w:rsidRDefault="001863F0" w:rsidP="007B6B42">
      <w:pPr>
        <w:pStyle w:val="VulcanIILevel2"/>
      </w:pPr>
      <w:r>
        <w:t>Gearing Ratio and Total Net Debt</w:t>
      </w:r>
    </w:p>
    <w:p w14:paraId="7984422F" w14:textId="0DA642EB" w:rsidR="00F76607" w:rsidRDefault="001863F0">
      <w:pPr>
        <w:pStyle w:val="VulcanIIbody"/>
      </w:pPr>
      <w:r>
        <w:t>The following table sets forth a reconciliation of Total Net Debt and Gearing Ratio for the period indicated</w:t>
      </w:r>
      <w:r w:rsidR="00423BFB">
        <w:rPr>
          <w:rStyle w:val="FootnoteReference"/>
        </w:rPr>
        <w:footnoteReference w:id="3"/>
      </w:r>
      <w:r>
        <w:t>:</w:t>
      </w:r>
    </w:p>
    <w:p w14:paraId="61EBF8D6" w14:textId="77777777" w:rsidR="00F76607" w:rsidRDefault="00F76607">
      <w:pPr>
        <w:pStyle w:val="NormalWeb"/>
        <w:keepNext/>
        <w:spacing w:before="0" w:beforeAutospacing="0" w:after="0" w:afterAutospacing="0"/>
        <w:rPr>
          <w:b/>
          <w:bCs/>
          <w:sz w:val="18"/>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158"/>
        <w:gridCol w:w="873"/>
        <w:gridCol w:w="1238"/>
        <w:gridCol w:w="1238"/>
        <w:gridCol w:w="1240"/>
      </w:tblGrid>
      <w:tr w:rsidR="008C16B5" w14:paraId="0580163C" w14:textId="77777777" w:rsidTr="00B322A7">
        <w:trPr>
          <w:trHeight w:val="326"/>
        </w:trPr>
        <w:tc>
          <w:tcPr>
            <w:tcW w:w="2646" w:type="pct"/>
            <w:vAlign w:val="center"/>
          </w:tcPr>
          <w:p w14:paraId="4621964C" w14:textId="77777777" w:rsidR="008C16B5" w:rsidRDefault="008C16B5" w:rsidP="00B322A7">
            <w:pPr>
              <w:tabs>
                <w:tab w:val="right" w:leader="dot" w:pos="4403"/>
              </w:tabs>
              <w:spacing w:after="47" w:line="176" w:lineRule="exact"/>
              <w:ind w:left="29"/>
              <w:jc w:val="both"/>
              <w:textAlignment w:val="baseline"/>
              <w:rPr>
                <w:rFonts w:eastAsia="Verdana"/>
                <w:i/>
                <w:color w:val="000000"/>
                <w:sz w:val="18"/>
                <w:szCs w:val="18"/>
                <w:lang w:val="en-GB"/>
              </w:rPr>
            </w:pPr>
          </w:p>
        </w:tc>
        <w:tc>
          <w:tcPr>
            <w:tcW w:w="448" w:type="pct"/>
            <w:vAlign w:val="center"/>
          </w:tcPr>
          <w:p w14:paraId="118FB682" w14:textId="77777777" w:rsidR="008C16B5" w:rsidRDefault="008C16B5" w:rsidP="00B322A7">
            <w:pPr>
              <w:spacing w:after="41" w:line="176" w:lineRule="exact"/>
              <w:jc w:val="center"/>
              <w:textAlignment w:val="baseline"/>
              <w:rPr>
                <w:rFonts w:eastAsia="Verdana"/>
                <w:b/>
                <w:color w:val="000000"/>
                <w:sz w:val="18"/>
                <w:szCs w:val="18"/>
                <w:lang w:val="en-GB"/>
              </w:rPr>
            </w:pPr>
            <w:r>
              <w:rPr>
                <w:b/>
                <w:bCs/>
                <w:sz w:val="16"/>
                <w:szCs w:val="16"/>
              </w:rPr>
              <w:t>As at 30 June</w:t>
            </w:r>
          </w:p>
        </w:tc>
        <w:tc>
          <w:tcPr>
            <w:tcW w:w="635" w:type="pct"/>
            <w:vAlign w:val="center"/>
          </w:tcPr>
          <w:p w14:paraId="515944FC" w14:textId="77777777" w:rsidR="008C16B5" w:rsidRDefault="008C16B5" w:rsidP="00B322A7">
            <w:pPr>
              <w:spacing w:after="41" w:line="176" w:lineRule="exact"/>
              <w:jc w:val="center"/>
              <w:textAlignment w:val="baseline"/>
              <w:rPr>
                <w:b/>
                <w:bCs/>
                <w:sz w:val="16"/>
                <w:szCs w:val="16"/>
              </w:rPr>
            </w:pPr>
            <w:r>
              <w:rPr>
                <w:b/>
                <w:bCs/>
                <w:sz w:val="16"/>
                <w:szCs w:val="16"/>
              </w:rPr>
              <w:t>As at 31 December</w:t>
            </w:r>
          </w:p>
        </w:tc>
        <w:tc>
          <w:tcPr>
            <w:tcW w:w="635" w:type="pct"/>
            <w:vAlign w:val="center"/>
          </w:tcPr>
          <w:p w14:paraId="68B85462" w14:textId="77777777" w:rsidR="008C16B5" w:rsidRDefault="008C16B5" w:rsidP="00B322A7">
            <w:pPr>
              <w:spacing w:after="41" w:line="176" w:lineRule="exact"/>
              <w:jc w:val="center"/>
              <w:textAlignment w:val="baseline"/>
              <w:rPr>
                <w:b/>
                <w:bCs/>
                <w:sz w:val="16"/>
                <w:szCs w:val="16"/>
              </w:rPr>
            </w:pPr>
            <w:r>
              <w:rPr>
                <w:b/>
                <w:bCs/>
                <w:sz w:val="16"/>
                <w:szCs w:val="16"/>
              </w:rPr>
              <w:t>As at 31 December</w:t>
            </w:r>
          </w:p>
        </w:tc>
        <w:tc>
          <w:tcPr>
            <w:tcW w:w="636" w:type="pct"/>
            <w:vAlign w:val="center"/>
          </w:tcPr>
          <w:p w14:paraId="028A0F78" w14:textId="77777777" w:rsidR="008C16B5" w:rsidRDefault="008C16B5" w:rsidP="00B322A7">
            <w:pPr>
              <w:spacing w:after="41" w:line="176" w:lineRule="exact"/>
              <w:jc w:val="center"/>
              <w:textAlignment w:val="baseline"/>
              <w:rPr>
                <w:b/>
                <w:bCs/>
                <w:sz w:val="16"/>
                <w:szCs w:val="16"/>
              </w:rPr>
            </w:pPr>
            <w:r>
              <w:rPr>
                <w:b/>
                <w:bCs/>
                <w:sz w:val="16"/>
                <w:szCs w:val="16"/>
              </w:rPr>
              <w:t>As at 31 December</w:t>
            </w:r>
          </w:p>
        </w:tc>
      </w:tr>
      <w:tr w:rsidR="008C16B5" w14:paraId="7F2E2DCC" w14:textId="77777777" w:rsidTr="00B322A7">
        <w:trPr>
          <w:trHeight w:val="326"/>
        </w:trPr>
        <w:tc>
          <w:tcPr>
            <w:tcW w:w="2646" w:type="pct"/>
            <w:vAlign w:val="center"/>
          </w:tcPr>
          <w:p w14:paraId="1DE1B2A6" w14:textId="77777777" w:rsidR="008C16B5" w:rsidRDefault="008C16B5" w:rsidP="00B322A7">
            <w:pPr>
              <w:tabs>
                <w:tab w:val="right" w:leader="dot" w:pos="4403"/>
              </w:tabs>
              <w:spacing w:after="47" w:line="176" w:lineRule="exact"/>
              <w:ind w:left="29"/>
              <w:jc w:val="both"/>
              <w:textAlignment w:val="baseline"/>
              <w:rPr>
                <w:rFonts w:eastAsia="Verdana"/>
                <w:b/>
                <w:color w:val="000000"/>
                <w:sz w:val="18"/>
                <w:szCs w:val="18"/>
                <w:lang w:val="en-GB"/>
              </w:rPr>
            </w:pPr>
          </w:p>
        </w:tc>
        <w:tc>
          <w:tcPr>
            <w:tcW w:w="448" w:type="pct"/>
            <w:vAlign w:val="center"/>
          </w:tcPr>
          <w:p w14:paraId="768F5346" w14:textId="77777777" w:rsidR="008C16B5" w:rsidRDefault="008C16B5" w:rsidP="00B322A7">
            <w:pPr>
              <w:spacing w:after="41" w:line="176" w:lineRule="exact"/>
              <w:jc w:val="center"/>
              <w:textAlignment w:val="baseline"/>
              <w:rPr>
                <w:rFonts w:eastAsia="Verdana"/>
                <w:b/>
                <w:color w:val="000000"/>
                <w:sz w:val="16"/>
                <w:szCs w:val="18"/>
                <w:lang w:val="en-GB"/>
              </w:rPr>
            </w:pPr>
            <w:r>
              <w:rPr>
                <w:rFonts w:eastAsia="Verdana"/>
                <w:b/>
                <w:color w:val="000000"/>
                <w:sz w:val="16"/>
                <w:szCs w:val="18"/>
                <w:lang w:val="en-GB"/>
              </w:rPr>
              <w:t>2017</w:t>
            </w:r>
          </w:p>
        </w:tc>
        <w:tc>
          <w:tcPr>
            <w:tcW w:w="635" w:type="pct"/>
            <w:vAlign w:val="center"/>
          </w:tcPr>
          <w:p w14:paraId="737A923C" w14:textId="77777777" w:rsidR="008C16B5" w:rsidRDefault="008C16B5" w:rsidP="00B322A7">
            <w:pPr>
              <w:spacing w:after="41" w:line="176" w:lineRule="exact"/>
              <w:jc w:val="center"/>
              <w:textAlignment w:val="baseline"/>
              <w:rPr>
                <w:b/>
                <w:bCs/>
                <w:sz w:val="16"/>
                <w:szCs w:val="16"/>
              </w:rPr>
            </w:pPr>
            <w:r>
              <w:rPr>
                <w:b/>
                <w:bCs/>
                <w:sz w:val="16"/>
                <w:szCs w:val="16"/>
              </w:rPr>
              <w:t>2016</w:t>
            </w:r>
          </w:p>
        </w:tc>
        <w:tc>
          <w:tcPr>
            <w:tcW w:w="635" w:type="pct"/>
            <w:vAlign w:val="center"/>
          </w:tcPr>
          <w:p w14:paraId="4048FC50" w14:textId="77777777" w:rsidR="008C16B5" w:rsidRDefault="008C16B5" w:rsidP="00B322A7">
            <w:pPr>
              <w:spacing w:after="41" w:line="176" w:lineRule="exact"/>
              <w:jc w:val="center"/>
              <w:textAlignment w:val="baseline"/>
              <w:rPr>
                <w:b/>
                <w:bCs/>
                <w:sz w:val="16"/>
                <w:szCs w:val="16"/>
              </w:rPr>
            </w:pPr>
            <w:r>
              <w:rPr>
                <w:b/>
                <w:bCs/>
                <w:sz w:val="16"/>
                <w:szCs w:val="16"/>
              </w:rPr>
              <w:t>2015</w:t>
            </w:r>
          </w:p>
        </w:tc>
        <w:tc>
          <w:tcPr>
            <w:tcW w:w="636" w:type="pct"/>
            <w:vAlign w:val="center"/>
          </w:tcPr>
          <w:p w14:paraId="4B044DEC" w14:textId="77777777" w:rsidR="008C16B5" w:rsidRDefault="008C16B5" w:rsidP="00B322A7">
            <w:pPr>
              <w:spacing w:after="41" w:line="176" w:lineRule="exact"/>
              <w:jc w:val="center"/>
              <w:textAlignment w:val="baseline"/>
              <w:rPr>
                <w:b/>
                <w:bCs/>
                <w:sz w:val="16"/>
                <w:szCs w:val="16"/>
              </w:rPr>
            </w:pPr>
            <w:r>
              <w:rPr>
                <w:b/>
                <w:bCs/>
                <w:sz w:val="16"/>
                <w:szCs w:val="16"/>
              </w:rPr>
              <w:t>2014</w:t>
            </w:r>
          </w:p>
        </w:tc>
      </w:tr>
      <w:tr w:rsidR="008C16B5" w14:paraId="5B2B4ED7" w14:textId="77777777" w:rsidTr="00B322A7">
        <w:trPr>
          <w:trHeight w:val="326"/>
        </w:trPr>
        <w:tc>
          <w:tcPr>
            <w:tcW w:w="2646" w:type="pct"/>
            <w:vAlign w:val="center"/>
          </w:tcPr>
          <w:p w14:paraId="299FEDDC" w14:textId="77777777" w:rsidR="008C16B5" w:rsidRDefault="008C16B5" w:rsidP="00B322A7">
            <w:pPr>
              <w:pStyle w:val="NormalWeb"/>
              <w:tabs>
                <w:tab w:val="right" w:leader="dot" w:pos="4420"/>
              </w:tabs>
              <w:spacing w:before="0" w:beforeAutospacing="0" w:after="0" w:afterAutospacing="0"/>
              <w:ind w:left="240" w:hanging="240"/>
              <w:rPr>
                <w:sz w:val="18"/>
                <w:szCs w:val="18"/>
              </w:rPr>
            </w:pPr>
          </w:p>
        </w:tc>
        <w:tc>
          <w:tcPr>
            <w:tcW w:w="2354" w:type="pct"/>
            <w:gridSpan w:val="4"/>
            <w:vAlign w:val="center"/>
          </w:tcPr>
          <w:p w14:paraId="7774E969" w14:textId="77777777" w:rsidR="008C16B5" w:rsidRDefault="008C16B5" w:rsidP="00B322A7">
            <w:pPr>
              <w:spacing w:after="38" w:line="176" w:lineRule="exact"/>
              <w:ind w:right="9"/>
              <w:jc w:val="center"/>
              <w:textAlignment w:val="baseline"/>
              <w:rPr>
                <w:rFonts w:eastAsia="Verdana"/>
                <w:i/>
                <w:color w:val="000000"/>
                <w:sz w:val="18"/>
                <w:szCs w:val="18"/>
                <w:lang w:val="en-GB"/>
              </w:rPr>
            </w:pPr>
            <w:r>
              <w:rPr>
                <w:rFonts w:eastAsia="Verdana"/>
                <w:i/>
                <w:color w:val="000000"/>
                <w:sz w:val="18"/>
                <w:szCs w:val="18"/>
                <w:lang w:val="en-GB"/>
              </w:rPr>
              <w:t xml:space="preserve">(in thousands of </w:t>
            </w:r>
            <w:r>
              <w:rPr>
                <w:rFonts w:eastAsia="Verdana"/>
                <w:color w:val="000000"/>
                <w:sz w:val="18"/>
                <w:szCs w:val="18"/>
                <w:lang w:val="en-GB"/>
              </w:rPr>
              <w:t>€)</w:t>
            </w:r>
          </w:p>
        </w:tc>
      </w:tr>
      <w:tr w:rsidR="008C16B5" w14:paraId="105F73CA" w14:textId="77777777" w:rsidTr="008C16B5">
        <w:trPr>
          <w:trHeight w:val="326"/>
        </w:trPr>
        <w:tc>
          <w:tcPr>
            <w:tcW w:w="2646" w:type="pct"/>
            <w:vAlign w:val="center"/>
          </w:tcPr>
          <w:p w14:paraId="277C64F3" w14:textId="77777777" w:rsidR="008C16B5" w:rsidRDefault="008C16B5" w:rsidP="00B322A7">
            <w:pPr>
              <w:pStyle w:val="NormalWeb"/>
              <w:tabs>
                <w:tab w:val="right" w:leader="dot" w:pos="4953"/>
              </w:tabs>
              <w:spacing w:before="0" w:beforeAutospacing="0" w:after="0" w:afterAutospacing="0"/>
              <w:ind w:left="240" w:hanging="240"/>
              <w:rPr>
                <w:sz w:val="18"/>
                <w:szCs w:val="18"/>
              </w:rPr>
            </w:pPr>
            <w:r>
              <w:rPr>
                <w:sz w:val="18"/>
                <w:szCs w:val="18"/>
              </w:rPr>
              <w:t>Non-Current Financial Debt</w:t>
            </w:r>
            <w:r>
              <w:rPr>
                <w:sz w:val="18"/>
                <w:szCs w:val="18"/>
              </w:rPr>
              <w:tab/>
            </w:r>
          </w:p>
        </w:tc>
        <w:tc>
          <w:tcPr>
            <w:tcW w:w="448" w:type="pct"/>
          </w:tcPr>
          <w:p w14:paraId="6A3985C2" w14:textId="77777777" w:rsidR="008C16B5" w:rsidRDefault="008C16B5" w:rsidP="00B322A7">
            <w:pPr>
              <w:jc w:val="right"/>
            </w:pPr>
            <w:r>
              <w:rPr>
                <w:bCs/>
                <w:sz w:val="18"/>
                <w:szCs w:val="18"/>
              </w:rPr>
              <w:t>386,882</w:t>
            </w:r>
          </w:p>
        </w:tc>
        <w:tc>
          <w:tcPr>
            <w:tcW w:w="635" w:type="pct"/>
          </w:tcPr>
          <w:p w14:paraId="3BCD4841" w14:textId="77777777" w:rsidR="008C16B5" w:rsidRDefault="008C16B5" w:rsidP="008C16B5">
            <w:pPr>
              <w:jc w:val="right"/>
              <w:rPr>
                <w:color w:val="000000"/>
                <w:sz w:val="18"/>
                <w:szCs w:val="18"/>
                <w:lang w:eastAsia="en-GB"/>
              </w:rPr>
            </w:pPr>
            <w:r>
              <w:rPr>
                <w:color w:val="000000"/>
                <w:sz w:val="18"/>
                <w:szCs w:val="18"/>
                <w:lang w:eastAsia="en-GB"/>
              </w:rPr>
              <w:t>327,923</w:t>
            </w:r>
          </w:p>
        </w:tc>
        <w:tc>
          <w:tcPr>
            <w:tcW w:w="635" w:type="pct"/>
          </w:tcPr>
          <w:p w14:paraId="4D59CB37" w14:textId="77777777" w:rsidR="008C16B5" w:rsidRDefault="008C16B5" w:rsidP="00B322A7">
            <w:pPr>
              <w:jc w:val="right"/>
              <w:rPr>
                <w:color w:val="000000"/>
                <w:sz w:val="18"/>
                <w:szCs w:val="18"/>
                <w:lang w:eastAsia="en-GB"/>
              </w:rPr>
            </w:pPr>
            <w:r>
              <w:rPr>
                <w:color w:val="000000"/>
                <w:sz w:val="18"/>
                <w:szCs w:val="18"/>
                <w:lang w:eastAsia="en-GB"/>
              </w:rPr>
              <w:t>269,904</w:t>
            </w:r>
          </w:p>
        </w:tc>
        <w:tc>
          <w:tcPr>
            <w:tcW w:w="636" w:type="pct"/>
          </w:tcPr>
          <w:p w14:paraId="08D5E283" w14:textId="77777777" w:rsidR="008C16B5" w:rsidRDefault="008C16B5" w:rsidP="00B322A7">
            <w:pPr>
              <w:jc w:val="right"/>
              <w:rPr>
                <w:color w:val="000000"/>
                <w:sz w:val="18"/>
                <w:szCs w:val="18"/>
                <w:lang w:eastAsia="en-GB"/>
              </w:rPr>
            </w:pPr>
            <w:r>
              <w:rPr>
                <w:color w:val="000000"/>
                <w:sz w:val="18"/>
                <w:szCs w:val="18"/>
                <w:lang w:eastAsia="en-GB"/>
              </w:rPr>
              <w:t>193,034</w:t>
            </w:r>
          </w:p>
        </w:tc>
      </w:tr>
      <w:tr w:rsidR="008C16B5" w14:paraId="47996487" w14:textId="77777777" w:rsidTr="00B322A7">
        <w:trPr>
          <w:trHeight w:hRule="exact" w:val="245"/>
        </w:trPr>
        <w:tc>
          <w:tcPr>
            <w:tcW w:w="2646" w:type="pct"/>
            <w:vAlign w:val="center"/>
          </w:tcPr>
          <w:p w14:paraId="38E9C8B3" w14:textId="77777777" w:rsidR="008C16B5" w:rsidRDefault="008C16B5" w:rsidP="00B322A7">
            <w:pPr>
              <w:pStyle w:val="NormalWeb"/>
              <w:tabs>
                <w:tab w:val="right" w:leader="dot" w:pos="4953"/>
              </w:tabs>
              <w:spacing w:before="0" w:beforeAutospacing="0" w:after="0" w:afterAutospacing="0"/>
              <w:ind w:left="240" w:hanging="240"/>
              <w:rPr>
                <w:sz w:val="18"/>
                <w:szCs w:val="18"/>
              </w:rPr>
            </w:pPr>
            <w:r>
              <w:rPr>
                <w:sz w:val="18"/>
                <w:szCs w:val="18"/>
              </w:rPr>
              <w:t>Other Non-Current Financial Liabilities</w:t>
            </w:r>
            <w:r>
              <w:rPr>
                <w:sz w:val="18"/>
                <w:szCs w:val="18"/>
              </w:rPr>
              <w:tab/>
            </w:r>
          </w:p>
        </w:tc>
        <w:tc>
          <w:tcPr>
            <w:tcW w:w="448" w:type="pct"/>
          </w:tcPr>
          <w:p w14:paraId="7BC55D54" w14:textId="77777777" w:rsidR="008C16B5" w:rsidRDefault="008C16B5" w:rsidP="00B322A7">
            <w:pPr>
              <w:jc w:val="right"/>
            </w:pPr>
            <w:r>
              <w:rPr>
                <w:bCs/>
                <w:sz w:val="18"/>
                <w:szCs w:val="18"/>
              </w:rPr>
              <w:t>1,689</w:t>
            </w:r>
          </w:p>
        </w:tc>
        <w:tc>
          <w:tcPr>
            <w:tcW w:w="635" w:type="pct"/>
            <w:vAlign w:val="center"/>
          </w:tcPr>
          <w:p w14:paraId="5D9A6BB4" w14:textId="77777777" w:rsidR="008C16B5" w:rsidRDefault="008C16B5" w:rsidP="00B322A7">
            <w:pPr>
              <w:jc w:val="right"/>
              <w:rPr>
                <w:color w:val="000000"/>
                <w:sz w:val="18"/>
                <w:szCs w:val="18"/>
                <w:lang w:eastAsia="en-GB"/>
              </w:rPr>
            </w:pPr>
            <w:r>
              <w:rPr>
                <w:color w:val="000000"/>
                <w:sz w:val="18"/>
                <w:szCs w:val="18"/>
                <w:lang w:eastAsia="en-GB"/>
              </w:rPr>
              <w:t>5,348</w:t>
            </w:r>
          </w:p>
        </w:tc>
        <w:tc>
          <w:tcPr>
            <w:tcW w:w="635" w:type="pct"/>
          </w:tcPr>
          <w:p w14:paraId="0822D2E7" w14:textId="77777777" w:rsidR="008C16B5" w:rsidRDefault="008C16B5" w:rsidP="00B322A7">
            <w:pPr>
              <w:jc w:val="right"/>
              <w:rPr>
                <w:color w:val="000000"/>
                <w:sz w:val="18"/>
                <w:szCs w:val="18"/>
                <w:lang w:eastAsia="en-GB"/>
              </w:rPr>
            </w:pPr>
            <w:r>
              <w:rPr>
                <w:color w:val="000000"/>
                <w:sz w:val="18"/>
                <w:szCs w:val="18"/>
                <w:lang w:eastAsia="en-GB"/>
              </w:rPr>
              <w:t>2,191</w:t>
            </w:r>
          </w:p>
        </w:tc>
        <w:tc>
          <w:tcPr>
            <w:tcW w:w="636" w:type="pct"/>
          </w:tcPr>
          <w:p w14:paraId="3B019AB8" w14:textId="77777777" w:rsidR="008C16B5" w:rsidRDefault="008C16B5" w:rsidP="00B322A7">
            <w:pPr>
              <w:jc w:val="right"/>
              <w:rPr>
                <w:color w:val="000000"/>
                <w:sz w:val="18"/>
                <w:szCs w:val="18"/>
                <w:lang w:eastAsia="en-GB"/>
              </w:rPr>
            </w:pPr>
            <w:r>
              <w:rPr>
                <w:color w:val="000000"/>
                <w:sz w:val="18"/>
                <w:szCs w:val="18"/>
                <w:lang w:eastAsia="en-GB"/>
              </w:rPr>
              <w:t>1,656</w:t>
            </w:r>
          </w:p>
        </w:tc>
      </w:tr>
      <w:tr w:rsidR="008C16B5" w14:paraId="4885D72A" w14:textId="77777777" w:rsidTr="00B322A7">
        <w:trPr>
          <w:trHeight w:hRule="exact" w:val="246"/>
        </w:trPr>
        <w:tc>
          <w:tcPr>
            <w:tcW w:w="2646" w:type="pct"/>
            <w:vAlign w:val="center"/>
          </w:tcPr>
          <w:p w14:paraId="62B26728" w14:textId="77777777" w:rsidR="008C16B5" w:rsidRDefault="008C16B5" w:rsidP="00B322A7">
            <w:pPr>
              <w:pStyle w:val="NormalWeb"/>
              <w:tabs>
                <w:tab w:val="right" w:leader="dot" w:pos="4953"/>
              </w:tabs>
              <w:spacing w:before="0" w:beforeAutospacing="0" w:after="0" w:afterAutospacing="0"/>
              <w:ind w:left="240" w:hanging="240"/>
              <w:rPr>
                <w:sz w:val="18"/>
                <w:szCs w:val="18"/>
              </w:rPr>
            </w:pPr>
            <w:r>
              <w:rPr>
                <w:sz w:val="18"/>
                <w:szCs w:val="18"/>
              </w:rPr>
              <w:t>Current Financial Debt</w:t>
            </w:r>
            <w:r>
              <w:rPr>
                <w:sz w:val="18"/>
                <w:szCs w:val="18"/>
              </w:rPr>
              <w:tab/>
            </w:r>
          </w:p>
        </w:tc>
        <w:tc>
          <w:tcPr>
            <w:tcW w:w="448" w:type="pct"/>
          </w:tcPr>
          <w:p w14:paraId="712C5ABF" w14:textId="77777777" w:rsidR="008C16B5" w:rsidRDefault="008C16B5" w:rsidP="00B322A7">
            <w:pPr>
              <w:jc w:val="right"/>
            </w:pPr>
            <w:r>
              <w:rPr>
                <w:bCs/>
                <w:sz w:val="18"/>
                <w:szCs w:val="18"/>
              </w:rPr>
              <w:t>89,087</w:t>
            </w:r>
          </w:p>
        </w:tc>
        <w:tc>
          <w:tcPr>
            <w:tcW w:w="635" w:type="pct"/>
            <w:vAlign w:val="center"/>
          </w:tcPr>
          <w:p w14:paraId="4DA23CD5" w14:textId="77777777" w:rsidR="008C16B5" w:rsidRDefault="008C16B5" w:rsidP="00B322A7">
            <w:pPr>
              <w:jc w:val="right"/>
              <w:rPr>
                <w:color w:val="000000"/>
                <w:sz w:val="18"/>
                <w:szCs w:val="18"/>
                <w:lang w:eastAsia="en-GB"/>
              </w:rPr>
            </w:pPr>
            <w:r>
              <w:rPr>
                <w:color w:val="000000"/>
                <w:sz w:val="18"/>
                <w:szCs w:val="18"/>
                <w:lang w:eastAsia="en-GB"/>
              </w:rPr>
              <w:t>81,674</w:t>
            </w:r>
          </w:p>
        </w:tc>
        <w:tc>
          <w:tcPr>
            <w:tcW w:w="635" w:type="pct"/>
          </w:tcPr>
          <w:p w14:paraId="6404A380" w14:textId="77777777" w:rsidR="008C16B5" w:rsidRDefault="008C16B5" w:rsidP="00B322A7">
            <w:pPr>
              <w:jc w:val="right"/>
              <w:rPr>
                <w:color w:val="000000"/>
                <w:sz w:val="18"/>
                <w:szCs w:val="18"/>
                <w:lang w:eastAsia="en-GB"/>
              </w:rPr>
            </w:pPr>
            <w:r>
              <w:rPr>
                <w:color w:val="000000"/>
                <w:sz w:val="18"/>
                <w:szCs w:val="18"/>
                <w:lang w:eastAsia="en-GB"/>
              </w:rPr>
              <w:t>9,886</w:t>
            </w:r>
          </w:p>
        </w:tc>
        <w:tc>
          <w:tcPr>
            <w:tcW w:w="636" w:type="pct"/>
          </w:tcPr>
          <w:p w14:paraId="21014376" w14:textId="77777777" w:rsidR="008C16B5" w:rsidRDefault="008C16B5" w:rsidP="00B322A7">
            <w:pPr>
              <w:jc w:val="right"/>
              <w:rPr>
                <w:color w:val="000000"/>
                <w:sz w:val="18"/>
                <w:szCs w:val="18"/>
                <w:lang w:eastAsia="en-GB"/>
              </w:rPr>
            </w:pPr>
            <w:r>
              <w:rPr>
                <w:color w:val="000000"/>
                <w:sz w:val="18"/>
                <w:szCs w:val="18"/>
                <w:lang w:eastAsia="en-GB"/>
              </w:rPr>
              <w:t>5,722</w:t>
            </w:r>
          </w:p>
        </w:tc>
      </w:tr>
      <w:tr w:rsidR="008C16B5" w14:paraId="09013319" w14:textId="77777777" w:rsidTr="00B322A7">
        <w:trPr>
          <w:trHeight w:hRule="exact" w:val="245"/>
        </w:trPr>
        <w:tc>
          <w:tcPr>
            <w:tcW w:w="2646" w:type="pct"/>
            <w:vAlign w:val="center"/>
          </w:tcPr>
          <w:p w14:paraId="519C432B" w14:textId="77777777" w:rsidR="008C16B5" w:rsidRDefault="008C16B5" w:rsidP="00B322A7">
            <w:pPr>
              <w:pStyle w:val="NormalWeb"/>
              <w:tabs>
                <w:tab w:val="right" w:leader="dot" w:pos="4953"/>
              </w:tabs>
              <w:spacing w:before="0" w:beforeAutospacing="0" w:after="0" w:afterAutospacing="0"/>
              <w:ind w:left="240" w:hanging="240"/>
              <w:rPr>
                <w:sz w:val="18"/>
                <w:szCs w:val="18"/>
              </w:rPr>
            </w:pPr>
            <w:r>
              <w:rPr>
                <w:sz w:val="18"/>
                <w:szCs w:val="18"/>
              </w:rPr>
              <w:t>Other Current Financial Liabilities</w:t>
            </w:r>
            <w:r>
              <w:rPr>
                <w:sz w:val="18"/>
                <w:szCs w:val="18"/>
              </w:rPr>
              <w:tab/>
            </w:r>
          </w:p>
        </w:tc>
        <w:tc>
          <w:tcPr>
            <w:tcW w:w="448" w:type="pct"/>
            <w:vAlign w:val="bottom"/>
          </w:tcPr>
          <w:p w14:paraId="72C9AB73" w14:textId="77777777" w:rsidR="008C16B5" w:rsidRDefault="008C16B5" w:rsidP="00B322A7">
            <w:pPr>
              <w:jc w:val="right"/>
              <w:rPr>
                <w:color w:val="000000"/>
                <w:sz w:val="18"/>
                <w:szCs w:val="18"/>
                <w:lang w:eastAsia="en-GB"/>
              </w:rPr>
            </w:pPr>
            <w:r>
              <w:rPr>
                <w:color w:val="000000"/>
                <w:sz w:val="18"/>
                <w:szCs w:val="18"/>
                <w:lang w:eastAsia="en-GB"/>
              </w:rPr>
              <w:t>2,110</w:t>
            </w:r>
          </w:p>
        </w:tc>
        <w:tc>
          <w:tcPr>
            <w:tcW w:w="635" w:type="pct"/>
            <w:vAlign w:val="bottom"/>
          </w:tcPr>
          <w:p w14:paraId="3DC34B05" w14:textId="77777777" w:rsidR="008C16B5" w:rsidRDefault="008C16B5" w:rsidP="00B322A7">
            <w:pPr>
              <w:jc w:val="right"/>
              <w:rPr>
                <w:color w:val="000000"/>
                <w:sz w:val="18"/>
                <w:szCs w:val="18"/>
                <w:lang w:eastAsia="en-GB"/>
              </w:rPr>
            </w:pPr>
            <w:r>
              <w:rPr>
                <w:color w:val="000000"/>
                <w:sz w:val="18"/>
                <w:szCs w:val="18"/>
                <w:lang w:eastAsia="en-GB"/>
              </w:rPr>
              <w:t>-</w:t>
            </w:r>
          </w:p>
        </w:tc>
        <w:tc>
          <w:tcPr>
            <w:tcW w:w="635" w:type="pct"/>
          </w:tcPr>
          <w:p w14:paraId="0821DC8E" w14:textId="77777777" w:rsidR="008C16B5" w:rsidRDefault="008C16B5" w:rsidP="00B322A7">
            <w:pPr>
              <w:jc w:val="right"/>
              <w:rPr>
                <w:color w:val="000000"/>
                <w:sz w:val="18"/>
                <w:szCs w:val="18"/>
                <w:lang w:eastAsia="en-GB"/>
              </w:rPr>
            </w:pPr>
            <w:r>
              <w:rPr>
                <w:color w:val="000000"/>
                <w:sz w:val="18"/>
                <w:szCs w:val="18"/>
                <w:lang w:eastAsia="en-GB"/>
              </w:rPr>
              <w:t>-</w:t>
            </w:r>
          </w:p>
        </w:tc>
        <w:tc>
          <w:tcPr>
            <w:tcW w:w="636" w:type="pct"/>
          </w:tcPr>
          <w:p w14:paraId="1616EFFB" w14:textId="77777777" w:rsidR="008C16B5" w:rsidRDefault="008C16B5" w:rsidP="00B322A7">
            <w:pPr>
              <w:jc w:val="right"/>
              <w:rPr>
                <w:color w:val="000000"/>
                <w:sz w:val="18"/>
                <w:szCs w:val="18"/>
                <w:lang w:eastAsia="en-GB"/>
              </w:rPr>
            </w:pPr>
            <w:r>
              <w:rPr>
                <w:color w:val="000000"/>
                <w:sz w:val="18"/>
                <w:szCs w:val="18"/>
                <w:lang w:eastAsia="en-GB"/>
              </w:rPr>
              <w:t>-</w:t>
            </w:r>
          </w:p>
        </w:tc>
      </w:tr>
      <w:tr w:rsidR="008C16B5" w14:paraId="37687392" w14:textId="77777777" w:rsidTr="008C16B5">
        <w:trPr>
          <w:trHeight w:hRule="exact" w:val="458"/>
        </w:trPr>
        <w:tc>
          <w:tcPr>
            <w:tcW w:w="2646" w:type="pct"/>
            <w:vAlign w:val="center"/>
          </w:tcPr>
          <w:p w14:paraId="0E12016E" w14:textId="77777777" w:rsidR="008C16B5" w:rsidRDefault="008C16B5" w:rsidP="00B322A7">
            <w:pPr>
              <w:pStyle w:val="NormalWeb"/>
              <w:tabs>
                <w:tab w:val="right" w:leader="dot" w:pos="4953"/>
              </w:tabs>
              <w:spacing w:before="0" w:beforeAutospacing="0" w:after="0" w:afterAutospacing="0"/>
              <w:ind w:left="3" w:hanging="3"/>
              <w:rPr>
                <w:rFonts w:eastAsia="Verdana"/>
                <w:color w:val="000000"/>
                <w:sz w:val="18"/>
                <w:szCs w:val="18"/>
                <w:lang w:val="en-GB"/>
              </w:rPr>
            </w:pPr>
            <w:r>
              <w:rPr>
                <w:rFonts w:eastAsia="Verdana"/>
                <w:color w:val="000000"/>
                <w:sz w:val="18"/>
                <w:szCs w:val="18"/>
                <w:lang w:val="en-GB"/>
              </w:rPr>
              <w:t xml:space="preserve">Financial Debt classified under Liabilities related to Disposal </w:t>
            </w:r>
            <w:r>
              <w:rPr>
                <w:sz w:val="18"/>
                <w:szCs w:val="18"/>
              </w:rPr>
              <w:t>Group</w:t>
            </w:r>
            <w:r>
              <w:rPr>
                <w:rFonts w:eastAsia="Verdana"/>
                <w:color w:val="000000"/>
                <w:sz w:val="18"/>
                <w:szCs w:val="18"/>
                <w:lang w:val="en-GB"/>
              </w:rPr>
              <w:t xml:space="preserve"> held for sale</w:t>
            </w:r>
            <w:r>
              <w:rPr>
                <w:rFonts w:eastAsia="Verdana"/>
                <w:color w:val="000000"/>
                <w:sz w:val="18"/>
                <w:szCs w:val="18"/>
                <w:lang w:val="en-GB"/>
              </w:rPr>
              <w:tab/>
            </w:r>
          </w:p>
        </w:tc>
        <w:tc>
          <w:tcPr>
            <w:tcW w:w="448" w:type="pct"/>
          </w:tcPr>
          <w:p w14:paraId="63CD870A" w14:textId="77777777" w:rsidR="008C16B5" w:rsidRDefault="008C16B5" w:rsidP="00B322A7">
            <w:pPr>
              <w:jc w:val="right"/>
            </w:pPr>
            <w:r>
              <w:rPr>
                <w:bCs/>
                <w:sz w:val="18"/>
                <w:szCs w:val="18"/>
              </w:rPr>
              <w:t>18,747</w:t>
            </w:r>
          </w:p>
        </w:tc>
        <w:tc>
          <w:tcPr>
            <w:tcW w:w="635" w:type="pct"/>
          </w:tcPr>
          <w:p w14:paraId="5EC27FAB" w14:textId="77777777" w:rsidR="008C16B5" w:rsidRDefault="008C16B5" w:rsidP="00B322A7">
            <w:pPr>
              <w:jc w:val="right"/>
              <w:rPr>
                <w:color w:val="000000"/>
                <w:sz w:val="18"/>
                <w:szCs w:val="18"/>
                <w:lang w:eastAsia="en-GB"/>
              </w:rPr>
            </w:pPr>
            <w:r>
              <w:rPr>
                <w:color w:val="000000"/>
                <w:sz w:val="18"/>
                <w:szCs w:val="18"/>
                <w:lang w:eastAsia="en-GB"/>
              </w:rPr>
              <w:t>-</w:t>
            </w:r>
          </w:p>
        </w:tc>
        <w:tc>
          <w:tcPr>
            <w:tcW w:w="635" w:type="pct"/>
          </w:tcPr>
          <w:p w14:paraId="66A8B8AE" w14:textId="77777777" w:rsidR="008C16B5" w:rsidRDefault="008C16B5" w:rsidP="00B322A7">
            <w:pPr>
              <w:jc w:val="right"/>
              <w:rPr>
                <w:color w:val="000000"/>
                <w:sz w:val="18"/>
                <w:szCs w:val="18"/>
                <w:lang w:eastAsia="en-GB"/>
              </w:rPr>
            </w:pPr>
            <w:r>
              <w:rPr>
                <w:color w:val="000000"/>
                <w:sz w:val="18"/>
                <w:szCs w:val="18"/>
                <w:lang w:eastAsia="en-GB"/>
              </w:rPr>
              <w:t>-</w:t>
            </w:r>
          </w:p>
        </w:tc>
        <w:tc>
          <w:tcPr>
            <w:tcW w:w="636" w:type="pct"/>
          </w:tcPr>
          <w:p w14:paraId="71C1EB30" w14:textId="77777777" w:rsidR="008C16B5" w:rsidRDefault="008C16B5" w:rsidP="00B322A7">
            <w:pPr>
              <w:jc w:val="right"/>
              <w:rPr>
                <w:color w:val="000000"/>
                <w:sz w:val="18"/>
                <w:szCs w:val="18"/>
                <w:lang w:eastAsia="en-GB"/>
              </w:rPr>
            </w:pPr>
            <w:r>
              <w:rPr>
                <w:color w:val="000000"/>
                <w:sz w:val="18"/>
                <w:szCs w:val="18"/>
                <w:lang w:eastAsia="en-GB"/>
              </w:rPr>
              <w:t>-</w:t>
            </w:r>
          </w:p>
        </w:tc>
      </w:tr>
      <w:tr w:rsidR="008C16B5" w14:paraId="1CB56F3E" w14:textId="77777777" w:rsidTr="00B322A7">
        <w:trPr>
          <w:trHeight w:hRule="exact" w:val="245"/>
        </w:trPr>
        <w:tc>
          <w:tcPr>
            <w:tcW w:w="2646" w:type="pct"/>
          </w:tcPr>
          <w:p w14:paraId="3D266781" w14:textId="77777777" w:rsidR="008C16B5" w:rsidRDefault="008C16B5" w:rsidP="00B322A7">
            <w:pPr>
              <w:pStyle w:val="NormalWeb"/>
              <w:tabs>
                <w:tab w:val="right" w:leader="dot" w:pos="4953"/>
              </w:tabs>
              <w:spacing w:before="0" w:beforeAutospacing="0" w:after="0" w:afterAutospacing="0"/>
              <w:ind w:left="240" w:hanging="240"/>
              <w:rPr>
                <w:rFonts w:eastAsia="Verdana"/>
                <w:b/>
                <w:color w:val="000000"/>
                <w:sz w:val="18"/>
                <w:szCs w:val="18"/>
                <w:lang w:val="en-GB"/>
              </w:rPr>
            </w:pPr>
            <w:r>
              <w:rPr>
                <w:rFonts w:eastAsia="Verdana"/>
                <w:b/>
                <w:color w:val="000000"/>
                <w:sz w:val="18"/>
                <w:szCs w:val="18"/>
                <w:lang w:val="en-GB"/>
              </w:rPr>
              <w:t>Total Financial Debt</w:t>
            </w:r>
            <w:r>
              <w:rPr>
                <w:rFonts w:eastAsia="Verdana"/>
                <w:b/>
                <w:color w:val="000000"/>
                <w:sz w:val="18"/>
                <w:szCs w:val="18"/>
                <w:lang w:val="en-GB"/>
              </w:rPr>
              <w:tab/>
            </w:r>
          </w:p>
        </w:tc>
        <w:tc>
          <w:tcPr>
            <w:tcW w:w="448" w:type="pct"/>
          </w:tcPr>
          <w:p w14:paraId="055D93F0" w14:textId="6AF8710E" w:rsidR="008C16B5" w:rsidRDefault="009345EE" w:rsidP="00B322A7">
            <w:pPr>
              <w:jc w:val="right"/>
            </w:pPr>
            <w:r>
              <w:rPr>
                <w:b/>
                <w:bCs/>
                <w:sz w:val="18"/>
                <w:szCs w:val="18"/>
              </w:rPr>
              <w:t>498,515</w:t>
            </w:r>
          </w:p>
        </w:tc>
        <w:tc>
          <w:tcPr>
            <w:tcW w:w="635" w:type="pct"/>
            <w:vAlign w:val="center"/>
          </w:tcPr>
          <w:p w14:paraId="72010A05" w14:textId="77777777" w:rsidR="008C16B5" w:rsidRDefault="008C16B5" w:rsidP="00B322A7">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414,945</w:t>
            </w:r>
          </w:p>
        </w:tc>
        <w:tc>
          <w:tcPr>
            <w:tcW w:w="635" w:type="pct"/>
          </w:tcPr>
          <w:p w14:paraId="2CEA459F" w14:textId="77777777" w:rsidR="008C16B5" w:rsidRDefault="008C16B5" w:rsidP="00B322A7">
            <w:pPr>
              <w:jc w:val="right"/>
              <w:rPr>
                <w:b/>
                <w:bCs/>
                <w:sz w:val="18"/>
                <w:szCs w:val="18"/>
              </w:rPr>
            </w:pPr>
            <w:r>
              <w:rPr>
                <w:b/>
                <w:bCs/>
                <w:sz w:val="18"/>
                <w:szCs w:val="18"/>
              </w:rPr>
              <w:t>281,981</w:t>
            </w:r>
          </w:p>
        </w:tc>
        <w:tc>
          <w:tcPr>
            <w:tcW w:w="636" w:type="pct"/>
          </w:tcPr>
          <w:p w14:paraId="327DBC81" w14:textId="77777777" w:rsidR="008C16B5" w:rsidRDefault="008C16B5" w:rsidP="00B322A7">
            <w:pPr>
              <w:jc w:val="right"/>
              <w:rPr>
                <w:b/>
                <w:bCs/>
                <w:sz w:val="18"/>
                <w:szCs w:val="18"/>
              </w:rPr>
            </w:pPr>
            <w:r>
              <w:rPr>
                <w:b/>
                <w:bCs/>
                <w:sz w:val="18"/>
                <w:szCs w:val="18"/>
              </w:rPr>
              <w:t>200,412</w:t>
            </w:r>
          </w:p>
        </w:tc>
      </w:tr>
      <w:tr w:rsidR="008C16B5" w14:paraId="0D5B6C32" w14:textId="77777777" w:rsidTr="00B322A7">
        <w:trPr>
          <w:trHeight w:hRule="exact" w:val="246"/>
        </w:trPr>
        <w:tc>
          <w:tcPr>
            <w:tcW w:w="2646" w:type="pct"/>
            <w:vAlign w:val="center"/>
          </w:tcPr>
          <w:p w14:paraId="777950D9" w14:textId="77777777" w:rsidR="008C16B5" w:rsidRDefault="008C16B5" w:rsidP="00B322A7">
            <w:pPr>
              <w:pStyle w:val="NormalWeb"/>
              <w:tabs>
                <w:tab w:val="right" w:leader="dot" w:pos="4953"/>
              </w:tabs>
              <w:spacing w:before="0" w:beforeAutospacing="0" w:after="0" w:afterAutospacing="0"/>
              <w:ind w:left="240" w:hanging="240"/>
              <w:rPr>
                <w:rFonts w:eastAsia="Verdana"/>
                <w:color w:val="000000"/>
                <w:sz w:val="18"/>
                <w:szCs w:val="18"/>
                <w:lang w:val="en-GB"/>
              </w:rPr>
            </w:pPr>
            <w:r>
              <w:rPr>
                <w:rFonts w:eastAsia="Verdana"/>
                <w:color w:val="000000"/>
                <w:sz w:val="18"/>
                <w:szCs w:val="18"/>
                <w:lang w:val="en-GB"/>
              </w:rPr>
              <w:t>Cash and Cash Equivalents</w:t>
            </w:r>
            <w:r>
              <w:rPr>
                <w:rFonts w:eastAsia="Verdana"/>
                <w:color w:val="000000"/>
                <w:sz w:val="18"/>
                <w:szCs w:val="18"/>
                <w:lang w:val="en-GB"/>
              </w:rPr>
              <w:tab/>
            </w:r>
          </w:p>
        </w:tc>
        <w:tc>
          <w:tcPr>
            <w:tcW w:w="448" w:type="pct"/>
          </w:tcPr>
          <w:p w14:paraId="041F7EEF" w14:textId="77777777" w:rsidR="008C16B5" w:rsidRDefault="008C16B5" w:rsidP="00B322A7">
            <w:pPr>
              <w:jc w:val="right"/>
              <w:rPr>
                <w:color w:val="000000"/>
                <w:sz w:val="18"/>
                <w:szCs w:val="18"/>
                <w:lang w:eastAsia="en-GB"/>
              </w:rPr>
            </w:pPr>
            <w:r>
              <w:rPr>
                <w:color w:val="000000"/>
                <w:sz w:val="18"/>
                <w:szCs w:val="18"/>
                <w:lang w:eastAsia="en-GB"/>
              </w:rPr>
              <w:t>(141,545)</w:t>
            </w:r>
          </w:p>
        </w:tc>
        <w:tc>
          <w:tcPr>
            <w:tcW w:w="635" w:type="pct"/>
            <w:vAlign w:val="center"/>
          </w:tcPr>
          <w:p w14:paraId="47555218" w14:textId="77777777" w:rsidR="008C16B5" w:rsidRDefault="008C16B5" w:rsidP="00B322A7">
            <w:pPr>
              <w:spacing w:after="38" w:line="176" w:lineRule="exact"/>
              <w:ind w:right="9"/>
              <w:jc w:val="right"/>
              <w:textAlignment w:val="baseline"/>
              <w:rPr>
                <w:color w:val="000000"/>
                <w:sz w:val="18"/>
                <w:szCs w:val="18"/>
                <w:lang w:eastAsia="en-GB"/>
              </w:rPr>
            </w:pPr>
            <w:r>
              <w:rPr>
                <w:color w:val="000000"/>
                <w:sz w:val="18"/>
                <w:szCs w:val="18"/>
                <w:lang w:eastAsia="en-GB"/>
              </w:rPr>
              <w:t>(71,595)</w:t>
            </w:r>
          </w:p>
        </w:tc>
        <w:tc>
          <w:tcPr>
            <w:tcW w:w="635" w:type="pct"/>
          </w:tcPr>
          <w:p w14:paraId="2F3B3032" w14:textId="77777777" w:rsidR="008C16B5" w:rsidRDefault="008C16B5" w:rsidP="00B322A7">
            <w:pPr>
              <w:spacing w:after="38" w:line="176" w:lineRule="exact"/>
              <w:ind w:right="9"/>
              <w:jc w:val="right"/>
              <w:textAlignment w:val="baseline"/>
              <w:rPr>
                <w:color w:val="000000"/>
                <w:sz w:val="18"/>
                <w:szCs w:val="18"/>
                <w:lang w:eastAsia="en-GB"/>
              </w:rPr>
            </w:pPr>
            <w:r>
              <w:rPr>
                <w:color w:val="000000"/>
                <w:sz w:val="18"/>
                <w:szCs w:val="18"/>
                <w:lang w:eastAsia="en-GB"/>
              </w:rPr>
              <w:t>(24,009)</w:t>
            </w:r>
          </w:p>
        </w:tc>
        <w:tc>
          <w:tcPr>
            <w:tcW w:w="636" w:type="pct"/>
          </w:tcPr>
          <w:p w14:paraId="0CB4C0F7" w14:textId="77777777" w:rsidR="008C16B5" w:rsidRDefault="008C16B5" w:rsidP="00B322A7">
            <w:pPr>
              <w:spacing w:after="38" w:line="176" w:lineRule="exact"/>
              <w:ind w:right="9"/>
              <w:jc w:val="right"/>
              <w:textAlignment w:val="baseline"/>
              <w:rPr>
                <w:color w:val="000000"/>
                <w:sz w:val="18"/>
                <w:szCs w:val="18"/>
                <w:lang w:eastAsia="en-GB"/>
              </w:rPr>
            </w:pPr>
            <w:r>
              <w:rPr>
                <w:color w:val="000000"/>
                <w:sz w:val="18"/>
                <w:szCs w:val="18"/>
                <w:lang w:eastAsia="en-GB"/>
              </w:rPr>
              <w:t>(43,595)</w:t>
            </w:r>
          </w:p>
        </w:tc>
      </w:tr>
      <w:tr w:rsidR="008C16B5" w14:paraId="49F331EE" w14:textId="77777777" w:rsidTr="00B322A7">
        <w:trPr>
          <w:trHeight w:hRule="exact" w:val="269"/>
        </w:trPr>
        <w:tc>
          <w:tcPr>
            <w:tcW w:w="2646" w:type="pct"/>
          </w:tcPr>
          <w:p w14:paraId="075270F1" w14:textId="77777777" w:rsidR="008C16B5" w:rsidRDefault="008C16B5" w:rsidP="00B322A7">
            <w:pPr>
              <w:pStyle w:val="NormalWeb"/>
              <w:tabs>
                <w:tab w:val="right" w:leader="dot" w:pos="4953"/>
              </w:tabs>
              <w:spacing w:before="0" w:beforeAutospacing="0" w:after="0" w:afterAutospacing="0"/>
              <w:ind w:left="240" w:hanging="240"/>
              <w:rPr>
                <w:rFonts w:eastAsia="Verdana"/>
                <w:color w:val="000000"/>
                <w:sz w:val="18"/>
                <w:szCs w:val="18"/>
                <w:lang w:val="en-GB"/>
              </w:rPr>
            </w:pPr>
            <w:r>
              <w:rPr>
                <w:rFonts w:eastAsia="Verdana"/>
                <w:color w:val="000000"/>
                <w:sz w:val="18"/>
                <w:szCs w:val="18"/>
                <w:lang w:val="en-GB"/>
              </w:rPr>
              <w:t>Cash and Cash Equivalents Classified as Disposal Group held for sale</w:t>
            </w:r>
            <w:r>
              <w:rPr>
                <w:rFonts w:eastAsia="Verdana"/>
                <w:color w:val="000000"/>
                <w:sz w:val="18"/>
                <w:szCs w:val="18"/>
                <w:lang w:val="en-GB"/>
              </w:rPr>
              <w:tab/>
            </w:r>
          </w:p>
        </w:tc>
        <w:tc>
          <w:tcPr>
            <w:tcW w:w="448" w:type="pct"/>
          </w:tcPr>
          <w:p w14:paraId="00C37890" w14:textId="77777777" w:rsidR="008C16B5" w:rsidRDefault="008C16B5" w:rsidP="00B322A7">
            <w:pPr>
              <w:jc w:val="right"/>
              <w:rPr>
                <w:color w:val="000000"/>
                <w:sz w:val="18"/>
                <w:szCs w:val="18"/>
                <w:lang w:eastAsia="en-GB"/>
              </w:rPr>
            </w:pPr>
            <w:r>
              <w:rPr>
                <w:color w:val="000000"/>
                <w:sz w:val="18"/>
                <w:szCs w:val="18"/>
                <w:lang w:eastAsia="en-GB"/>
              </w:rPr>
              <w:t>(599)</w:t>
            </w:r>
          </w:p>
        </w:tc>
        <w:tc>
          <w:tcPr>
            <w:tcW w:w="635" w:type="pct"/>
            <w:vAlign w:val="center"/>
          </w:tcPr>
          <w:p w14:paraId="65F4E9D4" w14:textId="77777777" w:rsidR="008C16B5" w:rsidRDefault="008C16B5" w:rsidP="00B322A7">
            <w:pPr>
              <w:spacing w:after="38" w:line="176" w:lineRule="exact"/>
              <w:ind w:right="9"/>
              <w:jc w:val="right"/>
              <w:textAlignment w:val="baseline"/>
              <w:rPr>
                <w:color w:val="000000"/>
                <w:sz w:val="18"/>
                <w:szCs w:val="18"/>
                <w:lang w:eastAsia="en-GB"/>
              </w:rPr>
            </w:pPr>
            <w:r>
              <w:rPr>
                <w:color w:val="000000"/>
                <w:sz w:val="18"/>
                <w:szCs w:val="18"/>
                <w:lang w:eastAsia="en-GB"/>
              </w:rPr>
              <w:t>-</w:t>
            </w:r>
          </w:p>
        </w:tc>
        <w:tc>
          <w:tcPr>
            <w:tcW w:w="635" w:type="pct"/>
          </w:tcPr>
          <w:p w14:paraId="7FBB48B9" w14:textId="77777777" w:rsidR="008C16B5" w:rsidRDefault="008C16B5" w:rsidP="00B322A7">
            <w:pPr>
              <w:spacing w:after="38" w:line="176" w:lineRule="exact"/>
              <w:ind w:right="9"/>
              <w:jc w:val="right"/>
              <w:textAlignment w:val="baseline"/>
              <w:rPr>
                <w:color w:val="000000"/>
                <w:sz w:val="18"/>
                <w:szCs w:val="18"/>
                <w:lang w:eastAsia="en-GB"/>
              </w:rPr>
            </w:pPr>
            <w:r>
              <w:rPr>
                <w:color w:val="000000"/>
                <w:sz w:val="18"/>
                <w:szCs w:val="18"/>
                <w:lang w:eastAsia="en-GB"/>
              </w:rPr>
              <w:t>-</w:t>
            </w:r>
          </w:p>
        </w:tc>
        <w:tc>
          <w:tcPr>
            <w:tcW w:w="636" w:type="pct"/>
          </w:tcPr>
          <w:p w14:paraId="4EE1DD4A" w14:textId="77777777" w:rsidR="008C16B5" w:rsidRDefault="008C16B5" w:rsidP="00B322A7">
            <w:pPr>
              <w:spacing w:after="38" w:line="176" w:lineRule="exact"/>
              <w:ind w:right="9"/>
              <w:jc w:val="right"/>
              <w:textAlignment w:val="baseline"/>
              <w:rPr>
                <w:color w:val="000000"/>
                <w:sz w:val="18"/>
                <w:szCs w:val="18"/>
                <w:lang w:eastAsia="en-GB"/>
              </w:rPr>
            </w:pPr>
            <w:r>
              <w:rPr>
                <w:color w:val="000000"/>
                <w:sz w:val="18"/>
                <w:szCs w:val="18"/>
                <w:lang w:eastAsia="en-GB"/>
              </w:rPr>
              <w:t>-</w:t>
            </w:r>
          </w:p>
        </w:tc>
      </w:tr>
      <w:tr w:rsidR="008C16B5" w14:paraId="6C28EB3F" w14:textId="77777777" w:rsidTr="00B322A7">
        <w:trPr>
          <w:trHeight w:val="353"/>
        </w:trPr>
        <w:tc>
          <w:tcPr>
            <w:tcW w:w="2646" w:type="pct"/>
            <w:vAlign w:val="center"/>
          </w:tcPr>
          <w:p w14:paraId="11CF4D55" w14:textId="2EFF2D62" w:rsidR="008C16B5" w:rsidRDefault="008C16B5" w:rsidP="008C16B5">
            <w:pPr>
              <w:pStyle w:val="NormalWeb"/>
              <w:tabs>
                <w:tab w:val="right" w:leader="dot" w:pos="4953"/>
              </w:tabs>
              <w:spacing w:before="0" w:beforeAutospacing="0" w:after="0" w:afterAutospacing="0"/>
              <w:rPr>
                <w:rFonts w:eastAsia="Verdana"/>
                <w:b/>
                <w:color w:val="000000"/>
                <w:sz w:val="18"/>
                <w:szCs w:val="18"/>
                <w:lang w:val="en-GB"/>
              </w:rPr>
            </w:pPr>
            <w:r>
              <w:rPr>
                <w:rFonts w:eastAsia="Verdana"/>
                <w:b/>
                <w:color w:val="000000"/>
                <w:sz w:val="18"/>
                <w:szCs w:val="18"/>
                <w:lang w:val="en-GB"/>
              </w:rPr>
              <w:t>Total Net Debt</w:t>
            </w:r>
            <w:r>
              <w:rPr>
                <w:rFonts w:eastAsia="Verdana"/>
                <w:b/>
                <w:color w:val="000000"/>
                <w:sz w:val="18"/>
                <w:szCs w:val="18"/>
                <w:lang w:val="en-GB"/>
              </w:rPr>
              <w:tab/>
            </w:r>
          </w:p>
        </w:tc>
        <w:tc>
          <w:tcPr>
            <w:tcW w:w="448" w:type="pct"/>
          </w:tcPr>
          <w:p w14:paraId="58D66F7F" w14:textId="03D9917E" w:rsidR="008C16B5" w:rsidRDefault="009345EE" w:rsidP="00B322A7">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356,37</w:t>
            </w:r>
            <w:r w:rsidR="008C16B5">
              <w:rPr>
                <w:rFonts w:eastAsia="Verdana"/>
                <w:b/>
                <w:color w:val="000000"/>
                <w:sz w:val="18"/>
                <w:szCs w:val="18"/>
                <w:lang w:val="en-GB"/>
              </w:rPr>
              <w:t>1</w:t>
            </w:r>
          </w:p>
        </w:tc>
        <w:tc>
          <w:tcPr>
            <w:tcW w:w="635" w:type="pct"/>
          </w:tcPr>
          <w:p w14:paraId="35804F20" w14:textId="77777777" w:rsidR="008C16B5" w:rsidRDefault="008C16B5" w:rsidP="00B322A7">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343,350</w:t>
            </w:r>
          </w:p>
        </w:tc>
        <w:tc>
          <w:tcPr>
            <w:tcW w:w="635" w:type="pct"/>
          </w:tcPr>
          <w:p w14:paraId="16685F5C" w14:textId="3832F81F" w:rsidR="008C16B5" w:rsidRDefault="008C16B5" w:rsidP="00B322A7">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257,972</w:t>
            </w:r>
          </w:p>
        </w:tc>
        <w:tc>
          <w:tcPr>
            <w:tcW w:w="636" w:type="pct"/>
          </w:tcPr>
          <w:p w14:paraId="3D1F1301" w14:textId="77777777" w:rsidR="008C16B5" w:rsidRDefault="008C16B5" w:rsidP="00B322A7">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156,817</w:t>
            </w:r>
          </w:p>
        </w:tc>
      </w:tr>
      <w:tr w:rsidR="008C16B5" w14:paraId="7F5CB4DD" w14:textId="77777777" w:rsidTr="00B322A7">
        <w:trPr>
          <w:trHeight w:hRule="exact" w:val="245"/>
        </w:trPr>
        <w:tc>
          <w:tcPr>
            <w:tcW w:w="2646" w:type="pct"/>
            <w:vAlign w:val="center"/>
          </w:tcPr>
          <w:p w14:paraId="78D5C093" w14:textId="77777777" w:rsidR="008C16B5" w:rsidRDefault="008C16B5" w:rsidP="00B322A7">
            <w:pPr>
              <w:pStyle w:val="NormalWeb"/>
              <w:tabs>
                <w:tab w:val="right" w:leader="dot" w:pos="4953"/>
              </w:tabs>
              <w:spacing w:before="0" w:beforeAutospacing="0" w:after="0" w:afterAutospacing="0"/>
              <w:ind w:left="240" w:hanging="240"/>
              <w:rPr>
                <w:rFonts w:eastAsia="Verdana"/>
                <w:b/>
                <w:color w:val="000000"/>
                <w:sz w:val="18"/>
                <w:szCs w:val="18"/>
                <w:lang w:val="en-GB"/>
              </w:rPr>
            </w:pPr>
            <w:r>
              <w:rPr>
                <w:rFonts w:eastAsia="Verdana"/>
                <w:b/>
                <w:color w:val="000000"/>
                <w:sz w:val="18"/>
                <w:szCs w:val="18"/>
                <w:lang w:val="en-GB"/>
              </w:rPr>
              <w:t>Total Shareholders’ Equity and Liabilities</w:t>
            </w:r>
            <w:r>
              <w:rPr>
                <w:rFonts w:eastAsia="Verdana"/>
                <w:b/>
                <w:color w:val="000000"/>
                <w:sz w:val="18"/>
                <w:szCs w:val="18"/>
                <w:lang w:val="en-GB"/>
              </w:rPr>
              <w:tab/>
            </w:r>
          </w:p>
        </w:tc>
        <w:tc>
          <w:tcPr>
            <w:tcW w:w="448" w:type="pct"/>
          </w:tcPr>
          <w:p w14:paraId="3B49CECC" w14:textId="77777777" w:rsidR="008C16B5" w:rsidRDefault="008C16B5" w:rsidP="00B322A7">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1,022,435</w:t>
            </w:r>
          </w:p>
        </w:tc>
        <w:tc>
          <w:tcPr>
            <w:tcW w:w="635" w:type="pct"/>
          </w:tcPr>
          <w:p w14:paraId="198F4AA5" w14:textId="77777777" w:rsidR="008C16B5" w:rsidRDefault="008C16B5" w:rsidP="00B322A7">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871,594</w:t>
            </w:r>
          </w:p>
        </w:tc>
        <w:tc>
          <w:tcPr>
            <w:tcW w:w="635" w:type="pct"/>
          </w:tcPr>
          <w:p w14:paraId="292F49F3" w14:textId="77777777" w:rsidR="008C16B5" w:rsidRDefault="008C16B5" w:rsidP="00B322A7">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717,308</w:t>
            </w:r>
          </w:p>
        </w:tc>
        <w:tc>
          <w:tcPr>
            <w:tcW w:w="636" w:type="pct"/>
          </w:tcPr>
          <w:p w14:paraId="1634B6FD" w14:textId="77777777" w:rsidR="008C16B5" w:rsidRDefault="008C16B5" w:rsidP="00B322A7">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467,839</w:t>
            </w:r>
          </w:p>
        </w:tc>
      </w:tr>
      <w:tr w:rsidR="008C16B5" w14:paraId="65244ED8" w14:textId="77777777" w:rsidTr="00B322A7">
        <w:trPr>
          <w:trHeight w:hRule="exact" w:val="253"/>
        </w:trPr>
        <w:tc>
          <w:tcPr>
            <w:tcW w:w="2646" w:type="pct"/>
            <w:vAlign w:val="center"/>
          </w:tcPr>
          <w:p w14:paraId="229381E4" w14:textId="77777777" w:rsidR="008C16B5" w:rsidRDefault="008C16B5" w:rsidP="00B322A7">
            <w:pPr>
              <w:pStyle w:val="NormalWeb"/>
              <w:tabs>
                <w:tab w:val="right" w:leader="dot" w:pos="4953"/>
              </w:tabs>
              <w:spacing w:before="0" w:beforeAutospacing="0" w:after="0" w:afterAutospacing="0"/>
              <w:ind w:left="240" w:hanging="240"/>
              <w:rPr>
                <w:rFonts w:eastAsia="Verdana"/>
                <w:b/>
                <w:color w:val="000000"/>
                <w:sz w:val="18"/>
                <w:szCs w:val="18"/>
                <w:lang w:val="en-GB"/>
              </w:rPr>
            </w:pPr>
            <w:r>
              <w:rPr>
                <w:rFonts w:eastAsia="Verdana"/>
                <w:b/>
                <w:color w:val="000000"/>
                <w:sz w:val="18"/>
                <w:szCs w:val="18"/>
                <w:lang w:val="en-GB"/>
              </w:rPr>
              <w:t>Gearing Ratio</w:t>
            </w:r>
            <w:r>
              <w:rPr>
                <w:rFonts w:eastAsia="Verdana"/>
                <w:b/>
                <w:color w:val="000000"/>
                <w:sz w:val="18"/>
                <w:szCs w:val="18"/>
                <w:lang w:val="en-GB"/>
              </w:rPr>
              <w:tab/>
            </w:r>
          </w:p>
        </w:tc>
        <w:tc>
          <w:tcPr>
            <w:tcW w:w="448" w:type="pct"/>
          </w:tcPr>
          <w:p w14:paraId="0FEAC832" w14:textId="77777777" w:rsidR="008C16B5" w:rsidRDefault="008C16B5" w:rsidP="00B322A7">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34.9%</w:t>
            </w:r>
          </w:p>
        </w:tc>
        <w:tc>
          <w:tcPr>
            <w:tcW w:w="635" w:type="pct"/>
            <w:vAlign w:val="center"/>
          </w:tcPr>
          <w:p w14:paraId="3D0EDAC4" w14:textId="77777777" w:rsidR="008C16B5" w:rsidRDefault="008C16B5" w:rsidP="00B322A7">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39.4%</w:t>
            </w:r>
          </w:p>
        </w:tc>
        <w:tc>
          <w:tcPr>
            <w:tcW w:w="635" w:type="pct"/>
          </w:tcPr>
          <w:p w14:paraId="7DEB584E" w14:textId="77777777" w:rsidR="008C16B5" w:rsidRDefault="008C16B5" w:rsidP="00B322A7">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36.0%</w:t>
            </w:r>
          </w:p>
        </w:tc>
        <w:tc>
          <w:tcPr>
            <w:tcW w:w="636" w:type="pct"/>
          </w:tcPr>
          <w:p w14:paraId="48A7B700" w14:textId="77777777" w:rsidR="008C16B5" w:rsidRDefault="008C16B5" w:rsidP="00B322A7">
            <w:pPr>
              <w:spacing w:after="38" w:line="176" w:lineRule="exact"/>
              <w:ind w:right="9"/>
              <w:jc w:val="right"/>
              <w:textAlignment w:val="baseline"/>
              <w:rPr>
                <w:rFonts w:eastAsia="Verdana"/>
                <w:b/>
                <w:color w:val="000000"/>
                <w:sz w:val="18"/>
                <w:szCs w:val="18"/>
                <w:lang w:val="en-GB"/>
              </w:rPr>
            </w:pPr>
            <w:r>
              <w:rPr>
                <w:rFonts w:eastAsia="Verdana"/>
                <w:b/>
                <w:color w:val="000000"/>
                <w:sz w:val="18"/>
                <w:szCs w:val="18"/>
                <w:lang w:val="en-GB"/>
              </w:rPr>
              <w:t>33.5%</w:t>
            </w:r>
          </w:p>
        </w:tc>
      </w:tr>
    </w:tbl>
    <w:p w14:paraId="42322363" w14:textId="12873116" w:rsidR="000E7FC9" w:rsidRDefault="000E7FC9" w:rsidP="000E7FC9">
      <w:pPr>
        <w:pStyle w:val="VulcanIIbody"/>
        <w:ind w:firstLine="0"/>
        <w:rPr>
          <w:b/>
          <w:bCs/>
        </w:rPr>
      </w:pPr>
    </w:p>
    <w:p w14:paraId="42B5DCBB" w14:textId="2B237DAC" w:rsidR="00850DD8" w:rsidRPr="00850DD8" w:rsidRDefault="00850DD8" w:rsidP="007B6B42">
      <w:pPr>
        <w:pStyle w:val="VulcanIILevel2"/>
      </w:pPr>
      <w:r w:rsidRPr="00850DD8">
        <w:t>Proportional consolidated measures</w:t>
      </w:r>
    </w:p>
    <w:p w14:paraId="4F9B9BE6" w14:textId="1164C7FE" w:rsidR="00850DD8" w:rsidRPr="00850DD8" w:rsidRDefault="00850DD8" w:rsidP="00850DD8">
      <w:pPr>
        <w:pStyle w:val="VulcanIIbody"/>
        <w:rPr>
          <w:rFonts w:eastAsiaTheme="minorEastAsia"/>
        </w:rPr>
      </w:pPr>
      <w:r w:rsidRPr="00850DD8">
        <w:rPr>
          <w:rFonts w:eastAsiaTheme="minorEastAsia"/>
        </w:rPr>
        <w:t>The Group</w:t>
      </w:r>
      <w:r>
        <w:rPr>
          <w:rFonts w:eastAsiaTheme="minorEastAsia"/>
        </w:rPr>
        <w:t xml:space="preserve"> on the one hand owns</w:t>
      </w:r>
      <w:r w:rsidRPr="00850DD8">
        <w:rPr>
          <w:rFonts w:eastAsiaTheme="minorEastAsia"/>
        </w:rPr>
        <w:t xml:space="preserve"> property assets of which it holds 100</w:t>
      </w:r>
      <w:r>
        <w:rPr>
          <w:rFonts w:eastAsiaTheme="minorEastAsia"/>
        </w:rPr>
        <w:t>%</w:t>
      </w:r>
      <w:r w:rsidRPr="00850DD8">
        <w:rPr>
          <w:rFonts w:eastAsiaTheme="minorEastAsia"/>
        </w:rPr>
        <w:t xml:space="preserve"> and</w:t>
      </w:r>
      <w:r>
        <w:rPr>
          <w:rFonts w:eastAsiaTheme="minorEastAsia"/>
        </w:rPr>
        <w:t>, on the other hand,</w:t>
      </w:r>
      <w:r w:rsidRPr="00850DD8">
        <w:rPr>
          <w:rFonts w:eastAsiaTheme="minorEastAsia"/>
        </w:rPr>
        <w:t xml:space="preserve"> </w:t>
      </w:r>
      <w:r>
        <w:rPr>
          <w:rFonts w:eastAsiaTheme="minorEastAsia"/>
        </w:rPr>
        <w:t xml:space="preserve">assets </w:t>
      </w:r>
      <w:r w:rsidRPr="00850DD8">
        <w:rPr>
          <w:rFonts w:eastAsiaTheme="minorEastAsia"/>
        </w:rPr>
        <w:t>which it holds through the Joint Venture. In the Group’s IFRS financial statements, joint ventures are accounted for on an equity basis (included as a single profit figure in the I</w:t>
      </w:r>
      <w:r>
        <w:rPr>
          <w:rFonts w:eastAsiaTheme="minorEastAsia"/>
        </w:rPr>
        <w:t>FRS i</w:t>
      </w:r>
      <w:r w:rsidRPr="00850DD8">
        <w:rPr>
          <w:rFonts w:eastAsiaTheme="minorEastAsia"/>
        </w:rPr>
        <w:t xml:space="preserve">ncome </w:t>
      </w:r>
      <w:r>
        <w:rPr>
          <w:rFonts w:eastAsiaTheme="minorEastAsia"/>
        </w:rPr>
        <w:t>s</w:t>
      </w:r>
      <w:r w:rsidRPr="00850DD8">
        <w:rPr>
          <w:rFonts w:eastAsiaTheme="minorEastAsia"/>
        </w:rPr>
        <w:t xml:space="preserve">tatement and as a single investment figure on the IFRS </w:t>
      </w:r>
      <w:r>
        <w:rPr>
          <w:rFonts w:eastAsiaTheme="minorEastAsia"/>
        </w:rPr>
        <w:t>b</w:t>
      </w:r>
      <w:r w:rsidRPr="00850DD8">
        <w:rPr>
          <w:rFonts w:eastAsiaTheme="minorEastAsia"/>
        </w:rPr>
        <w:t xml:space="preserve">alance </w:t>
      </w:r>
      <w:r>
        <w:rPr>
          <w:rFonts w:eastAsiaTheme="minorEastAsia"/>
        </w:rPr>
        <w:t>s</w:t>
      </w:r>
      <w:r w:rsidRPr="00850DD8">
        <w:rPr>
          <w:rFonts w:eastAsiaTheme="minorEastAsia"/>
        </w:rPr>
        <w:t>heet). In operational terms, the Group manages joint venture assets in substantially the sa</w:t>
      </w:r>
      <w:r>
        <w:rPr>
          <w:rFonts w:eastAsiaTheme="minorEastAsia"/>
        </w:rPr>
        <w:t xml:space="preserve">me way as it manages its wholly </w:t>
      </w:r>
      <w:r w:rsidRPr="00850DD8">
        <w:rPr>
          <w:rFonts w:eastAsiaTheme="minorEastAsia"/>
        </w:rPr>
        <w:t>owned assets. In light of this, VGP manages the performance of the Group on the basis of various measures to take into account</w:t>
      </w:r>
      <w:r>
        <w:rPr>
          <w:rFonts w:eastAsiaTheme="minorEastAsia"/>
        </w:rPr>
        <w:t xml:space="preserve"> the performance of both wholly owned and J</w:t>
      </w:r>
      <w:r w:rsidRPr="00850DD8">
        <w:rPr>
          <w:rFonts w:eastAsiaTheme="minorEastAsia"/>
        </w:rPr>
        <w:t xml:space="preserve">oint </w:t>
      </w:r>
      <w:r>
        <w:rPr>
          <w:rFonts w:eastAsiaTheme="minorEastAsia"/>
        </w:rPr>
        <w:t>V</w:t>
      </w:r>
      <w:r w:rsidRPr="00850DD8">
        <w:rPr>
          <w:rFonts w:eastAsiaTheme="minorEastAsia"/>
        </w:rPr>
        <w:t xml:space="preserve">enture assets. </w:t>
      </w:r>
    </w:p>
    <w:p w14:paraId="1FB89FCC" w14:textId="28FA662D" w:rsidR="00850DD8" w:rsidRPr="00850DD8" w:rsidRDefault="00850DD8" w:rsidP="00850DD8">
      <w:pPr>
        <w:pStyle w:val="VulcanIIbody"/>
        <w:rPr>
          <w:rFonts w:eastAsiaTheme="minorEastAsia"/>
        </w:rPr>
      </w:pPr>
      <w:r w:rsidRPr="00850DD8">
        <w:rPr>
          <w:rFonts w:eastAsiaTheme="minorEastAsia"/>
        </w:rPr>
        <w:t xml:space="preserve">Proportional consolidated (non-IFRS) financial measures that have been presented in this document include </w:t>
      </w:r>
      <w:r>
        <w:rPr>
          <w:rFonts w:eastAsiaTheme="minorEastAsia"/>
        </w:rPr>
        <w:t>G</w:t>
      </w:r>
      <w:r w:rsidRPr="00850DD8">
        <w:rPr>
          <w:rFonts w:eastAsiaTheme="minorEastAsia"/>
        </w:rPr>
        <w:t xml:space="preserve">ross </w:t>
      </w:r>
      <w:r>
        <w:rPr>
          <w:rFonts w:eastAsiaTheme="minorEastAsia"/>
        </w:rPr>
        <w:t>R</w:t>
      </w:r>
      <w:r w:rsidRPr="00850DD8">
        <w:rPr>
          <w:rFonts w:eastAsiaTheme="minorEastAsia"/>
        </w:rPr>
        <w:t xml:space="preserve">ental </w:t>
      </w:r>
      <w:r>
        <w:rPr>
          <w:rFonts w:eastAsiaTheme="minorEastAsia"/>
        </w:rPr>
        <w:t>I</w:t>
      </w:r>
      <w:r w:rsidRPr="00850DD8">
        <w:rPr>
          <w:rFonts w:eastAsiaTheme="minorEastAsia"/>
        </w:rPr>
        <w:t xml:space="preserve">ncome </w:t>
      </w:r>
      <w:r w:rsidR="00521876">
        <w:rPr>
          <w:rFonts w:eastAsiaTheme="minorEastAsia"/>
        </w:rPr>
        <w:t>taking into account VGP’s share in the Joint Venture</w:t>
      </w:r>
      <w:r w:rsidR="00A01869">
        <w:rPr>
          <w:rFonts w:eastAsiaTheme="minorEastAsia"/>
        </w:rPr>
        <w:t xml:space="preserve"> and</w:t>
      </w:r>
      <w:r w:rsidRPr="00850DD8">
        <w:rPr>
          <w:rFonts w:eastAsiaTheme="minorEastAsia"/>
        </w:rPr>
        <w:t xml:space="preserve"> </w:t>
      </w:r>
      <w:r>
        <w:rPr>
          <w:rFonts w:eastAsiaTheme="minorEastAsia"/>
        </w:rPr>
        <w:t>N</w:t>
      </w:r>
      <w:r w:rsidRPr="00850DD8">
        <w:rPr>
          <w:rFonts w:eastAsiaTheme="minorEastAsia"/>
        </w:rPr>
        <w:t xml:space="preserve">et </w:t>
      </w:r>
      <w:r>
        <w:rPr>
          <w:rFonts w:eastAsiaTheme="minorEastAsia"/>
        </w:rPr>
        <w:t>R</w:t>
      </w:r>
      <w:r w:rsidRPr="00850DD8">
        <w:rPr>
          <w:rFonts w:eastAsiaTheme="minorEastAsia"/>
        </w:rPr>
        <w:t xml:space="preserve">ental </w:t>
      </w:r>
      <w:r>
        <w:rPr>
          <w:rFonts w:eastAsiaTheme="minorEastAsia"/>
        </w:rPr>
        <w:t>I</w:t>
      </w:r>
      <w:r w:rsidRPr="00850DD8">
        <w:rPr>
          <w:rFonts w:eastAsiaTheme="minorEastAsia"/>
        </w:rPr>
        <w:t xml:space="preserve">ncome </w:t>
      </w:r>
      <w:r w:rsidR="00521876">
        <w:rPr>
          <w:rFonts w:eastAsiaTheme="minorEastAsia"/>
        </w:rPr>
        <w:t>taking into account VGP’s share in the Joint Venture</w:t>
      </w:r>
      <w:r w:rsidRPr="00850DD8">
        <w:rPr>
          <w:rFonts w:eastAsiaTheme="minorEastAsia"/>
        </w:rPr>
        <w:t>.</w:t>
      </w:r>
    </w:p>
    <w:p w14:paraId="1501B5BD" w14:textId="2EF48035" w:rsidR="00F76607" w:rsidRDefault="00850DD8" w:rsidP="00850DD8">
      <w:pPr>
        <w:pStyle w:val="VulcanIIbody"/>
        <w:rPr>
          <w:rFonts w:eastAsiaTheme="minorEastAsia"/>
        </w:rPr>
      </w:pPr>
      <w:r w:rsidRPr="00850DD8">
        <w:rPr>
          <w:rFonts w:eastAsiaTheme="minorEastAsia"/>
        </w:rPr>
        <w:t xml:space="preserve">The rental income figures on a proportional consolidated </w:t>
      </w:r>
      <w:r>
        <w:rPr>
          <w:rFonts w:eastAsiaTheme="minorEastAsia"/>
        </w:rPr>
        <w:t>basis include the Group’s IFRS g</w:t>
      </w:r>
      <w:r w:rsidRPr="00850DD8">
        <w:rPr>
          <w:rFonts w:eastAsiaTheme="minorEastAsia"/>
        </w:rPr>
        <w:t>ross rental income (rental income from wholly</w:t>
      </w:r>
      <w:r>
        <w:rPr>
          <w:rFonts w:eastAsiaTheme="minorEastAsia"/>
        </w:rPr>
        <w:t xml:space="preserve"> </w:t>
      </w:r>
      <w:r w:rsidRPr="00850DD8">
        <w:rPr>
          <w:rFonts w:eastAsiaTheme="minorEastAsia"/>
        </w:rPr>
        <w:t>owned properties) as we</w:t>
      </w:r>
      <w:r>
        <w:rPr>
          <w:rFonts w:eastAsiaTheme="minorEastAsia"/>
        </w:rPr>
        <w:t>ll as the Group’s G</w:t>
      </w:r>
      <w:r w:rsidRPr="00850DD8">
        <w:rPr>
          <w:rFonts w:eastAsiaTheme="minorEastAsia"/>
        </w:rPr>
        <w:t xml:space="preserve">ross </w:t>
      </w:r>
      <w:r>
        <w:rPr>
          <w:rFonts w:eastAsiaTheme="minorEastAsia"/>
        </w:rPr>
        <w:t>R</w:t>
      </w:r>
      <w:r w:rsidRPr="00850DD8">
        <w:rPr>
          <w:rFonts w:eastAsiaTheme="minorEastAsia"/>
        </w:rPr>
        <w:t xml:space="preserve">ental </w:t>
      </w:r>
      <w:r>
        <w:rPr>
          <w:rFonts w:eastAsiaTheme="minorEastAsia"/>
        </w:rPr>
        <w:t>I</w:t>
      </w:r>
      <w:r w:rsidRPr="00850DD8">
        <w:rPr>
          <w:rFonts w:eastAsiaTheme="minorEastAsia"/>
        </w:rPr>
        <w:t xml:space="preserve">ncome </w:t>
      </w:r>
      <w:r w:rsidR="00521876">
        <w:rPr>
          <w:rFonts w:eastAsiaTheme="minorEastAsia"/>
        </w:rPr>
        <w:t xml:space="preserve">taking into account VGP’ share in </w:t>
      </w:r>
      <w:r w:rsidRPr="00850DD8">
        <w:rPr>
          <w:rFonts w:eastAsiaTheme="minorEastAsia"/>
        </w:rPr>
        <w:t>the Joint Venture, which is otherwise included within the line item</w:t>
      </w:r>
      <w:r>
        <w:rPr>
          <w:rFonts w:eastAsiaTheme="minorEastAsia"/>
        </w:rPr>
        <w:t>.</w:t>
      </w:r>
    </w:p>
    <w:p w14:paraId="141FD835" w14:textId="52CBCB1B" w:rsidR="00C2417B" w:rsidRDefault="00C2417B" w:rsidP="00850DD8">
      <w:pPr>
        <w:pStyle w:val="VulcanIIbody"/>
        <w:rPr>
          <w:rFonts w:eastAsiaTheme="minorEastAsia"/>
        </w:rPr>
      </w:pPr>
      <w:r>
        <w:rPr>
          <w:rFonts w:eastAsiaTheme="minorEastAsia"/>
        </w:rPr>
        <w:t>The following table sets forth a reconciliation of IFRS proportional consolidated rental income:</w:t>
      </w:r>
    </w:p>
    <w:p w14:paraId="01133C9D" w14:textId="0D347EA6" w:rsidR="00C2417B" w:rsidRDefault="00C2417B" w:rsidP="00C2417B">
      <w:pPr>
        <w:jc w:val="both"/>
        <w:rPr>
          <w:rFonts w:asciiTheme="minorHAnsi" w:hAnsiTheme="minorHAnsi" w:cstheme="minorHAnsi"/>
          <w:b/>
          <w:bCs/>
          <w:sz w:val="18"/>
          <w:szCs w:val="18"/>
          <w:lang w:val="en-GB"/>
        </w:rPr>
      </w:pPr>
    </w:p>
    <w:tbl>
      <w:tblPr>
        <w:tblStyle w:val="TableGrid8"/>
        <w:tblW w:w="8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119"/>
        <w:gridCol w:w="253"/>
        <w:gridCol w:w="965"/>
        <w:gridCol w:w="253"/>
        <w:gridCol w:w="1209"/>
        <w:gridCol w:w="248"/>
      </w:tblGrid>
      <w:tr w:rsidR="00C2417B" w14:paraId="530B78FF" w14:textId="77777777" w:rsidTr="00C2417B">
        <w:tc>
          <w:tcPr>
            <w:tcW w:w="4395" w:type="dxa"/>
            <w:vAlign w:val="bottom"/>
          </w:tcPr>
          <w:p w14:paraId="5A09145F" w14:textId="77777777" w:rsidR="00C2417B" w:rsidRPr="005B440C" w:rsidRDefault="00C2417B" w:rsidP="00C2417B">
            <w:pPr>
              <w:jc w:val="both"/>
              <w:rPr>
                <w:bCs/>
                <w:i/>
                <w:sz w:val="18"/>
                <w:szCs w:val="18"/>
                <w:lang w:val="en-GB"/>
              </w:rPr>
            </w:pPr>
            <w:r w:rsidRPr="005B440C">
              <w:rPr>
                <w:bCs/>
                <w:i/>
                <w:sz w:val="18"/>
                <w:szCs w:val="18"/>
                <w:lang w:val="en-GB"/>
              </w:rPr>
              <w:t>In thousands of €</w:t>
            </w:r>
          </w:p>
        </w:tc>
        <w:tc>
          <w:tcPr>
            <w:tcW w:w="2337" w:type="dxa"/>
            <w:gridSpan w:val="3"/>
            <w:tcBorders>
              <w:bottom w:val="single" w:sz="4" w:space="0" w:color="auto"/>
            </w:tcBorders>
            <w:vAlign w:val="bottom"/>
          </w:tcPr>
          <w:p w14:paraId="295F6957" w14:textId="77777777" w:rsidR="00C2417B" w:rsidRDefault="00C2417B" w:rsidP="00C2417B">
            <w:pPr>
              <w:jc w:val="center"/>
              <w:rPr>
                <w:b/>
                <w:bCs/>
                <w:sz w:val="18"/>
                <w:szCs w:val="18"/>
                <w:lang w:val="en-GB" w:eastAsia="zh-TW"/>
              </w:rPr>
            </w:pPr>
            <w:r>
              <w:rPr>
                <w:b/>
                <w:bCs/>
                <w:sz w:val="18"/>
                <w:szCs w:val="18"/>
                <w:lang w:val="en-GB" w:eastAsia="zh-TW"/>
              </w:rPr>
              <w:t>As at 30-Jun</w:t>
            </w:r>
          </w:p>
        </w:tc>
        <w:tc>
          <w:tcPr>
            <w:tcW w:w="253" w:type="dxa"/>
            <w:vAlign w:val="bottom"/>
          </w:tcPr>
          <w:p w14:paraId="4C58F1F7" w14:textId="77777777" w:rsidR="00C2417B" w:rsidRDefault="00C2417B" w:rsidP="00C2417B">
            <w:pPr>
              <w:jc w:val="both"/>
              <w:rPr>
                <w:b/>
                <w:bCs/>
                <w:sz w:val="18"/>
                <w:szCs w:val="18"/>
                <w:lang w:val="en-GB"/>
              </w:rPr>
            </w:pPr>
          </w:p>
        </w:tc>
        <w:tc>
          <w:tcPr>
            <w:tcW w:w="1209" w:type="dxa"/>
            <w:vAlign w:val="bottom"/>
          </w:tcPr>
          <w:p w14:paraId="0B4775E3" w14:textId="77777777" w:rsidR="00C2417B" w:rsidRDefault="00C2417B" w:rsidP="00C2417B">
            <w:pPr>
              <w:jc w:val="center"/>
              <w:rPr>
                <w:b/>
                <w:bCs/>
                <w:sz w:val="18"/>
                <w:szCs w:val="18"/>
                <w:lang w:val="en-GB" w:eastAsia="zh-TW"/>
              </w:rPr>
            </w:pPr>
            <w:r>
              <w:rPr>
                <w:b/>
                <w:bCs/>
                <w:sz w:val="18"/>
                <w:szCs w:val="18"/>
                <w:lang w:val="en-GB" w:eastAsia="zh-TW"/>
              </w:rPr>
              <w:t>As at 31-Dec</w:t>
            </w:r>
          </w:p>
        </w:tc>
        <w:tc>
          <w:tcPr>
            <w:tcW w:w="248" w:type="dxa"/>
            <w:vAlign w:val="bottom"/>
          </w:tcPr>
          <w:p w14:paraId="4F82412F" w14:textId="77777777" w:rsidR="00C2417B" w:rsidRDefault="00C2417B" w:rsidP="00C2417B">
            <w:pPr>
              <w:jc w:val="center"/>
              <w:rPr>
                <w:b/>
                <w:bCs/>
                <w:sz w:val="18"/>
                <w:szCs w:val="18"/>
                <w:lang w:val="en-GB" w:eastAsia="zh-TW"/>
              </w:rPr>
            </w:pPr>
          </w:p>
        </w:tc>
      </w:tr>
      <w:tr w:rsidR="00C2417B" w14:paraId="22753CDE" w14:textId="77777777" w:rsidTr="00C2417B">
        <w:tc>
          <w:tcPr>
            <w:tcW w:w="4395" w:type="dxa"/>
            <w:vAlign w:val="bottom"/>
          </w:tcPr>
          <w:p w14:paraId="7A2DAF11" w14:textId="77777777" w:rsidR="00C2417B" w:rsidRDefault="00C2417B" w:rsidP="00C2417B">
            <w:pPr>
              <w:jc w:val="both"/>
              <w:rPr>
                <w:b/>
                <w:bCs/>
                <w:sz w:val="18"/>
                <w:szCs w:val="18"/>
                <w:lang w:val="en-GB"/>
              </w:rPr>
            </w:pPr>
          </w:p>
        </w:tc>
        <w:tc>
          <w:tcPr>
            <w:tcW w:w="1119" w:type="dxa"/>
            <w:tcBorders>
              <w:top w:val="single" w:sz="4" w:space="0" w:color="auto"/>
              <w:bottom w:val="single" w:sz="4" w:space="0" w:color="auto"/>
            </w:tcBorders>
            <w:vAlign w:val="bottom"/>
          </w:tcPr>
          <w:p w14:paraId="45A2169D" w14:textId="77777777" w:rsidR="00C2417B" w:rsidRDefault="00C2417B" w:rsidP="00C2417B">
            <w:pPr>
              <w:jc w:val="right"/>
              <w:rPr>
                <w:b/>
                <w:bCs/>
                <w:sz w:val="18"/>
                <w:szCs w:val="18"/>
                <w:lang w:val="en-GB"/>
              </w:rPr>
            </w:pPr>
            <w:r>
              <w:rPr>
                <w:b/>
                <w:bCs/>
                <w:sz w:val="18"/>
                <w:szCs w:val="18"/>
                <w:lang w:val="en-GB" w:eastAsia="zh-TW"/>
              </w:rPr>
              <w:t>2017</w:t>
            </w:r>
          </w:p>
        </w:tc>
        <w:tc>
          <w:tcPr>
            <w:tcW w:w="253" w:type="dxa"/>
            <w:vAlign w:val="bottom"/>
          </w:tcPr>
          <w:p w14:paraId="764A4D30" w14:textId="77777777" w:rsidR="00C2417B" w:rsidRDefault="00C2417B" w:rsidP="00C2417B">
            <w:pPr>
              <w:jc w:val="right"/>
              <w:rPr>
                <w:b/>
                <w:bCs/>
                <w:sz w:val="18"/>
                <w:szCs w:val="18"/>
                <w:lang w:val="en-GB"/>
              </w:rPr>
            </w:pPr>
          </w:p>
        </w:tc>
        <w:tc>
          <w:tcPr>
            <w:tcW w:w="965" w:type="dxa"/>
            <w:tcBorders>
              <w:top w:val="single" w:sz="4" w:space="0" w:color="auto"/>
              <w:bottom w:val="single" w:sz="4" w:space="0" w:color="auto"/>
            </w:tcBorders>
            <w:vAlign w:val="bottom"/>
          </w:tcPr>
          <w:p w14:paraId="1B802792" w14:textId="77777777" w:rsidR="00C2417B" w:rsidRDefault="00C2417B" w:rsidP="00C2417B">
            <w:pPr>
              <w:jc w:val="right"/>
              <w:rPr>
                <w:b/>
                <w:bCs/>
                <w:sz w:val="18"/>
                <w:szCs w:val="18"/>
                <w:lang w:val="en-GB"/>
              </w:rPr>
            </w:pPr>
            <w:r>
              <w:rPr>
                <w:b/>
                <w:bCs/>
                <w:sz w:val="18"/>
                <w:szCs w:val="18"/>
                <w:lang w:val="en-GB"/>
              </w:rPr>
              <w:t>2016</w:t>
            </w:r>
          </w:p>
        </w:tc>
        <w:tc>
          <w:tcPr>
            <w:tcW w:w="253" w:type="dxa"/>
            <w:vAlign w:val="bottom"/>
          </w:tcPr>
          <w:p w14:paraId="1E7ACCB4" w14:textId="77777777" w:rsidR="00C2417B" w:rsidRDefault="00C2417B" w:rsidP="00C2417B">
            <w:pPr>
              <w:jc w:val="right"/>
              <w:rPr>
                <w:b/>
                <w:bCs/>
                <w:sz w:val="18"/>
                <w:szCs w:val="18"/>
                <w:lang w:val="en-GB"/>
              </w:rPr>
            </w:pPr>
          </w:p>
        </w:tc>
        <w:tc>
          <w:tcPr>
            <w:tcW w:w="1209" w:type="dxa"/>
            <w:tcBorders>
              <w:top w:val="single" w:sz="4" w:space="0" w:color="auto"/>
              <w:bottom w:val="single" w:sz="4" w:space="0" w:color="auto"/>
            </w:tcBorders>
            <w:vAlign w:val="bottom"/>
          </w:tcPr>
          <w:p w14:paraId="680BE5DD" w14:textId="77777777" w:rsidR="00C2417B" w:rsidRDefault="00C2417B" w:rsidP="00C2417B">
            <w:pPr>
              <w:jc w:val="right"/>
              <w:rPr>
                <w:b/>
                <w:bCs/>
                <w:sz w:val="18"/>
                <w:szCs w:val="18"/>
                <w:lang w:val="en-GB"/>
              </w:rPr>
            </w:pPr>
            <w:r>
              <w:rPr>
                <w:b/>
                <w:bCs/>
                <w:sz w:val="18"/>
                <w:szCs w:val="18"/>
                <w:lang w:val="en-GB"/>
              </w:rPr>
              <w:t>2016</w:t>
            </w:r>
          </w:p>
        </w:tc>
        <w:tc>
          <w:tcPr>
            <w:tcW w:w="248" w:type="dxa"/>
            <w:tcBorders>
              <w:top w:val="single" w:sz="4" w:space="0" w:color="auto"/>
            </w:tcBorders>
            <w:vAlign w:val="bottom"/>
          </w:tcPr>
          <w:p w14:paraId="2B7E2C46" w14:textId="77777777" w:rsidR="00C2417B" w:rsidRDefault="00C2417B" w:rsidP="00C2417B">
            <w:pPr>
              <w:jc w:val="right"/>
              <w:rPr>
                <w:b/>
                <w:bCs/>
                <w:sz w:val="18"/>
                <w:szCs w:val="18"/>
                <w:lang w:val="en-GB"/>
              </w:rPr>
            </w:pPr>
          </w:p>
        </w:tc>
      </w:tr>
      <w:tr w:rsidR="00C2417B" w14:paraId="7198B502" w14:textId="77777777" w:rsidTr="00C2417B">
        <w:tc>
          <w:tcPr>
            <w:tcW w:w="4395" w:type="dxa"/>
            <w:vAlign w:val="bottom"/>
          </w:tcPr>
          <w:p w14:paraId="06ACD669" w14:textId="77777777" w:rsidR="00C2417B" w:rsidRDefault="00C2417B" w:rsidP="00C2417B">
            <w:pPr>
              <w:jc w:val="both"/>
              <w:rPr>
                <w:sz w:val="18"/>
                <w:szCs w:val="18"/>
                <w:lang w:val="en-GB" w:eastAsia="nl-NL"/>
              </w:rPr>
            </w:pPr>
          </w:p>
        </w:tc>
        <w:tc>
          <w:tcPr>
            <w:tcW w:w="1119" w:type="dxa"/>
            <w:vAlign w:val="bottom"/>
          </w:tcPr>
          <w:p w14:paraId="2FAA31BE" w14:textId="77777777" w:rsidR="00C2417B" w:rsidRPr="00D03582" w:rsidRDefault="00C2417B" w:rsidP="00C2417B">
            <w:pPr>
              <w:jc w:val="right"/>
              <w:rPr>
                <w:color w:val="000000"/>
                <w:sz w:val="18"/>
                <w:szCs w:val="18"/>
                <w:lang w:val="en-GB" w:eastAsia="en-GB"/>
              </w:rPr>
            </w:pPr>
          </w:p>
        </w:tc>
        <w:tc>
          <w:tcPr>
            <w:tcW w:w="253" w:type="dxa"/>
            <w:vAlign w:val="bottom"/>
          </w:tcPr>
          <w:p w14:paraId="2F431752" w14:textId="77777777" w:rsidR="00C2417B" w:rsidRDefault="00C2417B" w:rsidP="00C2417B">
            <w:pPr>
              <w:jc w:val="right"/>
              <w:rPr>
                <w:b/>
                <w:bCs/>
                <w:sz w:val="18"/>
                <w:szCs w:val="18"/>
                <w:lang w:val="en-GB"/>
              </w:rPr>
            </w:pPr>
          </w:p>
        </w:tc>
        <w:tc>
          <w:tcPr>
            <w:tcW w:w="965" w:type="dxa"/>
            <w:vAlign w:val="bottom"/>
          </w:tcPr>
          <w:p w14:paraId="3BE281B3" w14:textId="77777777" w:rsidR="00C2417B" w:rsidRPr="00D03582" w:rsidRDefault="00C2417B" w:rsidP="00C2417B">
            <w:pPr>
              <w:jc w:val="right"/>
              <w:rPr>
                <w:color w:val="000000"/>
                <w:sz w:val="18"/>
                <w:szCs w:val="18"/>
                <w:lang w:val="en-GB" w:eastAsia="en-GB"/>
              </w:rPr>
            </w:pPr>
          </w:p>
        </w:tc>
        <w:tc>
          <w:tcPr>
            <w:tcW w:w="253" w:type="dxa"/>
            <w:vAlign w:val="bottom"/>
          </w:tcPr>
          <w:p w14:paraId="7B9692DB" w14:textId="77777777" w:rsidR="00C2417B" w:rsidRDefault="00C2417B" w:rsidP="00C2417B">
            <w:pPr>
              <w:jc w:val="right"/>
              <w:rPr>
                <w:b/>
                <w:bCs/>
                <w:sz w:val="18"/>
                <w:szCs w:val="18"/>
                <w:lang w:val="en-GB"/>
              </w:rPr>
            </w:pPr>
          </w:p>
        </w:tc>
        <w:tc>
          <w:tcPr>
            <w:tcW w:w="1209" w:type="dxa"/>
            <w:vAlign w:val="bottom"/>
          </w:tcPr>
          <w:p w14:paraId="5A8CCBCD" w14:textId="77777777" w:rsidR="00C2417B" w:rsidRPr="00D03582" w:rsidRDefault="00C2417B" w:rsidP="00C2417B">
            <w:pPr>
              <w:jc w:val="right"/>
              <w:rPr>
                <w:color w:val="000000"/>
                <w:sz w:val="18"/>
                <w:szCs w:val="18"/>
                <w:lang w:val="en-GB" w:eastAsia="en-GB"/>
              </w:rPr>
            </w:pPr>
          </w:p>
        </w:tc>
        <w:tc>
          <w:tcPr>
            <w:tcW w:w="248" w:type="dxa"/>
            <w:vAlign w:val="bottom"/>
          </w:tcPr>
          <w:p w14:paraId="66735535" w14:textId="77777777" w:rsidR="00C2417B" w:rsidRDefault="00C2417B" w:rsidP="00C2417B">
            <w:pPr>
              <w:jc w:val="right"/>
              <w:rPr>
                <w:b/>
                <w:bCs/>
                <w:sz w:val="18"/>
                <w:szCs w:val="18"/>
                <w:lang w:val="en-GB"/>
              </w:rPr>
            </w:pPr>
          </w:p>
        </w:tc>
      </w:tr>
      <w:tr w:rsidR="00C2417B" w14:paraId="3ADED19D" w14:textId="77777777" w:rsidTr="00C2417B">
        <w:tc>
          <w:tcPr>
            <w:tcW w:w="4395" w:type="dxa"/>
            <w:vAlign w:val="bottom"/>
          </w:tcPr>
          <w:p w14:paraId="0A64F701" w14:textId="77777777" w:rsidR="00C2417B" w:rsidRDefault="00C2417B" w:rsidP="00C2417B">
            <w:pPr>
              <w:jc w:val="both"/>
              <w:rPr>
                <w:sz w:val="18"/>
                <w:szCs w:val="18"/>
                <w:lang w:val="en-GB" w:eastAsia="nl-NL"/>
              </w:rPr>
            </w:pPr>
            <w:r>
              <w:rPr>
                <w:sz w:val="18"/>
                <w:szCs w:val="18"/>
                <w:lang w:val="en-GB" w:eastAsia="nl-NL"/>
              </w:rPr>
              <w:t>IFRS gross rental income</w:t>
            </w:r>
          </w:p>
        </w:tc>
        <w:tc>
          <w:tcPr>
            <w:tcW w:w="1119" w:type="dxa"/>
            <w:vAlign w:val="bottom"/>
          </w:tcPr>
          <w:p w14:paraId="5E649CC8"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9,111 </w:t>
            </w:r>
          </w:p>
        </w:tc>
        <w:tc>
          <w:tcPr>
            <w:tcW w:w="253" w:type="dxa"/>
            <w:vAlign w:val="bottom"/>
          </w:tcPr>
          <w:p w14:paraId="54DF8011" w14:textId="77777777" w:rsidR="00C2417B" w:rsidRDefault="00C2417B" w:rsidP="00C2417B">
            <w:pPr>
              <w:jc w:val="right"/>
              <w:rPr>
                <w:b/>
                <w:bCs/>
                <w:sz w:val="18"/>
                <w:szCs w:val="18"/>
                <w:lang w:val="en-GB"/>
              </w:rPr>
            </w:pPr>
          </w:p>
        </w:tc>
        <w:tc>
          <w:tcPr>
            <w:tcW w:w="965" w:type="dxa"/>
            <w:vAlign w:val="bottom"/>
          </w:tcPr>
          <w:p w14:paraId="1D40FD18"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13,085 </w:t>
            </w:r>
          </w:p>
        </w:tc>
        <w:tc>
          <w:tcPr>
            <w:tcW w:w="253" w:type="dxa"/>
            <w:vAlign w:val="bottom"/>
          </w:tcPr>
          <w:p w14:paraId="613A514A" w14:textId="77777777" w:rsidR="00C2417B" w:rsidRDefault="00C2417B" w:rsidP="00C2417B">
            <w:pPr>
              <w:jc w:val="right"/>
              <w:rPr>
                <w:b/>
                <w:bCs/>
                <w:sz w:val="18"/>
                <w:szCs w:val="18"/>
                <w:lang w:val="en-GB"/>
              </w:rPr>
            </w:pPr>
          </w:p>
        </w:tc>
        <w:tc>
          <w:tcPr>
            <w:tcW w:w="1209" w:type="dxa"/>
            <w:vAlign w:val="bottom"/>
          </w:tcPr>
          <w:p w14:paraId="154D8057"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16,806 </w:t>
            </w:r>
          </w:p>
        </w:tc>
        <w:tc>
          <w:tcPr>
            <w:tcW w:w="248" w:type="dxa"/>
            <w:vAlign w:val="bottom"/>
          </w:tcPr>
          <w:p w14:paraId="59415821" w14:textId="77777777" w:rsidR="00C2417B" w:rsidRDefault="00C2417B" w:rsidP="00C2417B">
            <w:pPr>
              <w:jc w:val="right"/>
              <w:rPr>
                <w:b/>
                <w:bCs/>
                <w:sz w:val="18"/>
                <w:szCs w:val="18"/>
                <w:lang w:val="en-GB"/>
              </w:rPr>
            </w:pPr>
          </w:p>
        </w:tc>
      </w:tr>
      <w:tr w:rsidR="00C2417B" w14:paraId="2CDAD76D" w14:textId="77777777" w:rsidTr="00C2417B">
        <w:tc>
          <w:tcPr>
            <w:tcW w:w="4395" w:type="dxa"/>
            <w:vAlign w:val="bottom"/>
          </w:tcPr>
          <w:p w14:paraId="111C55E5" w14:textId="77777777" w:rsidR="00C2417B" w:rsidRDefault="00C2417B" w:rsidP="00C2417B">
            <w:pPr>
              <w:jc w:val="both"/>
              <w:rPr>
                <w:sz w:val="18"/>
                <w:szCs w:val="18"/>
                <w:lang w:val="en-GB" w:eastAsia="nl-NL"/>
              </w:rPr>
            </w:pPr>
            <w:r>
              <w:rPr>
                <w:sz w:val="18"/>
                <w:szCs w:val="18"/>
                <w:lang w:val="en-GB" w:eastAsia="nl-NL"/>
              </w:rPr>
              <w:t>Gross rental income JV (at share)</w:t>
            </w:r>
          </w:p>
        </w:tc>
        <w:tc>
          <w:tcPr>
            <w:tcW w:w="1119" w:type="dxa"/>
            <w:tcBorders>
              <w:bottom w:val="single" w:sz="4" w:space="0" w:color="auto"/>
            </w:tcBorders>
            <w:vAlign w:val="bottom"/>
          </w:tcPr>
          <w:p w14:paraId="0717EE36"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8,543 </w:t>
            </w:r>
          </w:p>
        </w:tc>
        <w:tc>
          <w:tcPr>
            <w:tcW w:w="253" w:type="dxa"/>
            <w:vAlign w:val="bottom"/>
          </w:tcPr>
          <w:p w14:paraId="3C1A540D" w14:textId="77777777" w:rsidR="00C2417B" w:rsidRDefault="00C2417B" w:rsidP="00C2417B">
            <w:pPr>
              <w:jc w:val="right"/>
              <w:rPr>
                <w:b/>
                <w:bCs/>
                <w:sz w:val="18"/>
                <w:szCs w:val="18"/>
                <w:lang w:val="en-GB"/>
              </w:rPr>
            </w:pPr>
          </w:p>
        </w:tc>
        <w:tc>
          <w:tcPr>
            <w:tcW w:w="965" w:type="dxa"/>
            <w:tcBorders>
              <w:bottom w:val="single" w:sz="4" w:space="0" w:color="auto"/>
            </w:tcBorders>
            <w:vAlign w:val="bottom"/>
          </w:tcPr>
          <w:p w14:paraId="591746AC"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1,183 </w:t>
            </w:r>
          </w:p>
        </w:tc>
        <w:tc>
          <w:tcPr>
            <w:tcW w:w="253" w:type="dxa"/>
            <w:vAlign w:val="bottom"/>
          </w:tcPr>
          <w:p w14:paraId="6CFF070E" w14:textId="77777777" w:rsidR="00C2417B" w:rsidRDefault="00C2417B" w:rsidP="00C2417B">
            <w:pPr>
              <w:jc w:val="right"/>
              <w:rPr>
                <w:b/>
                <w:bCs/>
                <w:sz w:val="18"/>
                <w:szCs w:val="18"/>
                <w:lang w:val="en-GB"/>
              </w:rPr>
            </w:pPr>
          </w:p>
        </w:tc>
        <w:tc>
          <w:tcPr>
            <w:tcW w:w="1209" w:type="dxa"/>
            <w:tcBorders>
              <w:bottom w:val="single" w:sz="4" w:space="0" w:color="auto"/>
            </w:tcBorders>
            <w:vAlign w:val="bottom"/>
          </w:tcPr>
          <w:p w14:paraId="0EBE845F"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8,976 </w:t>
            </w:r>
          </w:p>
        </w:tc>
        <w:tc>
          <w:tcPr>
            <w:tcW w:w="248" w:type="dxa"/>
            <w:vAlign w:val="bottom"/>
          </w:tcPr>
          <w:p w14:paraId="3DE8F3B9" w14:textId="77777777" w:rsidR="00C2417B" w:rsidRDefault="00C2417B" w:rsidP="00C2417B">
            <w:pPr>
              <w:jc w:val="right"/>
              <w:rPr>
                <w:b/>
                <w:bCs/>
                <w:sz w:val="18"/>
                <w:szCs w:val="18"/>
                <w:lang w:val="en-GB"/>
              </w:rPr>
            </w:pPr>
          </w:p>
        </w:tc>
      </w:tr>
      <w:tr w:rsidR="00C2417B" w14:paraId="3FC4524A" w14:textId="77777777" w:rsidTr="00C2417B">
        <w:tc>
          <w:tcPr>
            <w:tcW w:w="4395" w:type="dxa"/>
            <w:vAlign w:val="bottom"/>
          </w:tcPr>
          <w:p w14:paraId="6287348E" w14:textId="01D4C949" w:rsidR="00C2417B" w:rsidRDefault="00C2417B" w:rsidP="00521876">
            <w:pPr>
              <w:jc w:val="both"/>
              <w:rPr>
                <w:b/>
                <w:bCs/>
                <w:sz w:val="18"/>
                <w:szCs w:val="18"/>
                <w:u w:val="single"/>
                <w:lang w:val="en-GB" w:eastAsia="nl-NL"/>
              </w:rPr>
            </w:pPr>
            <w:r>
              <w:rPr>
                <w:sz w:val="18"/>
                <w:szCs w:val="18"/>
                <w:lang w:val="en-GB" w:eastAsia="nl-NL"/>
              </w:rPr>
              <w:t xml:space="preserve">Gross rental income </w:t>
            </w:r>
            <w:r w:rsidR="00521876">
              <w:rPr>
                <w:sz w:val="18"/>
                <w:szCs w:val="18"/>
                <w:lang w:val="en-GB" w:eastAsia="nl-NL"/>
              </w:rPr>
              <w:t xml:space="preserve">taking into account </w:t>
            </w:r>
            <w:r w:rsidR="00DF4532">
              <w:rPr>
                <w:sz w:val="18"/>
                <w:szCs w:val="18"/>
                <w:lang w:val="en-GB" w:eastAsia="nl-NL"/>
              </w:rPr>
              <w:t>VGP’s share in the Joint Venture</w:t>
            </w:r>
          </w:p>
        </w:tc>
        <w:tc>
          <w:tcPr>
            <w:tcW w:w="1119" w:type="dxa"/>
            <w:tcBorders>
              <w:top w:val="single" w:sz="4" w:space="0" w:color="auto"/>
            </w:tcBorders>
            <w:vAlign w:val="bottom"/>
          </w:tcPr>
          <w:p w14:paraId="77F8221F"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17,654 </w:t>
            </w:r>
          </w:p>
        </w:tc>
        <w:tc>
          <w:tcPr>
            <w:tcW w:w="253" w:type="dxa"/>
            <w:vAlign w:val="bottom"/>
          </w:tcPr>
          <w:p w14:paraId="0541E6BE" w14:textId="77777777" w:rsidR="00C2417B" w:rsidRDefault="00C2417B" w:rsidP="00C2417B">
            <w:pPr>
              <w:jc w:val="right"/>
              <w:rPr>
                <w:b/>
                <w:bCs/>
                <w:sz w:val="18"/>
                <w:szCs w:val="18"/>
                <w:lang w:val="en-GB"/>
              </w:rPr>
            </w:pPr>
          </w:p>
        </w:tc>
        <w:tc>
          <w:tcPr>
            <w:tcW w:w="965" w:type="dxa"/>
            <w:tcBorders>
              <w:top w:val="single" w:sz="4" w:space="0" w:color="auto"/>
            </w:tcBorders>
            <w:vAlign w:val="bottom"/>
          </w:tcPr>
          <w:p w14:paraId="4C3DB4A8"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14,268 </w:t>
            </w:r>
          </w:p>
        </w:tc>
        <w:tc>
          <w:tcPr>
            <w:tcW w:w="253" w:type="dxa"/>
            <w:vAlign w:val="bottom"/>
          </w:tcPr>
          <w:p w14:paraId="76485C42" w14:textId="77777777" w:rsidR="00C2417B" w:rsidRDefault="00C2417B" w:rsidP="00C2417B">
            <w:pPr>
              <w:jc w:val="right"/>
              <w:rPr>
                <w:b/>
                <w:bCs/>
                <w:sz w:val="18"/>
                <w:szCs w:val="18"/>
                <w:lang w:val="en-GB"/>
              </w:rPr>
            </w:pPr>
          </w:p>
        </w:tc>
        <w:tc>
          <w:tcPr>
            <w:tcW w:w="1209" w:type="dxa"/>
            <w:tcBorders>
              <w:top w:val="single" w:sz="4" w:space="0" w:color="auto"/>
            </w:tcBorders>
            <w:vAlign w:val="bottom"/>
          </w:tcPr>
          <w:p w14:paraId="510837E7"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25,782 </w:t>
            </w:r>
          </w:p>
        </w:tc>
        <w:tc>
          <w:tcPr>
            <w:tcW w:w="248" w:type="dxa"/>
            <w:vAlign w:val="bottom"/>
          </w:tcPr>
          <w:p w14:paraId="4355705C" w14:textId="77777777" w:rsidR="00C2417B" w:rsidRDefault="00C2417B" w:rsidP="00C2417B">
            <w:pPr>
              <w:jc w:val="right"/>
              <w:rPr>
                <w:b/>
                <w:bCs/>
                <w:sz w:val="18"/>
                <w:szCs w:val="18"/>
                <w:lang w:val="en-GB"/>
              </w:rPr>
            </w:pPr>
          </w:p>
        </w:tc>
      </w:tr>
      <w:tr w:rsidR="00C2417B" w14:paraId="015709A8" w14:textId="77777777" w:rsidTr="00C2417B">
        <w:tc>
          <w:tcPr>
            <w:tcW w:w="4395" w:type="dxa"/>
            <w:vAlign w:val="bottom"/>
          </w:tcPr>
          <w:p w14:paraId="6995A4B1" w14:textId="77777777" w:rsidR="00C2417B" w:rsidRDefault="00C2417B" w:rsidP="00C2417B">
            <w:pPr>
              <w:jc w:val="both"/>
              <w:rPr>
                <w:sz w:val="18"/>
                <w:szCs w:val="18"/>
                <w:lang w:val="en-GB" w:eastAsia="nl-NL"/>
              </w:rPr>
            </w:pPr>
          </w:p>
        </w:tc>
        <w:tc>
          <w:tcPr>
            <w:tcW w:w="1119" w:type="dxa"/>
            <w:vAlign w:val="bottom"/>
          </w:tcPr>
          <w:p w14:paraId="2CDC02E7" w14:textId="77777777" w:rsidR="00C2417B" w:rsidRPr="00D03582" w:rsidRDefault="00C2417B" w:rsidP="00C2417B">
            <w:pPr>
              <w:rPr>
                <w:sz w:val="18"/>
                <w:szCs w:val="18"/>
                <w:lang w:val="en-GB" w:eastAsia="en-GB"/>
              </w:rPr>
            </w:pPr>
          </w:p>
        </w:tc>
        <w:tc>
          <w:tcPr>
            <w:tcW w:w="253" w:type="dxa"/>
            <w:vAlign w:val="bottom"/>
          </w:tcPr>
          <w:p w14:paraId="0F682147" w14:textId="77777777" w:rsidR="00C2417B" w:rsidRDefault="00C2417B" w:rsidP="00C2417B">
            <w:pPr>
              <w:jc w:val="right"/>
              <w:rPr>
                <w:b/>
                <w:bCs/>
                <w:sz w:val="18"/>
                <w:szCs w:val="18"/>
                <w:lang w:val="en-GB"/>
              </w:rPr>
            </w:pPr>
          </w:p>
        </w:tc>
        <w:tc>
          <w:tcPr>
            <w:tcW w:w="965" w:type="dxa"/>
            <w:vAlign w:val="bottom"/>
          </w:tcPr>
          <w:p w14:paraId="28D14D9A" w14:textId="77777777" w:rsidR="00C2417B" w:rsidRPr="00D03582" w:rsidRDefault="00C2417B" w:rsidP="00C2417B">
            <w:pPr>
              <w:rPr>
                <w:sz w:val="18"/>
                <w:szCs w:val="18"/>
                <w:lang w:val="en-GB" w:eastAsia="en-GB"/>
              </w:rPr>
            </w:pPr>
          </w:p>
        </w:tc>
        <w:tc>
          <w:tcPr>
            <w:tcW w:w="253" w:type="dxa"/>
            <w:vAlign w:val="bottom"/>
          </w:tcPr>
          <w:p w14:paraId="009AD841" w14:textId="77777777" w:rsidR="00C2417B" w:rsidRDefault="00C2417B" w:rsidP="00C2417B">
            <w:pPr>
              <w:jc w:val="right"/>
              <w:rPr>
                <w:b/>
                <w:bCs/>
                <w:sz w:val="18"/>
                <w:szCs w:val="18"/>
                <w:lang w:val="en-GB"/>
              </w:rPr>
            </w:pPr>
          </w:p>
        </w:tc>
        <w:tc>
          <w:tcPr>
            <w:tcW w:w="1209" w:type="dxa"/>
            <w:vAlign w:val="bottom"/>
          </w:tcPr>
          <w:p w14:paraId="4F66D7C8" w14:textId="77777777" w:rsidR="00C2417B" w:rsidRPr="00D03582" w:rsidRDefault="00C2417B" w:rsidP="00C2417B">
            <w:pPr>
              <w:rPr>
                <w:sz w:val="18"/>
                <w:szCs w:val="18"/>
                <w:lang w:val="en-GB" w:eastAsia="en-GB"/>
              </w:rPr>
            </w:pPr>
          </w:p>
        </w:tc>
        <w:tc>
          <w:tcPr>
            <w:tcW w:w="248" w:type="dxa"/>
            <w:vAlign w:val="bottom"/>
          </w:tcPr>
          <w:p w14:paraId="3770E6E7" w14:textId="77777777" w:rsidR="00C2417B" w:rsidRDefault="00C2417B" w:rsidP="00C2417B">
            <w:pPr>
              <w:jc w:val="right"/>
              <w:rPr>
                <w:b/>
                <w:bCs/>
                <w:sz w:val="18"/>
                <w:szCs w:val="18"/>
                <w:lang w:val="en-GB"/>
              </w:rPr>
            </w:pPr>
          </w:p>
        </w:tc>
      </w:tr>
      <w:tr w:rsidR="00C2417B" w14:paraId="58BD508B" w14:textId="77777777" w:rsidTr="00C2417B">
        <w:tc>
          <w:tcPr>
            <w:tcW w:w="4395" w:type="dxa"/>
            <w:vAlign w:val="bottom"/>
          </w:tcPr>
          <w:p w14:paraId="031A2E6D" w14:textId="77777777" w:rsidR="00C2417B" w:rsidRDefault="00C2417B" w:rsidP="00C2417B">
            <w:pPr>
              <w:jc w:val="both"/>
              <w:rPr>
                <w:sz w:val="18"/>
                <w:szCs w:val="18"/>
                <w:lang w:val="en-GB" w:eastAsia="nl-NL"/>
              </w:rPr>
            </w:pPr>
            <w:r>
              <w:rPr>
                <w:sz w:val="18"/>
                <w:szCs w:val="18"/>
                <w:lang w:val="en-GB" w:eastAsia="nl-NL"/>
              </w:rPr>
              <w:t>IFRS net rental income</w:t>
            </w:r>
          </w:p>
        </w:tc>
        <w:tc>
          <w:tcPr>
            <w:tcW w:w="1119" w:type="dxa"/>
            <w:vAlign w:val="bottom"/>
          </w:tcPr>
          <w:p w14:paraId="1E73CE83"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8,598 </w:t>
            </w:r>
          </w:p>
        </w:tc>
        <w:tc>
          <w:tcPr>
            <w:tcW w:w="253" w:type="dxa"/>
            <w:vAlign w:val="bottom"/>
          </w:tcPr>
          <w:p w14:paraId="5BC63E6E" w14:textId="77777777" w:rsidR="00C2417B" w:rsidRDefault="00C2417B" w:rsidP="00C2417B">
            <w:pPr>
              <w:jc w:val="right"/>
              <w:rPr>
                <w:b/>
                <w:bCs/>
                <w:sz w:val="18"/>
                <w:szCs w:val="18"/>
                <w:lang w:val="en-GB"/>
              </w:rPr>
            </w:pPr>
          </w:p>
        </w:tc>
        <w:tc>
          <w:tcPr>
            <w:tcW w:w="965" w:type="dxa"/>
            <w:vAlign w:val="bottom"/>
          </w:tcPr>
          <w:p w14:paraId="5F55F46A"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12,581 </w:t>
            </w:r>
          </w:p>
        </w:tc>
        <w:tc>
          <w:tcPr>
            <w:tcW w:w="253" w:type="dxa"/>
            <w:vAlign w:val="bottom"/>
          </w:tcPr>
          <w:p w14:paraId="7F8E5E9F" w14:textId="77777777" w:rsidR="00C2417B" w:rsidRDefault="00C2417B" w:rsidP="00C2417B">
            <w:pPr>
              <w:jc w:val="right"/>
              <w:rPr>
                <w:b/>
                <w:bCs/>
                <w:sz w:val="18"/>
                <w:szCs w:val="18"/>
                <w:lang w:val="en-GB"/>
              </w:rPr>
            </w:pPr>
          </w:p>
        </w:tc>
        <w:tc>
          <w:tcPr>
            <w:tcW w:w="1209" w:type="dxa"/>
            <w:vAlign w:val="bottom"/>
          </w:tcPr>
          <w:p w14:paraId="13D0EAFB"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16,138 </w:t>
            </w:r>
          </w:p>
        </w:tc>
        <w:tc>
          <w:tcPr>
            <w:tcW w:w="248" w:type="dxa"/>
            <w:vAlign w:val="bottom"/>
          </w:tcPr>
          <w:p w14:paraId="50D36457" w14:textId="77777777" w:rsidR="00C2417B" w:rsidRDefault="00C2417B" w:rsidP="00C2417B">
            <w:pPr>
              <w:jc w:val="right"/>
              <w:rPr>
                <w:b/>
                <w:bCs/>
                <w:sz w:val="18"/>
                <w:szCs w:val="18"/>
                <w:lang w:val="en-GB"/>
              </w:rPr>
            </w:pPr>
          </w:p>
        </w:tc>
      </w:tr>
      <w:tr w:rsidR="00C2417B" w14:paraId="5A058964" w14:textId="77777777" w:rsidTr="00C2417B">
        <w:tc>
          <w:tcPr>
            <w:tcW w:w="4395" w:type="dxa"/>
            <w:vAlign w:val="bottom"/>
          </w:tcPr>
          <w:p w14:paraId="71C7D6C2" w14:textId="77777777" w:rsidR="00C2417B" w:rsidRDefault="00C2417B" w:rsidP="00C2417B">
            <w:pPr>
              <w:jc w:val="both"/>
              <w:rPr>
                <w:sz w:val="18"/>
                <w:szCs w:val="18"/>
                <w:lang w:val="en-GB" w:eastAsia="nl-NL"/>
              </w:rPr>
            </w:pPr>
            <w:r>
              <w:rPr>
                <w:sz w:val="18"/>
                <w:szCs w:val="18"/>
                <w:lang w:val="en-GB" w:eastAsia="nl-NL"/>
              </w:rPr>
              <w:t>Net rental income JV (at share)</w:t>
            </w:r>
          </w:p>
        </w:tc>
        <w:tc>
          <w:tcPr>
            <w:tcW w:w="1119" w:type="dxa"/>
            <w:tcBorders>
              <w:bottom w:val="single" w:sz="4" w:space="0" w:color="auto"/>
            </w:tcBorders>
            <w:vAlign w:val="bottom"/>
          </w:tcPr>
          <w:p w14:paraId="1A86D0C2"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7,538 </w:t>
            </w:r>
          </w:p>
        </w:tc>
        <w:tc>
          <w:tcPr>
            <w:tcW w:w="253" w:type="dxa"/>
            <w:vAlign w:val="bottom"/>
          </w:tcPr>
          <w:p w14:paraId="410354C1" w14:textId="77777777" w:rsidR="00C2417B" w:rsidRDefault="00C2417B" w:rsidP="00C2417B">
            <w:pPr>
              <w:jc w:val="right"/>
              <w:rPr>
                <w:b/>
                <w:bCs/>
                <w:sz w:val="18"/>
                <w:szCs w:val="18"/>
                <w:lang w:val="en-GB"/>
              </w:rPr>
            </w:pPr>
          </w:p>
        </w:tc>
        <w:tc>
          <w:tcPr>
            <w:tcW w:w="965" w:type="dxa"/>
            <w:tcBorders>
              <w:bottom w:val="single" w:sz="4" w:space="0" w:color="auto"/>
            </w:tcBorders>
            <w:vAlign w:val="bottom"/>
          </w:tcPr>
          <w:p w14:paraId="37D74562"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920 </w:t>
            </w:r>
          </w:p>
        </w:tc>
        <w:tc>
          <w:tcPr>
            <w:tcW w:w="253" w:type="dxa"/>
            <w:vAlign w:val="bottom"/>
          </w:tcPr>
          <w:p w14:paraId="588D8F33" w14:textId="77777777" w:rsidR="00C2417B" w:rsidRDefault="00C2417B" w:rsidP="00C2417B">
            <w:pPr>
              <w:jc w:val="right"/>
              <w:rPr>
                <w:b/>
                <w:bCs/>
                <w:sz w:val="18"/>
                <w:szCs w:val="18"/>
                <w:lang w:val="en-GB"/>
              </w:rPr>
            </w:pPr>
          </w:p>
        </w:tc>
        <w:tc>
          <w:tcPr>
            <w:tcW w:w="1209" w:type="dxa"/>
            <w:tcBorders>
              <w:bottom w:val="single" w:sz="4" w:space="0" w:color="auto"/>
            </w:tcBorders>
            <w:vAlign w:val="bottom"/>
          </w:tcPr>
          <w:p w14:paraId="49BB861F"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8,017 </w:t>
            </w:r>
          </w:p>
        </w:tc>
        <w:tc>
          <w:tcPr>
            <w:tcW w:w="248" w:type="dxa"/>
            <w:vAlign w:val="bottom"/>
          </w:tcPr>
          <w:p w14:paraId="3A1530FF" w14:textId="77777777" w:rsidR="00C2417B" w:rsidRDefault="00C2417B" w:rsidP="00C2417B">
            <w:pPr>
              <w:jc w:val="right"/>
              <w:rPr>
                <w:b/>
                <w:bCs/>
                <w:sz w:val="18"/>
                <w:szCs w:val="18"/>
                <w:lang w:val="en-GB"/>
              </w:rPr>
            </w:pPr>
          </w:p>
        </w:tc>
      </w:tr>
      <w:tr w:rsidR="00C2417B" w14:paraId="73805317" w14:textId="77777777" w:rsidTr="00C2417B">
        <w:tc>
          <w:tcPr>
            <w:tcW w:w="4395" w:type="dxa"/>
            <w:vAlign w:val="bottom"/>
          </w:tcPr>
          <w:p w14:paraId="2174AA9B" w14:textId="7BECBE93" w:rsidR="00C2417B" w:rsidRDefault="00C2417B" w:rsidP="00521876">
            <w:pPr>
              <w:jc w:val="both"/>
              <w:rPr>
                <w:b/>
                <w:bCs/>
                <w:sz w:val="18"/>
                <w:szCs w:val="18"/>
                <w:u w:val="single"/>
                <w:lang w:val="en-GB" w:eastAsia="nl-NL"/>
              </w:rPr>
            </w:pPr>
            <w:r>
              <w:rPr>
                <w:sz w:val="18"/>
                <w:szCs w:val="18"/>
                <w:lang w:val="en-GB" w:eastAsia="nl-NL"/>
              </w:rPr>
              <w:lastRenderedPageBreak/>
              <w:t xml:space="preserve">Net rental income </w:t>
            </w:r>
            <w:r w:rsidR="00521876">
              <w:rPr>
                <w:sz w:val="18"/>
                <w:szCs w:val="18"/>
                <w:lang w:val="en-GB" w:eastAsia="nl-NL"/>
              </w:rPr>
              <w:t>taking into account VGP’ share in the Joint Venture</w:t>
            </w:r>
          </w:p>
        </w:tc>
        <w:tc>
          <w:tcPr>
            <w:tcW w:w="1119" w:type="dxa"/>
            <w:tcBorders>
              <w:top w:val="single" w:sz="4" w:space="0" w:color="auto"/>
            </w:tcBorders>
            <w:vAlign w:val="bottom"/>
          </w:tcPr>
          <w:p w14:paraId="13C1B7A8"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16,136 </w:t>
            </w:r>
          </w:p>
        </w:tc>
        <w:tc>
          <w:tcPr>
            <w:tcW w:w="253" w:type="dxa"/>
            <w:vAlign w:val="bottom"/>
          </w:tcPr>
          <w:p w14:paraId="09AF561E" w14:textId="77777777" w:rsidR="00C2417B" w:rsidRDefault="00C2417B" w:rsidP="00C2417B">
            <w:pPr>
              <w:jc w:val="right"/>
              <w:rPr>
                <w:b/>
                <w:bCs/>
                <w:sz w:val="18"/>
                <w:szCs w:val="18"/>
                <w:lang w:val="en-GB"/>
              </w:rPr>
            </w:pPr>
          </w:p>
        </w:tc>
        <w:tc>
          <w:tcPr>
            <w:tcW w:w="965" w:type="dxa"/>
            <w:tcBorders>
              <w:top w:val="single" w:sz="4" w:space="0" w:color="auto"/>
            </w:tcBorders>
            <w:vAlign w:val="bottom"/>
          </w:tcPr>
          <w:p w14:paraId="26876536"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13,501 </w:t>
            </w:r>
          </w:p>
        </w:tc>
        <w:tc>
          <w:tcPr>
            <w:tcW w:w="253" w:type="dxa"/>
            <w:vAlign w:val="bottom"/>
          </w:tcPr>
          <w:p w14:paraId="334297D1" w14:textId="77777777" w:rsidR="00C2417B" w:rsidRDefault="00C2417B" w:rsidP="00C2417B">
            <w:pPr>
              <w:jc w:val="right"/>
              <w:rPr>
                <w:b/>
                <w:bCs/>
                <w:sz w:val="18"/>
                <w:szCs w:val="18"/>
                <w:lang w:val="en-GB"/>
              </w:rPr>
            </w:pPr>
          </w:p>
        </w:tc>
        <w:tc>
          <w:tcPr>
            <w:tcW w:w="1209" w:type="dxa"/>
            <w:tcBorders>
              <w:top w:val="single" w:sz="4" w:space="0" w:color="auto"/>
            </w:tcBorders>
            <w:vAlign w:val="bottom"/>
          </w:tcPr>
          <w:p w14:paraId="1CC7068B"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24,155 </w:t>
            </w:r>
          </w:p>
        </w:tc>
        <w:tc>
          <w:tcPr>
            <w:tcW w:w="248" w:type="dxa"/>
            <w:vAlign w:val="bottom"/>
          </w:tcPr>
          <w:p w14:paraId="1A52BF44" w14:textId="77777777" w:rsidR="00C2417B" w:rsidRDefault="00C2417B" w:rsidP="00C2417B">
            <w:pPr>
              <w:jc w:val="right"/>
              <w:rPr>
                <w:b/>
                <w:bCs/>
                <w:sz w:val="18"/>
                <w:szCs w:val="18"/>
                <w:lang w:val="en-GB"/>
              </w:rPr>
            </w:pPr>
          </w:p>
        </w:tc>
      </w:tr>
    </w:tbl>
    <w:p w14:paraId="1D008CD3" w14:textId="77777777" w:rsidR="00C2417B" w:rsidRPr="005B440C" w:rsidRDefault="00C2417B" w:rsidP="00C2417B">
      <w:pPr>
        <w:jc w:val="both"/>
        <w:rPr>
          <w:bCs/>
          <w:sz w:val="18"/>
          <w:szCs w:val="18"/>
          <w:lang w:val="en-GB"/>
        </w:rPr>
      </w:pPr>
    </w:p>
    <w:p w14:paraId="2E9D3F9C" w14:textId="77777777" w:rsidR="00C2417B" w:rsidRPr="00B86B53" w:rsidRDefault="00C2417B" w:rsidP="00B86B53">
      <w:pPr>
        <w:pStyle w:val="VulcanIIbody"/>
        <w:rPr>
          <w:rFonts w:eastAsiaTheme="minorEastAsia"/>
        </w:rPr>
      </w:pPr>
      <w:r w:rsidRPr="00B86B53">
        <w:rPr>
          <w:rFonts w:eastAsiaTheme="minorEastAsia"/>
        </w:rPr>
        <w:t>The following table sets out a reconciliation of IFRS share in results of associates and joint ventures to the Joint Venture rental income at share:</w:t>
      </w:r>
    </w:p>
    <w:p w14:paraId="619E1AD0" w14:textId="77777777" w:rsidR="00C2417B" w:rsidRPr="005B440C" w:rsidRDefault="00C2417B" w:rsidP="00C2417B">
      <w:pPr>
        <w:jc w:val="both"/>
        <w:rPr>
          <w:bCs/>
          <w:sz w:val="18"/>
          <w:szCs w:val="18"/>
          <w:lang w:val="en-GB"/>
        </w:rPr>
      </w:pPr>
    </w:p>
    <w:tbl>
      <w:tblPr>
        <w:tblStyle w:val="TableGrid8"/>
        <w:tblW w:w="8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119"/>
        <w:gridCol w:w="253"/>
        <w:gridCol w:w="965"/>
        <w:gridCol w:w="253"/>
        <w:gridCol w:w="1209"/>
        <w:gridCol w:w="248"/>
      </w:tblGrid>
      <w:tr w:rsidR="00C2417B" w14:paraId="1662547B" w14:textId="77777777" w:rsidTr="00C2417B">
        <w:tc>
          <w:tcPr>
            <w:tcW w:w="4395" w:type="dxa"/>
            <w:vAlign w:val="bottom"/>
          </w:tcPr>
          <w:p w14:paraId="097780EC" w14:textId="77777777" w:rsidR="00C2417B" w:rsidRPr="005B440C" w:rsidRDefault="00C2417B" w:rsidP="00C2417B">
            <w:pPr>
              <w:jc w:val="both"/>
              <w:rPr>
                <w:bCs/>
                <w:i/>
                <w:sz w:val="18"/>
                <w:szCs w:val="18"/>
                <w:lang w:val="en-GB"/>
              </w:rPr>
            </w:pPr>
            <w:r w:rsidRPr="005B440C">
              <w:rPr>
                <w:bCs/>
                <w:i/>
                <w:sz w:val="18"/>
                <w:szCs w:val="18"/>
                <w:lang w:val="en-GB"/>
              </w:rPr>
              <w:t>In thousands of €</w:t>
            </w:r>
          </w:p>
        </w:tc>
        <w:tc>
          <w:tcPr>
            <w:tcW w:w="2337" w:type="dxa"/>
            <w:gridSpan w:val="3"/>
            <w:tcBorders>
              <w:bottom w:val="single" w:sz="4" w:space="0" w:color="auto"/>
            </w:tcBorders>
            <w:vAlign w:val="bottom"/>
          </w:tcPr>
          <w:p w14:paraId="48998BAA" w14:textId="77777777" w:rsidR="00C2417B" w:rsidRDefault="00C2417B" w:rsidP="00C2417B">
            <w:pPr>
              <w:jc w:val="center"/>
              <w:rPr>
                <w:b/>
                <w:bCs/>
                <w:sz w:val="18"/>
                <w:szCs w:val="18"/>
                <w:lang w:val="en-GB" w:eastAsia="zh-TW"/>
              </w:rPr>
            </w:pPr>
            <w:r>
              <w:rPr>
                <w:b/>
                <w:bCs/>
                <w:sz w:val="18"/>
                <w:szCs w:val="18"/>
                <w:lang w:val="en-GB" w:eastAsia="zh-TW"/>
              </w:rPr>
              <w:t>As at 30-Jun</w:t>
            </w:r>
          </w:p>
        </w:tc>
        <w:tc>
          <w:tcPr>
            <w:tcW w:w="253" w:type="dxa"/>
            <w:vAlign w:val="bottom"/>
          </w:tcPr>
          <w:p w14:paraId="458FDFDC" w14:textId="77777777" w:rsidR="00C2417B" w:rsidRDefault="00C2417B" w:rsidP="00C2417B">
            <w:pPr>
              <w:jc w:val="both"/>
              <w:rPr>
                <w:b/>
                <w:bCs/>
                <w:sz w:val="18"/>
                <w:szCs w:val="18"/>
                <w:lang w:val="en-GB"/>
              </w:rPr>
            </w:pPr>
          </w:p>
        </w:tc>
        <w:tc>
          <w:tcPr>
            <w:tcW w:w="1209" w:type="dxa"/>
            <w:vAlign w:val="bottom"/>
          </w:tcPr>
          <w:p w14:paraId="3B8BD25D" w14:textId="77777777" w:rsidR="00C2417B" w:rsidRDefault="00C2417B" w:rsidP="00C2417B">
            <w:pPr>
              <w:jc w:val="center"/>
              <w:rPr>
                <w:b/>
                <w:bCs/>
                <w:sz w:val="18"/>
                <w:szCs w:val="18"/>
                <w:lang w:val="en-GB" w:eastAsia="zh-TW"/>
              </w:rPr>
            </w:pPr>
            <w:r>
              <w:rPr>
                <w:b/>
                <w:bCs/>
                <w:sz w:val="18"/>
                <w:szCs w:val="18"/>
                <w:lang w:val="en-GB" w:eastAsia="zh-TW"/>
              </w:rPr>
              <w:t>As at 31-Dec</w:t>
            </w:r>
          </w:p>
        </w:tc>
        <w:tc>
          <w:tcPr>
            <w:tcW w:w="248" w:type="dxa"/>
            <w:vAlign w:val="bottom"/>
          </w:tcPr>
          <w:p w14:paraId="7E1212A6" w14:textId="77777777" w:rsidR="00C2417B" w:rsidRDefault="00C2417B" w:rsidP="00C2417B">
            <w:pPr>
              <w:jc w:val="center"/>
              <w:rPr>
                <w:b/>
                <w:bCs/>
                <w:sz w:val="18"/>
                <w:szCs w:val="18"/>
                <w:lang w:val="en-GB" w:eastAsia="zh-TW"/>
              </w:rPr>
            </w:pPr>
          </w:p>
        </w:tc>
      </w:tr>
      <w:tr w:rsidR="00C2417B" w14:paraId="28000BEA" w14:textId="77777777" w:rsidTr="00C2417B">
        <w:tc>
          <w:tcPr>
            <w:tcW w:w="4395" w:type="dxa"/>
            <w:vAlign w:val="bottom"/>
          </w:tcPr>
          <w:p w14:paraId="554FB4FF" w14:textId="77777777" w:rsidR="00C2417B" w:rsidRDefault="00C2417B" w:rsidP="00C2417B">
            <w:pPr>
              <w:jc w:val="both"/>
              <w:rPr>
                <w:b/>
                <w:bCs/>
                <w:sz w:val="18"/>
                <w:szCs w:val="18"/>
                <w:lang w:val="en-GB"/>
              </w:rPr>
            </w:pPr>
          </w:p>
        </w:tc>
        <w:tc>
          <w:tcPr>
            <w:tcW w:w="1119" w:type="dxa"/>
            <w:tcBorders>
              <w:top w:val="single" w:sz="4" w:space="0" w:color="auto"/>
              <w:bottom w:val="single" w:sz="4" w:space="0" w:color="auto"/>
            </w:tcBorders>
            <w:vAlign w:val="bottom"/>
          </w:tcPr>
          <w:p w14:paraId="6DDF6AF5" w14:textId="77777777" w:rsidR="00C2417B" w:rsidRDefault="00C2417B" w:rsidP="00C2417B">
            <w:pPr>
              <w:jc w:val="right"/>
              <w:rPr>
                <w:b/>
                <w:bCs/>
                <w:sz w:val="18"/>
                <w:szCs w:val="18"/>
                <w:lang w:val="en-GB"/>
              </w:rPr>
            </w:pPr>
            <w:r>
              <w:rPr>
                <w:b/>
                <w:bCs/>
                <w:sz w:val="18"/>
                <w:szCs w:val="18"/>
                <w:lang w:val="en-GB" w:eastAsia="zh-TW"/>
              </w:rPr>
              <w:t>2017</w:t>
            </w:r>
          </w:p>
        </w:tc>
        <w:tc>
          <w:tcPr>
            <w:tcW w:w="253" w:type="dxa"/>
            <w:vAlign w:val="bottom"/>
          </w:tcPr>
          <w:p w14:paraId="2F172E6B" w14:textId="77777777" w:rsidR="00C2417B" w:rsidRDefault="00C2417B" w:rsidP="00C2417B">
            <w:pPr>
              <w:jc w:val="right"/>
              <w:rPr>
                <w:b/>
                <w:bCs/>
                <w:sz w:val="18"/>
                <w:szCs w:val="18"/>
                <w:lang w:val="en-GB"/>
              </w:rPr>
            </w:pPr>
          </w:p>
        </w:tc>
        <w:tc>
          <w:tcPr>
            <w:tcW w:w="965" w:type="dxa"/>
            <w:tcBorders>
              <w:top w:val="single" w:sz="4" w:space="0" w:color="auto"/>
              <w:bottom w:val="single" w:sz="4" w:space="0" w:color="auto"/>
            </w:tcBorders>
            <w:vAlign w:val="bottom"/>
          </w:tcPr>
          <w:p w14:paraId="275C8AA0" w14:textId="77777777" w:rsidR="00C2417B" w:rsidRDefault="00C2417B" w:rsidP="00C2417B">
            <w:pPr>
              <w:jc w:val="right"/>
              <w:rPr>
                <w:b/>
                <w:bCs/>
                <w:sz w:val="18"/>
                <w:szCs w:val="18"/>
                <w:lang w:val="en-GB"/>
              </w:rPr>
            </w:pPr>
            <w:r>
              <w:rPr>
                <w:b/>
                <w:bCs/>
                <w:sz w:val="18"/>
                <w:szCs w:val="18"/>
                <w:lang w:val="en-GB"/>
              </w:rPr>
              <w:t>2016</w:t>
            </w:r>
          </w:p>
        </w:tc>
        <w:tc>
          <w:tcPr>
            <w:tcW w:w="253" w:type="dxa"/>
            <w:vAlign w:val="bottom"/>
          </w:tcPr>
          <w:p w14:paraId="243EE81B" w14:textId="77777777" w:rsidR="00C2417B" w:rsidRDefault="00C2417B" w:rsidP="00C2417B">
            <w:pPr>
              <w:jc w:val="right"/>
              <w:rPr>
                <w:b/>
                <w:bCs/>
                <w:sz w:val="18"/>
                <w:szCs w:val="18"/>
                <w:lang w:val="en-GB"/>
              </w:rPr>
            </w:pPr>
          </w:p>
        </w:tc>
        <w:tc>
          <w:tcPr>
            <w:tcW w:w="1209" w:type="dxa"/>
            <w:tcBorders>
              <w:top w:val="single" w:sz="4" w:space="0" w:color="auto"/>
              <w:bottom w:val="single" w:sz="4" w:space="0" w:color="auto"/>
            </w:tcBorders>
            <w:vAlign w:val="bottom"/>
          </w:tcPr>
          <w:p w14:paraId="1C5B0E55" w14:textId="77777777" w:rsidR="00C2417B" w:rsidRDefault="00C2417B" w:rsidP="00C2417B">
            <w:pPr>
              <w:jc w:val="right"/>
              <w:rPr>
                <w:b/>
                <w:bCs/>
                <w:sz w:val="18"/>
                <w:szCs w:val="18"/>
                <w:lang w:val="en-GB"/>
              </w:rPr>
            </w:pPr>
            <w:r>
              <w:rPr>
                <w:b/>
                <w:bCs/>
                <w:sz w:val="18"/>
                <w:szCs w:val="18"/>
                <w:lang w:val="en-GB"/>
              </w:rPr>
              <w:t>2016</w:t>
            </w:r>
          </w:p>
        </w:tc>
        <w:tc>
          <w:tcPr>
            <w:tcW w:w="248" w:type="dxa"/>
            <w:tcBorders>
              <w:top w:val="single" w:sz="4" w:space="0" w:color="auto"/>
            </w:tcBorders>
            <w:vAlign w:val="bottom"/>
          </w:tcPr>
          <w:p w14:paraId="6C418108" w14:textId="77777777" w:rsidR="00C2417B" w:rsidRDefault="00C2417B" w:rsidP="00C2417B">
            <w:pPr>
              <w:jc w:val="right"/>
              <w:rPr>
                <w:b/>
                <w:bCs/>
                <w:sz w:val="18"/>
                <w:szCs w:val="18"/>
                <w:lang w:val="en-GB"/>
              </w:rPr>
            </w:pPr>
          </w:p>
        </w:tc>
      </w:tr>
      <w:tr w:rsidR="00C2417B" w14:paraId="1825EE48" w14:textId="77777777" w:rsidTr="00C2417B">
        <w:tc>
          <w:tcPr>
            <w:tcW w:w="4395" w:type="dxa"/>
            <w:vAlign w:val="bottom"/>
          </w:tcPr>
          <w:p w14:paraId="24D5DB2A" w14:textId="77777777" w:rsidR="00C2417B" w:rsidRDefault="00C2417B" w:rsidP="00C2417B">
            <w:pPr>
              <w:jc w:val="both"/>
              <w:rPr>
                <w:sz w:val="18"/>
                <w:szCs w:val="18"/>
                <w:lang w:val="en-GB" w:eastAsia="nl-NL"/>
              </w:rPr>
            </w:pPr>
          </w:p>
        </w:tc>
        <w:tc>
          <w:tcPr>
            <w:tcW w:w="1119" w:type="dxa"/>
            <w:vAlign w:val="bottom"/>
          </w:tcPr>
          <w:p w14:paraId="3B4594DA" w14:textId="77777777" w:rsidR="00C2417B" w:rsidRPr="00D03582" w:rsidRDefault="00C2417B" w:rsidP="00C2417B">
            <w:pPr>
              <w:jc w:val="right"/>
              <w:rPr>
                <w:color w:val="000000"/>
                <w:sz w:val="18"/>
                <w:szCs w:val="18"/>
                <w:lang w:val="en-GB" w:eastAsia="en-GB"/>
              </w:rPr>
            </w:pPr>
          </w:p>
        </w:tc>
        <w:tc>
          <w:tcPr>
            <w:tcW w:w="253" w:type="dxa"/>
            <w:vAlign w:val="bottom"/>
          </w:tcPr>
          <w:p w14:paraId="776C4AAE" w14:textId="77777777" w:rsidR="00C2417B" w:rsidRDefault="00C2417B" w:rsidP="00C2417B">
            <w:pPr>
              <w:jc w:val="right"/>
              <w:rPr>
                <w:b/>
                <w:bCs/>
                <w:sz w:val="18"/>
                <w:szCs w:val="18"/>
                <w:lang w:val="en-GB"/>
              </w:rPr>
            </w:pPr>
          </w:p>
        </w:tc>
        <w:tc>
          <w:tcPr>
            <w:tcW w:w="965" w:type="dxa"/>
            <w:vAlign w:val="bottom"/>
          </w:tcPr>
          <w:p w14:paraId="1079ED19" w14:textId="77777777" w:rsidR="00C2417B" w:rsidRPr="00D03582" w:rsidRDefault="00C2417B" w:rsidP="00C2417B">
            <w:pPr>
              <w:jc w:val="right"/>
              <w:rPr>
                <w:color w:val="000000"/>
                <w:sz w:val="18"/>
                <w:szCs w:val="18"/>
                <w:lang w:val="en-GB" w:eastAsia="en-GB"/>
              </w:rPr>
            </w:pPr>
          </w:p>
        </w:tc>
        <w:tc>
          <w:tcPr>
            <w:tcW w:w="253" w:type="dxa"/>
            <w:vAlign w:val="bottom"/>
          </w:tcPr>
          <w:p w14:paraId="3089A389" w14:textId="77777777" w:rsidR="00C2417B" w:rsidRDefault="00C2417B" w:rsidP="00C2417B">
            <w:pPr>
              <w:jc w:val="right"/>
              <w:rPr>
                <w:b/>
                <w:bCs/>
                <w:sz w:val="18"/>
                <w:szCs w:val="18"/>
                <w:lang w:val="en-GB"/>
              </w:rPr>
            </w:pPr>
          </w:p>
        </w:tc>
        <w:tc>
          <w:tcPr>
            <w:tcW w:w="1209" w:type="dxa"/>
            <w:vAlign w:val="bottom"/>
          </w:tcPr>
          <w:p w14:paraId="2B53953D" w14:textId="77777777" w:rsidR="00C2417B" w:rsidRPr="00D03582" w:rsidRDefault="00C2417B" w:rsidP="00C2417B">
            <w:pPr>
              <w:jc w:val="right"/>
              <w:rPr>
                <w:color w:val="000000"/>
                <w:sz w:val="18"/>
                <w:szCs w:val="18"/>
                <w:lang w:val="en-GB" w:eastAsia="en-GB"/>
              </w:rPr>
            </w:pPr>
          </w:p>
        </w:tc>
        <w:tc>
          <w:tcPr>
            <w:tcW w:w="248" w:type="dxa"/>
            <w:vAlign w:val="bottom"/>
          </w:tcPr>
          <w:p w14:paraId="4091102A" w14:textId="77777777" w:rsidR="00C2417B" w:rsidRDefault="00C2417B" w:rsidP="00C2417B">
            <w:pPr>
              <w:jc w:val="right"/>
              <w:rPr>
                <w:b/>
                <w:bCs/>
                <w:sz w:val="18"/>
                <w:szCs w:val="18"/>
                <w:lang w:val="en-GB"/>
              </w:rPr>
            </w:pPr>
          </w:p>
        </w:tc>
      </w:tr>
      <w:tr w:rsidR="00C2417B" w14:paraId="2E90E808" w14:textId="77777777" w:rsidTr="00C2417B">
        <w:tc>
          <w:tcPr>
            <w:tcW w:w="4395" w:type="dxa"/>
            <w:vAlign w:val="bottom"/>
          </w:tcPr>
          <w:p w14:paraId="0232FD87" w14:textId="77777777" w:rsidR="00C2417B" w:rsidRPr="00D03582" w:rsidRDefault="00C2417B" w:rsidP="00C2417B">
            <w:pPr>
              <w:rPr>
                <w:color w:val="000000"/>
                <w:sz w:val="18"/>
                <w:szCs w:val="18"/>
                <w:lang w:val="en-GB" w:eastAsia="en-GB"/>
              </w:rPr>
            </w:pPr>
            <w:r>
              <w:rPr>
                <w:color w:val="000000"/>
                <w:sz w:val="18"/>
                <w:szCs w:val="18"/>
                <w:lang w:val="en-GB" w:eastAsia="en-GB"/>
              </w:rPr>
              <w:t xml:space="preserve">IFRS Share </w:t>
            </w:r>
            <w:r w:rsidRPr="00D03582">
              <w:rPr>
                <w:color w:val="000000"/>
                <w:sz w:val="18"/>
                <w:szCs w:val="18"/>
                <w:lang w:val="en-GB" w:eastAsia="en-GB"/>
              </w:rPr>
              <w:t>in results of associates and joint ventures</w:t>
            </w:r>
          </w:p>
        </w:tc>
        <w:tc>
          <w:tcPr>
            <w:tcW w:w="1119" w:type="dxa"/>
            <w:vAlign w:val="bottom"/>
          </w:tcPr>
          <w:p w14:paraId="7934CE73"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15,167 </w:t>
            </w:r>
          </w:p>
        </w:tc>
        <w:tc>
          <w:tcPr>
            <w:tcW w:w="253" w:type="dxa"/>
            <w:vAlign w:val="bottom"/>
          </w:tcPr>
          <w:p w14:paraId="79E10AA3" w14:textId="77777777" w:rsidR="00C2417B" w:rsidRDefault="00C2417B" w:rsidP="00C2417B">
            <w:pPr>
              <w:jc w:val="right"/>
              <w:rPr>
                <w:b/>
                <w:bCs/>
                <w:sz w:val="18"/>
                <w:szCs w:val="18"/>
                <w:lang w:val="en-GB"/>
              </w:rPr>
            </w:pPr>
          </w:p>
        </w:tc>
        <w:tc>
          <w:tcPr>
            <w:tcW w:w="965" w:type="dxa"/>
            <w:vAlign w:val="bottom"/>
          </w:tcPr>
          <w:p w14:paraId="4961FF88"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(3,279)</w:t>
            </w:r>
          </w:p>
        </w:tc>
        <w:tc>
          <w:tcPr>
            <w:tcW w:w="253" w:type="dxa"/>
            <w:vAlign w:val="bottom"/>
          </w:tcPr>
          <w:p w14:paraId="4F94E909" w14:textId="77777777" w:rsidR="00C2417B" w:rsidRDefault="00C2417B" w:rsidP="00C2417B">
            <w:pPr>
              <w:jc w:val="right"/>
              <w:rPr>
                <w:b/>
                <w:bCs/>
                <w:sz w:val="18"/>
                <w:szCs w:val="18"/>
                <w:lang w:val="en-GB"/>
              </w:rPr>
            </w:pPr>
          </w:p>
        </w:tc>
        <w:tc>
          <w:tcPr>
            <w:tcW w:w="1209" w:type="dxa"/>
            <w:vAlign w:val="bottom"/>
          </w:tcPr>
          <w:p w14:paraId="1EBCD5F0"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7,897 </w:t>
            </w:r>
          </w:p>
        </w:tc>
        <w:tc>
          <w:tcPr>
            <w:tcW w:w="248" w:type="dxa"/>
            <w:vAlign w:val="bottom"/>
          </w:tcPr>
          <w:p w14:paraId="4D681F98" w14:textId="77777777" w:rsidR="00C2417B" w:rsidRDefault="00C2417B" w:rsidP="00C2417B">
            <w:pPr>
              <w:jc w:val="right"/>
              <w:rPr>
                <w:b/>
                <w:bCs/>
                <w:sz w:val="18"/>
                <w:szCs w:val="18"/>
                <w:lang w:val="en-GB"/>
              </w:rPr>
            </w:pPr>
          </w:p>
        </w:tc>
      </w:tr>
      <w:tr w:rsidR="00C2417B" w14:paraId="1D096D25" w14:textId="77777777" w:rsidTr="00C2417B">
        <w:tc>
          <w:tcPr>
            <w:tcW w:w="4395" w:type="dxa"/>
            <w:vAlign w:val="bottom"/>
          </w:tcPr>
          <w:p w14:paraId="08223E45" w14:textId="77777777" w:rsidR="00C2417B" w:rsidRPr="00D03582" w:rsidRDefault="00C2417B" w:rsidP="00C2417B">
            <w:pPr>
              <w:rPr>
                <w:color w:val="000000"/>
                <w:sz w:val="18"/>
                <w:szCs w:val="18"/>
                <w:lang w:val="en-GB" w:eastAsia="en-GB"/>
              </w:rPr>
            </w:pPr>
            <w:r w:rsidRPr="00D03582">
              <w:rPr>
                <w:color w:val="000000"/>
                <w:sz w:val="18"/>
                <w:szCs w:val="18"/>
                <w:lang w:val="en-GB" w:eastAsia="en-GB"/>
              </w:rPr>
              <w:t>Taxes</w:t>
            </w:r>
          </w:p>
        </w:tc>
        <w:tc>
          <w:tcPr>
            <w:tcW w:w="1119" w:type="dxa"/>
            <w:vAlign w:val="bottom"/>
          </w:tcPr>
          <w:p w14:paraId="24BB9BDC"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3,330 </w:t>
            </w:r>
          </w:p>
        </w:tc>
        <w:tc>
          <w:tcPr>
            <w:tcW w:w="253" w:type="dxa"/>
            <w:vAlign w:val="bottom"/>
          </w:tcPr>
          <w:p w14:paraId="4C5702A4" w14:textId="77777777" w:rsidR="00C2417B" w:rsidRDefault="00C2417B" w:rsidP="00C2417B">
            <w:pPr>
              <w:jc w:val="right"/>
              <w:rPr>
                <w:b/>
                <w:bCs/>
                <w:sz w:val="18"/>
                <w:szCs w:val="18"/>
                <w:lang w:val="en-GB"/>
              </w:rPr>
            </w:pPr>
          </w:p>
        </w:tc>
        <w:tc>
          <w:tcPr>
            <w:tcW w:w="965" w:type="dxa"/>
            <w:vAlign w:val="bottom"/>
          </w:tcPr>
          <w:p w14:paraId="410D1E80"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(431)</w:t>
            </w:r>
          </w:p>
        </w:tc>
        <w:tc>
          <w:tcPr>
            <w:tcW w:w="253" w:type="dxa"/>
            <w:vAlign w:val="bottom"/>
          </w:tcPr>
          <w:p w14:paraId="2F57F4EF" w14:textId="77777777" w:rsidR="00C2417B" w:rsidRDefault="00C2417B" w:rsidP="00C2417B">
            <w:pPr>
              <w:jc w:val="right"/>
              <w:rPr>
                <w:b/>
                <w:bCs/>
                <w:sz w:val="18"/>
                <w:szCs w:val="18"/>
                <w:lang w:val="en-GB"/>
              </w:rPr>
            </w:pPr>
          </w:p>
        </w:tc>
        <w:tc>
          <w:tcPr>
            <w:tcW w:w="1209" w:type="dxa"/>
            <w:vAlign w:val="bottom"/>
          </w:tcPr>
          <w:p w14:paraId="5C5C45E5"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2,078 </w:t>
            </w:r>
          </w:p>
        </w:tc>
        <w:tc>
          <w:tcPr>
            <w:tcW w:w="248" w:type="dxa"/>
            <w:vAlign w:val="bottom"/>
          </w:tcPr>
          <w:p w14:paraId="5AF2508F" w14:textId="77777777" w:rsidR="00C2417B" w:rsidRDefault="00C2417B" w:rsidP="00C2417B">
            <w:pPr>
              <w:jc w:val="right"/>
              <w:rPr>
                <w:b/>
                <w:bCs/>
                <w:sz w:val="18"/>
                <w:szCs w:val="18"/>
                <w:lang w:val="en-GB"/>
              </w:rPr>
            </w:pPr>
          </w:p>
        </w:tc>
      </w:tr>
      <w:tr w:rsidR="00C2417B" w14:paraId="2DA33ED9" w14:textId="77777777" w:rsidTr="00C2417B">
        <w:tc>
          <w:tcPr>
            <w:tcW w:w="4395" w:type="dxa"/>
            <w:vAlign w:val="bottom"/>
          </w:tcPr>
          <w:p w14:paraId="0DACED33" w14:textId="77777777" w:rsidR="00C2417B" w:rsidRPr="00D03582" w:rsidRDefault="00C2417B" w:rsidP="00C2417B">
            <w:pPr>
              <w:rPr>
                <w:color w:val="000000"/>
                <w:sz w:val="18"/>
                <w:szCs w:val="18"/>
                <w:lang w:val="en-GB" w:eastAsia="en-GB"/>
              </w:rPr>
            </w:pPr>
            <w:r w:rsidRPr="00D03582">
              <w:rPr>
                <w:color w:val="000000"/>
                <w:sz w:val="18"/>
                <w:szCs w:val="18"/>
                <w:lang w:val="en-GB" w:eastAsia="en-GB"/>
              </w:rPr>
              <w:t>Net financial result</w:t>
            </w:r>
          </w:p>
        </w:tc>
        <w:tc>
          <w:tcPr>
            <w:tcW w:w="1119" w:type="dxa"/>
            <w:vAlign w:val="bottom"/>
          </w:tcPr>
          <w:p w14:paraId="3E147F51"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2,041 </w:t>
            </w:r>
          </w:p>
        </w:tc>
        <w:tc>
          <w:tcPr>
            <w:tcW w:w="253" w:type="dxa"/>
            <w:vAlign w:val="bottom"/>
          </w:tcPr>
          <w:p w14:paraId="33650C56" w14:textId="77777777" w:rsidR="00C2417B" w:rsidRDefault="00C2417B" w:rsidP="00C2417B">
            <w:pPr>
              <w:jc w:val="right"/>
              <w:rPr>
                <w:b/>
                <w:bCs/>
                <w:sz w:val="18"/>
                <w:szCs w:val="18"/>
                <w:lang w:val="en-GB"/>
              </w:rPr>
            </w:pPr>
          </w:p>
        </w:tc>
        <w:tc>
          <w:tcPr>
            <w:tcW w:w="965" w:type="dxa"/>
            <w:vAlign w:val="bottom"/>
          </w:tcPr>
          <w:p w14:paraId="469704C7"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3,339 </w:t>
            </w:r>
          </w:p>
        </w:tc>
        <w:tc>
          <w:tcPr>
            <w:tcW w:w="253" w:type="dxa"/>
            <w:vAlign w:val="bottom"/>
          </w:tcPr>
          <w:p w14:paraId="2A9F0F5A" w14:textId="77777777" w:rsidR="00C2417B" w:rsidRDefault="00C2417B" w:rsidP="00C2417B">
            <w:pPr>
              <w:jc w:val="right"/>
              <w:rPr>
                <w:b/>
                <w:bCs/>
                <w:sz w:val="18"/>
                <w:szCs w:val="18"/>
                <w:lang w:val="en-GB"/>
              </w:rPr>
            </w:pPr>
          </w:p>
        </w:tc>
        <w:tc>
          <w:tcPr>
            <w:tcW w:w="1209" w:type="dxa"/>
            <w:vAlign w:val="bottom"/>
          </w:tcPr>
          <w:p w14:paraId="331CA6FE"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3,970 </w:t>
            </w:r>
          </w:p>
        </w:tc>
        <w:tc>
          <w:tcPr>
            <w:tcW w:w="248" w:type="dxa"/>
            <w:vAlign w:val="bottom"/>
          </w:tcPr>
          <w:p w14:paraId="6D3F3A0F" w14:textId="77777777" w:rsidR="00C2417B" w:rsidRDefault="00C2417B" w:rsidP="00C2417B">
            <w:pPr>
              <w:jc w:val="right"/>
              <w:rPr>
                <w:b/>
                <w:bCs/>
                <w:sz w:val="18"/>
                <w:szCs w:val="18"/>
                <w:lang w:val="en-GB"/>
              </w:rPr>
            </w:pPr>
          </w:p>
        </w:tc>
      </w:tr>
      <w:tr w:rsidR="00C2417B" w14:paraId="27A576F1" w14:textId="77777777" w:rsidTr="00C2417B">
        <w:tc>
          <w:tcPr>
            <w:tcW w:w="4395" w:type="dxa"/>
            <w:vAlign w:val="bottom"/>
          </w:tcPr>
          <w:p w14:paraId="6AAEC5CC" w14:textId="77777777" w:rsidR="00C2417B" w:rsidRPr="00D03582" w:rsidRDefault="00C2417B" w:rsidP="00C2417B">
            <w:pPr>
              <w:rPr>
                <w:color w:val="000000"/>
                <w:sz w:val="18"/>
                <w:szCs w:val="18"/>
                <w:lang w:val="en-GB" w:eastAsia="en-GB"/>
              </w:rPr>
            </w:pPr>
            <w:r w:rsidRPr="00D03582">
              <w:rPr>
                <w:color w:val="000000"/>
                <w:sz w:val="18"/>
                <w:szCs w:val="18"/>
                <w:lang w:val="en-GB" w:eastAsia="en-GB"/>
              </w:rPr>
              <w:t>Other income / (expenses)</w:t>
            </w:r>
          </w:p>
        </w:tc>
        <w:tc>
          <w:tcPr>
            <w:tcW w:w="1119" w:type="dxa"/>
            <w:vAlign w:val="bottom"/>
          </w:tcPr>
          <w:p w14:paraId="4DE72170"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497 </w:t>
            </w:r>
          </w:p>
        </w:tc>
        <w:tc>
          <w:tcPr>
            <w:tcW w:w="253" w:type="dxa"/>
            <w:vAlign w:val="bottom"/>
          </w:tcPr>
          <w:p w14:paraId="36FAA8F8" w14:textId="77777777" w:rsidR="00C2417B" w:rsidRDefault="00C2417B" w:rsidP="00C2417B">
            <w:pPr>
              <w:jc w:val="right"/>
              <w:rPr>
                <w:b/>
                <w:bCs/>
                <w:sz w:val="18"/>
                <w:szCs w:val="18"/>
                <w:lang w:val="en-GB"/>
              </w:rPr>
            </w:pPr>
          </w:p>
        </w:tc>
        <w:tc>
          <w:tcPr>
            <w:tcW w:w="965" w:type="dxa"/>
            <w:vAlign w:val="bottom"/>
          </w:tcPr>
          <w:p w14:paraId="4930FF6B"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(5)</w:t>
            </w:r>
          </w:p>
        </w:tc>
        <w:tc>
          <w:tcPr>
            <w:tcW w:w="253" w:type="dxa"/>
            <w:vAlign w:val="bottom"/>
          </w:tcPr>
          <w:p w14:paraId="77C39717" w14:textId="77777777" w:rsidR="00C2417B" w:rsidRDefault="00C2417B" w:rsidP="00C2417B">
            <w:pPr>
              <w:jc w:val="right"/>
              <w:rPr>
                <w:b/>
                <w:bCs/>
                <w:sz w:val="18"/>
                <w:szCs w:val="18"/>
                <w:lang w:val="en-GB"/>
              </w:rPr>
            </w:pPr>
          </w:p>
        </w:tc>
        <w:tc>
          <w:tcPr>
            <w:tcW w:w="1209" w:type="dxa"/>
            <w:vAlign w:val="bottom"/>
          </w:tcPr>
          <w:p w14:paraId="25884ACA"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250 </w:t>
            </w:r>
          </w:p>
        </w:tc>
        <w:tc>
          <w:tcPr>
            <w:tcW w:w="248" w:type="dxa"/>
            <w:vAlign w:val="bottom"/>
          </w:tcPr>
          <w:p w14:paraId="78A9DD8E" w14:textId="77777777" w:rsidR="00C2417B" w:rsidRDefault="00C2417B" w:rsidP="00C2417B">
            <w:pPr>
              <w:jc w:val="right"/>
              <w:rPr>
                <w:b/>
                <w:bCs/>
                <w:sz w:val="18"/>
                <w:szCs w:val="18"/>
                <w:lang w:val="en-GB"/>
              </w:rPr>
            </w:pPr>
          </w:p>
        </w:tc>
      </w:tr>
      <w:tr w:rsidR="00C2417B" w14:paraId="1C7CED23" w14:textId="77777777" w:rsidTr="00C2417B">
        <w:tc>
          <w:tcPr>
            <w:tcW w:w="4395" w:type="dxa"/>
            <w:vAlign w:val="bottom"/>
          </w:tcPr>
          <w:p w14:paraId="11D0B3D3" w14:textId="77777777" w:rsidR="00C2417B" w:rsidRPr="00D03582" w:rsidRDefault="00C2417B" w:rsidP="00C2417B">
            <w:pPr>
              <w:rPr>
                <w:color w:val="000000"/>
                <w:sz w:val="18"/>
                <w:szCs w:val="18"/>
                <w:lang w:val="en-GB" w:eastAsia="en-GB"/>
              </w:rPr>
            </w:pPr>
            <w:r w:rsidRPr="00D03582">
              <w:rPr>
                <w:color w:val="000000"/>
                <w:sz w:val="18"/>
                <w:szCs w:val="18"/>
                <w:lang w:val="en-GB" w:eastAsia="en-GB"/>
              </w:rPr>
              <w:t>Admin</w:t>
            </w:r>
            <w:r>
              <w:rPr>
                <w:color w:val="000000"/>
                <w:sz w:val="18"/>
                <w:szCs w:val="18"/>
                <w:lang w:val="en-GB" w:eastAsia="en-GB"/>
              </w:rPr>
              <w:t>ist</w:t>
            </w:r>
            <w:r w:rsidRPr="00D03582">
              <w:rPr>
                <w:color w:val="000000"/>
                <w:sz w:val="18"/>
                <w:szCs w:val="18"/>
                <w:lang w:val="en-GB" w:eastAsia="en-GB"/>
              </w:rPr>
              <w:t>r</w:t>
            </w:r>
            <w:r>
              <w:rPr>
                <w:color w:val="000000"/>
                <w:sz w:val="18"/>
                <w:szCs w:val="18"/>
                <w:lang w:val="en-GB" w:eastAsia="en-GB"/>
              </w:rPr>
              <w:t>a</w:t>
            </w:r>
            <w:r w:rsidRPr="00D03582">
              <w:rPr>
                <w:color w:val="000000"/>
                <w:sz w:val="18"/>
                <w:szCs w:val="18"/>
                <w:lang w:val="en-GB" w:eastAsia="en-GB"/>
              </w:rPr>
              <w:t>tive expenses</w:t>
            </w:r>
          </w:p>
        </w:tc>
        <w:tc>
          <w:tcPr>
            <w:tcW w:w="1119" w:type="dxa"/>
            <w:vAlign w:val="bottom"/>
          </w:tcPr>
          <w:p w14:paraId="0E8F68F1"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312 </w:t>
            </w:r>
          </w:p>
        </w:tc>
        <w:tc>
          <w:tcPr>
            <w:tcW w:w="253" w:type="dxa"/>
            <w:vAlign w:val="bottom"/>
          </w:tcPr>
          <w:p w14:paraId="2EB99D60" w14:textId="77777777" w:rsidR="00C2417B" w:rsidRDefault="00C2417B" w:rsidP="00C2417B">
            <w:pPr>
              <w:jc w:val="right"/>
              <w:rPr>
                <w:b/>
                <w:bCs/>
                <w:sz w:val="18"/>
                <w:szCs w:val="18"/>
                <w:lang w:val="en-GB"/>
              </w:rPr>
            </w:pPr>
          </w:p>
        </w:tc>
        <w:tc>
          <w:tcPr>
            <w:tcW w:w="965" w:type="dxa"/>
            <w:vAlign w:val="bottom"/>
          </w:tcPr>
          <w:p w14:paraId="21D72BB7"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71 </w:t>
            </w:r>
          </w:p>
        </w:tc>
        <w:tc>
          <w:tcPr>
            <w:tcW w:w="253" w:type="dxa"/>
            <w:vAlign w:val="bottom"/>
          </w:tcPr>
          <w:p w14:paraId="56B4DC07" w14:textId="77777777" w:rsidR="00C2417B" w:rsidRDefault="00C2417B" w:rsidP="00C2417B">
            <w:pPr>
              <w:jc w:val="right"/>
              <w:rPr>
                <w:b/>
                <w:bCs/>
                <w:sz w:val="18"/>
                <w:szCs w:val="18"/>
                <w:lang w:val="en-GB"/>
              </w:rPr>
            </w:pPr>
          </w:p>
        </w:tc>
        <w:tc>
          <w:tcPr>
            <w:tcW w:w="1209" w:type="dxa"/>
            <w:vAlign w:val="bottom"/>
          </w:tcPr>
          <w:p w14:paraId="7369DC7F"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829 </w:t>
            </w:r>
          </w:p>
        </w:tc>
        <w:tc>
          <w:tcPr>
            <w:tcW w:w="248" w:type="dxa"/>
            <w:vAlign w:val="bottom"/>
          </w:tcPr>
          <w:p w14:paraId="3F3CD9D1" w14:textId="77777777" w:rsidR="00C2417B" w:rsidRDefault="00C2417B" w:rsidP="00C2417B">
            <w:pPr>
              <w:jc w:val="right"/>
              <w:rPr>
                <w:b/>
                <w:bCs/>
                <w:sz w:val="18"/>
                <w:szCs w:val="18"/>
                <w:lang w:val="en-GB"/>
              </w:rPr>
            </w:pPr>
          </w:p>
        </w:tc>
      </w:tr>
      <w:tr w:rsidR="00C2417B" w14:paraId="315D53F9" w14:textId="77777777" w:rsidTr="00C2417B">
        <w:tc>
          <w:tcPr>
            <w:tcW w:w="4395" w:type="dxa"/>
            <w:vAlign w:val="bottom"/>
          </w:tcPr>
          <w:p w14:paraId="7FA212C1" w14:textId="77777777" w:rsidR="00C2417B" w:rsidRPr="00D03582" w:rsidRDefault="00C2417B" w:rsidP="00C2417B">
            <w:pPr>
              <w:rPr>
                <w:color w:val="000000"/>
                <w:sz w:val="18"/>
                <w:szCs w:val="18"/>
                <w:lang w:val="en-GB" w:eastAsia="en-GB"/>
              </w:rPr>
            </w:pPr>
            <w:r w:rsidRPr="00D03582">
              <w:rPr>
                <w:color w:val="000000"/>
                <w:sz w:val="18"/>
                <w:szCs w:val="18"/>
                <w:lang w:val="en-GB" w:eastAsia="en-GB"/>
              </w:rPr>
              <w:t>Net valuation gains / (losses) on investment properties</w:t>
            </w:r>
          </w:p>
        </w:tc>
        <w:tc>
          <w:tcPr>
            <w:tcW w:w="1119" w:type="dxa"/>
            <w:vAlign w:val="bottom"/>
          </w:tcPr>
          <w:p w14:paraId="07B67B6A"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(13,809)</w:t>
            </w:r>
          </w:p>
        </w:tc>
        <w:tc>
          <w:tcPr>
            <w:tcW w:w="253" w:type="dxa"/>
            <w:vAlign w:val="bottom"/>
          </w:tcPr>
          <w:p w14:paraId="7EA94A60" w14:textId="77777777" w:rsidR="00C2417B" w:rsidRDefault="00C2417B" w:rsidP="00C2417B">
            <w:pPr>
              <w:jc w:val="right"/>
              <w:rPr>
                <w:b/>
                <w:bCs/>
                <w:sz w:val="18"/>
                <w:szCs w:val="18"/>
                <w:lang w:val="en-GB"/>
              </w:rPr>
            </w:pPr>
          </w:p>
        </w:tc>
        <w:tc>
          <w:tcPr>
            <w:tcW w:w="965" w:type="dxa"/>
            <w:vAlign w:val="bottom"/>
          </w:tcPr>
          <w:p w14:paraId="3F973FE8"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1,224 </w:t>
            </w:r>
          </w:p>
        </w:tc>
        <w:tc>
          <w:tcPr>
            <w:tcW w:w="253" w:type="dxa"/>
            <w:vAlign w:val="bottom"/>
          </w:tcPr>
          <w:p w14:paraId="287B8B03" w14:textId="77777777" w:rsidR="00C2417B" w:rsidRDefault="00C2417B" w:rsidP="00C2417B">
            <w:pPr>
              <w:jc w:val="right"/>
              <w:rPr>
                <w:b/>
                <w:bCs/>
                <w:sz w:val="18"/>
                <w:szCs w:val="18"/>
                <w:lang w:val="en-GB"/>
              </w:rPr>
            </w:pPr>
          </w:p>
        </w:tc>
        <w:tc>
          <w:tcPr>
            <w:tcW w:w="1209" w:type="dxa"/>
            <w:vAlign w:val="bottom"/>
          </w:tcPr>
          <w:p w14:paraId="2690C2DD"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(7,008)</w:t>
            </w:r>
          </w:p>
        </w:tc>
        <w:tc>
          <w:tcPr>
            <w:tcW w:w="248" w:type="dxa"/>
            <w:vAlign w:val="bottom"/>
          </w:tcPr>
          <w:p w14:paraId="1A906AC9" w14:textId="77777777" w:rsidR="00C2417B" w:rsidRDefault="00C2417B" w:rsidP="00C2417B">
            <w:pPr>
              <w:jc w:val="right"/>
              <w:rPr>
                <w:b/>
                <w:bCs/>
                <w:sz w:val="18"/>
                <w:szCs w:val="18"/>
                <w:lang w:val="en-GB"/>
              </w:rPr>
            </w:pPr>
          </w:p>
        </w:tc>
      </w:tr>
      <w:tr w:rsidR="00C2417B" w14:paraId="4840B6BC" w14:textId="77777777" w:rsidTr="00C2417B">
        <w:tc>
          <w:tcPr>
            <w:tcW w:w="4395" w:type="dxa"/>
            <w:vAlign w:val="bottom"/>
          </w:tcPr>
          <w:p w14:paraId="646B3EB6" w14:textId="77777777" w:rsidR="00C2417B" w:rsidRPr="00D03582" w:rsidRDefault="00C2417B" w:rsidP="00C2417B">
            <w:pPr>
              <w:rPr>
                <w:b/>
                <w:bCs/>
                <w:color w:val="000000"/>
                <w:sz w:val="18"/>
                <w:szCs w:val="18"/>
                <w:lang w:val="en-GB" w:eastAsia="en-GB"/>
              </w:rPr>
            </w:pPr>
            <w:r w:rsidRPr="00D03582">
              <w:rPr>
                <w:b/>
                <w:bCs/>
                <w:color w:val="000000"/>
                <w:sz w:val="18"/>
                <w:szCs w:val="18"/>
                <w:lang w:val="en-GB" w:eastAsia="en-GB"/>
              </w:rPr>
              <w:t xml:space="preserve">Net rental income </w:t>
            </w:r>
            <w:r>
              <w:rPr>
                <w:b/>
                <w:bCs/>
                <w:color w:val="000000"/>
                <w:sz w:val="18"/>
                <w:szCs w:val="18"/>
                <w:lang w:val="en-GB" w:eastAsia="en-GB"/>
              </w:rPr>
              <w:t xml:space="preserve">JV </w:t>
            </w:r>
            <w:r w:rsidRPr="00D03582">
              <w:rPr>
                <w:b/>
                <w:bCs/>
                <w:color w:val="000000"/>
                <w:sz w:val="18"/>
                <w:szCs w:val="18"/>
                <w:lang w:val="en-GB" w:eastAsia="en-GB"/>
              </w:rPr>
              <w:t>at share</w:t>
            </w:r>
          </w:p>
        </w:tc>
        <w:tc>
          <w:tcPr>
            <w:tcW w:w="1119" w:type="dxa"/>
            <w:vAlign w:val="bottom"/>
          </w:tcPr>
          <w:p w14:paraId="0151C25C" w14:textId="77777777" w:rsidR="00C2417B" w:rsidRPr="00D03582" w:rsidRDefault="00C2417B" w:rsidP="00C2417B">
            <w:pPr>
              <w:jc w:val="right"/>
              <w:rPr>
                <w:b/>
                <w:bCs/>
                <w:color w:val="000000"/>
                <w:sz w:val="18"/>
                <w:szCs w:val="18"/>
                <w:lang w:val="en-GB" w:eastAsia="en-GB"/>
              </w:rPr>
            </w:pPr>
            <w:r w:rsidRPr="00D03582">
              <w:rPr>
                <w:b/>
                <w:bCs/>
                <w:color w:val="000000"/>
                <w:sz w:val="18"/>
                <w:szCs w:val="18"/>
                <w:lang w:val="en-GB" w:eastAsia="en-GB"/>
              </w:rPr>
              <w:t xml:space="preserve">7,538 </w:t>
            </w:r>
          </w:p>
        </w:tc>
        <w:tc>
          <w:tcPr>
            <w:tcW w:w="253" w:type="dxa"/>
            <w:vAlign w:val="bottom"/>
          </w:tcPr>
          <w:p w14:paraId="3899E8A9" w14:textId="77777777" w:rsidR="00C2417B" w:rsidRDefault="00C2417B" w:rsidP="00C2417B">
            <w:pPr>
              <w:jc w:val="right"/>
              <w:rPr>
                <w:b/>
                <w:bCs/>
                <w:sz w:val="18"/>
                <w:szCs w:val="18"/>
                <w:lang w:val="en-GB"/>
              </w:rPr>
            </w:pPr>
          </w:p>
        </w:tc>
        <w:tc>
          <w:tcPr>
            <w:tcW w:w="965" w:type="dxa"/>
            <w:vAlign w:val="bottom"/>
          </w:tcPr>
          <w:p w14:paraId="037F7FCE" w14:textId="77777777" w:rsidR="00C2417B" w:rsidRPr="00D03582" w:rsidRDefault="00C2417B" w:rsidP="00C2417B">
            <w:pPr>
              <w:jc w:val="right"/>
              <w:rPr>
                <w:b/>
                <w:bCs/>
                <w:color w:val="000000"/>
                <w:sz w:val="18"/>
                <w:szCs w:val="18"/>
                <w:lang w:val="en-GB" w:eastAsia="en-GB"/>
              </w:rPr>
            </w:pPr>
            <w:r w:rsidRPr="00D03582">
              <w:rPr>
                <w:b/>
                <w:bCs/>
                <w:color w:val="000000"/>
                <w:sz w:val="18"/>
                <w:szCs w:val="18"/>
                <w:lang w:val="en-GB" w:eastAsia="en-GB"/>
              </w:rPr>
              <w:t xml:space="preserve">920 </w:t>
            </w:r>
          </w:p>
        </w:tc>
        <w:tc>
          <w:tcPr>
            <w:tcW w:w="253" w:type="dxa"/>
            <w:vAlign w:val="bottom"/>
          </w:tcPr>
          <w:p w14:paraId="4D56A9B3" w14:textId="77777777" w:rsidR="00C2417B" w:rsidRDefault="00C2417B" w:rsidP="00C2417B">
            <w:pPr>
              <w:jc w:val="right"/>
              <w:rPr>
                <w:b/>
                <w:bCs/>
                <w:sz w:val="18"/>
                <w:szCs w:val="18"/>
                <w:lang w:val="en-GB"/>
              </w:rPr>
            </w:pPr>
          </w:p>
        </w:tc>
        <w:tc>
          <w:tcPr>
            <w:tcW w:w="1209" w:type="dxa"/>
            <w:vAlign w:val="bottom"/>
          </w:tcPr>
          <w:p w14:paraId="10B903C8" w14:textId="77777777" w:rsidR="00C2417B" w:rsidRPr="00D03582" w:rsidRDefault="00C2417B" w:rsidP="00C2417B">
            <w:pPr>
              <w:jc w:val="right"/>
              <w:rPr>
                <w:b/>
                <w:bCs/>
                <w:color w:val="000000"/>
                <w:sz w:val="18"/>
                <w:szCs w:val="18"/>
                <w:lang w:val="en-GB" w:eastAsia="en-GB"/>
              </w:rPr>
            </w:pPr>
            <w:r w:rsidRPr="00D03582">
              <w:rPr>
                <w:b/>
                <w:bCs/>
                <w:color w:val="000000"/>
                <w:sz w:val="18"/>
                <w:szCs w:val="18"/>
                <w:lang w:val="en-GB" w:eastAsia="en-GB"/>
              </w:rPr>
              <w:t xml:space="preserve">8,017 </w:t>
            </w:r>
          </w:p>
        </w:tc>
        <w:tc>
          <w:tcPr>
            <w:tcW w:w="248" w:type="dxa"/>
            <w:vAlign w:val="bottom"/>
          </w:tcPr>
          <w:p w14:paraId="24D2DBA3" w14:textId="77777777" w:rsidR="00C2417B" w:rsidRDefault="00C2417B" w:rsidP="00C2417B">
            <w:pPr>
              <w:jc w:val="right"/>
              <w:rPr>
                <w:b/>
                <w:bCs/>
                <w:sz w:val="18"/>
                <w:szCs w:val="18"/>
                <w:lang w:val="en-GB"/>
              </w:rPr>
            </w:pPr>
          </w:p>
        </w:tc>
      </w:tr>
      <w:tr w:rsidR="00C2417B" w14:paraId="1F48A889" w14:textId="77777777" w:rsidTr="00C2417B">
        <w:tc>
          <w:tcPr>
            <w:tcW w:w="4395" w:type="dxa"/>
            <w:vAlign w:val="bottom"/>
          </w:tcPr>
          <w:p w14:paraId="75AF1ED0" w14:textId="77777777" w:rsidR="00C2417B" w:rsidRPr="00D03582" w:rsidRDefault="00C2417B" w:rsidP="00C2417B">
            <w:pPr>
              <w:rPr>
                <w:color w:val="000000"/>
                <w:sz w:val="18"/>
                <w:szCs w:val="18"/>
                <w:lang w:val="en-GB" w:eastAsia="en-GB"/>
              </w:rPr>
            </w:pPr>
            <w:r w:rsidRPr="00D03582">
              <w:rPr>
                <w:color w:val="000000"/>
                <w:sz w:val="18"/>
                <w:szCs w:val="18"/>
                <w:lang w:val="en-GB" w:eastAsia="en-GB"/>
              </w:rPr>
              <w:t>Property operating expe</w:t>
            </w:r>
            <w:r>
              <w:rPr>
                <w:color w:val="000000"/>
                <w:sz w:val="18"/>
                <w:szCs w:val="18"/>
                <w:lang w:val="en-GB" w:eastAsia="en-GB"/>
              </w:rPr>
              <w:t>n</w:t>
            </w:r>
            <w:r w:rsidRPr="00D03582">
              <w:rPr>
                <w:color w:val="000000"/>
                <w:sz w:val="18"/>
                <w:szCs w:val="18"/>
                <w:lang w:val="en-GB" w:eastAsia="en-GB"/>
              </w:rPr>
              <w:t>ses</w:t>
            </w:r>
          </w:p>
        </w:tc>
        <w:tc>
          <w:tcPr>
            <w:tcW w:w="1119" w:type="dxa"/>
            <w:vAlign w:val="bottom"/>
          </w:tcPr>
          <w:p w14:paraId="5A3E0D91"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1,005 </w:t>
            </w:r>
          </w:p>
        </w:tc>
        <w:tc>
          <w:tcPr>
            <w:tcW w:w="253" w:type="dxa"/>
            <w:vAlign w:val="bottom"/>
          </w:tcPr>
          <w:p w14:paraId="199B6532" w14:textId="77777777" w:rsidR="00C2417B" w:rsidRDefault="00C2417B" w:rsidP="00C2417B">
            <w:pPr>
              <w:jc w:val="right"/>
              <w:rPr>
                <w:b/>
                <w:bCs/>
                <w:sz w:val="18"/>
                <w:szCs w:val="18"/>
                <w:lang w:val="en-GB"/>
              </w:rPr>
            </w:pPr>
          </w:p>
        </w:tc>
        <w:tc>
          <w:tcPr>
            <w:tcW w:w="965" w:type="dxa"/>
            <w:vAlign w:val="bottom"/>
          </w:tcPr>
          <w:p w14:paraId="7985E9C1"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263 </w:t>
            </w:r>
          </w:p>
        </w:tc>
        <w:tc>
          <w:tcPr>
            <w:tcW w:w="253" w:type="dxa"/>
            <w:vAlign w:val="bottom"/>
          </w:tcPr>
          <w:p w14:paraId="216592F7" w14:textId="77777777" w:rsidR="00C2417B" w:rsidRDefault="00C2417B" w:rsidP="00C2417B">
            <w:pPr>
              <w:jc w:val="right"/>
              <w:rPr>
                <w:b/>
                <w:bCs/>
                <w:sz w:val="18"/>
                <w:szCs w:val="18"/>
                <w:lang w:val="en-GB"/>
              </w:rPr>
            </w:pPr>
          </w:p>
        </w:tc>
        <w:tc>
          <w:tcPr>
            <w:tcW w:w="1209" w:type="dxa"/>
            <w:vAlign w:val="bottom"/>
          </w:tcPr>
          <w:p w14:paraId="50C3DF54" w14:textId="77777777" w:rsidR="00C2417B" w:rsidRPr="00D03582" w:rsidRDefault="00C2417B" w:rsidP="00C2417B">
            <w:pPr>
              <w:jc w:val="right"/>
              <w:rPr>
                <w:color w:val="000000"/>
                <w:sz w:val="18"/>
                <w:szCs w:val="18"/>
                <w:lang w:val="en-GB" w:eastAsia="en-GB"/>
              </w:rPr>
            </w:pPr>
            <w:r w:rsidRPr="00D03582">
              <w:rPr>
                <w:color w:val="000000"/>
                <w:sz w:val="18"/>
                <w:szCs w:val="18"/>
                <w:lang w:val="en-GB" w:eastAsia="en-GB"/>
              </w:rPr>
              <w:t xml:space="preserve">959 </w:t>
            </w:r>
          </w:p>
        </w:tc>
        <w:tc>
          <w:tcPr>
            <w:tcW w:w="248" w:type="dxa"/>
            <w:vAlign w:val="bottom"/>
          </w:tcPr>
          <w:p w14:paraId="055B6BF1" w14:textId="77777777" w:rsidR="00C2417B" w:rsidRDefault="00C2417B" w:rsidP="00C2417B">
            <w:pPr>
              <w:jc w:val="right"/>
              <w:rPr>
                <w:b/>
                <w:bCs/>
                <w:sz w:val="18"/>
                <w:szCs w:val="18"/>
                <w:lang w:val="en-GB"/>
              </w:rPr>
            </w:pPr>
          </w:p>
        </w:tc>
      </w:tr>
      <w:tr w:rsidR="00C2417B" w14:paraId="52F970D3" w14:textId="77777777" w:rsidTr="00C2417B">
        <w:tc>
          <w:tcPr>
            <w:tcW w:w="4395" w:type="dxa"/>
            <w:vAlign w:val="bottom"/>
          </w:tcPr>
          <w:p w14:paraId="41765B26" w14:textId="77777777" w:rsidR="00C2417B" w:rsidRPr="00D03582" w:rsidRDefault="00C2417B" w:rsidP="00C2417B">
            <w:pPr>
              <w:rPr>
                <w:b/>
                <w:bCs/>
                <w:color w:val="000000"/>
                <w:sz w:val="18"/>
                <w:szCs w:val="18"/>
                <w:lang w:val="en-GB" w:eastAsia="en-GB"/>
              </w:rPr>
            </w:pPr>
            <w:r w:rsidRPr="00D03582">
              <w:rPr>
                <w:b/>
                <w:bCs/>
                <w:color w:val="000000"/>
                <w:sz w:val="18"/>
                <w:szCs w:val="18"/>
                <w:lang w:val="en-GB" w:eastAsia="en-GB"/>
              </w:rPr>
              <w:t xml:space="preserve">Gross rental income </w:t>
            </w:r>
            <w:r>
              <w:rPr>
                <w:b/>
                <w:bCs/>
                <w:color w:val="000000"/>
                <w:sz w:val="18"/>
                <w:szCs w:val="18"/>
                <w:lang w:val="en-GB" w:eastAsia="en-GB"/>
              </w:rPr>
              <w:t xml:space="preserve">JV </w:t>
            </w:r>
            <w:r w:rsidRPr="00D03582">
              <w:rPr>
                <w:b/>
                <w:bCs/>
                <w:color w:val="000000"/>
                <w:sz w:val="18"/>
                <w:szCs w:val="18"/>
                <w:lang w:val="en-GB" w:eastAsia="en-GB"/>
              </w:rPr>
              <w:t>at share</w:t>
            </w:r>
          </w:p>
        </w:tc>
        <w:tc>
          <w:tcPr>
            <w:tcW w:w="1119" w:type="dxa"/>
            <w:vAlign w:val="bottom"/>
          </w:tcPr>
          <w:p w14:paraId="7493904D" w14:textId="77777777" w:rsidR="00C2417B" w:rsidRPr="00D03582" w:rsidRDefault="00C2417B" w:rsidP="00C2417B">
            <w:pPr>
              <w:jc w:val="right"/>
              <w:rPr>
                <w:b/>
                <w:bCs/>
                <w:color w:val="000000"/>
                <w:sz w:val="18"/>
                <w:szCs w:val="18"/>
                <w:lang w:val="en-GB" w:eastAsia="en-GB"/>
              </w:rPr>
            </w:pPr>
            <w:r w:rsidRPr="00D03582">
              <w:rPr>
                <w:b/>
                <w:bCs/>
                <w:color w:val="000000"/>
                <w:sz w:val="18"/>
                <w:szCs w:val="18"/>
                <w:lang w:val="en-GB" w:eastAsia="en-GB"/>
              </w:rPr>
              <w:t xml:space="preserve">8,543 </w:t>
            </w:r>
          </w:p>
        </w:tc>
        <w:tc>
          <w:tcPr>
            <w:tcW w:w="253" w:type="dxa"/>
            <w:vAlign w:val="bottom"/>
          </w:tcPr>
          <w:p w14:paraId="5C13CF75" w14:textId="77777777" w:rsidR="00C2417B" w:rsidRDefault="00C2417B" w:rsidP="00C2417B">
            <w:pPr>
              <w:jc w:val="right"/>
              <w:rPr>
                <w:b/>
                <w:bCs/>
                <w:sz w:val="18"/>
                <w:szCs w:val="18"/>
                <w:lang w:val="en-GB"/>
              </w:rPr>
            </w:pPr>
          </w:p>
        </w:tc>
        <w:tc>
          <w:tcPr>
            <w:tcW w:w="965" w:type="dxa"/>
            <w:vAlign w:val="bottom"/>
          </w:tcPr>
          <w:p w14:paraId="7F0AB482" w14:textId="77777777" w:rsidR="00C2417B" w:rsidRPr="00D03582" w:rsidRDefault="00C2417B" w:rsidP="00C2417B">
            <w:pPr>
              <w:jc w:val="right"/>
              <w:rPr>
                <w:b/>
                <w:bCs/>
                <w:color w:val="000000"/>
                <w:sz w:val="18"/>
                <w:szCs w:val="18"/>
                <w:lang w:val="en-GB" w:eastAsia="en-GB"/>
              </w:rPr>
            </w:pPr>
            <w:r w:rsidRPr="00D03582">
              <w:rPr>
                <w:b/>
                <w:bCs/>
                <w:color w:val="000000"/>
                <w:sz w:val="18"/>
                <w:szCs w:val="18"/>
                <w:lang w:val="en-GB" w:eastAsia="en-GB"/>
              </w:rPr>
              <w:t xml:space="preserve">1,183 </w:t>
            </w:r>
          </w:p>
        </w:tc>
        <w:tc>
          <w:tcPr>
            <w:tcW w:w="253" w:type="dxa"/>
            <w:vAlign w:val="bottom"/>
          </w:tcPr>
          <w:p w14:paraId="58BBECD7" w14:textId="77777777" w:rsidR="00C2417B" w:rsidRDefault="00C2417B" w:rsidP="00C2417B">
            <w:pPr>
              <w:jc w:val="right"/>
              <w:rPr>
                <w:b/>
                <w:bCs/>
                <w:sz w:val="18"/>
                <w:szCs w:val="18"/>
                <w:lang w:val="en-GB"/>
              </w:rPr>
            </w:pPr>
          </w:p>
        </w:tc>
        <w:tc>
          <w:tcPr>
            <w:tcW w:w="1209" w:type="dxa"/>
            <w:vAlign w:val="bottom"/>
          </w:tcPr>
          <w:p w14:paraId="3C79D9A2" w14:textId="77777777" w:rsidR="00C2417B" w:rsidRPr="00D03582" w:rsidRDefault="00C2417B" w:rsidP="00C2417B">
            <w:pPr>
              <w:jc w:val="right"/>
              <w:rPr>
                <w:b/>
                <w:bCs/>
                <w:color w:val="000000"/>
                <w:sz w:val="18"/>
                <w:szCs w:val="18"/>
                <w:lang w:val="en-GB" w:eastAsia="en-GB"/>
              </w:rPr>
            </w:pPr>
            <w:r w:rsidRPr="00D03582">
              <w:rPr>
                <w:b/>
                <w:bCs/>
                <w:color w:val="000000"/>
                <w:sz w:val="18"/>
                <w:szCs w:val="18"/>
                <w:lang w:val="en-GB" w:eastAsia="en-GB"/>
              </w:rPr>
              <w:t xml:space="preserve">8,976 </w:t>
            </w:r>
          </w:p>
        </w:tc>
        <w:tc>
          <w:tcPr>
            <w:tcW w:w="248" w:type="dxa"/>
            <w:vAlign w:val="bottom"/>
          </w:tcPr>
          <w:p w14:paraId="299EFA6A" w14:textId="77777777" w:rsidR="00C2417B" w:rsidRDefault="00C2417B" w:rsidP="00C2417B">
            <w:pPr>
              <w:jc w:val="right"/>
              <w:rPr>
                <w:b/>
                <w:bCs/>
                <w:sz w:val="18"/>
                <w:szCs w:val="18"/>
                <w:lang w:val="en-GB"/>
              </w:rPr>
            </w:pPr>
          </w:p>
        </w:tc>
      </w:tr>
    </w:tbl>
    <w:p w14:paraId="5B0EBA7D" w14:textId="77777777" w:rsidR="007B6B42" w:rsidRDefault="007B6B42" w:rsidP="007B6B42">
      <w:pPr>
        <w:pStyle w:val="VulcanIILevel2"/>
      </w:pPr>
      <w:r w:rsidRPr="007B6B42">
        <w:t>Business Lines</w:t>
      </w:r>
    </w:p>
    <w:p w14:paraId="5F154538" w14:textId="4636FE09" w:rsidR="007B6B42" w:rsidRDefault="007B6B42" w:rsidP="007B6B42">
      <w:pPr>
        <w:spacing w:after="240"/>
        <w:jc w:val="both"/>
        <w:rPr>
          <w:rFonts w:cs="Arabic Transparent"/>
          <w:sz w:val="18"/>
          <w:szCs w:val="18"/>
        </w:rPr>
      </w:pPr>
      <w:r>
        <w:rPr>
          <w:rFonts w:cs="Arabic Transparent"/>
          <w:sz w:val="18"/>
          <w:szCs w:val="18"/>
        </w:rPr>
        <w:t>For management purpose, the Group also presents financial information according to management breakdowns, based on the functional allocation of revenues and costs. These amounts are based on a number of assumptions, and accordingly are not prepared in accordance with IFRS</w:t>
      </w:r>
      <w:r w:rsidR="00F53F52">
        <w:rPr>
          <w:rFonts w:cs="Arabic Transparent"/>
          <w:sz w:val="18"/>
          <w:szCs w:val="18"/>
        </w:rPr>
        <w:t xml:space="preserve"> and do not necessarily align with similarly entitled items in the Annual Financial Statements and the Interim Financial Statements</w:t>
      </w:r>
      <w:r>
        <w:rPr>
          <w:rFonts w:cs="Arabic Transparent"/>
          <w:sz w:val="18"/>
          <w:szCs w:val="18"/>
        </w:rPr>
        <w:t>.</w:t>
      </w:r>
    </w:p>
    <w:p w14:paraId="4E0D6031" w14:textId="77777777" w:rsidR="007B6B42" w:rsidRDefault="007B6B42" w:rsidP="007B6B42">
      <w:pPr>
        <w:spacing w:after="240"/>
        <w:jc w:val="both"/>
        <w:rPr>
          <w:rFonts w:cs="Arabic Transparent"/>
          <w:i/>
          <w:sz w:val="18"/>
          <w:szCs w:val="18"/>
        </w:rPr>
      </w:pPr>
      <w:r>
        <w:rPr>
          <w:rFonts w:cs="Arabic Transparent"/>
          <w:i/>
          <w:sz w:val="18"/>
          <w:szCs w:val="18"/>
        </w:rPr>
        <w:t>Rental business</w:t>
      </w:r>
    </w:p>
    <w:p w14:paraId="72301263" w14:textId="77777777" w:rsidR="007B6B42" w:rsidRDefault="007B6B42" w:rsidP="007B6B42">
      <w:pPr>
        <w:spacing w:after="240"/>
        <w:jc w:val="both"/>
        <w:rPr>
          <w:rFonts w:cs="Arabic Transparent"/>
          <w:sz w:val="18"/>
          <w:szCs w:val="18"/>
        </w:rPr>
      </w:pPr>
      <w:r>
        <w:rPr>
          <w:rFonts w:cs="Arabic Transparent"/>
          <w:sz w:val="18"/>
          <w:szCs w:val="18"/>
        </w:rPr>
        <w:t>The Group's rental business consists of operating profit generated by the completed and leased out projects of the Group’s portfolio and the proportional share of the operating profit (excluding net valuation gains) of the completed and leased out projects of the Joint Venture’s portfolio. Revenues and expenses allocated to the rental business unit include 10% of the Group's property operating expenses; other income; other expenses, after deduction of expenses allocated to property development; and share in result of the joint venture, excluding any revaluation result.</w:t>
      </w:r>
    </w:p>
    <w:p w14:paraId="393E50F5" w14:textId="77777777" w:rsidR="007B6B42" w:rsidRDefault="007B6B42" w:rsidP="007B6B42">
      <w:pPr>
        <w:spacing w:after="240"/>
        <w:jc w:val="both"/>
        <w:rPr>
          <w:rFonts w:cs="Arabic Transparent"/>
          <w:i/>
          <w:sz w:val="18"/>
          <w:szCs w:val="18"/>
        </w:rPr>
      </w:pPr>
      <w:r>
        <w:rPr>
          <w:rFonts w:cs="Arabic Transparent"/>
          <w:i/>
          <w:sz w:val="18"/>
          <w:szCs w:val="18"/>
        </w:rPr>
        <w:t xml:space="preserve">Property development </w:t>
      </w:r>
    </w:p>
    <w:p w14:paraId="26B49D8C" w14:textId="0F6D6179" w:rsidR="007B6B42" w:rsidRDefault="007B6B42" w:rsidP="007B6B42">
      <w:pPr>
        <w:spacing w:after="240"/>
        <w:jc w:val="both"/>
        <w:rPr>
          <w:rFonts w:cs="Arabic Transparent"/>
          <w:sz w:val="18"/>
          <w:szCs w:val="18"/>
        </w:rPr>
      </w:pPr>
      <w:r>
        <w:rPr>
          <w:rFonts w:cs="Arabic Transparent"/>
          <w:sz w:val="18"/>
          <w:szCs w:val="18"/>
        </w:rPr>
        <w:t xml:space="preserve">The Group's property development business consists of the net development result on the Group’s development activities. Valuation gains (losses) on investment properties related to Germany, Czech Republic, Slovakia and Hungary are assumed </w:t>
      </w:r>
      <w:r w:rsidR="00A86EF9">
        <w:rPr>
          <w:rFonts w:cs="Arabic Transparent"/>
          <w:sz w:val="18"/>
          <w:szCs w:val="18"/>
        </w:rPr>
        <w:t xml:space="preserve">to be for these purposes </w:t>
      </w:r>
      <w:r>
        <w:rPr>
          <w:rFonts w:cs="Arabic Transparent"/>
          <w:sz w:val="18"/>
          <w:szCs w:val="18"/>
        </w:rPr>
        <w:t xml:space="preserve">cash generating, as these assets are assumed to be sold to the Joint Venture at a certain point in time and hence crystallizing an effective cash inflow at the moment of such sale. Valuation gains/(losses) on investment properties related to Romania, Spain, Estonia and Latvia are excluded, as they are assumed to be non-cash generating, </w:t>
      </w:r>
      <w:r w:rsidR="00A86EF9">
        <w:rPr>
          <w:rFonts w:cs="Arabic Transparent"/>
          <w:sz w:val="18"/>
          <w:szCs w:val="18"/>
        </w:rPr>
        <w:t>on the basis that</w:t>
      </w:r>
      <w:r>
        <w:rPr>
          <w:rFonts w:cs="Arabic Transparent"/>
          <w:sz w:val="18"/>
          <w:szCs w:val="18"/>
        </w:rPr>
        <w:t xml:space="preserve"> these assets are assumed to be kept in the Group’s own portfolio for the foreseeable future. In addition, 90% of total property operating expenses are allocated to the property development business, as are administration expenses after rental business and property management expenses.</w:t>
      </w:r>
    </w:p>
    <w:p w14:paraId="7A0CD5D4" w14:textId="77777777" w:rsidR="007B6B42" w:rsidRDefault="007B6B42" w:rsidP="007B6B42">
      <w:pPr>
        <w:spacing w:after="240"/>
        <w:jc w:val="both"/>
        <w:rPr>
          <w:rFonts w:cs="Arabic Transparent"/>
          <w:i/>
          <w:sz w:val="18"/>
          <w:szCs w:val="18"/>
        </w:rPr>
      </w:pPr>
      <w:r>
        <w:rPr>
          <w:rFonts w:cs="Arabic Transparent"/>
          <w:i/>
          <w:sz w:val="18"/>
          <w:szCs w:val="18"/>
        </w:rPr>
        <w:t xml:space="preserve">Property and asset management </w:t>
      </w:r>
    </w:p>
    <w:p w14:paraId="59741B47" w14:textId="2B9923AB" w:rsidR="007B6B42" w:rsidRDefault="007B6B42" w:rsidP="007B6B42">
      <w:pPr>
        <w:spacing w:after="240"/>
        <w:jc w:val="both"/>
        <w:rPr>
          <w:rFonts w:cs="Arabic Transparent"/>
          <w:sz w:val="18"/>
          <w:szCs w:val="18"/>
        </w:rPr>
      </w:pPr>
      <w:r>
        <w:rPr>
          <w:rFonts w:cs="Arabic Transparent"/>
          <w:sz w:val="18"/>
          <w:szCs w:val="18"/>
        </w:rPr>
        <w:t>Property and asset management revenue includes asset management, property management and facility management income.  Associated operating, administration and other expenses include directly allocated expenses from the respective asset management, property management and facility management service companies. The administrative expenses of the Czech and German property management companies have been all</w:t>
      </w:r>
      <w:r w:rsidR="00F5209E">
        <w:rPr>
          <w:rFonts w:cs="Arabic Transparent"/>
          <w:sz w:val="18"/>
          <w:szCs w:val="18"/>
        </w:rPr>
        <w:t>ocated on a 50:50 basis between</w:t>
      </w:r>
      <w:r>
        <w:rPr>
          <w:rFonts w:cs="Arabic Transparent"/>
          <w:sz w:val="18"/>
          <w:szCs w:val="18"/>
        </w:rPr>
        <w:t xml:space="preserve"> the rental business</w:t>
      </w:r>
      <w:r w:rsidRPr="00E30463">
        <w:rPr>
          <w:sz w:val="18"/>
        </w:rPr>
        <w:t xml:space="preserve"> and </w:t>
      </w:r>
      <w:r>
        <w:rPr>
          <w:rFonts w:cs="Arabic Transparent"/>
          <w:sz w:val="18"/>
          <w:szCs w:val="18"/>
        </w:rPr>
        <w:t xml:space="preserve">the </w:t>
      </w:r>
      <w:r w:rsidRPr="00E30463">
        <w:rPr>
          <w:sz w:val="18"/>
        </w:rPr>
        <w:t>property and management</w:t>
      </w:r>
      <w:r>
        <w:rPr>
          <w:rFonts w:cs="Arabic Transparent"/>
          <w:sz w:val="18"/>
          <w:szCs w:val="18"/>
        </w:rPr>
        <w:t xml:space="preserve"> business.</w:t>
      </w:r>
    </w:p>
    <w:p w14:paraId="564756F9" w14:textId="77777777" w:rsidR="007B6B42" w:rsidRDefault="007B6B42" w:rsidP="007B6B42">
      <w:pPr>
        <w:spacing w:after="240"/>
        <w:jc w:val="both"/>
      </w:pPr>
      <w:r>
        <w:rPr>
          <w:rFonts w:cs="Arabic Transparent"/>
          <w:sz w:val="18"/>
          <w:szCs w:val="18"/>
        </w:rPr>
        <w:t>Breakdown summary of the business lines:</w:t>
      </w:r>
    </w:p>
    <w:tbl>
      <w:tblPr>
        <w:tblW w:w="4587" w:type="pct"/>
        <w:jc w:val="center"/>
        <w:tblBorders>
          <w:bottom w:val="single" w:sz="4" w:space="0" w:color="auto"/>
        </w:tblBorders>
        <w:tblLayout w:type="fixed"/>
        <w:tblCellMar>
          <w:left w:w="0" w:type="dxa"/>
          <w:right w:w="0" w:type="dxa"/>
        </w:tblCellMar>
        <w:tblLook w:val="04A0" w:firstRow="1" w:lastRow="0" w:firstColumn="1" w:lastColumn="0" w:noHBand="0" w:noVBand="1"/>
      </w:tblPr>
      <w:tblGrid>
        <w:gridCol w:w="4900"/>
        <w:gridCol w:w="22"/>
        <w:gridCol w:w="22"/>
        <w:gridCol w:w="192"/>
        <w:gridCol w:w="197"/>
        <w:gridCol w:w="1105"/>
        <w:gridCol w:w="1373"/>
        <w:gridCol w:w="1136"/>
      </w:tblGrid>
      <w:tr w:rsidR="007B6B42" w14:paraId="58E0FE74" w14:textId="77777777" w:rsidTr="00764BF5">
        <w:trPr>
          <w:gridAfter w:val="3"/>
          <w:wAfter w:w="3614" w:type="dxa"/>
          <w:tblHeader/>
          <w:jc w:val="center"/>
        </w:trPr>
        <w:tc>
          <w:tcPr>
            <w:tcW w:w="4900" w:type="dxa"/>
            <w:tcBorders>
              <w:bottom w:val="nil"/>
            </w:tcBorders>
            <w:hideMark/>
          </w:tcPr>
          <w:p w14:paraId="09E062AE" w14:textId="77777777" w:rsidR="007B6B42" w:rsidRDefault="007B6B42" w:rsidP="00C17ECC">
            <w:pPr>
              <w:jc w:val="right"/>
              <w:rPr>
                <w:sz w:val="1"/>
                <w:szCs w:val="18"/>
              </w:rPr>
            </w:pPr>
          </w:p>
        </w:tc>
        <w:tc>
          <w:tcPr>
            <w:tcW w:w="22" w:type="dxa"/>
            <w:tcBorders>
              <w:bottom w:val="single" w:sz="4" w:space="0" w:color="auto"/>
            </w:tcBorders>
          </w:tcPr>
          <w:p w14:paraId="003666FC" w14:textId="77777777" w:rsidR="007B6B42" w:rsidRDefault="007B6B42" w:rsidP="00C17ECC">
            <w:pPr>
              <w:jc w:val="right"/>
              <w:rPr>
                <w:sz w:val="1"/>
                <w:szCs w:val="18"/>
              </w:rPr>
            </w:pPr>
          </w:p>
        </w:tc>
        <w:tc>
          <w:tcPr>
            <w:tcW w:w="214" w:type="dxa"/>
            <w:gridSpan w:val="2"/>
            <w:tcBorders>
              <w:bottom w:val="single" w:sz="4" w:space="0" w:color="auto"/>
            </w:tcBorders>
            <w:hideMark/>
          </w:tcPr>
          <w:p w14:paraId="421986BF" w14:textId="77777777" w:rsidR="007B6B42" w:rsidRDefault="007B6B42" w:rsidP="00C17ECC">
            <w:pPr>
              <w:jc w:val="right"/>
              <w:rPr>
                <w:sz w:val="1"/>
                <w:szCs w:val="18"/>
              </w:rPr>
            </w:pPr>
          </w:p>
        </w:tc>
        <w:tc>
          <w:tcPr>
            <w:tcW w:w="197" w:type="dxa"/>
            <w:tcBorders>
              <w:bottom w:val="single" w:sz="4" w:space="0" w:color="auto"/>
            </w:tcBorders>
            <w:hideMark/>
          </w:tcPr>
          <w:p w14:paraId="685325E0" w14:textId="77777777" w:rsidR="007B6B42" w:rsidRDefault="007B6B42" w:rsidP="00C17ECC">
            <w:pPr>
              <w:jc w:val="right"/>
              <w:rPr>
                <w:sz w:val="1"/>
                <w:szCs w:val="18"/>
              </w:rPr>
            </w:pPr>
          </w:p>
        </w:tc>
      </w:tr>
      <w:tr w:rsidR="007B6B42" w14:paraId="71D2E8C6" w14:textId="77777777" w:rsidTr="00764BF5">
        <w:trPr>
          <w:cantSplit/>
          <w:jc w:val="center"/>
        </w:trPr>
        <w:tc>
          <w:tcPr>
            <w:tcW w:w="4900" w:type="dxa"/>
            <w:tcBorders>
              <w:top w:val="single" w:sz="4" w:space="0" w:color="auto"/>
              <w:bottom w:val="nil"/>
            </w:tcBorders>
          </w:tcPr>
          <w:p w14:paraId="4A8EA08D" w14:textId="77777777" w:rsidR="007B6B42" w:rsidRDefault="007B6B42" w:rsidP="00C17ECC">
            <w:pPr>
              <w:pStyle w:val="NormalWeb"/>
              <w:keepNext/>
              <w:tabs>
                <w:tab w:val="right" w:leader="dot" w:pos="4620"/>
              </w:tabs>
              <w:spacing w:before="0" w:beforeAutospacing="0" w:after="0" w:afterAutospacing="0"/>
              <w:ind w:left="240" w:hanging="240"/>
              <w:rPr>
                <w:sz w:val="18"/>
                <w:szCs w:val="18"/>
              </w:rPr>
            </w:pPr>
            <w:r w:rsidRPr="009B02B0">
              <w:rPr>
                <w:i/>
                <w:sz w:val="18"/>
                <w:szCs w:val="18"/>
              </w:rPr>
              <w:t>In thousands of €</w:t>
            </w:r>
          </w:p>
        </w:tc>
        <w:tc>
          <w:tcPr>
            <w:tcW w:w="22" w:type="dxa"/>
            <w:tcBorders>
              <w:top w:val="single" w:sz="4" w:space="0" w:color="auto"/>
              <w:bottom w:val="nil"/>
            </w:tcBorders>
          </w:tcPr>
          <w:p w14:paraId="5CB21717"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22" w:type="dxa"/>
            <w:tcBorders>
              <w:top w:val="single" w:sz="4" w:space="0" w:color="auto"/>
              <w:bottom w:val="nil"/>
            </w:tcBorders>
          </w:tcPr>
          <w:p w14:paraId="372CAD57"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1494" w:type="dxa"/>
            <w:gridSpan w:val="3"/>
            <w:tcBorders>
              <w:top w:val="single" w:sz="4" w:space="0" w:color="auto"/>
              <w:bottom w:val="nil"/>
            </w:tcBorders>
            <w:noWrap/>
            <w:tcMar>
              <w:top w:w="0" w:type="dxa"/>
              <w:left w:w="144" w:type="dxa"/>
              <w:bottom w:w="0" w:type="dxa"/>
              <w:right w:w="0" w:type="dxa"/>
            </w:tcMar>
            <w:vAlign w:val="bottom"/>
          </w:tcPr>
          <w:p w14:paraId="4802B03B" w14:textId="77777777" w:rsidR="007B6B42" w:rsidRPr="009B02B0" w:rsidRDefault="007B6B42" w:rsidP="00C17ECC">
            <w:pPr>
              <w:ind w:right="185"/>
              <w:jc w:val="right"/>
              <w:rPr>
                <w:b/>
                <w:bCs/>
                <w:color w:val="000000"/>
                <w:sz w:val="18"/>
                <w:szCs w:val="18"/>
                <w:u w:val="single"/>
                <w:lang w:val="en-GB" w:eastAsia="en-GB"/>
              </w:rPr>
            </w:pPr>
            <w:r>
              <w:rPr>
                <w:b/>
                <w:bCs/>
                <w:color w:val="000000"/>
                <w:sz w:val="18"/>
                <w:szCs w:val="18"/>
                <w:u w:val="single"/>
                <w:lang w:val="en-GB" w:eastAsia="en-GB"/>
              </w:rPr>
              <w:t>2015</w:t>
            </w:r>
          </w:p>
        </w:tc>
        <w:tc>
          <w:tcPr>
            <w:tcW w:w="1373" w:type="dxa"/>
            <w:tcBorders>
              <w:top w:val="single" w:sz="4" w:space="0" w:color="auto"/>
              <w:bottom w:val="nil"/>
            </w:tcBorders>
            <w:vAlign w:val="bottom"/>
          </w:tcPr>
          <w:p w14:paraId="2A2FA82B" w14:textId="77777777" w:rsidR="007B6B42" w:rsidRPr="009B02B0" w:rsidRDefault="007B6B42" w:rsidP="00C17ECC">
            <w:pPr>
              <w:ind w:right="185"/>
              <w:jc w:val="right"/>
              <w:rPr>
                <w:b/>
                <w:bCs/>
                <w:color w:val="000000"/>
                <w:sz w:val="18"/>
                <w:szCs w:val="18"/>
                <w:u w:val="single"/>
                <w:lang w:val="en-GB" w:eastAsia="en-GB"/>
              </w:rPr>
            </w:pPr>
            <w:r>
              <w:rPr>
                <w:b/>
                <w:bCs/>
                <w:color w:val="000000"/>
                <w:sz w:val="18"/>
                <w:szCs w:val="18"/>
                <w:u w:val="single"/>
                <w:lang w:val="en-GB" w:eastAsia="en-GB"/>
              </w:rPr>
              <w:t>2016</w:t>
            </w:r>
          </w:p>
        </w:tc>
        <w:tc>
          <w:tcPr>
            <w:tcW w:w="1136" w:type="dxa"/>
            <w:tcBorders>
              <w:top w:val="single" w:sz="4" w:space="0" w:color="auto"/>
              <w:bottom w:val="nil"/>
            </w:tcBorders>
            <w:noWrap/>
            <w:tcMar>
              <w:top w:w="0" w:type="dxa"/>
              <w:left w:w="144" w:type="dxa"/>
              <w:bottom w:w="0" w:type="dxa"/>
              <w:right w:w="0" w:type="dxa"/>
            </w:tcMar>
            <w:vAlign w:val="bottom"/>
          </w:tcPr>
          <w:p w14:paraId="01534035" w14:textId="2A458B3E" w:rsidR="007B6B42" w:rsidRPr="009B02B0" w:rsidRDefault="00156861" w:rsidP="00C17ECC">
            <w:pPr>
              <w:ind w:right="185"/>
              <w:jc w:val="right"/>
              <w:rPr>
                <w:b/>
                <w:bCs/>
                <w:color w:val="000000"/>
                <w:sz w:val="18"/>
                <w:szCs w:val="18"/>
                <w:u w:val="single"/>
                <w:lang w:val="en-GB" w:eastAsia="en-GB"/>
              </w:rPr>
            </w:pPr>
            <w:r>
              <w:rPr>
                <w:b/>
                <w:bCs/>
                <w:color w:val="000000"/>
                <w:sz w:val="18"/>
                <w:szCs w:val="18"/>
                <w:u w:val="single"/>
                <w:lang w:val="en-GB" w:eastAsia="en-GB"/>
              </w:rPr>
              <w:t>1</w:t>
            </w:r>
            <w:r w:rsidR="007B6B42">
              <w:rPr>
                <w:b/>
                <w:bCs/>
                <w:color w:val="000000"/>
                <w:sz w:val="18"/>
                <w:szCs w:val="18"/>
                <w:u w:val="single"/>
                <w:lang w:val="en-GB" w:eastAsia="en-GB"/>
              </w:rPr>
              <w:t>H2017</w:t>
            </w:r>
          </w:p>
        </w:tc>
      </w:tr>
      <w:tr w:rsidR="007B6B42" w14:paraId="78255F2F" w14:textId="77777777" w:rsidTr="00764BF5">
        <w:trPr>
          <w:cantSplit/>
          <w:trHeight w:val="145"/>
          <w:jc w:val="center"/>
        </w:trPr>
        <w:tc>
          <w:tcPr>
            <w:tcW w:w="4900" w:type="dxa"/>
            <w:tcBorders>
              <w:top w:val="nil"/>
            </w:tcBorders>
          </w:tcPr>
          <w:p w14:paraId="4338E4A0" w14:textId="77777777" w:rsidR="007B6B42" w:rsidRDefault="007B6B42" w:rsidP="00C17ECC">
            <w:pPr>
              <w:pStyle w:val="NormalWeb"/>
              <w:keepNext/>
              <w:tabs>
                <w:tab w:val="right" w:leader="dot" w:pos="4620"/>
              </w:tabs>
              <w:spacing w:before="0" w:beforeAutospacing="0" w:after="0" w:afterAutospacing="0"/>
              <w:ind w:left="240" w:hanging="240"/>
              <w:jc w:val="right"/>
              <w:rPr>
                <w:sz w:val="18"/>
                <w:szCs w:val="18"/>
              </w:rPr>
            </w:pPr>
          </w:p>
        </w:tc>
        <w:tc>
          <w:tcPr>
            <w:tcW w:w="22" w:type="dxa"/>
            <w:tcBorders>
              <w:top w:val="nil"/>
            </w:tcBorders>
          </w:tcPr>
          <w:p w14:paraId="78A79454"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22" w:type="dxa"/>
            <w:tcBorders>
              <w:top w:val="nil"/>
            </w:tcBorders>
          </w:tcPr>
          <w:p w14:paraId="4FF26249"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1494" w:type="dxa"/>
            <w:gridSpan w:val="3"/>
            <w:tcBorders>
              <w:top w:val="nil"/>
            </w:tcBorders>
            <w:noWrap/>
            <w:tcMar>
              <w:top w:w="0" w:type="dxa"/>
              <w:left w:w="144" w:type="dxa"/>
              <w:bottom w:w="0" w:type="dxa"/>
              <w:right w:w="0" w:type="dxa"/>
            </w:tcMar>
          </w:tcPr>
          <w:p w14:paraId="20B16975" w14:textId="77777777" w:rsidR="007B6B42" w:rsidRPr="009918E0" w:rsidRDefault="007B6B42" w:rsidP="00C17ECC">
            <w:pPr>
              <w:pStyle w:val="NormalWeb"/>
              <w:tabs>
                <w:tab w:val="right" w:pos="900"/>
                <w:tab w:val="decimal" w:pos="940"/>
              </w:tabs>
              <w:spacing w:before="0" w:beforeAutospacing="0" w:after="20" w:afterAutospacing="0"/>
              <w:ind w:right="185"/>
              <w:jc w:val="right"/>
              <w:rPr>
                <w:b/>
                <w:sz w:val="18"/>
                <w:szCs w:val="18"/>
              </w:rPr>
            </w:pPr>
          </w:p>
        </w:tc>
        <w:tc>
          <w:tcPr>
            <w:tcW w:w="1373" w:type="dxa"/>
            <w:tcBorders>
              <w:top w:val="nil"/>
            </w:tcBorders>
          </w:tcPr>
          <w:p w14:paraId="5127664D" w14:textId="77777777" w:rsidR="007B6B42" w:rsidRPr="009918E0" w:rsidRDefault="007B6B42" w:rsidP="00C17ECC">
            <w:pPr>
              <w:pStyle w:val="NormalWeb"/>
              <w:tabs>
                <w:tab w:val="right" w:pos="900"/>
                <w:tab w:val="decimal" w:pos="940"/>
              </w:tabs>
              <w:spacing w:before="0" w:beforeAutospacing="0" w:after="20" w:afterAutospacing="0"/>
              <w:ind w:right="185"/>
              <w:jc w:val="right"/>
              <w:rPr>
                <w:b/>
                <w:sz w:val="18"/>
                <w:szCs w:val="18"/>
              </w:rPr>
            </w:pPr>
          </w:p>
        </w:tc>
        <w:tc>
          <w:tcPr>
            <w:tcW w:w="1136" w:type="dxa"/>
            <w:tcBorders>
              <w:top w:val="nil"/>
            </w:tcBorders>
            <w:noWrap/>
            <w:tcMar>
              <w:top w:w="0" w:type="dxa"/>
              <w:left w:w="144" w:type="dxa"/>
              <w:bottom w:w="0" w:type="dxa"/>
              <w:right w:w="0" w:type="dxa"/>
            </w:tcMar>
          </w:tcPr>
          <w:p w14:paraId="6F8C65AC" w14:textId="77777777" w:rsidR="007B6B42" w:rsidRPr="009918E0" w:rsidRDefault="007B6B42" w:rsidP="00C17ECC">
            <w:pPr>
              <w:pStyle w:val="NormalWeb"/>
              <w:tabs>
                <w:tab w:val="right" w:pos="900"/>
                <w:tab w:val="decimal" w:pos="940"/>
              </w:tabs>
              <w:spacing w:before="0" w:beforeAutospacing="0" w:after="20" w:afterAutospacing="0"/>
              <w:ind w:right="185"/>
              <w:jc w:val="right"/>
              <w:rPr>
                <w:b/>
                <w:sz w:val="18"/>
                <w:szCs w:val="18"/>
              </w:rPr>
            </w:pPr>
          </w:p>
        </w:tc>
      </w:tr>
      <w:tr w:rsidR="007B6B42" w14:paraId="3452AFE5" w14:textId="77777777" w:rsidTr="00764BF5">
        <w:trPr>
          <w:cantSplit/>
          <w:jc w:val="center"/>
        </w:trPr>
        <w:tc>
          <w:tcPr>
            <w:tcW w:w="4900" w:type="dxa"/>
            <w:hideMark/>
          </w:tcPr>
          <w:p w14:paraId="4CC176E6" w14:textId="77777777" w:rsidR="007B6B42" w:rsidRPr="0060104C" w:rsidRDefault="007B6B42" w:rsidP="00C17ECC">
            <w:pPr>
              <w:pStyle w:val="NormalWeb"/>
              <w:keepNext/>
              <w:tabs>
                <w:tab w:val="right" w:leader="dot" w:pos="4620"/>
              </w:tabs>
              <w:spacing w:before="0" w:beforeAutospacing="0" w:after="0" w:afterAutospacing="0"/>
              <w:ind w:left="240" w:hanging="240"/>
              <w:jc w:val="right"/>
              <w:rPr>
                <w:rFonts w:eastAsiaTheme="minorEastAsia"/>
                <w:sz w:val="18"/>
                <w:szCs w:val="18"/>
              </w:rPr>
            </w:pPr>
            <w:r w:rsidRPr="0060104C">
              <w:rPr>
                <w:sz w:val="18"/>
                <w:szCs w:val="18"/>
              </w:rPr>
              <w:t>Rental business - EBITDA</w:t>
            </w:r>
            <w:r w:rsidRPr="0060104C">
              <w:rPr>
                <w:sz w:val="18"/>
                <w:szCs w:val="18"/>
              </w:rPr>
              <w:tab/>
            </w:r>
          </w:p>
        </w:tc>
        <w:tc>
          <w:tcPr>
            <w:tcW w:w="22" w:type="dxa"/>
          </w:tcPr>
          <w:p w14:paraId="34FB33E4"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22" w:type="dxa"/>
          </w:tcPr>
          <w:p w14:paraId="24027F9B"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1494" w:type="dxa"/>
            <w:gridSpan w:val="3"/>
            <w:tcBorders>
              <w:top w:val="nil"/>
              <w:left w:val="nil"/>
              <w:bottom w:val="nil"/>
              <w:right w:val="nil"/>
            </w:tcBorders>
            <w:shd w:val="clear" w:color="auto" w:fill="auto"/>
            <w:noWrap/>
            <w:tcMar>
              <w:top w:w="0" w:type="dxa"/>
              <w:left w:w="144" w:type="dxa"/>
              <w:bottom w:w="0" w:type="dxa"/>
              <w:right w:w="0" w:type="dxa"/>
            </w:tcMar>
            <w:vAlign w:val="center"/>
          </w:tcPr>
          <w:p w14:paraId="0EE6259E"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17,091</w:t>
            </w:r>
          </w:p>
        </w:tc>
        <w:tc>
          <w:tcPr>
            <w:tcW w:w="1373" w:type="dxa"/>
            <w:tcBorders>
              <w:top w:val="nil"/>
              <w:left w:val="nil"/>
              <w:bottom w:val="nil"/>
              <w:right w:val="nil"/>
            </w:tcBorders>
            <w:shd w:val="clear" w:color="auto" w:fill="auto"/>
            <w:vAlign w:val="center"/>
          </w:tcPr>
          <w:p w14:paraId="2E3DDCBD"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23,987</w:t>
            </w:r>
          </w:p>
        </w:tc>
        <w:tc>
          <w:tcPr>
            <w:tcW w:w="1136" w:type="dxa"/>
            <w:tcBorders>
              <w:top w:val="nil"/>
              <w:left w:val="nil"/>
              <w:bottom w:val="nil"/>
              <w:right w:val="nil"/>
            </w:tcBorders>
            <w:shd w:val="clear" w:color="auto" w:fill="auto"/>
            <w:noWrap/>
            <w:tcMar>
              <w:top w:w="0" w:type="dxa"/>
              <w:left w:w="144" w:type="dxa"/>
              <w:bottom w:w="0" w:type="dxa"/>
              <w:right w:w="0" w:type="dxa"/>
            </w:tcMar>
            <w:vAlign w:val="center"/>
          </w:tcPr>
          <w:p w14:paraId="164A1D4C"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15,808</w:t>
            </w:r>
          </w:p>
        </w:tc>
      </w:tr>
      <w:tr w:rsidR="007B6B42" w14:paraId="13099FFD" w14:textId="77777777" w:rsidTr="00764BF5">
        <w:trPr>
          <w:cantSplit/>
          <w:jc w:val="center"/>
        </w:trPr>
        <w:tc>
          <w:tcPr>
            <w:tcW w:w="4900" w:type="dxa"/>
            <w:hideMark/>
          </w:tcPr>
          <w:p w14:paraId="6332C260" w14:textId="77777777" w:rsidR="007B6B42" w:rsidRPr="0060104C" w:rsidRDefault="007B6B42" w:rsidP="00C17ECC">
            <w:pPr>
              <w:pStyle w:val="NormalWeb"/>
              <w:keepNext/>
              <w:tabs>
                <w:tab w:val="right" w:leader="dot" w:pos="4620"/>
              </w:tabs>
              <w:spacing w:before="0" w:beforeAutospacing="0" w:after="0" w:afterAutospacing="0"/>
              <w:ind w:left="240" w:hanging="240"/>
              <w:jc w:val="right"/>
              <w:rPr>
                <w:rFonts w:eastAsiaTheme="minorEastAsia"/>
                <w:sz w:val="18"/>
                <w:szCs w:val="18"/>
              </w:rPr>
            </w:pPr>
            <w:r w:rsidRPr="0060104C">
              <w:rPr>
                <w:sz w:val="18"/>
                <w:szCs w:val="18"/>
              </w:rPr>
              <w:t>% EBITDA margin (excl.  JV share)</w:t>
            </w:r>
            <w:r w:rsidRPr="0060104C">
              <w:rPr>
                <w:sz w:val="18"/>
                <w:szCs w:val="18"/>
              </w:rPr>
              <w:tab/>
            </w:r>
          </w:p>
        </w:tc>
        <w:tc>
          <w:tcPr>
            <w:tcW w:w="22" w:type="dxa"/>
          </w:tcPr>
          <w:p w14:paraId="2D57C314"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22" w:type="dxa"/>
          </w:tcPr>
          <w:p w14:paraId="1AE3A6D1"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1494" w:type="dxa"/>
            <w:gridSpan w:val="3"/>
            <w:tcBorders>
              <w:top w:val="nil"/>
              <w:left w:val="nil"/>
              <w:bottom w:val="nil"/>
              <w:right w:val="nil"/>
            </w:tcBorders>
            <w:shd w:val="clear" w:color="auto" w:fill="auto"/>
            <w:noWrap/>
            <w:tcMar>
              <w:top w:w="0" w:type="dxa"/>
              <w:left w:w="144" w:type="dxa"/>
              <w:bottom w:w="0" w:type="dxa"/>
              <w:right w:w="0" w:type="dxa"/>
            </w:tcMar>
            <w:vAlign w:val="center"/>
          </w:tcPr>
          <w:p w14:paraId="2A835D85"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97%</w:t>
            </w:r>
          </w:p>
        </w:tc>
        <w:tc>
          <w:tcPr>
            <w:tcW w:w="1373" w:type="dxa"/>
            <w:tcBorders>
              <w:top w:val="nil"/>
              <w:left w:val="nil"/>
              <w:bottom w:val="nil"/>
              <w:right w:val="nil"/>
            </w:tcBorders>
            <w:shd w:val="clear" w:color="auto" w:fill="auto"/>
            <w:vAlign w:val="center"/>
          </w:tcPr>
          <w:p w14:paraId="0CA776A2"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97%</w:t>
            </w:r>
          </w:p>
        </w:tc>
        <w:tc>
          <w:tcPr>
            <w:tcW w:w="1136" w:type="dxa"/>
            <w:tcBorders>
              <w:top w:val="nil"/>
              <w:left w:val="nil"/>
              <w:bottom w:val="nil"/>
              <w:right w:val="nil"/>
            </w:tcBorders>
            <w:shd w:val="clear" w:color="auto" w:fill="auto"/>
            <w:noWrap/>
            <w:tcMar>
              <w:top w:w="0" w:type="dxa"/>
              <w:left w:w="144" w:type="dxa"/>
              <w:bottom w:w="0" w:type="dxa"/>
              <w:right w:w="0" w:type="dxa"/>
            </w:tcMar>
            <w:vAlign w:val="center"/>
          </w:tcPr>
          <w:p w14:paraId="0F7EEAFD"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99%</w:t>
            </w:r>
          </w:p>
        </w:tc>
      </w:tr>
      <w:tr w:rsidR="007B6B42" w14:paraId="4D880C48" w14:textId="77777777" w:rsidTr="00764BF5">
        <w:trPr>
          <w:cantSplit/>
          <w:jc w:val="center"/>
        </w:trPr>
        <w:tc>
          <w:tcPr>
            <w:tcW w:w="4900" w:type="dxa"/>
          </w:tcPr>
          <w:p w14:paraId="734B6999" w14:textId="77777777" w:rsidR="007B6B42" w:rsidRPr="0060104C" w:rsidRDefault="007B6B42" w:rsidP="00C17ECC">
            <w:pPr>
              <w:pStyle w:val="NormalWeb"/>
              <w:keepNext/>
              <w:tabs>
                <w:tab w:val="right" w:leader="dot" w:pos="4620"/>
              </w:tabs>
              <w:spacing w:before="0" w:beforeAutospacing="0" w:after="0" w:afterAutospacing="0"/>
              <w:ind w:left="240" w:hanging="240"/>
              <w:jc w:val="right"/>
              <w:rPr>
                <w:rFonts w:eastAsiaTheme="minorEastAsia"/>
                <w:sz w:val="18"/>
                <w:szCs w:val="18"/>
              </w:rPr>
            </w:pPr>
          </w:p>
        </w:tc>
        <w:tc>
          <w:tcPr>
            <w:tcW w:w="22" w:type="dxa"/>
          </w:tcPr>
          <w:p w14:paraId="2F1F17BB"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22" w:type="dxa"/>
          </w:tcPr>
          <w:p w14:paraId="56DE323B"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1494" w:type="dxa"/>
            <w:gridSpan w:val="3"/>
            <w:tcBorders>
              <w:top w:val="nil"/>
              <w:left w:val="nil"/>
              <w:bottom w:val="nil"/>
              <w:right w:val="nil"/>
            </w:tcBorders>
            <w:shd w:val="clear" w:color="auto" w:fill="auto"/>
            <w:noWrap/>
            <w:tcMar>
              <w:top w:w="0" w:type="dxa"/>
              <w:left w:w="144" w:type="dxa"/>
              <w:bottom w:w="0" w:type="dxa"/>
              <w:right w:w="0" w:type="dxa"/>
            </w:tcMar>
            <w:vAlign w:val="center"/>
          </w:tcPr>
          <w:p w14:paraId="2539DE59" w14:textId="77777777" w:rsidR="007B6B42" w:rsidRPr="00001E3D" w:rsidRDefault="007B6B42" w:rsidP="00C17ECC">
            <w:pPr>
              <w:ind w:right="83"/>
              <w:jc w:val="right"/>
              <w:rPr>
                <w:color w:val="000000"/>
                <w:sz w:val="18"/>
                <w:szCs w:val="18"/>
                <w:lang w:val="en-GB" w:eastAsia="en-GB"/>
              </w:rPr>
            </w:pPr>
          </w:p>
        </w:tc>
        <w:tc>
          <w:tcPr>
            <w:tcW w:w="1373" w:type="dxa"/>
            <w:tcBorders>
              <w:top w:val="nil"/>
              <w:left w:val="nil"/>
              <w:bottom w:val="nil"/>
              <w:right w:val="nil"/>
            </w:tcBorders>
            <w:shd w:val="clear" w:color="auto" w:fill="auto"/>
            <w:vAlign w:val="center"/>
          </w:tcPr>
          <w:p w14:paraId="3813B8CD" w14:textId="77777777" w:rsidR="007B6B42" w:rsidRPr="00001E3D" w:rsidRDefault="007B6B42" w:rsidP="00C17ECC">
            <w:pPr>
              <w:ind w:right="83"/>
              <w:jc w:val="right"/>
              <w:rPr>
                <w:color w:val="000000"/>
                <w:sz w:val="18"/>
                <w:szCs w:val="18"/>
                <w:lang w:val="en-GB" w:eastAsia="en-GB"/>
              </w:rPr>
            </w:pPr>
          </w:p>
        </w:tc>
        <w:tc>
          <w:tcPr>
            <w:tcW w:w="1136" w:type="dxa"/>
            <w:tcBorders>
              <w:top w:val="nil"/>
              <w:left w:val="nil"/>
              <w:bottom w:val="nil"/>
              <w:right w:val="nil"/>
            </w:tcBorders>
            <w:shd w:val="clear" w:color="auto" w:fill="auto"/>
            <w:noWrap/>
            <w:tcMar>
              <w:top w:w="0" w:type="dxa"/>
              <w:left w:w="144" w:type="dxa"/>
              <w:bottom w:w="0" w:type="dxa"/>
              <w:right w:w="0" w:type="dxa"/>
            </w:tcMar>
            <w:vAlign w:val="center"/>
          </w:tcPr>
          <w:p w14:paraId="67A55A5A" w14:textId="77777777" w:rsidR="007B6B42" w:rsidRPr="00001E3D" w:rsidRDefault="007B6B42" w:rsidP="00C17ECC">
            <w:pPr>
              <w:ind w:right="83"/>
              <w:jc w:val="right"/>
              <w:rPr>
                <w:color w:val="000000"/>
                <w:sz w:val="18"/>
                <w:szCs w:val="18"/>
                <w:lang w:val="en-GB" w:eastAsia="en-GB"/>
              </w:rPr>
            </w:pPr>
          </w:p>
        </w:tc>
      </w:tr>
      <w:tr w:rsidR="007B6B42" w14:paraId="15EBC52C" w14:textId="77777777" w:rsidTr="00764BF5">
        <w:trPr>
          <w:cantSplit/>
          <w:jc w:val="center"/>
        </w:trPr>
        <w:tc>
          <w:tcPr>
            <w:tcW w:w="4900" w:type="dxa"/>
            <w:hideMark/>
          </w:tcPr>
          <w:p w14:paraId="774BFAF9" w14:textId="77777777" w:rsidR="007B6B42" w:rsidRPr="0060104C" w:rsidRDefault="007B6B42" w:rsidP="00C17ECC">
            <w:pPr>
              <w:pStyle w:val="NormalWeb"/>
              <w:keepNext/>
              <w:tabs>
                <w:tab w:val="right" w:leader="dot" w:pos="4620"/>
              </w:tabs>
              <w:spacing w:before="0" w:beforeAutospacing="0" w:after="0" w:afterAutospacing="0"/>
              <w:ind w:left="240" w:hanging="240"/>
              <w:jc w:val="right"/>
              <w:rPr>
                <w:rFonts w:eastAsiaTheme="minorEastAsia"/>
                <w:sz w:val="18"/>
                <w:szCs w:val="18"/>
              </w:rPr>
            </w:pPr>
            <w:r w:rsidRPr="0060104C">
              <w:rPr>
                <w:sz w:val="18"/>
                <w:szCs w:val="18"/>
              </w:rPr>
              <w:t>Property development  - EBITDA</w:t>
            </w:r>
            <w:r w:rsidRPr="0060104C">
              <w:rPr>
                <w:sz w:val="18"/>
                <w:szCs w:val="18"/>
              </w:rPr>
              <w:tab/>
            </w:r>
          </w:p>
        </w:tc>
        <w:tc>
          <w:tcPr>
            <w:tcW w:w="22" w:type="dxa"/>
          </w:tcPr>
          <w:p w14:paraId="38E813F9"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22" w:type="dxa"/>
          </w:tcPr>
          <w:p w14:paraId="3A53187D"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1494" w:type="dxa"/>
            <w:gridSpan w:val="3"/>
            <w:tcBorders>
              <w:top w:val="nil"/>
              <w:left w:val="nil"/>
              <w:bottom w:val="nil"/>
              <w:right w:val="nil"/>
            </w:tcBorders>
            <w:shd w:val="clear" w:color="auto" w:fill="auto"/>
            <w:noWrap/>
            <w:tcMar>
              <w:top w:w="0" w:type="dxa"/>
              <w:left w:w="144" w:type="dxa"/>
              <w:bottom w:w="0" w:type="dxa"/>
              <w:right w:w="0" w:type="dxa"/>
            </w:tcMar>
            <w:vAlign w:val="center"/>
          </w:tcPr>
          <w:p w14:paraId="20DF55DE"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85,301</w:t>
            </w:r>
          </w:p>
        </w:tc>
        <w:tc>
          <w:tcPr>
            <w:tcW w:w="1373" w:type="dxa"/>
            <w:tcBorders>
              <w:top w:val="nil"/>
              <w:left w:val="nil"/>
              <w:bottom w:val="nil"/>
              <w:right w:val="nil"/>
            </w:tcBorders>
            <w:shd w:val="clear" w:color="auto" w:fill="auto"/>
            <w:vAlign w:val="center"/>
          </w:tcPr>
          <w:p w14:paraId="32EDF30D"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96,522</w:t>
            </w:r>
          </w:p>
        </w:tc>
        <w:tc>
          <w:tcPr>
            <w:tcW w:w="1136" w:type="dxa"/>
            <w:tcBorders>
              <w:top w:val="nil"/>
              <w:left w:val="nil"/>
              <w:bottom w:val="nil"/>
              <w:right w:val="nil"/>
            </w:tcBorders>
            <w:shd w:val="clear" w:color="auto" w:fill="auto"/>
            <w:noWrap/>
            <w:tcMar>
              <w:top w:w="0" w:type="dxa"/>
              <w:left w:w="144" w:type="dxa"/>
              <w:bottom w:w="0" w:type="dxa"/>
              <w:right w:w="0" w:type="dxa"/>
            </w:tcMar>
            <w:vAlign w:val="center"/>
          </w:tcPr>
          <w:p w14:paraId="6D92058C"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39,641</w:t>
            </w:r>
          </w:p>
        </w:tc>
      </w:tr>
      <w:tr w:rsidR="007B6B42" w14:paraId="03B375F4" w14:textId="77777777" w:rsidTr="00764BF5">
        <w:trPr>
          <w:cantSplit/>
          <w:jc w:val="center"/>
        </w:trPr>
        <w:tc>
          <w:tcPr>
            <w:tcW w:w="4900" w:type="dxa"/>
            <w:hideMark/>
          </w:tcPr>
          <w:p w14:paraId="10F7DF76" w14:textId="77777777" w:rsidR="007B6B42" w:rsidRPr="0060104C" w:rsidRDefault="007B6B42" w:rsidP="00C17ECC">
            <w:pPr>
              <w:pStyle w:val="NormalWeb"/>
              <w:keepNext/>
              <w:tabs>
                <w:tab w:val="right" w:leader="dot" w:pos="4620"/>
              </w:tabs>
              <w:spacing w:before="0" w:beforeAutospacing="0" w:after="0" w:afterAutospacing="0"/>
              <w:ind w:left="240" w:hanging="240"/>
              <w:jc w:val="right"/>
              <w:rPr>
                <w:rFonts w:eastAsiaTheme="minorEastAsia"/>
                <w:sz w:val="18"/>
                <w:szCs w:val="18"/>
              </w:rPr>
            </w:pPr>
            <w:r w:rsidRPr="0060104C">
              <w:rPr>
                <w:sz w:val="18"/>
                <w:szCs w:val="18"/>
              </w:rPr>
              <w:t>% EBITDA margin</w:t>
            </w:r>
            <w:r w:rsidRPr="0060104C">
              <w:rPr>
                <w:sz w:val="18"/>
                <w:szCs w:val="18"/>
              </w:rPr>
              <w:tab/>
            </w:r>
          </w:p>
        </w:tc>
        <w:tc>
          <w:tcPr>
            <w:tcW w:w="22" w:type="dxa"/>
          </w:tcPr>
          <w:p w14:paraId="1044675F"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22" w:type="dxa"/>
          </w:tcPr>
          <w:p w14:paraId="2B3E4F26"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1494" w:type="dxa"/>
            <w:gridSpan w:val="3"/>
            <w:tcBorders>
              <w:top w:val="nil"/>
              <w:left w:val="nil"/>
              <w:bottom w:val="nil"/>
              <w:right w:val="nil"/>
            </w:tcBorders>
            <w:shd w:val="clear" w:color="auto" w:fill="auto"/>
            <w:noWrap/>
            <w:tcMar>
              <w:top w:w="0" w:type="dxa"/>
              <w:left w:w="144" w:type="dxa"/>
              <w:bottom w:w="0" w:type="dxa"/>
              <w:right w:w="0" w:type="dxa"/>
            </w:tcMar>
            <w:vAlign w:val="center"/>
          </w:tcPr>
          <w:p w14:paraId="106F4205"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88%</w:t>
            </w:r>
          </w:p>
        </w:tc>
        <w:tc>
          <w:tcPr>
            <w:tcW w:w="1373" w:type="dxa"/>
            <w:tcBorders>
              <w:top w:val="nil"/>
              <w:left w:val="nil"/>
              <w:bottom w:val="nil"/>
              <w:right w:val="nil"/>
            </w:tcBorders>
            <w:shd w:val="clear" w:color="auto" w:fill="auto"/>
            <w:vAlign w:val="center"/>
          </w:tcPr>
          <w:p w14:paraId="17446BCC"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87%</w:t>
            </w:r>
          </w:p>
        </w:tc>
        <w:tc>
          <w:tcPr>
            <w:tcW w:w="1136" w:type="dxa"/>
            <w:tcBorders>
              <w:top w:val="nil"/>
              <w:left w:val="nil"/>
              <w:bottom w:val="nil"/>
              <w:right w:val="nil"/>
            </w:tcBorders>
            <w:shd w:val="clear" w:color="auto" w:fill="auto"/>
            <w:noWrap/>
            <w:tcMar>
              <w:top w:w="0" w:type="dxa"/>
              <w:left w:w="144" w:type="dxa"/>
              <w:bottom w:w="0" w:type="dxa"/>
              <w:right w:w="0" w:type="dxa"/>
            </w:tcMar>
            <w:vAlign w:val="center"/>
          </w:tcPr>
          <w:p w14:paraId="36E82A81"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81%</w:t>
            </w:r>
          </w:p>
        </w:tc>
      </w:tr>
      <w:tr w:rsidR="007B6B42" w14:paraId="4257A0F0" w14:textId="77777777" w:rsidTr="00764BF5">
        <w:trPr>
          <w:cantSplit/>
          <w:jc w:val="center"/>
        </w:trPr>
        <w:tc>
          <w:tcPr>
            <w:tcW w:w="4900" w:type="dxa"/>
          </w:tcPr>
          <w:p w14:paraId="16C0B203" w14:textId="77777777" w:rsidR="007B6B42" w:rsidRPr="0060104C" w:rsidRDefault="007B6B42" w:rsidP="00C17ECC">
            <w:pPr>
              <w:pStyle w:val="NormalWeb"/>
              <w:keepNext/>
              <w:tabs>
                <w:tab w:val="right" w:leader="dot" w:pos="4620"/>
              </w:tabs>
              <w:spacing w:before="0" w:beforeAutospacing="0" w:after="0" w:afterAutospacing="0"/>
              <w:ind w:left="240" w:hanging="240"/>
              <w:jc w:val="right"/>
              <w:rPr>
                <w:rFonts w:eastAsiaTheme="minorEastAsia"/>
                <w:sz w:val="18"/>
                <w:szCs w:val="18"/>
              </w:rPr>
            </w:pPr>
          </w:p>
        </w:tc>
        <w:tc>
          <w:tcPr>
            <w:tcW w:w="22" w:type="dxa"/>
          </w:tcPr>
          <w:p w14:paraId="7979E28C"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22" w:type="dxa"/>
          </w:tcPr>
          <w:p w14:paraId="53F4FD4F"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1494" w:type="dxa"/>
            <w:gridSpan w:val="3"/>
            <w:tcBorders>
              <w:top w:val="nil"/>
              <w:left w:val="nil"/>
              <w:bottom w:val="nil"/>
              <w:right w:val="nil"/>
            </w:tcBorders>
            <w:shd w:val="clear" w:color="auto" w:fill="auto"/>
            <w:noWrap/>
            <w:tcMar>
              <w:top w:w="0" w:type="dxa"/>
              <w:left w:w="144" w:type="dxa"/>
              <w:bottom w:w="0" w:type="dxa"/>
              <w:right w:w="0" w:type="dxa"/>
            </w:tcMar>
            <w:vAlign w:val="center"/>
          </w:tcPr>
          <w:p w14:paraId="78A6A1A1" w14:textId="77777777" w:rsidR="007B6B42" w:rsidRPr="00001E3D" w:rsidRDefault="007B6B42" w:rsidP="00C17ECC">
            <w:pPr>
              <w:ind w:right="83"/>
              <w:jc w:val="right"/>
              <w:rPr>
                <w:color w:val="000000"/>
                <w:sz w:val="18"/>
                <w:szCs w:val="18"/>
                <w:lang w:val="en-GB" w:eastAsia="en-GB"/>
              </w:rPr>
            </w:pPr>
          </w:p>
        </w:tc>
        <w:tc>
          <w:tcPr>
            <w:tcW w:w="1373" w:type="dxa"/>
            <w:tcBorders>
              <w:top w:val="nil"/>
              <w:left w:val="nil"/>
              <w:bottom w:val="nil"/>
              <w:right w:val="nil"/>
            </w:tcBorders>
            <w:shd w:val="clear" w:color="auto" w:fill="auto"/>
            <w:vAlign w:val="center"/>
          </w:tcPr>
          <w:p w14:paraId="2B9386D7" w14:textId="77777777" w:rsidR="007B6B42" w:rsidRPr="00001E3D" w:rsidRDefault="007B6B42" w:rsidP="00C17ECC">
            <w:pPr>
              <w:ind w:right="83"/>
              <w:jc w:val="right"/>
              <w:rPr>
                <w:color w:val="000000"/>
                <w:sz w:val="18"/>
                <w:szCs w:val="18"/>
                <w:lang w:val="en-GB" w:eastAsia="en-GB"/>
              </w:rPr>
            </w:pPr>
          </w:p>
        </w:tc>
        <w:tc>
          <w:tcPr>
            <w:tcW w:w="1136" w:type="dxa"/>
            <w:tcBorders>
              <w:top w:val="nil"/>
              <w:left w:val="nil"/>
              <w:bottom w:val="nil"/>
              <w:right w:val="nil"/>
            </w:tcBorders>
            <w:shd w:val="clear" w:color="auto" w:fill="auto"/>
            <w:noWrap/>
            <w:tcMar>
              <w:top w:w="0" w:type="dxa"/>
              <w:left w:w="144" w:type="dxa"/>
              <w:bottom w:w="0" w:type="dxa"/>
              <w:right w:w="0" w:type="dxa"/>
            </w:tcMar>
            <w:vAlign w:val="center"/>
          </w:tcPr>
          <w:p w14:paraId="55A8A891" w14:textId="77777777" w:rsidR="007B6B42" w:rsidRPr="00001E3D" w:rsidRDefault="007B6B42" w:rsidP="00C17ECC">
            <w:pPr>
              <w:ind w:right="83"/>
              <w:jc w:val="right"/>
              <w:rPr>
                <w:color w:val="000000"/>
                <w:sz w:val="18"/>
                <w:szCs w:val="18"/>
                <w:lang w:val="en-GB" w:eastAsia="en-GB"/>
              </w:rPr>
            </w:pPr>
          </w:p>
        </w:tc>
      </w:tr>
      <w:tr w:rsidR="007B6B42" w14:paraId="07099AB3" w14:textId="77777777" w:rsidTr="00764BF5">
        <w:trPr>
          <w:cantSplit/>
          <w:jc w:val="center"/>
        </w:trPr>
        <w:tc>
          <w:tcPr>
            <w:tcW w:w="4900" w:type="dxa"/>
            <w:tcBorders>
              <w:bottom w:val="nil"/>
            </w:tcBorders>
            <w:hideMark/>
          </w:tcPr>
          <w:p w14:paraId="36C5DDFF" w14:textId="77777777" w:rsidR="007B6B42" w:rsidRPr="0060104C" w:rsidRDefault="007B6B42" w:rsidP="00C17ECC">
            <w:pPr>
              <w:pStyle w:val="NormalWeb"/>
              <w:keepNext/>
              <w:tabs>
                <w:tab w:val="right" w:leader="dot" w:pos="4620"/>
              </w:tabs>
              <w:spacing w:before="0" w:beforeAutospacing="0" w:after="0" w:afterAutospacing="0"/>
              <w:ind w:left="240" w:hanging="240"/>
              <w:jc w:val="right"/>
              <w:rPr>
                <w:rFonts w:eastAsiaTheme="minorEastAsia"/>
                <w:sz w:val="18"/>
                <w:szCs w:val="18"/>
              </w:rPr>
            </w:pPr>
            <w:r w:rsidRPr="0060104C">
              <w:rPr>
                <w:sz w:val="18"/>
                <w:szCs w:val="18"/>
              </w:rPr>
              <w:t>Property and asset management  - EBITDA</w:t>
            </w:r>
            <w:r w:rsidRPr="0060104C">
              <w:rPr>
                <w:sz w:val="18"/>
                <w:szCs w:val="18"/>
              </w:rPr>
              <w:tab/>
            </w:r>
          </w:p>
        </w:tc>
        <w:tc>
          <w:tcPr>
            <w:tcW w:w="22" w:type="dxa"/>
            <w:tcBorders>
              <w:bottom w:val="nil"/>
            </w:tcBorders>
          </w:tcPr>
          <w:p w14:paraId="5FE24C10"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22" w:type="dxa"/>
            <w:tcBorders>
              <w:bottom w:val="nil"/>
            </w:tcBorders>
          </w:tcPr>
          <w:p w14:paraId="078CE625"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1494" w:type="dxa"/>
            <w:gridSpan w:val="3"/>
            <w:tcBorders>
              <w:top w:val="nil"/>
              <w:left w:val="nil"/>
              <w:bottom w:val="nil"/>
              <w:right w:val="nil"/>
            </w:tcBorders>
            <w:shd w:val="clear" w:color="auto" w:fill="auto"/>
            <w:noWrap/>
            <w:tcMar>
              <w:top w:w="0" w:type="dxa"/>
              <w:left w:w="144" w:type="dxa"/>
              <w:bottom w:w="0" w:type="dxa"/>
              <w:right w:w="0" w:type="dxa"/>
            </w:tcMar>
            <w:vAlign w:val="center"/>
          </w:tcPr>
          <w:p w14:paraId="4365D53C"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903</w:t>
            </w:r>
          </w:p>
        </w:tc>
        <w:tc>
          <w:tcPr>
            <w:tcW w:w="1373" w:type="dxa"/>
            <w:tcBorders>
              <w:top w:val="nil"/>
              <w:left w:val="nil"/>
              <w:bottom w:val="nil"/>
              <w:right w:val="nil"/>
            </w:tcBorders>
            <w:shd w:val="clear" w:color="auto" w:fill="auto"/>
            <w:vAlign w:val="center"/>
          </w:tcPr>
          <w:p w14:paraId="34B236B0"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1,511</w:t>
            </w:r>
          </w:p>
        </w:tc>
        <w:tc>
          <w:tcPr>
            <w:tcW w:w="1136" w:type="dxa"/>
            <w:tcBorders>
              <w:top w:val="nil"/>
              <w:left w:val="nil"/>
              <w:bottom w:val="nil"/>
              <w:right w:val="nil"/>
            </w:tcBorders>
            <w:shd w:val="clear" w:color="auto" w:fill="auto"/>
            <w:noWrap/>
            <w:tcMar>
              <w:top w:w="0" w:type="dxa"/>
              <w:left w:w="144" w:type="dxa"/>
              <w:bottom w:w="0" w:type="dxa"/>
              <w:right w:w="0" w:type="dxa"/>
            </w:tcMar>
            <w:vAlign w:val="center"/>
          </w:tcPr>
          <w:p w14:paraId="33E8DA40"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2,890</w:t>
            </w:r>
          </w:p>
        </w:tc>
      </w:tr>
      <w:tr w:rsidR="007B6B42" w14:paraId="4AB8BFB9" w14:textId="77777777" w:rsidTr="00764BF5">
        <w:trPr>
          <w:cantSplit/>
          <w:jc w:val="center"/>
        </w:trPr>
        <w:tc>
          <w:tcPr>
            <w:tcW w:w="4900" w:type="dxa"/>
            <w:tcBorders>
              <w:bottom w:val="single" w:sz="4" w:space="0" w:color="auto"/>
            </w:tcBorders>
            <w:hideMark/>
          </w:tcPr>
          <w:p w14:paraId="16808984" w14:textId="77777777" w:rsidR="007B6B42" w:rsidRPr="0060104C" w:rsidRDefault="007B6B42" w:rsidP="00C17ECC">
            <w:pPr>
              <w:pStyle w:val="NormalWeb"/>
              <w:keepNext/>
              <w:tabs>
                <w:tab w:val="right" w:leader="dot" w:pos="4620"/>
              </w:tabs>
              <w:spacing w:before="0" w:beforeAutospacing="0" w:after="0" w:afterAutospacing="0"/>
              <w:ind w:left="240" w:hanging="240"/>
              <w:jc w:val="right"/>
              <w:rPr>
                <w:rFonts w:eastAsiaTheme="minorEastAsia"/>
                <w:sz w:val="18"/>
                <w:szCs w:val="18"/>
              </w:rPr>
            </w:pPr>
            <w:r w:rsidRPr="0060104C">
              <w:rPr>
                <w:sz w:val="18"/>
                <w:szCs w:val="18"/>
              </w:rPr>
              <w:t>% EBITDA margin</w:t>
            </w:r>
            <w:r w:rsidRPr="0060104C">
              <w:rPr>
                <w:sz w:val="18"/>
                <w:szCs w:val="18"/>
              </w:rPr>
              <w:tab/>
            </w:r>
          </w:p>
        </w:tc>
        <w:tc>
          <w:tcPr>
            <w:tcW w:w="22" w:type="dxa"/>
            <w:tcBorders>
              <w:bottom w:val="single" w:sz="4" w:space="0" w:color="auto"/>
            </w:tcBorders>
          </w:tcPr>
          <w:p w14:paraId="5C28412D"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22" w:type="dxa"/>
            <w:tcBorders>
              <w:bottom w:val="single" w:sz="4" w:space="0" w:color="auto"/>
            </w:tcBorders>
          </w:tcPr>
          <w:p w14:paraId="0F594C58" w14:textId="77777777" w:rsidR="007B6B42" w:rsidRDefault="007B6B42" w:rsidP="00C17ECC">
            <w:pPr>
              <w:pStyle w:val="NormalWeb"/>
              <w:tabs>
                <w:tab w:val="right" w:pos="900"/>
                <w:tab w:val="decimal" w:pos="940"/>
              </w:tabs>
              <w:spacing w:before="0" w:beforeAutospacing="0" w:after="20" w:afterAutospacing="0"/>
              <w:jc w:val="right"/>
              <w:rPr>
                <w:sz w:val="18"/>
                <w:szCs w:val="18"/>
              </w:rPr>
            </w:pPr>
          </w:p>
        </w:tc>
        <w:tc>
          <w:tcPr>
            <w:tcW w:w="1494" w:type="dxa"/>
            <w:gridSpan w:val="3"/>
            <w:tcBorders>
              <w:top w:val="nil"/>
              <w:left w:val="nil"/>
              <w:bottom w:val="single" w:sz="4" w:space="0" w:color="auto"/>
              <w:right w:val="nil"/>
            </w:tcBorders>
            <w:shd w:val="clear" w:color="auto" w:fill="auto"/>
            <w:noWrap/>
            <w:tcMar>
              <w:top w:w="0" w:type="dxa"/>
              <w:left w:w="144" w:type="dxa"/>
              <w:bottom w:w="0" w:type="dxa"/>
              <w:right w:w="0" w:type="dxa"/>
            </w:tcMar>
            <w:vAlign w:val="center"/>
          </w:tcPr>
          <w:p w14:paraId="6FD27C25"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35%</w:t>
            </w:r>
          </w:p>
        </w:tc>
        <w:tc>
          <w:tcPr>
            <w:tcW w:w="1373" w:type="dxa"/>
            <w:tcBorders>
              <w:top w:val="nil"/>
              <w:left w:val="nil"/>
              <w:bottom w:val="single" w:sz="4" w:space="0" w:color="auto"/>
              <w:right w:val="nil"/>
            </w:tcBorders>
            <w:shd w:val="clear" w:color="auto" w:fill="auto"/>
            <w:vAlign w:val="center"/>
          </w:tcPr>
          <w:p w14:paraId="78F18FC6"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39%</w:t>
            </w:r>
          </w:p>
        </w:tc>
        <w:tc>
          <w:tcPr>
            <w:tcW w:w="1136" w:type="dxa"/>
            <w:tcBorders>
              <w:top w:val="nil"/>
              <w:left w:val="nil"/>
              <w:bottom w:val="single" w:sz="4" w:space="0" w:color="auto"/>
              <w:right w:val="nil"/>
            </w:tcBorders>
            <w:shd w:val="clear" w:color="auto" w:fill="auto"/>
            <w:noWrap/>
            <w:tcMar>
              <w:top w:w="0" w:type="dxa"/>
              <w:left w:w="144" w:type="dxa"/>
              <w:bottom w:w="0" w:type="dxa"/>
              <w:right w:w="0" w:type="dxa"/>
            </w:tcMar>
            <w:vAlign w:val="center"/>
          </w:tcPr>
          <w:p w14:paraId="66259457" w14:textId="77777777" w:rsidR="007B6B42" w:rsidRPr="00001E3D" w:rsidRDefault="007B6B42" w:rsidP="00C17ECC">
            <w:pPr>
              <w:ind w:right="83"/>
              <w:jc w:val="right"/>
              <w:rPr>
                <w:color w:val="000000"/>
                <w:sz w:val="18"/>
                <w:szCs w:val="18"/>
                <w:lang w:val="en-GB" w:eastAsia="en-GB"/>
              </w:rPr>
            </w:pPr>
            <w:r>
              <w:rPr>
                <w:color w:val="000000"/>
                <w:sz w:val="18"/>
                <w:szCs w:val="18"/>
                <w:lang w:val="en-GB" w:eastAsia="en-GB"/>
              </w:rPr>
              <w:t>77%</w:t>
            </w:r>
          </w:p>
        </w:tc>
      </w:tr>
    </w:tbl>
    <w:p w14:paraId="13A9199E" w14:textId="77777777" w:rsidR="007B6B42" w:rsidRDefault="007B6B42" w:rsidP="007B6B42">
      <w:pPr>
        <w:spacing w:after="240"/>
        <w:jc w:val="both"/>
        <w:rPr>
          <w:rFonts w:cs="Arabic Transparent"/>
          <w:sz w:val="18"/>
          <w:szCs w:val="18"/>
        </w:rPr>
      </w:pPr>
    </w:p>
    <w:p w14:paraId="26147DE1" w14:textId="61435000" w:rsidR="008D2EA7" w:rsidRPr="008D2EA7" w:rsidRDefault="007B6B42" w:rsidP="008D2EA7">
      <w:pPr>
        <w:spacing w:after="240"/>
        <w:jc w:val="both"/>
        <w:rPr>
          <w:rFonts w:cs="Arabic Transparent"/>
          <w:sz w:val="18"/>
          <w:szCs w:val="18"/>
        </w:rPr>
      </w:pPr>
      <w:r>
        <w:rPr>
          <w:rFonts w:cs="Arabic Transparent"/>
          <w:sz w:val="18"/>
          <w:szCs w:val="18"/>
        </w:rPr>
        <w:t>Breakdown details of the business lines:</w:t>
      </w:r>
    </w:p>
    <w:tbl>
      <w:tblPr>
        <w:tblW w:w="479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716"/>
        <w:gridCol w:w="1266"/>
        <w:gridCol w:w="1492"/>
        <w:gridCol w:w="1740"/>
        <w:gridCol w:w="1135"/>
      </w:tblGrid>
      <w:tr w:rsidR="000E7FC9" w14:paraId="54E057F1" w14:textId="77777777" w:rsidTr="00B322A7">
        <w:trPr>
          <w:cantSplit/>
          <w:jc w:val="center"/>
        </w:trPr>
        <w:tc>
          <w:tcPr>
            <w:tcW w:w="3721" w:type="dxa"/>
          </w:tcPr>
          <w:p w14:paraId="0871589E" w14:textId="77777777" w:rsidR="000E7FC9" w:rsidRDefault="000E7FC9" w:rsidP="00B322A7">
            <w:pPr>
              <w:pStyle w:val="NormalWeb"/>
              <w:keepNext/>
              <w:tabs>
                <w:tab w:val="right" w:leader="dot" w:pos="4620"/>
              </w:tabs>
              <w:spacing w:before="0" w:beforeAutospacing="0" w:after="0" w:afterAutospacing="0"/>
              <w:ind w:left="240" w:hanging="240"/>
              <w:rPr>
                <w:i/>
                <w:sz w:val="18"/>
                <w:szCs w:val="18"/>
              </w:rPr>
            </w:pPr>
            <w:r>
              <w:rPr>
                <w:i/>
                <w:sz w:val="18"/>
                <w:szCs w:val="18"/>
              </w:rPr>
              <w:lastRenderedPageBreak/>
              <w:t>In thousands of €</w:t>
            </w:r>
          </w:p>
        </w:tc>
        <w:tc>
          <w:tcPr>
            <w:tcW w:w="5640" w:type="dxa"/>
            <w:gridSpan w:val="4"/>
            <w:noWrap/>
            <w:tcMar>
              <w:top w:w="0" w:type="dxa"/>
              <w:left w:w="144" w:type="dxa"/>
              <w:bottom w:w="0" w:type="dxa"/>
              <w:right w:w="0" w:type="dxa"/>
            </w:tcMar>
          </w:tcPr>
          <w:p w14:paraId="7F615AAB" w14:textId="47EA2701" w:rsidR="000E7FC9" w:rsidRDefault="000E7FC9" w:rsidP="00B322A7">
            <w:pPr>
              <w:jc w:val="center"/>
              <w:rPr>
                <w:b/>
                <w:sz w:val="18"/>
                <w:szCs w:val="18"/>
              </w:rPr>
            </w:pPr>
            <w:r>
              <w:rPr>
                <w:b/>
                <w:bCs/>
                <w:sz w:val="16"/>
                <w:szCs w:val="16"/>
              </w:rPr>
              <w:t>For the six months ended 30-Jun-2017</w:t>
            </w:r>
          </w:p>
        </w:tc>
      </w:tr>
      <w:tr w:rsidR="000E7FC9" w14:paraId="0069F68D" w14:textId="77777777" w:rsidTr="00B322A7">
        <w:trPr>
          <w:cantSplit/>
          <w:jc w:val="center"/>
        </w:trPr>
        <w:tc>
          <w:tcPr>
            <w:tcW w:w="3721" w:type="dxa"/>
          </w:tcPr>
          <w:p w14:paraId="3D9AA246" w14:textId="77777777" w:rsidR="000E7FC9" w:rsidRDefault="000E7FC9" w:rsidP="00B322A7">
            <w:pPr>
              <w:pStyle w:val="NormalWeb"/>
              <w:keepNext/>
              <w:tabs>
                <w:tab w:val="right" w:leader="dot" w:pos="4620"/>
              </w:tabs>
              <w:spacing w:before="0" w:beforeAutospacing="0" w:after="0" w:afterAutospacing="0"/>
              <w:ind w:left="240" w:hanging="240"/>
              <w:jc w:val="right"/>
              <w:rPr>
                <w:sz w:val="18"/>
                <w:szCs w:val="18"/>
              </w:rPr>
            </w:pPr>
          </w:p>
        </w:tc>
        <w:tc>
          <w:tcPr>
            <w:tcW w:w="1268" w:type="dxa"/>
            <w:noWrap/>
            <w:tcMar>
              <w:top w:w="0" w:type="dxa"/>
              <w:left w:w="144" w:type="dxa"/>
              <w:bottom w:w="0" w:type="dxa"/>
              <w:right w:w="0" w:type="dxa"/>
            </w:tcMar>
            <w:vAlign w:val="bottom"/>
          </w:tcPr>
          <w:p w14:paraId="70503C95" w14:textId="77777777" w:rsidR="000E7FC9" w:rsidRDefault="000E7FC9" w:rsidP="00B322A7">
            <w:pPr>
              <w:ind w:right="185"/>
              <w:jc w:val="right"/>
              <w:rPr>
                <w:b/>
                <w:bCs/>
                <w:color w:val="000000"/>
                <w:sz w:val="18"/>
                <w:szCs w:val="18"/>
                <w:u w:val="single"/>
                <w:lang w:val="en-GB" w:eastAsia="en-GB"/>
              </w:rPr>
            </w:pPr>
            <w:r>
              <w:rPr>
                <w:b/>
                <w:bCs/>
                <w:color w:val="000000"/>
                <w:sz w:val="18"/>
                <w:szCs w:val="18"/>
                <w:u w:val="single"/>
                <w:lang w:val="en-GB" w:eastAsia="en-GB"/>
              </w:rPr>
              <w:t>Rent</w:t>
            </w:r>
          </w:p>
          <w:p w14:paraId="51310236" w14:textId="77777777" w:rsidR="000E7FC9" w:rsidRDefault="000E7FC9" w:rsidP="00B322A7">
            <w:pPr>
              <w:ind w:right="185"/>
              <w:jc w:val="right"/>
              <w:rPr>
                <w:b/>
                <w:bCs/>
                <w:color w:val="000000"/>
                <w:sz w:val="18"/>
                <w:szCs w:val="18"/>
                <w:u w:val="single"/>
                <w:lang w:val="en-GB" w:eastAsia="en-GB"/>
              </w:rPr>
            </w:pPr>
            <w:r>
              <w:rPr>
                <w:b/>
                <w:bCs/>
                <w:color w:val="000000"/>
                <w:sz w:val="18"/>
                <w:szCs w:val="18"/>
                <w:u w:val="single"/>
                <w:lang w:val="en-GB" w:eastAsia="en-GB"/>
              </w:rPr>
              <w:t>EBITDA</w:t>
            </w:r>
          </w:p>
        </w:tc>
        <w:tc>
          <w:tcPr>
            <w:tcW w:w="1494" w:type="dxa"/>
            <w:noWrap/>
            <w:tcMar>
              <w:top w:w="0" w:type="dxa"/>
              <w:left w:w="144" w:type="dxa"/>
              <w:bottom w:w="0" w:type="dxa"/>
              <w:right w:w="0" w:type="dxa"/>
            </w:tcMar>
            <w:vAlign w:val="bottom"/>
          </w:tcPr>
          <w:p w14:paraId="602EA29D" w14:textId="77777777" w:rsidR="000E7FC9" w:rsidRDefault="000E7FC9" w:rsidP="00B322A7">
            <w:pPr>
              <w:ind w:right="185"/>
              <w:jc w:val="right"/>
              <w:rPr>
                <w:b/>
                <w:bCs/>
                <w:color w:val="000000"/>
                <w:sz w:val="18"/>
                <w:szCs w:val="18"/>
                <w:u w:val="single"/>
                <w:lang w:val="en-GB" w:eastAsia="en-GB"/>
              </w:rPr>
            </w:pPr>
            <w:r>
              <w:rPr>
                <w:b/>
                <w:bCs/>
                <w:color w:val="000000"/>
                <w:sz w:val="18"/>
                <w:szCs w:val="18"/>
                <w:u w:val="single"/>
                <w:lang w:val="en-GB" w:eastAsia="en-GB"/>
              </w:rPr>
              <w:t>Development</w:t>
            </w:r>
          </w:p>
          <w:p w14:paraId="7821486F" w14:textId="77777777" w:rsidR="000E7FC9" w:rsidRDefault="000E7FC9" w:rsidP="00B322A7">
            <w:pPr>
              <w:ind w:right="185"/>
              <w:jc w:val="right"/>
              <w:rPr>
                <w:b/>
                <w:bCs/>
                <w:color w:val="000000"/>
                <w:sz w:val="18"/>
                <w:szCs w:val="18"/>
                <w:u w:val="single"/>
                <w:lang w:val="en-GB" w:eastAsia="en-GB"/>
              </w:rPr>
            </w:pPr>
            <w:r>
              <w:rPr>
                <w:b/>
                <w:bCs/>
                <w:color w:val="000000"/>
                <w:sz w:val="18"/>
                <w:szCs w:val="18"/>
                <w:u w:val="single"/>
                <w:lang w:val="en-GB" w:eastAsia="en-GB"/>
              </w:rPr>
              <w:t>EBITDA</w:t>
            </w:r>
          </w:p>
        </w:tc>
        <w:tc>
          <w:tcPr>
            <w:tcW w:w="1742" w:type="dxa"/>
            <w:vAlign w:val="bottom"/>
          </w:tcPr>
          <w:p w14:paraId="2FE4BDA4" w14:textId="77777777" w:rsidR="000E7FC9" w:rsidRDefault="000E7FC9" w:rsidP="00B322A7">
            <w:pPr>
              <w:ind w:right="185"/>
              <w:jc w:val="right"/>
              <w:rPr>
                <w:b/>
                <w:bCs/>
                <w:color w:val="000000"/>
                <w:sz w:val="18"/>
                <w:szCs w:val="18"/>
                <w:u w:val="single"/>
                <w:lang w:val="en-GB" w:eastAsia="en-GB"/>
              </w:rPr>
            </w:pPr>
            <w:r>
              <w:rPr>
                <w:b/>
                <w:bCs/>
                <w:color w:val="000000"/>
                <w:sz w:val="18"/>
                <w:szCs w:val="18"/>
                <w:u w:val="single"/>
                <w:lang w:val="en-GB" w:eastAsia="en-GB"/>
              </w:rPr>
              <w:t>Property and asset management EBITDA</w:t>
            </w:r>
          </w:p>
        </w:tc>
        <w:tc>
          <w:tcPr>
            <w:tcW w:w="1136" w:type="dxa"/>
            <w:noWrap/>
            <w:tcMar>
              <w:top w:w="0" w:type="dxa"/>
              <w:left w:w="144" w:type="dxa"/>
              <w:bottom w:w="0" w:type="dxa"/>
              <w:right w:w="0" w:type="dxa"/>
            </w:tcMar>
            <w:vAlign w:val="bottom"/>
          </w:tcPr>
          <w:p w14:paraId="754C0508" w14:textId="77777777" w:rsidR="000E7FC9" w:rsidRDefault="000E7FC9" w:rsidP="00B322A7">
            <w:pPr>
              <w:ind w:right="185"/>
              <w:jc w:val="right"/>
              <w:rPr>
                <w:b/>
                <w:bCs/>
                <w:color w:val="000000"/>
                <w:sz w:val="18"/>
                <w:szCs w:val="18"/>
                <w:u w:val="single"/>
                <w:lang w:val="en-GB" w:eastAsia="en-GB"/>
              </w:rPr>
            </w:pPr>
            <w:r>
              <w:rPr>
                <w:b/>
                <w:bCs/>
                <w:color w:val="000000"/>
                <w:sz w:val="18"/>
                <w:szCs w:val="18"/>
                <w:u w:val="single"/>
                <w:lang w:val="en-GB" w:eastAsia="en-GB"/>
              </w:rPr>
              <w:t>Total</w:t>
            </w:r>
          </w:p>
        </w:tc>
      </w:tr>
      <w:tr w:rsidR="000E7FC9" w14:paraId="506CFFC4" w14:textId="77777777" w:rsidTr="00B322A7">
        <w:trPr>
          <w:cantSplit/>
          <w:trHeight w:val="145"/>
          <w:jc w:val="center"/>
        </w:trPr>
        <w:tc>
          <w:tcPr>
            <w:tcW w:w="3721" w:type="dxa"/>
          </w:tcPr>
          <w:p w14:paraId="7C242F66" w14:textId="77777777" w:rsidR="000E7FC9" w:rsidRDefault="000E7FC9" w:rsidP="00B322A7">
            <w:pPr>
              <w:pStyle w:val="NormalWeb"/>
              <w:keepNext/>
              <w:tabs>
                <w:tab w:val="right" w:leader="dot" w:pos="4620"/>
              </w:tabs>
              <w:spacing w:before="0" w:beforeAutospacing="0" w:after="0" w:afterAutospacing="0"/>
              <w:ind w:left="240" w:hanging="240"/>
              <w:jc w:val="right"/>
              <w:rPr>
                <w:sz w:val="18"/>
                <w:szCs w:val="18"/>
              </w:rPr>
            </w:pPr>
          </w:p>
        </w:tc>
        <w:tc>
          <w:tcPr>
            <w:tcW w:w="1268" w:type="dxa"/>
            <w:noWrap/>
            <w:tcMar>
              <w:top w:w="0" w:type="dxa"/>
              <w:left w:w="144" w:type="dxa"/>
              <w:bottom w:w="0" w:type="dxa"/>
              <w:right w:w="0" w:type="dxa"/>
            </w:tcMar>
          </w:tcPr>
          <w:p w14:paraId="133B5465" w14:textId="77777777" w:rsidR="000E7FC9" w:rsidRDefault="000E7FC9" w:rsidP="00B322A7">
            <w:pPr>
              <w:pStyle w:val="NormalWeb"/>
              <w:tabs>
                <w:tab w:val="right" w:pos="900"/>
                <w:tab w:val="decimal" w:pos="940"/>
              </w:tabs>
              <w:spacing w:before="0" w:beforeAutospacing="0" w:after="20" w:afterAutospacing="0"/>
              <w:ind w:right="185"/>
              <w:jc w:val="right"/>
              <w:rPr>
                <w:b/>
                <w:sz w:val="18"/>
                <w:szCs w:val="18"/>
              </w:rPr>
            </w:pPr>
          </w:p>
        </w:tc>
        <w:tc>
          <w:tcPr>
            <w:tcW w:w="1494" w:type="dxa"/>
            <w:noWrap/>
            <w:tcMar>
              <w:top w:w="0" w:type="dxa"/>
              <w:left w:w="144" w:type="dxa"/>
              <w:bottom w:w="0" w:type="dxa"/>
              <w:right w:w="0" w:type="dxa"/>
            </w:tcMar>
          </w:tcPr>
          <w:p w14:paraId="66215D9D" w14:textId="77777777" w:rsidR="000E7FC9" w:rsidRDefault="000E7FC9" w:rsidP="00B322A7">
            <w:pPr>
              <w:pStyle w:val="NormalWeb"/>
              <w:tabs>
                <w:tab w:val="right" w:pos="900"/>
                <w:tab w:val="decimal" w:pos="940"/>
              </w:tabs>
              <w:spacing w:before="0" w:beforeAutospacing="0" w:after="20" w:afterAutospacing="0"/>
              <w:ind w:right="185"/>
              <w:jc w:val="right"/>
              <w:rPr>
                <w:b/>
                <w:sz w:val="18"/>
                <w:szCs w:val="18"/>
              </w:rPr>
            </w:pPr>
          </w:p>
        </w:tc>
        <w:tc>
          <w:tcPr>
            <w:tcW w:w="1742" w:type="dxa"/>
          </w:tcPr>
          <w:p w14:paraId="29112F58" w14:textId="77777777" w:rsidR="000E7FC9" w:rsidRDefault="000E7FC9" w:rsidP="00B322A7">
            <w:pPr>
              <w:pStyle w:val="NormalWeb"/>
              <w:tabs>
                <w:tab w:val="right" w:pos="900"/>
                <w:tab w:val="decimal" w:pos="940"/>
              </w:tabs>
              <w:spacing w:before="0" w:beforeAutospacing="0" w:after="20" w:afterAutospacing="0"/>
              <w:ind w:right="185"/>
              <w:jc w:val="right"/>
              <w:rPr>
                <w:b/>
                <w:sz w:val="18"/>
                <w:szCs w:val="18"/>
              </w:rPr>
            </w:pPr>
          </w:p>
        </w:tc>
        <w:tc>
          <w:tcPr>
            <w:tcW w:w="1136" w:type="dxa"/>
            <w:noWrap/>
            <w:tcMar>
              <w:top w:w="0" w:type="dxa"/>
              <w:left w:w="144" w:type="dxa"/>
              <w:bottom w:w="0" w:type="dxa"/>
              <w:right w:w="0" w:type="dxa"/>
            </w:tcMar>
          </w:tcPr>
          <w:p w14:paraId="13521E9C" w14:textId="77777777" w:rsidR="000E7FC9" w:rsidRDefault="000E7FC9" w:rsidP="00B322A7">
            <w:pPr>
              <w:pStyle w:val="NormalWeb"/>
              <w:tabs>
                <w:tab w:val="right" w:pos="900"/>
                <w:tab w:val="decimal" w:pos="940"/>
              </w:tabs>
              <w:spacing w:before="0" w:beforeAutospacing="0" w:after="20" w:afterAutospacing="0"/>
              <w:ind w:right="185"/>
              <w:jc w:val="right"/>
              <w:rPr>
                <w:b/>
                <w:sz w:val="18"/>
                <w:szCs w:val="18"/>
              </w:rPr>
            </w:pPr>
          </w:p>
        </w:tc>
      </w:tr>
      <w:tr w:rsidR="000E7FC9" w14:paraId="7DC28FC4" w14:textId="77777777" w:rsidTr="00B322A7">
        <w:trPr>
          <w:cantSplit/>
          <w:jc w:val="center"/>
        </w:trPr>
        <w:tc>
          <w:tcPr>
            <w:tcW w:w="3721" w:type="dxa"/>
            <w:hideMark/>
          </w:tcPr>
          <w:p w14:paraId="009CEBC8" w14:textId="77777777" w:rsidR="000E7FC9" w:rsidRDefault="000E7FC9" w:rsidP="00B322A7">
            <w:pPr>
              <w:pStyle w:val="NormalWeb"/>
              <w:keepNext/>
              <w:tabs>
                <w:tab w:val="right" w:leader="dot" w:pos="4620"/>
              </w:tabs>
              <w:spacing w:before="0" w:beforeAutospacing="0" w:after="0" w:afterAutospacing="0"/>
              <w:ind w:left="240" w:hanging="240"/>
              <w:jc w:val="right"/>
              <w:rPr>
                <w:rFonts w:eastAsiaTheme="minorEastAsia"/>
                <w:sz w:val="18"/>
                <w:szCs w:val="18"/>
              </w:rPr>
            </w:pPr>
            <w:r>
              <w:rPr>
                <w:sz w:val="18"/>
                <w:szCs w:val="18"/>
              </w:rPr>
              <w:t>Revenue</w:t>
            </w:r>
            <w:r>
              <w:rPr>
                <w:sz w:val="18"/>
                <w:szCs w:val="18"/>
              </w:rPr>
              <w:tab/>
            </w:r>
          </w:p>
        </w:tc>
        <w:tc>
          <w:tcPr>
            <w:tcW w:w="1268" w:type="dxa"/>
            <w:shd w:val="clear" w:color="auto" w:fill="auto"/>
            <w:noWrap/>
            <w:tcMar>
              <w:top w:w="0" w:type="dxa"/>
              <w:left w:w="144" w:type="dxa"/>
              <w:bottom w:w="0" w:type="dxa"/>
              <w:right w:w="0" w:type="dxa"/>
            </w:tcMar>
            <w:vAlign w:val="center"/>
          </w:tcPr>
          <w:p w14:paraId="1F0E0883" w14:textId="77777777" w:rsidR="000E7FC9" w:rsidRDefault="000E7FC9" w:rsidP="00B322A7">
            <w:pPr>
              <w:ind w:right="83"/>
              <w:jc w:val="right"/>
              <w:rPr>
                <w:sz w:val="20"/>
                <w:szCs w:val="24"/>
                <w:lang w:val="en-GB" w:eastAsia="en-GB"/>
              </w:rPr>
            </w:pPr>
            <w:r>
              <w:rPr>
                <w:sz w:val="20"/>
                <w:szCs w:val="24"/>
                <w:lang w:val="en-GB" w:eastAsia="en-GB"/>
              </w:rPr>
              <w:t>-</w:t>
            </w:r>
          </w:p>
        </w:tc>
        <w:tc>
          <w:tcPr>
            <w:tcW w:w="1494" w:type="dxa"/>
            <w:shd w:val="clear" w:color="auto" w:fill="auto"/>
            <w:noWrap/>
            <w:tcMar>
              <w:top w:w="0" w:type="dxa"/>
              <w:left w:w="144" w:type="dxa"/>
              <w:bottom w:w="0" w:type="dxa"/>
              <w:right w:w="0" w:type="dxa"/>
            </w:tcMar>
            <w:vAlign w:val="center"/>
          </w:tcPr>
          <w:p w14:paraId="78694D8C" w14:textId="77777777" w:rsidR="000E7FC9" w:rsidRDefault="000E7FC9" w:rsidP="00B322A7">
            <w:pPr>
              <w:ind w:right="83"/>
              <w:jc w:val="right"/>
              <w:rPr>
                <w:sz w:val="20"/>
                <w:lang w:val="en-GB" w:eastAsia="en-GB"/>
              </w:rPr>
            </w:pPr>
            <w:r>
              <w:rPr>
                <w:sz w:val="20"/>
                <w:lang w:val="en-GB" w:eastAsia="en-GB"/>
              </w:rPr>
              <w:t>-</w:t>
            </w:r>
          </w:p>
        </w:tc>
        <w:tc>
          <w:tcPr>
            <w:tcW w:w="1742" w:type="dxa"/>
            <w:shd w:val="clear" w:color="auto" w:fill="auto"/>
            <w:vAlign w:val="center"/>
          </w:tcPr>
          <w:p w14:paraId="7AD0F5E5" w14:textId="77777777" w:rsidR="000E7FC9" w:rsidRDefault="000E7FC9" w:rsidP="00B322A7">
            <w:pPr>
              <w:ind w:right="83"/>
              <w:jc w:val="right"/>
              <w:rPr>
                <w:sz w:val="20"/>
                <w:lang w:val="en-GB" w:eastAsia="en-GB"/>
              </w:rPr>
            </w:pPr>
            <w:r>
              <w:rPr>
                <w:sz w:val="20"/>
                <w:lang w:val="en-GB" w:eastAsia="en-GB"/>
              </w:rPr>
              <w:t>-</w:t>
            </w:r>
          </w:p>
        </w:tc>
        <w:tc>
          <w:tcPr>
            <w:tcW w:w="1136" w:type="dxa"/>
            <w:shd w:val="clear" w:color="auto" w:fill="auto"/>
            <w:noWrap/>
            <w:tcMar>
              <w:top w:w="0" w:type="dxa"/>
              <w:left w:w="144" w:type="dxa"/>
              <w:bottom w:w="0" w:type="dxa"/>
              <w:right w:w="0" w:type="dxa"/>
            </w:tcMar>
            <w:vAlign w:val="center"/>
            <w:hideMark/>
          </w:tcPr>
          <w:p w14:paraId="3D76485B"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14,296 </w:t>
            </w:r>
          </w:p>
        </w:tc>
      </w:tr>
      <w:tr w:rsidR="000E7FC9" w14:paraId="78753718" w14:textId="77777777" w:rsidTr="00B322A7">
        <w:trPr>
          <w:cantSplit/>
          <w:jc w:val="center"/>
        </w:trPr>
        <w:tc>
          <w:tcPr>
            <w:tcW w:w="3721" w:type="dxa"/>
            <w:hideMark/>
          </w:tcPr>
          <w:p w14:paraId="2C1241B3" w14:textId="77777777" w:rsidR="000E7FC9" w:rsidRDefault="000E7FC9" w:rsidP="00B322A7">
            <w:pPr>
              <w:pStyle w:val="NormalWeb"/>
              <w:keepNext/>
              <w:tabs>
                <w:tab w:val="right" w:leader="dot" w:pos="4620"/>
              </w:tabs>
              <w:spacing w:before="0" w:beforeAutospacing="0" w:after="0" w:afterAutospacing="0"/>
              <w:ind w:left="240" w:hanging="240"/>
              <w:jc w:val="right"/>
              <w:rPr>
                <w:rFonts w:eastAsiaTheme="minorEastAsia"/>
                <w:sz w:val="18"/>
                <w:szCs w:val="18"/>
              </w:rPr>
            </w:pPr>
            <w:r>
              <w:rPr>
                <w:sz w:val="18"/>
                <w:szCs w:val="18"/>
              </w:rPr>
              <w:t>Gross rental income</w:t>
            </w:r>
            <w:r>
              <w:rPr>
                <w:sz w:val="18"/>
                <w:szCs w:val="18"/>
              </w:rPr>
              <w:tab/>
            </w:r>
          </w:p>
        </w:tc>
        <w:tc>
          <w:tcPr>
            <w:tcW w:w="1268" w:type="dxa"/>
            <w:shd w:val="clear" w:color="auto" w:fill="auto"/>
            <w:noWrap/>
            <w:tcMar>
              <w:top w:w="0" w:type="dxa"/>
              <w:left w:w="144" w:type="dxa"/>
              <w:bottom w:w="0" w:type="dxa"/>
              <w:right w:w="0" w:type="dxa"/>
            </w:tcMar>
            <w:vAlign w:val="center"/>
            <w:hideMark/>
          </w:tcPr>
          <w:p w14:paraId="536F2E4B"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9,111 </w:t>
            </w:r>
          </w:p>
        </w:tc>
        <w:tc>
          <w:tcPr>
            <w:tcW w:w="1494" w:type="dxa"/>
            <w:shd w:val="clear" w:color="auto" w:fill="auto"/>
            <w:noWrap/>
            <w:tcMar>
              <w:top w:w="0" w:type="dxa"/>
              <w:left w:w="144" w:type="dxa"/>
              <w:bottom w:w="0" w:type="dxa"/>
              <w:right w:w="0" w:type="dxa"/>
            </w:tcMar>
            <w:vAlign w:val="center"/>
          </w:tcPr>
          <w:p w14:paraId="6B4FCAE9"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2" w:type="dxa"/>
            <w:shd w:val="clear" w:color="auto" w:fill="auto"/>
            <w:vAlign w:val="center"/>
          </w:tcPr>
          <w:p w14:paraId="6F283A69"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136" w:type="dxa"/>
            <w:shd w:val="clear" w:color="auto" w:fill="auto"/>
            <w:noWrap/>
            <w:tcMar>
              <w:top w:w="0" w:type="dxa"/>
              <w:left w:w="144" w:type="dxa"/>
              <w:bottom w:w="0" w:type="dxa"/>
              <w:right w:w="0" w:type="dxa"/>
            </w:tcMar>
            <w:vAlign w:val="center"/>
            <w:hideMark/>
          </w:tcPr>
          <w:p w14:paraId="7555D264"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9,111 </w:t>
            </w:r>
          </w:p>
        </w:tc>
      </w:tr>
      <w:tr w:rsidR="000E7FC9" w14:paraId="0191E5FD" w14:textId="77777777" w:rsidTr="00B322A7">
        <w:trPr>
          <w:cantSplit/>
          <w:jc w:val="center"/>
        </w:trPr>
        <w:tc>
          <w:tcPr>
            <w:tcW w:w="3721" w:type="dxa"/>
            <w:hideMark/>
          </w:tcPr>
          <w:p w14:paraId="43CF7BCB"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Service charge income</w:t>
            </w:r>
            <w:r>
              <w:rPr>
                <w:sz w:val="18"/>
                <w:szCs w:val="18"/>
              </w:rPr>
              <w:tab/>
            </w:r>
          </w:p>
        </w:tc>
        <w:tc>
          <w:tcPr>
            <w:tcW w:w="1268" w:type="dxa"/>
            <w:shd w:val="clear" w:color="auto" w:fill="auto"/>
            <w:noWrap/>
            <w:tcMar>
              <w:top w:w="0" w:type="dxa"/>
              <w:left w:w="144" w:type="dxa"/>
              <w:bottom w:w="0" w:type="dxa"/>
              <w:right w:w="0" w:type="dxa"/>
            </w:tcMar>
            <w:vAlign w:val="center"/>
            <w:hideMark/>
          </w:tcPr>
          <w:p w14:paraId="09CD0021"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1,409 </w:t>
            </w:r>
          </w:p>
        </w:tc>
        <w:tc>
          <w:tcPr>
            <w:tcW w:w="1494" w:type="dxa"/>
            <w:shd w:val="clear" w:color="auto" w:fill="auto"/>
            <w:noWrap/>
            <w:tcMar>
              <w:top w:w="0" w:type="dxa"/>
              <w:left w:w="144" w:type="dxa"/>
              <w:bottom w:w="0" w:type="dxa"/>
              <w:right w:w="0" w:type="dxa"/>
            </w:tcMar>
            <w:vAlign w:val="center"/>
          </w:tcPr>
          <w:p w14:paraId="188A9C40"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2" w:type="dxa"/>
            <w:shd w:val="clear" w:color="auto" w:fill="auto"/>
            <w:vAlign w:val="center"/>
          </w:tcPr>
          <w:p w14:paraId="189907D0"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136" w:type="dxa"/>
            <w:shd w:val="clear" w:color="auto" w:fill="auto"/>
            <w:noWrap/>
            <w:tcMar>
              <w:top w:w="0" w:type="dxa"/>
              <w:left w:w="144" w:type="dxa"/>
              <w:bottom w:w="0" w:type="dxa"/>
              <w:right w:w="0" w:type="dxa"/>
            </w:tcMar>
            <w:vAlign w:val="center"/>
            <w:hideMark/>
          </w:tcPr>
          <w:p w14:paraId="41CD71C2"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1,409 </w:t>
            </w:r>
          </w:p>
        </w:tc>
      </w:tr>
      <w:tr w:rsidR="000E7FC9" w14:paraId="6E6D7854" w14:textId="77777777" w:rsidTr="00B322A7">
        <w:trPr>
          <w:cantSplit/>
          <w:jc w:val="center"/>
        </w:trPr>
        <w:tc>
          <w:tcPr>
            <w:tcW w:w="3721" w:type="dxa"/>
            <w:hideMark/>
          </w:tcPr>
          <w:p w14:paraId="5530CB76" w14:textId="77777777" w:rsidR="000E7FC9" w:rsidRDefault="000E7FC9" w:rsidP="00B322A7">
            <w:pPr>
              <w:pStyle w:val="NormalWeb"/>
              <w:tabs>
                <w:tab w:val="right" w:leader="dot" w:pos="4620"/>
              </w:tabs>
              <w:spacing w:before="0" w:beforeAutospacing="0" w:after="0" w:afterAutospacing="0"/>
              <w:jc w:val="right"/>
              <w:rPr>
                <w:rFonts w:eastAsiaTheme="minorEastAsia"/>
                <w:sz w:val="18"/>
                <w:szCs w:val="18"/>
              </w:rPr>
            </w:pPr>
            <w:r>
              <w:rPr>
                <w:sz w:val="18"/>
                <w:szCs w:val="18"/>
              </w:rPr>
              <w:t>Service charge expenses</w:t>
            </w:r>
            <w:r>
              <w:rPr>
                <w:sz w:val="18"/>
                <w:szCs w:val="18"/>
              </w:rPr>
              <w:tab/>
            </w:r>
          </w:p>
        </w:tc>
        <w:tc>
          <w:tcPr>
            <w:tcW w:w="1268" w:type="dxa"/>
            <w:shd w:val="clear" w:color="auto" w:fill="auto"/>
            <w:noWrap/>
            <w:tcMar>
              <w:top w:w="0" w:type="dxa"/>
              <w:left w:w="144" w:type="dxa"/>
              <w:bottom w:w="0" w:type="dxa"/>
              <w:right w:w="0" w:type="dxa"/>
            </w:tcMar>
            <w:vAlign w:val="center"/>
            <w:hideMark/>
          </w:tcPr>
          <w:p w14:paraId="4BFA62AE" w14:textId="77777777" w:rsidR="000E7FC9" w:rsidRDefault="000E7FC9" w:rsidP="00B322A7">
            <w:pPr>
              <w:ind w:right="83"/>
              <w:jc w:val="right"/>
              <w:rPr>
                <w:color w:val="000000"/>
                <w:sz w:val="18"/>
                <w:szCs w:val="18"/>
                <w:lang w:val="en-GB" w:eastAsia="en-GB"/>
              </w:rPr>
            </w:pPr>
            <w:r>
              <w:rPr>
                <w:color w:val="000000"/>
                <w:sz w:val="18"/>
                <w:szCs w:val="18"/>
                <w:lang w:val="en-GB" w:eastAsia="en-GB"/>
              </w:rPr>
              <w:t>(1,267)</w:t>
            </w:r>
          </w:p>
        </w:tc>
        <w:tc>
          <w:tcPr>
            <w:tcW w:w="1494" w:type="dxa"/>
            <w:shd w:val="clear" w:color="auto" w:fill="auto"/>
            <w:noWrap/>
            <w:tcMar>
              <w:top w:w="0" w:type="dxa"/>
              <w:left w:w="144" w:type="dxa"/>
              <w:bottom w:w="0" w:type="dxa"/>
              <w:right w:w="0" w:type="dxa"/>
            </w:tcMar>
            <w:vAlign w:val="center"/>
          </w:tcPr>
          <w:p w14:paraId="5FA89955"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2" w:type="dxa"/>
            <w:shd w:val="clear" w:color="auto" w:fill="auto"/>
            <w:vAlign w:val="center"/>
          </w:tcPr>
          <w:p w14:paraId="620F2FD6"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136" w:type="dxa"/>
            <w:shd w:val="clear" w:color="auto" w:fill="auto"/>
            <w:noWrap/>
            <w:tcMar>
              <w:top w:w="0" w:type="dxa"/>
              <w:left w:w="144" w:type="dxa"/>
              <w:bottom w:w="0" w:type="dxa"/>
              <w:right w:w="0" w:type="dxa"/>
            </w:tcMar>
            <w:vAlign w:val="center"/>
            <w:hideMark/>
          </w:tcPr>
          <w:p w14:paraId="7BAB1C66" w14:textId="77777777" w:rsidR="000E7FC9" w:rsidRDefault="000E7FC9" w:rsidP="00B322A7">
            <w:pPr>
              <w:ind w:right="83"/>
              <w:jc w:val="right"/>
              <w:rPr>
                <w:color w:val="000000"/>
                <w:sz w:val="18"/>
                <w:szCs w:val="18"/>
                <w:lang w:val="en-GB" w:eastAsia="en-GB"/>
              </w:rPr>
            </w:pPr>
            <w:r>
              <w:rPr>
                <w:color w:val="000000"/>
                <w:sz w:val="18"/>
                <w:szCs w:val="18"/>
                <w:lang w:val="en-GB" w:eastAsia="en-GB"/>
              </w:rPr>
              <w:t>(1,267)</w:t>
            </w:r>
          </w:p>
        </w:tc>
      </w:tr>
      <w:tr w:rsidR="000E7FC9" w14:paraId="27530999" w14:textId="77777777" w:rsidTr="00B322A7">
        <w:trPr>
          <w:cantSplit/>
          <w:jc w:val="center"/>
        </w:trPr>
        <w:tc>
          <w:tcPr>
            <w:tcW w:w="3721" w:type="dxa"/>
            <w:hideMark/>
          </w:tcPr>
          <w:p w14:paraId="78AE1158" w14:textId="77777777" w:rsidR="000E7FC9" w:rsidRDefault="000E7FC9" w:rsidP="00B322A7">
            <w:pPr>
              <w:pStyle w:val="NormalWeb"/>
              <w:tabs>
                <w:tab w:val="right" w:leader="dot" w:pos="4620"/>
              </w:tabs>
              <w:spacing w:before="0" w:beforeAutospacing="0" w:after="0" w:afterAutospacing="0"/>
              <w:jc w:val="right"/>
              <w:rPr>
                <w:rFonts w:eastAsiaTheme="minorEastAsia"/>
                <w:sz w:val="18"/>
                <w:szCs w:val="18"/>
              </w:rPr>
            </w:pPr>
            <w:r>
              <w:rPr>
                <w:sz w:val="18"/>
                <w:szCs w:val="18"/>
              </w:rPr>
              <w:t>Property operating expenses</w:t>
            </w:r>
            <w:r>
              <w:rPr>
                <w:sz w:val="18"/>
                <w:szCs w:val="18"/>
              </w:rPr>
              <w:tab/>
            </w:r>
          </w:p>
        </w:tc>
        <w:tc>
          <w:tcPr>
            <w:tcW w:w="1268" w:type="dxa"/>
            <w:shd w:val="clear" w:color="auto" w:fill="auto"/>
            <w:noWrap/>
            <w:tcMar>
              <w:top w:w="0" w:type="dxa"/>
              <w:left w:w="144" w:type="dxa"/>
              <w:bottom w:w="0" w:type="dxa"/>
              <w:right w:w="0" w:type="dxa"/>
            </w:tcMar>
            <w:vAlign w:val="center"/>
            <w:hideMark/>
          </w:tcPr>
          <w:p w14:paraId="48DC4D49" w14:textId="77777777" w:rsidR="000E7FC9" w:rsidRDefault="000E7FC9" w:rsidP="00B322A7">
            <w:pPr>
              <w:ind w:right="83"/>
              <w:jc w:val="right"/>
              <w:rPr>
                <w:color w:val="000000"/>
                <w:sz w:val="18"/>
                <w:szCs w:val="18"/>
                <w:lang w:val="en-GB" w:eastAsia="en-GB"/>
              </w:rPr>
            </w:pPr>
            <w:r>
              <w:rPr>
                <w:color w:val="000000"/>
                <w:sz w:val="18"/>
                <w:szCs w:val="18"/>
                <w:lang w:val="en-GB" w:eastAsia="en-GB"/>
              </w:rPr>
              <w:t>(66)</w:t>
            </w:r>
          </w:p>
        </w:tc>
        <w:tc>
          <w:tcPr>
            <w:tcW w:w="1494" w:type="dxa"/>
            <w:shd w:val="clear" w:color="auto" w:fill="auto"/>
            <w:noWrap/>
            <w:tcMar>
              <w:top w:w="0" w:type="dxa"/>
              <w:left w:w="144" w:type="dxa"/>
              <w:bottom w:w="0" w:type="dxa"/>
              <w:right w:w="0" w:type="dxa"/>
            </w:tcMar>
            <w:vAlign w:val="center"/>
            <w:hideMark/>
          </w:tcPr>
          <w:p w14:paraId="468DCE26" w14:textId="77777777" w:rsidR="000E7FC9" w:rsidRDefault="000E7FC9" w:rsidP="00B322A7">
            <w:pPr>
              <w:ind w:right="83"/>
              <w:jc w:val="right"/>
              <w:rPr>
                <w:color w:val="000000"/>
                <w:sz w:val="18"/>
                <w:szCs w:val="18"/>
                <w:lang w:val="en-GB" w:eastAsia="en-GB"/>
              </w:rPr>
            </w:pPr>
            <w:r>
              <w:rPr>
                <w:color w:val="000000"/>
                <w:sz w:val="18"/>
                <w:szCs w:val="18"/>
                <w:lang w:val="en-GB" w:eastAsia="en-GB"/>
              </w:rPr>
              <w:t>(590)</w:t>
            </w:r>
          </w:p>
        </w:tc>
        <w:tc>
          <w:tcPr>
            <w:tcW w:w="1742" w:type="dxa"/>
            <w:shd w:val="clear" w:color="auto" w:fill="auto"/>
            <w:vAlign w:val="center"/>
          </w:tcPr>
          <w:p w14:paraId="492A5F78"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136" w:type="dxa"/>
            <w:shd w:val="clear" w:color="auto" w:fill="auto"/>
            <w:noWrap/>
            <w:tcMar>
              <w:top w:w="0" w:type="dxa"/>
              <w:left w:w="144" w:type="dxa"/>
              <w:bottom w:w="0" w:type="dxa"/>
              <w:right w:w="0" w:type="dxa"/>
            </w:tcMar>
            <w:vAlign w:val="center"/>
            <w:hideMark/>
          </w:tcPr>
          <w:p w14:paraId="799D6C5C" w14:textId="77777777" w:rsidR="000E7FC9" w:rsidRDefault="000E7FC9" w:rsidP="00B322A7">
            <w:pPr>
              <w:ind w:right="83"/>
              <w:jc w:val="right"/>
              <w:rPr>
                <w:color w:val="000000"/>
                <w:sz w:val="18"/>
                <w:szCs w:val="18"/>
                <w:lang w:val="en-GB" w:eastAsia="en-GB"/>
              </w:rPr>
            </w:pPr>
            <w:r>
              <w:rPr>
                <w:color w:val="000000"/>
                <w:sz w:val="18"/>
                <w:szCs w:val="18"/>
                <w:lang w:val="en-GB" w:eastAsia="en-GB"/>
              </w:rPr>
              <w:t>(655)</w:t>
            </w:r>
          </w:p>
        </w:tc>
      </w:tr>
      <w:tr w:rsidR="000E7FC9" w14:paraId="5EEC5D0E" w14:textId="77777777" w:rsidTr="00B322A7">
        <w:trPr>
          <w:cantSplit/>
          <w:jc w:val="center"/>
        </w:trPr>
        <w:tc>
          <w:tcPr>
            <w:tcW w:w="3721" w:type="dxa"/>
            <w:hideMark/>
          </w:tcPr>
          <w:p w14:paraId="37A3F5F2"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Net rental income</w:t>
            </w:r>
            <w:r>
              <w:rPr>
                <w:b/>
                <w:bCs/>
                <w:sz w:val="18"/>
                <w:szCs w:val="18"/>
              </w:rPr>
              <w:tab/>
            </w:r>
          </w:p>
        </w:tc>
        <w:tc>
          <w:tcPr>
            <w:tcW w:w="1268" w:type="dxa"/>
            <w:shd w:val="clear" w:color="auto" w:fill="auto"/>
            <w:noWrap/>
            <w:tcMar>
              <w:top w:w="0" w:type="dxa"/>
              <w:left w:w="144" w:type="dxa"/>
              <w:bottom w:w="0" w:type="dxa"/>
              <w:right w:w="0" w:type="dxa"/>
            </w:tcMar>
            <w:vAlign w:val="center"/>
            <w:hideMark/>
          </w:tcPr>
          <w:p w14:paraId="281F03B5"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9,188 </w:t>
            </w:r>
          </w:p>
        </w:tc>
        <w:tc>
          <w:tcPr>
            <w:tcW w:w="1494" w:type="dxa"/>
            <w:shd w:val="clear" w:color="auto" w:fill="auto"/>
            <w:noWrap/>
            <w:tcMar>
              <w:top w:w="0" w:type="dxa"/>
              <w:left w:w="144" w:type="dxa"/>
              <w:bottom w:w="0" w:type="dxa"/>
              <w:right w:w="0" w:type="dxa"/>
            </w:tcMar>
            <w:vAlign w:val="center"/>
            <w:hideMark/>
          </w:tcPr>
          <w:p w14:paraId="48DDF279"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(590)</w:t>
            </w:r>
          </w:p>
        </w:tc>
        <w:tc>
          <w:tcPr>
            <w:tcW w:w="1742" w:type="dxa"/>
            <w:shd w:val="clear" w:color="auto" w:fill="auto"/>
            <w:vAlign w:val="center"/>
          </w:tcPr>
          <w:p w14:paraId="05ABDCE2"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w:t>
            </w:r>
          </w:p>
        </w:tc>
        <w:tc>
          <w:tcPr>
            <w:tcW w:w="1136" w:type="dxa"/>
            <w:shd w:val="clear" w:color="auto" w:fill="auto"/>
            <w:noWrap/>
            <w:tcMar>
              <w:top w:w="0" w:type="dxa"/>
              <w:left w:w="144" w:type="dxa"/>
              <w:bottom w:w="0" w:type="dxa"/>
              <w:right w:w="0" w:type="dxa"/>
            </w:tcMar>
            <w:vAlign w:val="center"/>
            <w:hideMark/>
          </w:tcPr>
          <w:p w14:paraId="2D45842C"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8,598 </w:t>
            </w:r>
          </w:p>
        </w:tc>
      </w:tr>
      <w:tr w:rsidR="000E7FC9" w14:paraId="4DC797C7" w14:textId="77777777" w:rsidTr="00B322A7">
        <w:trPr>
          <w:cantSplit/>
          <w:jc w:val="center"/>
        </w:trPr>
        <w:tc>
          <w:tcPr>
            <w:tcW w:w="3721" w:type="dxa"/>
            <w:hideMark/>
          </w:tcPr>
          <w:p w14:paraId="2CBAD075"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Property and development management income</w:t>
            </w:r>
            <w:r>
              <w:rPr>
                <w:sz w:val="18"/>
                <w:szCs w:val="18"/>
              </w:rPr>
              <w:tab/>
            </w:r>
          </w:p>
        </w:tc>
        <w:tc>
          <w:tcPr>
            <w:tcW w:w="1268" w:type="dxa"/>
            <w:shd w:val="clear" w:color="auto" w:fill="auto"/>
            <w:noWrap/>
            <w:tcMar>
              <w:top w:w="0" w:type="dxa"/>
              <w:left w:w="144" w:type="dxa"/>
              <w:bottom w:w="0" w:type="dxa"/>
              <w:right w:w="0" w:type="dxa"/>
            </w:tcMar>
            <w:vAlign w:val="center"/>
          </w:tcPr>
          <w:p w14:paraId="15DBE156"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494" w:type="dxa"/>
            <w:shd w:val="clear" w:color="auto" w:fill="auto"/>
            <w:noWrap/>
            <w:tcMar>
              <w:top w:w="0" w:type="dxa"/>
              <w:left w:w="144" w:type="dxa"/>
              <w:bottom w:w="0" w:type="dxa"/>
              <w:right w:w="0" w:type="dxa"/>
            </w:tcMar>
            <w:vAlign w:val="center"/>
          </w:tcPr>
          <w:p w14:paraId="2F606900"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2" w:type="dxa"/>
            <w:shd w:val="clear" w:color="auto" w:fill="auto"/>
            <w:vAlign w:val="center"/>
          </w:tcPr>
          <w:p w14:paraId="20A8E6CA"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3,495 </w:t>
            </w:r>
          </w:p>
        </w:tc>
        <w:tc>
          <w:tcPr>
            <w:tcW w:w="1136" w:type="dxa"/>
            <w:shd w:val="clear" w:color="auto" w:fill="auto"/>
            <w:noWrap/>
            <w:tcMar>
              <w:top w:w="0" w:type="dxa"/>
              <w:left w:w="144" w:type="dxa"/>
              <w:bottom w:w="0" w:type="dxa"/>
              <w:right w:w="0" w:type="dxa"/>
            </w:tcMar>
            <w:vAlign w:val="center"/>
            <w:hideMark/>
          </w:tcPr>
          <w:p w14:paraId="0AAA994B"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3,495 </w:t>
            </w:r>
          </w:p>
        </w:tc>
      </w:tr>
      <w:tr w:rsidR="000E7FC9" w14:paraId="2B33ECF1" w14:textId="77777777" w:rsidTr="00B322A7">
        <w:trPr>
          <w:cantSplit/>
          <w:jc w:val="center"/>
        </w:trPr>
        <w:tc>
          <w:tcPr>
            <w:tcW w:w="3721" w:type="dxa"/>
            <w:hideMark/>
          </w:tcPr>
          <w:p w14:paraId="7D169CB5"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Facility management income</w:t>
            </w:r>
            <w:r>
              <w:rPr>
                <w:sz w:val="18"/>
                <w:szCs w:val="18"/>
              </w:rPr>
              <w:tab/>
            </w:r>
          </w:p>
        </w:tc>
        <w:tc>
          <w:tcPr>
            <w:tcW w:w="1268" w:type="dxa"/>
            <w:shd w:val="clear" w:color="auto" w:fill="auto"/>
            <w:noWrap/>
            <w:tcMar>
              <w:top w:w="0" w:type="dxa"/>
              <w:left w:w="144" w:type="dxa"/>
              <w:bottom w:w="0" w:type="dxa"/>
              <w:right w:w="0" w:type="dxa"/>
            </w:tcMar>
            <w:vAlign w:val="center"/>
          </w:tcPr>
          <w:p w14:paraId="6786CFC7"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494" w:type="dxa"/>
            <w:shd w:val="clear" w:color="auto" w:fill="auto"/>
            <w:noWrap/>
            <w:tcMar>
              <w:top w:w="0" w:type="dxa"/>
              <w:left w:w="144" w:type="dxa"/>
              <w:bottom w:w="0" w:type="dxa"/>
              <w:right w:w="0" w:type="dxa"/>
            </w:tcMar>
            <w:vAlign w:val="center"/>
          </w:tcPr>
          <w:p w14:paraId="39DDE13B"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2" w:type="dxa"/>
            <w:shd w:val="clear" w:color="auto" w:fill="auto"/>
            <w:vAlign w:val="center"/>
          </w:tcPr>
          <w:p w14:paraId="10166968"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281 </w:t>
            </w:r>
          </w:p>
        </w:tc>
        <w:tc>
          <w:tcPr>
            <w:tcW w:w="1136" w:type="dxa"/>
            <w:shd w:val="clear" w:color="auto" w:fill="auto"/>
            <w:noWrap/>
            <w:tcMar>
              <w:top w:w="0" w:type="dxa"/>
              <w:left w:w="144" w:type="dxa"/>
              <w:bottom w:w="0" w:type="dxa"/>
              <w:right w:w="0" w:type="dxa"/>
            </w:tcMar>
            <w:vAlign w:val="center"/>
            <w:hideMark/>
          </w:tcPr>
          <w:p w14:paraId="46D66D82"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281 </w:t>
            </w:r>
          </w:p>
        </w:tc>
      </w:tr>
      <w:tr w:rsidR="000E7FC9" w14:paraId="5861D205" w14:textId="77777777" w:rsidTr="00B322A7">
        <w:trPr>
          <w:cantSplit/>
          <w:jc w:val="center"/>
        </w:trPr>
        <w:tc>
          <w:tcPr>
            <w:tcW w:w="3721" w:type="dxa"/>
            <w:hideMark/>
          </w:tcPr>
          <w:p w14:paraId="0215B5CB" w14:textId="77777777" w:rsidR="000E7FC9" w:rsidRDefault="000E7FC9" w:rsidP="00B322A7">
            <w:pPr>
              <w:pStyle w:val="NormalWeb"/>
              <w:tabs>
                <w:tab w:val="right" w:leader="dot" w:pos="4620"/>
              </w:tabs>
              <w:spacing w:before="0" w:beforeAutospacing="0" w:after="0" w:afterAutospacing="0"/>
              <w:ind w:left="240" w:hanging="240"/>
              <w:rPr>
                <w:rFonts w:eastAsiaTheme="minorEastAsia"/>
                <w:sz w:val="18"/>
                <w:szCs w:val="18"/>
              </w:rPr>
            </w:pPr>
            <w:r>
              <w:rPr>
                <w:sz w:val="18"/>
                <w:szCs w:val="18"/>
              </w:rPr>
              <w:t>Net valuation gains/(losses) on investment properties</w:t>
            </w:r>
            <w:r>
              <w:rPr>
                <w:sz w:val="18"/>
                <w:szCs w:val="18"/>
              </w:rPr>
              <w:tab/>
            </w:r>
          </w:p>
        </w:tc>
        <w:tc>
          <w:tcPr>
            <w:tcW w:w="1268" w:type="dxa"/>
            <w:shd w:val="clear" w:color="auto" w:fill="auto"/>
            <w:noWrap/>
            <w:tcMar>
              <w:top w:w="0" w:type="dxa"/>
              <w:left w:w="144" w:type="dxa"/>
              <w:bottom w:w="0" w:type="dxa"/>
              <w:right w:w="0" w:type="dxa"/>
            </w:tcMar>
            <w:vAlign w:val="center"/>
            <w:hideMark/>
          </w:tcPr>
          <w:p w14:paraId="15EBD0DD"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494" w:type="dxa"/>
            <w:shd w:val="clear" w:color="auto" w:fill="auto"/>
            <w:noWrap/>
            <w:tcMar>
              <w:top w:w="0" w:type="dxa"/>
              <w:left w:w="144" w:type="dxa"/>
              <w:bottom w:w="0" w:type="dxa"/>
              <w:right w:w="0" w:type="dxa"/>
            </w:tcMar>
            <w:vAlign w:val="center"/>
            <w:hideMark/>
          </w:tcPr>
          <w:p w14:paraId="12B876E5"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48,875 </w:t>
            </w:r>
          </w:p>
        </w:tc>
        <w:tc>
          <w:tcPr>
            <w:tcW w:w="1742" w:type="dxa"/>
            <w:shd w:val="clear" w:color="auto" w:fill="auto"/>
            <w:vAlign w:val="center"/>
          </w:tcPr>
          <w:p w14:paraId="49B5FA0B"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136" w:type="dxa"/>
            <w:shd w:val="clear" w:color="auto" w:fill="auto"/>
            <w:noWrap/>
            <w:tcMar>
              <w:top w:w="0" w:type="dxa"/>
              <w:left w:w="144" w:type="dxa"/>
              <w:bottom w:w="0" w:type="dxa"/>
              <w:right w:w="0" w:type="dxa"/>
            </w:tcMar>
            <w:vAlign w:val="center"/>
            <w:hideMark/>
          </w:tcPr>
          <w:p w14:paraId="65466371"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48,875 </w:t>
            </w:r>
          </w:p>
        </w:tc>
      </w:tr>
      <w:tr w:rsidR="000E7FC9" w14:paraId="7459AAE3" w14:textId="77777777" w:rsidTr="00B322A7">
        <w:trPr>
          <w:cantSplit/>
          <w:jc w:val="center"/>
        </w:trPr>
        <w:tc>
          <w:tcPr>
            <w:tcW w:w="3721" w:type="dxa"/>
            <w:hideMark/>
          </w:tcPr>
          <w:p w14:paraId="3BC30034"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Administration expenses</w:t>
            </w:r>
            <w:r>
              <w:rPr>
                <w:sz w:val="18"/>
                <w:szCs w:val="18"/>
              </w:rPr>
              <w:tab/>
            </w:r>
          </w:p>
        </w:tc>
        <w:tc>
          <w:tcPr>
            <w:tcW w:w="1268" w:type="dxa"/>
            <w:shd w:val="clear" w:color="auto" w:fill="auto"/>
            <w:noWrap/>
            <w:tcMar>
              <w:top w:w="0" w:type="dxa"/>
              <w:left w:w="144" w:type="dxa"/>
              <w:bottom w:w="0" w:type="dxa"/>
              <w:right w:w="0" w:type="dxa"/>
            </w:tcMar>
            <w:vAlign w:val="center"/>
            <w:hideMark/>
          </w:tcPr>
          <w:p w14:paraId="42EBA46E" w14:textId="77777777" w:rsidR="000E7FC9" w:rsidRDefault="000E7FC9" w:rsidP="00B322A7">
            <w:pPr>
              <w:ind w:right="83"/>
              <w:jc w:val="right"/>
              <w:rPr>
                <w:color w:val="000000"/>
                <w:sz w:val="18"/>
                <w:szCs w:val="18"/>
                <w:lang w:val="en-GB" w:eastAsia="en-GB"/>
              </w:rPr>
            </w:pPr>
            <w:r>
              <w:rPr>
                <w:color w:val="000000"/>
                <w:sz w:val="18"/>
                <w:szCs w:val="18"/>
                <w:lang w:val="en-GB" w:eastAsia="en-GB"/>
              </w:rPr>
              <w:t>(259)</w:t>
            </w:r>
          </w:p>
        </w:tc>
        <w:tc>
          <w:tcPr>
            <w:tcW w:w="1494" w:type="dxa"/>
            <w:shd w:val="clear" w:color="auto" w:fill="auto"/>
            <w:noWrap/>
            <w:tcMar>
              <w:top w:w="0" w:type="dxa"/>
              <w:left w:w="144" w:type="dxa"/>
              <w:bottom w:w="0" w:type="dxa"/>
              <w:right w:w="0" w:type="dxa"/>
            </w:tcMar>
            <w:vAlign w:val="center"/>
            <w:hideMark/>
          </w:tcPr>
          <w:p w14:paraId="650FEC1F" w14:textId="77777777" w:rsidR="000E7FC9" w:rsidRDefault="000E7FC9" w:rsidP="00B322A7">
            <w:pPr>
              <w:ind w:right="83"/>
              <w:jc w:val="right"/>
              <w:rPr>
                <w:color w:val="000000"/>
                <w:sz w:val="18"/>
                <w:szCs w:val="18"/>
                <w:lang w:val="en-GB" w:eastAsia="en-GB"/>
              </w:rPr>
            </w:pPr>
            <w:r>
              <w:rPr>
                <w:color w:val="000000"/>
                <w:sz w:val="18"/>
                <w:szCs w:val="18"/>
                <w:lang w:val="en-GB" w:eastAsia="en-GB"/>
              </w:rPr>
              <w:t>(8,645)</w:t>
            </w:r>
          </w:p>
        </w:tc>
        <w:tc>
          <w:tcPr>
            <w:tcW w:w="1742" w:type="dxa"/>
            <w:shd w:val="clear" w:color="auto" w:fill="auto"/>
            <w:vAlign w:val="center"/>
          </w:tcPr>
          <w:p w14:paraId="2EE24B23" w14:textId="77777777" w:rsidR="000E7FC9" w:rsidRDefault="000E7FC9" w:rsidP="00B322A7">
            <w:pPr>
              <w:ind w:right="83"/>
              <w:jc w:val="right"/>
              <w:rPr>
                <w:color w:val="000000"/>
                <w:sz w:val="18"/>
                <w:szCs w:val="18"/>
                <w:lang w:val="en-GB" w:eastAsia="en-GB"/>
              </w:rPr>
            </w:pPr>
            <w:r>
              <w:rPr>
                <w:color w:val="000000"/>
                <w:sz w:val="18"/>
                <w:szCs w:val="18"/>
                <w:lang w:val="en-GB" w:eastAsia="en-GB"/>
              </w:rPr>
              <w:t>(667)</w:t>
            </w:r>
          </w:p>
        </w:tc>
        <w:tc>
          <w:tcPr>
            <w:tcW w:w="1136" w:type="dxa"/>
            <w:shd w:val="clear" w:color="auto" w:fill="auto"/>
            <w:noWrap/>
            <w:tcMar>
              <w:top w:w="0" w:type="dxa"/>
              <w:left w:w="144" w:type="dxa"/>
              <w:bottom w:w="0" w:type="dxa"/>
              <w:right w:w="0" w:type="dxa"/>
            </w:tcMar>
            <w:vAlign w:val="center"/>
            <w:hideMark/>
          </w:tcPr>
          <w:p w14:paraId="3A694A71"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(9,571)</w:t>
            </w:r>
          </w:p>
        </w:tc>
      </w:tr>
      <w:tr w:rsidR="000E7FC9" w14:paraId="6923A73F" w14:textId="77777777" w:rsidTr="00B322A7">
        <w:trPr>
          <w:cantSplit/>
          <w:jc w:val="center"/>
        </w:trPr>
        <w:tc>
          <w:tcPr>
            <w:tcW w:w="3721" w:type="dxa"/>
            <w:hideMark/>
          </w:tcPr>
          <w:p w14:paraId="2EFDBE80"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income</w:t>
            </w:r>
            <w:r>
              <w:rPr>
                <w:sz w:val="18"/>
                <w:szCs w:val="18"/>
              </w:rPr>
              <w:tab/>
            </w:r>
          </w:p>
        </w:tc>
        <w:tc>
          <w:tcPr>
            <w:tcW w:w="1268" w:type="dxa"/>
            <w:shd w:val="clear" w:color="auto" w:fill="auto"/>
            <w:noWrap/>
            <w:tcMar>
              <w:top w:w="0" w:type="dxa"/>
              <w:left w:w="144" w:type="dxa"/>
              <w:bottom w:w="0" w:type="dxa"/>
              <w:right w:w="0" w:type="dxa"/>
            </w:tcMar>
            <w:vAlign w:val="center"/>
            <w:hideMark/>
          </w:tcPr>
          <w:p w14:paraId="57820E0A"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370 </w:t>
            </w:r>
          </w:p>
        </w:tc>
        <w:tc>
          <w:tcPr>
            <w:tcW w:w="1494" w:type="dxa"/>
            <w:shd w:val="clear" w:color="auto" w:fill="auto"/>
            <w:noWrap/>
            <w:tcMar>
              <w:top w:w="0" w:type="dxa"/>
              <w:left w:w="144" w:type="dxa"/>
              <w:bottom w:w="0" w:type="dxa"/>
              <w:right w:w="0" w:type="dxa"/>
            </w:tcMar>
            <w:vAlign w:val="center"/>
          </w:tcPr>
          <w:p w14:paraId="336171CC"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2" w:type="dxa"/>
            <w:shd w:val="clear" w:color="auto" w:fill="auto"/>
            <w:vAlign w:val="center"/>
          </w:tcPr>
          <w:p w14:paraId="3C57629F"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136" w:type="dxa"/>
            <w:shd w:val="clear" w:color="auto" w:fill="auto"/>
            <w:noWrap/>
            <w:tcMar>
              <w:top w:w="0" w:type="dxa"/>
              <w:left w:w="144" w:type="dxa"/>
              <w:bottom w:w="0" w:type="dxa"/>
              <w:right w:w="0" w:type="dxa"/>
            </w:tcMar>
            <w:vAlign w:val="center"/>
            <w:hideMark/>
          </w:tcPr>
          <w:p w14:paraId="7F6F3A7C"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370 </w:t>
            </w:r>
          </w:p>
        </w:tc>
      </w:tr>
      <w:tr w:rsidR="000E7FC9" w14:paraId="14D8A068" w14:textId="77777777" w:rsidTr="00B322A7">
        <w:trPr>
          <w:cantSplit/>
          <w:jc w:val="center"/>
        </w:trPr>
        <w:tc>
          <w:tcPr>
            <w:tcW w:w="3721" w:type="dxa"/>
            <w:hideMark/>
          </w:tcPr>
          <w:p w14:paraId="17D41400"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expenses</w:t>
            </w:r>
            <w:r>
              <w:rPr>
                <w:sz w:val="18"/>
                <w:szCs w:val="18"/>
              </w:rPr>
              <w:tab/>
            </w:r>
          </w:p>
        </w:tc>
        <w:tc>
          <w:tcPr>
            <w:tcW w:w="1268" w:type="dxa"/>
            <w:shd w:val="clear" w:color="auto" w:fill="auto"/>
            <w:noWrap/>
            <w:tcMar>
              <w:top w:w="0" w:type="dxa"/>
              <w:left w:w="144" w:type="dxa"/>
              <w:bottom w:w="0" w:type="dxa"/>
              <w:right w:w="0" w:type="dxa"/>
            </w:tcMar>
            <w:vAlign w:val="center"/>
            <w:hideMark/>
          </w:tcPr>
          <w:p w14:paraId="3E0FFDFF" w14:textId="77777777" w:rsidR="000E7FC9" w:rsidRDefault="000E7FC9" w:rsidP="00B322A7">
            <w:pPr>
              <w:ind w:right="83"/>
              <w:jc w:val="right"/>
              <w:rPr>
                <w:color w:val="000000"/>
                <w:sz w:val="18"/>
                <w:szCs w:val="18"/>
                <w:lang w:val="en-GB" w:eastAsia="en-GB"/>
              </w:rPr>
            </w:pPr>
            <w:r>
              <w:rPr>
                <w:color w:val="000000"/>
                <w:sz w:val="18"/>
                <w:szCs w:val="18"/>
                <w:lang w:val="en-GB" w:eastAsia="en-GB"/>
              </w:rPr>
              <w:t>(220)</w:t>
            </w:r>
          </w:p>
        </w:tc>
        <w:tc>
          <w:tcPr>
            <w:tcW w:w="1494" w:type="dxa"/>
            <w:shd w:val="clear" w:color="auto" w:fill="auto"/>
            <w:noWrap/>
            <w:tcMar>
              <w:top w:w="0" w:type="dxa"/>
              <w:left w:w="144" w:type="dxa"/>
              <w:bottom w:w="0" w:type="dxa"/>
              <w:right w:w="0" w:type="dxa"/>
            </w:tcMar>
            <w:vAlign w:val="center"/>
          </w:tcPr>
          <w:p w14:paraId="068FE9BF"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2" w:type="dxa"/>
            <w:shd w:val="clear" w:color="auto" w:fill="auto"/>
            <w:vAlign w:val="center"/>
          </w:tcPr>
          <w:p w14:paraId="5A06EA26" w14:textId="77777777" w:rsidR="000E7FC9" w:rsidRDefault="000E7FC9" w:rsidP="00B322A7">
            <w:pPr>
              <w:ind w:right="83"/>
              <w:jc w:val="right"/>
              <w:rPr>
                <w:color w:val="000000"/>
                <w:sz w:val="18"/>
                <w:szCs w:val="18"/>
                <w:lang w:val="en-GB" w:eastAsia="en-GB"/>
              </w:rPr>
            </w:pPr>
            <w:r>
              <w:rPr>
                <w:color w:val="000000"/>
                <w:sz w:val="18"/>
                <w:szCs w:val="18"/>
                <w:lang w:val="en-GB" w:eastAsia="en-GB"/>
              </w:rPr>
              <w:t>(219)</w:t>
            </w:r>
          </w:p>
        </w:tc>
        <w:tc>
          <w:tcPr>
            <w:tcW w:w="1136" w:type="dxa"/>
            <w:shd w:val="clear" w:color="auto" w:fill="auto"/>
            <w:noWrap/>
            <w:tcMar>
              <w:top w:w="0" w:type="dxa"/>
              <w:left w:w="144" w:type="dxa"/>
              <w:bottom w:w="0" w:type="dxa"/>
              <w:right w:w="0" w:type="dxa"/>
            </w:tcMar>
            <w:vAlign w:val="center"/>
            <w:hideMark/>
          </w:tcPr>
          <w:p w14:paraId="5651A29F"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(439)</w:t>
            </w:r>
          </w:p>
        </w:tc>
      </w:tr>
      <w:tr w:rsidR="000E7FC9" w14:paraId="71FBD968" w14:textId="77777777" w:rsidTr="00B322A7">
        <w:trPr>
          <w:cantSplit/>
          <w:jc w:val="center"/>
        </w:trPr>
        <w:tc>
          <w:tcPr>
            <w:tcW w:w="3721" w:type="dxa"/>
          </w:tcPr>
          <w:p w14:paraId="558E65CF" w14:textId="77777777" w:rsidR="000E7FC9" w:rsidRDefault="000E7FC9" w:rsidP="00B322A7">
            <w:pPr>
              <w:pStyle w:val="NormalWeb"/>
              <w:tabs>
                <w:tab w:val="right" w:leader="dot" w:pos="4620"/>
              </w:tabs>
              <w:spacing w:before="0" w:beforeAutospacing="0" w:after="0" w:afterAutospacing="0"/>
              <w:ind w:left="240" w:hanging="240"/>
              <w:jc w:val="right"/>
              <w:rPr>
                <w:sz w:val="18"/>
                <w:szCs w:val="18"/>
              </w:rPr>
            </w:pPr>
            <w:r>
              <w:rPr>
                <w:sz w:val="18"/>
                <w:szCs w:val="18"/>
              </w:rPr>
              <w:t>Share in result of joint venture and associates</w:t>
            </w:r>
            <w:r>
              <w:rPr>
                <w:sz w:val="18"/>
                <w:szCs w:val="18"/>
              </w:rPr>
              <w:tab/>
            </w:r>
          </w:p>
        </w:tc>
        <w:tc>
          <w:tcPr>
            <w:tcW w:w="1268" w:type="dxa"/>
            <w:shd w:val="clear" w:color="auto" w:fill="auto"/>
            <w:noWrap/>
            <w:tcMar>
              <w:top w:w="0" w:type="dxa"/>
              <w:left w:w="144" w:type="dxa"/>
              <w:bottom w:w="0" w:type="dxa"/>
              <w:right w:w="0" w:type="dxa"/>
            </w:tcMar>
            <w:vAlign w:val="center"/>
          </w:tcPr>
          <w:p w14:paraId="52E4A099"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6,729 </w:t>
            </w:r>
          </w:p>
        </w:tc>
        <w:tc>
          <w:tcPr>
            <w:tcW w:w="1494" w:type="dxa"/>
            <w:shd w:val="clear" w:color="auto" w:fill="auto"/>
            <w:noWrap/>
            <w:tcMar>
              <w:top w:w="0" w:type="dxa"/>
              <w:left w:w="144" w:type="dxa"/>
              <w:bottom w:w="0" w:type="dxa"/>
              <w:right w:w="0" w:type="dxa"/>
            </w:tcMar>
            <w:vAlign w:val="center"/>
          </w:tcPr>
          <w:p w14:paraId="27F1E4BA"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2" w:type="dxa"/>
            <w:shd w:val="clear" w:color="auto" w:fill="auto"/>
            <w:vAlign w:val="center"/>
          </w:tcPr>
          <w:p w14:paraId="05E07091"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136" w:type="dxa"/>
            <w:shd w:val="clear" w:color="auto" w:fill="auto"/>
            <w:noWrap/>
            <w:tcMar>
              <w:top w:w="0" w:type="dxa"/>
              <w:left w:w="144" w:type="dxa"/>
              <w:bottom w:w="0" w:type="dxa"/>
              <w:right w:w="0" w:type="dxa"/>
            </w:tcMar>
            <w:vAlign w:val="center"/>
          </w:tcPr>
          <w:p w14:paraId="0E4B189C"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6,729 </w:t>
            </w:r>
          </w:p>
        </w:tc>
      </w:tr>
      <w:tr w:rsidR="000E7FC9" w14:paraId="5B008AAA" w14:textId="77777777" w:rsidTr="00B322A7">
        <w:trPr>
          <w:cantSplit/>
          <w:jc w:val="center"/>
        </w:trPr>
        <w:tc>
          <w:tcPr>
            <w:tcW w:w="3721" w:type="dxa"/>
            <w:hideMark/>
          </w:tcPr>
          <w:p w14:paraId="65D06895"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EBITDA</w:t>
            </w:r>
            <w:r>
              <w:rPr>
                <w:b/>
                <w:bCs/>
                <w:sz w:val="18"/>
                <w:szCs w:val="18"/>
              </w:rPr>
              <w:tab/>
            </w:r>
          </w:p>
        </w:tc>
        <w:tc>
          <w:tcPr>
            <w:tcW w:w="1268" w:type="dxa"/>
            <w:shd w:val="clear" w:color="auto" w:fill="auto"/>
            <w:noWrap/>
            <w:tcMar>
              <w:top w:w="0" w:type="dxa"/>
              <w:left w:w="144" w:type="dxa"/>
              <w:bottom w:w="0" w:type="dxa"/>
              <w:right w:w="0" w:type="dxa"/>
            </w:tcMar>
            <w:vAlign w:val="center"/>
            <w:hideMark/>
          </w:tcPr>
          <w:p w14:paraId="07491B70"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15,808 </w:t>
            </w:r>
          </w:p>
        </w:tc>
        <w:tc>
          <w:tcPr>
            <w:tcW w:w="1494" w:type="dxa"/>
            <w:shd w:val="clear" w:color="auto" w:fill="auto"/>
            <w:noWrap/>
            <w:tcMar>
              <w:top w:w="0" w:type="dxa"/>
              <w:left w:w="144" w:type="dxa"/>
              <w:bottom w:w="0" w:type="dxa"/>
              <w:right w:w="0" w:type="dxa"/>
            </w:tcMar>
            <w:vAlign w:val="center"/>
            <w:hideMark/>
          </w:tcPr>
          <w:p w14:paraId="1AAE3C1B"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39,641 </w:t>
            </w:r>
          </w:p>
        </w:tc>
        <w:tc>
          <w:tcPr>
            <w:tcW w:w="1742" w:type="dxa"/>
            <w:shd w:val="clear" w:color="auto" w:fill="auto"/>
            <w:vAlign w:val="center"/>
          </w:tcPr>
          <w:p w14:paraId="294495ED"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2,890 </w:t>
            </w:r>
          </w:p>
        </w:tc>
        <w:tc>
          <w:tcPr>
            <w:tcW w:w="1136" w:type="dxa"/>
            <w:shd w:val="clear" w:color="auto" w:fill="auto"/>
            <w:noWrap/>
            <w:tcMar>
              <w:top w:w="0" w:type="dxa"/>
              <w:left w:w="144" w:type="dxa"/>
              <w:bottom w:w="0" w:type="dxa"/>
              <w:right w:w="0" w:type="dxa"/>
            </w:tcMar>
            <w:vAlign w:val="center"/>
            <w:hideMark/>
          </w:tcPr>
          <w:p w14:paraId="47386ED4" w14:textId="77777777" w:rsidR="000E7FC9" w:rsidRPr="000E7FC9" w:rsidRDefault="000E7FC9" w:rsidP="00B322A7">
            <w:pPr>
              <w:ind w:right="83"/>
              <w:jc w:val="right"/>
              <w:rPr>
                <w:b/>
                <w:bCs/>
                <w:color w:val="000000"/>
                <w:sz w:val="18"/>
                <w:szCs w:val="18"/>
                <w:lang w:val="en-GB" w:eastAsia="en-GB"/>
              </w:rPr>
            </w:pPr>
            <w:r w:rsidRPr="000E7FC9">
              <w:rPr>
                <w:b/>
                <w:bCs/>
                <w:color w:val="000000"/>
                <w:sz w:val="18"/>
                <w:szCs w:val="18"/>
                <w:lang w:val="en-GB" w:eastAsia="en-GB"/>
              </w:rPr>
              <w:t xml:space="preserve">58,338 </w:t>
            </w:r>
          </w:p>
        </w:tc>
      </w:tr>
      <w:tr w:rsidR="000E7FC9" w14:paraId="7E946C9F" w14:textId="77777777" w:rsidTr="00B322A7">
        <w:trPr>
          <w:jc w:val="center"/>
        </w:trPr>
        <w:tc>
          <w:tcPr>
            <w:tcW w:w="3721" w:type="dxa"/>
            <w:tcMar>
              <w:top w:w="0" w:type="dxa"/>
              <w:left w:w="144" w:type="dxa"/>
              <w:bottom w:w="0" w:type="dxa"/>
              <w:right w:w="0" w:type="dxa"/>
            </w:tcMar>
            <w:hideMark/>
          </w:tcPr>
          <w:p w14:paraId="3ED478D2" w14:textId="77777777" w:rsidR="000E7FC9" w:rsidRDefault="000E7FC9" w:rsidP="00B322A7">
            <w:pPr>
              <w:pStyle w:val="la2"/>
              <w:jc w:val="right"/>
              <w:rPr>
                <w:rFonts w:eastAsiaTheme="minorEastAsia"/>
                <w:sz w:val="2"/>
                <w:szCs w:val="2"/>
              </w:rPr>
            </w:pPr>
            <w:r>
              <w:rPr>
                <w:sz w:val="2"/>
                <w:szCs w:val="2"/>
              </w:rPr>
              <w:t> </w:t>
            </w:r>
          </w:p>
        </w:tc>
        <w:tc>
          <w:tcPr>
            <w:tcW w:w="1268" w:type="dxa"/>
            <w:shd w:val="clear" w:color="auto" w:fill="auto"/>
            <w:tcMar>
              <w:top w:w="0" w:type="dxa"/>
              <w:left w:w="144" w:type="dxa"/>
              <w:bottom w:w="0" w:type="dxa"/>
              <w:right w:w="0" w:type="dxa"/>
            </w:tcMar>
            <w:vAlign w:val="center"/>
            <w:hideMark/>
          </w:tcPr>
          <w:p w14:paraId="782BDAB1" w14:textId="77777777" w:rsidR="000E7FC9" w:rsidRDefault="000E7FC9" w:rsidP="00B322A7">
            <w:pPr>
              <w:ind w:right="83"/>
              <w:jc w:val="right"/>
              <w:rPr>
                <w:b/>
                <w:bCs/>
                <w:color w:val="000000"/>
                <w:sz w:val="18"/>
                <w:szCs w:val="18"/>
                <w:lang w:val="en-GB" w:eastAsia="en-GB"/>
              </w:rPr>
            </w:pPr>
          </w:p>
        </w:tc>
        <w:tc>
          <w:tcPr>
            <w:tcW w:w="1494" w:type="dxa"/>
            <w:shd w:val="clear" w:color="auto" w:fill="auto"/>
            <w:tcMar>
              <w:top w:w="0" w:type="dxa"/>
              <w:left w:w="144" w:type="dxa"/>
              <w:bottom w:w="0" w:type="dxa"/>
              <w:right w:w="0" w:type="dxa"/>
            </w:tcMar>
            <w:vAlign w:val="center"/>
            <w:hideMark/>
          </w:tcPr>
          <w:p w14:paraId="4571A04D" w14:textId="77777777" w:rsidR="000E7FC9" w:rsidRDefault="000E7FC9" w:rsidP="00B322A7">
            <w:pPr>
              <w:ind w:right="83"/>
              <w:jc w:val="right"/>
              <w:rPr>
                <w:sz w:val="20"/>
                <w:lang w:val="en-GB" w:eastAsia="en-GB"/>
              </w:rPr>
            </w:pPr>
          </w:p>
        </w:tc>
        <w:tc>
          <w:tcPr>
            <w:tcW w:w="1742" w:type="dxa"/>
            <w:shd w:val="clear" w:color="auto" w:fill="auto"/>
            <w:vAlign w:val="center"/>
          </w:tcPr>
          <w:p w14:paraId="331F884F" w14:textId="77777777" w:rsidR="000E7FC9" w:rsidRDefault="000E7FC9" w:rsidP="00B322A7">
            <w:pPr>
              <w:ind w:right="83"/>
              <w:jc w:val="right"/>
              <w:rPr>
                <w:sz w:val="20"/>
                <w:lang w:val="en-GB" w:eastAsia="en-GB"/>
              </w:rPr>
            </w:pPr>
          </w:p>
        </w:tc>
        <w:tc>
          <w:tcPr>
            <w:tcW w:w="1136" w:type="dxa"/>
            <w:shd w:val="clear" w:color="auto" w:fill="auto"/>
            <w:tcMar>
              <w:top w:w="0" w:type="dxa"/>
              <w:left w:w="144" w:type="dxa"/>
              <w:bottom w:w="0" w:type="dxa"/>
              <w:right w:w="0" w:type="dxa"/>
            </w:tcMar>
            <w:vAlign w:val="center"/>
            <w:hideMark/>
          </w:tcPr>
          <w:p w14:paraId="5BBD0C79" w14:textId="77777777" w:rsidR="000E7FC9" w:rsidRDefault="000E7FC9" w:rsidP="00B322A7">
            <w:pPr>
              <w:ind w:right="83"/>
              <w:jc w:val="right"/>
              <w:rPr>
                <w:sz w:val="20"/>
                <w:lang w:val="en-GB" w:eastAsia="en-GB"/>
              </w:rPr>
            </w:pPr>
          </w:p>
        </w:tc>
      </w:tr>
      <w:tr w:rsidR="000E7FC9" w14:paraId="41B6D9E3" w14:textId="77777777" w:rsidTr="00B322A7">
        <w:trPr>
          <w:cantSplit/>
          <w:jc w:val="center"/>
        </w:trPr>
        <w:tc>
          <w:tcPr>
            <w:tcW w:w="3721" w:type="dxa"/>
          </w:tcPr>
          <w:p w14:paraId="1F181AD5" w14:textId="77777777" w:rsidR="000E7FC9" w:rsidRDefault="000E7FC9" w:rsidP="00B322A7">
            <w:pPr>
              <w:pStyle w:val="NormalWeb"/>
              <w:tabs>
                <w:tab w:val="right" w:leader="dot" w:pos="4620"/>
              </w:tabs>
              <w:spacing w:before="0" w:beforeAutospacing="0" w:after="0" w:afterAutospacing="0"/>
              <w:ind w:left="240" w:hanging="240"/>
              <w:rPr>
                <w:sz w:val="18"/>
                <w:szCs w:val="18"/>
              </w:rPr>
            </w:pPr>
            <w:r>
              <w:rPr>
                <w:sz w:val="18"/>
                <w:szCs w:val="18"/>
              </w:rPr>
              <w:t>Depreciation and amortization</w:t>
            </w:r>
          </w:p>
        </w:tc>
        <w:tc>
          <w:tcPr>
            <w:tcW w:w="1268" w:type="dxa"/>
            <w:shd w:val="clear" w:color="auto" w:fill="auto"/>
            <w:noWrap/>
            <w:tcMar>
              <w:top w:w="0" w:type="dxa"/>
              <w:left w:w="144" w:type="dxa"/>
              <w:bottom w:w="0" w:type="dxa"/>
              <w:right w:w="0" w:type="dxa"/>
            </w:tcMar>
            <w:vAlign w:val="center"/>
          </w:tcPr>
          <w:p w14:paraId="7ACA15A6" w14:textId="77777777" w:rsidR="000E7FC9" w:rsidRDefault="000E7FC9" w:rsidP="00B322A7">
            <w:pPr>
              <w:ind w:right="83"/>
              <w:jc w:val="right"/>
              <w:rPr>
                <w:sz w:val="20"/>
                <w:lang w:val="en-GB" w:eastAsia="en-GB"/>
              </w:rPr>
            </w:pPr>
          </w:p>
        </w:tc>
        <w:tc>
          <w:tcPr>
            <w:tcW w:w="1494" w:type="dxa"/>
            <w:shd w:val="clear" w:color="auto" w:fill="auto"/>
            <w:noWrap/>
            <w:tcMar>
              <w:top w:w="0" w:type="dxa"/>
              <w:left w:w="144" w:type="dxa"/>
              <w:bottom w:w="0" w:type="dxa"/>
              <w:right w:w="0" w:type="dxa"/>
            </w:tcMar>
            <w:vAlign w:val="center"/>
          </w:tcPr>
          <w:p w14:paraId="35AD6AF4" w14:textId="77777777" w:rsidR="000E7FC9" w:rsidRDefault="000E7FC9" w:rsidP="00B322A7">
            <w:pPr>
              <w:ind w:right="83"/>
              <w:jc w:val="right"/>
              <w:rPr>
                <w:sz w:val="20"/>
                <w:lang w:val="en-GB" w:eastAsia="en-GB"/>
              </w:rPr>
            </w:pPr>
          </w:p>
        </w:tc>
        <w:tc>
          <w:tcPr>
            <w:tcW w:w="1742" w:type="dxa"/>
            <w:shd w:val="clear" w:color="auto" w:fill="auto"/>
            <w:vAlign w:val="center"/>
          </w:tcPr>
          <w:p w14:paraId="58ECF0F9"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14E57499" w14:textId="77777777" w:rsidR="000E7FC9" w:rsidRDefault="000E7FC9" w:rsidP="00B322A7">
            <w:pPr>
              <w:ind w:right="83"/>
              <w:jc w:val="right"/>
              <w:rPr>
                <w:color w:val="000000"/>
                <w:sz w:val="18"/>
                <w:szCs w:val="18"/>
                <w:lang w:val="en-GB" w:eastAsia="en-GB"/>
              </w:rPr>
            </w:pPr>
            <w:r>
              <w:rPr>
                <w:color w:val="000000"/>
                <w:sz w:val="18"/>
                <w:szCs w:val="18"/>
                <w:lang w:val="en-GB" w:eastAsia="en-GB"/>
              </w:rPr>
              <w:t>(89)</w:t>
            </w:r>
          </w:p>
        </w:tc>
      </w:tr>
      <w:tr w:rsidR="000E7FC9" w14:paraId="70A8F56E" w14:textId="77777777" w:rsidTr="00B322A7">
        <w:trPr>
          <w:cantSplit/>
          <w:jc w:val="center"/>
        </w:trPr>
        <w:tc>
          <w:tcPr>
            <w:tcW w:w="3721" w:type="dxa"/>
            <w:hideMark/>
          </w:tcPr>
          <w:p w14:paraId="1ED1BE2C" w14:textId="50F9185C" w:rsidR="000E7FC9" w:rsidRDefault="000E7FC9" w:rsidP="000E7FC9">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 xml:space="preserve">EBIT </w:t>
            </w:r>
            <w:r>
              <w:rPr>
                <w:b/>
                <w:bCs/>
                <w:sz w:val="18"/>
                <w:szCs w:val="18"/>
              </w:rPr>
              <w:tab/>
            </w:r>
          </w:p>
        </w:tc>
        <w:tc>
          <w:tcPr>
            <w:tcW w:w="1268" w:type="dxa"/>
            <w:shd w:val="clear" w:color="auto" w:fill="auto"/>
            <w:noWrap/>
            <w:tcMar>
              <w:top w:w="0" w:type="dxa"/>
              <w:left w:w="144" w:type="dxa"/>
              <w:bottom w:w="0" w:type="dxa"/>
              <w:right w:w="0" w:type="dxa"/>
            </w:tcMar>
            <w:vAlign w:val="center"/>
            <w:hideMark/>
          </w:tcPr>
          <w:p w14:paraId="6F795641"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hideMark/>
          </w:tcPr>
          <w:p w14:paraId="1CEEE544" w14:textId="77777777" w:rsidR="000E7FC9" w:rsidRDefault="000E7FC9" w:rsidP="00B322A7">
            <w:pPr>
              <w:ind w:right="83"/>
              <w:jc w:val="right"/>
              <w:rPr>
                <w:sz w:val="20"/>
                <w:lang w:val="en-GB" w:eastAsia="en-GB"/>
              </w:rPr>
            </w:pPr>
          </w:p>
        </w:tc>
        <w:tc>
          <w:tcPr>
            <w:tcW w:w="1742" w:type="dxa"/>
            <w:shd w:val="clear" w:color="auto" w:fill="auto"/>
            <w:vAlign w:val="center"/>
          </w:tcPr>
          <w:p w14:paraId="13DE19AD"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hideMark/>
          </w:tcPr>
          <w:p w14:paraId="4A8BCF9F"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58,249 </w:t>
            </w:r>
          </w:p>
        </w:tc>
      </w:tr>
      <w:tr w:rsidR="000E7FC9" w14:paraId="7358C239" w14:textId="77777777" w:rsidTr="00B322A7">
        <w:trPr>
          <w:cantSplit/>
          <w:jc w:val="center"/>
        </w:trPr>
        <w:tc>
          <w:tcPr>
            <w:tcW w:w="3721" w:type="dxa"/>
          </w:tcPr>
          <w:p w14:paraId="1CDC61AB"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Financial income - Own</w:t>
            </w:r>
            <w:r>
              <w:rPr>
                <w:sz w:val="18"/>
                <w:szCs w:val="18"/>
              </w:rPr>
              <w:tab/>
            </w:r>
          </w:p>
        </w:tc>
        <w:tc>
          <w:tcPr>
            <w:tcW w:w="1268" w:type="dxa"/>
            <w:shd w:val="clear" w:color="auto" w:fill="auto"/>
            <w:noWrap/>
            <w:tcMar>
              <w:top w:w="0" w:type="dxa"/>
              <w:left w:w="144" w:type="dxa"/>
              <w:bottom w:w="0" w:type="dxa"/>
              <w:right w:w="0" w:type="dxa"/>
            </w:tcMar>
            <w:vAlign w:val="center"/>
          </w:tcPr>
          <w:p w14:paraId="4D9B9564" w14:textId="77777777" w:rsidR="000E7FC9" w:rsidRDefault="000E7FC9" w:rsidP="00B322A7">
            <w:pPr>
              <w:ind w:right="83"/>
              <w:jc w:val="right"/>
              <w:rPr>
                <w:b/>
                <w:bCs/>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64BF06FA" w14:textId="77777777" w:rsidR="000E7FC9" w:rsidRDefault="000E7FC9" w:rsidP="00B322A7">
            <w:pPr>
              <w:ind w:right="83"/>
              <w:jc w:val="right"/>
              <w:rPr>
                <w:sz w:val="20"/>
                <w:lang w:val="en-GB" w:eastAsia="en-GB"/>
              </w:rPr>
            </w:pPr>
          </w:p>
        </w:tc>
        <w:tc>
          <w:tcPr>
            <w:tcW w:w="1742" w:type="dxa"/>
            <w:shd w:val="clear" w:color="auto" w:fill="auto"/>
            <w:vAlign w:val="center"/>
          </w:tcPr>
          <w:p w14:paraId="0F7B8302"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105DA392"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2,134 </w:t>
            </w:r>
          </w:p>
        </w:tc>
      </w:tr>
      <w:tr w:rsidR="000E7FC9" w14:paraId="4C2F9781" w14:textId="77777777" w:rsidTr="00B322A7">
        <w:trPr>
          <w:cantSplit/>
          <w:jc w:val="center"/>
        </w:trPr>
        <w:tc>
          <w:tcPr>
            <w:tcW w:w="3721" w:type="dxa"/>
          </w:tcPr>
          <w:p w14:paraId="2F1FE8AA" w14:textId="77777777" w:rsidR="000E7FC9" w:rsidRDefault="000E7FC9" w:rsidP="00B322A7">
            <w:pPr>
              <w:pStyle w:val="NormalWeb"/>
              <w:tabs>
                <w:tab w:val="right" w:leader="dot" w:pos="4620"/>
              </w:tabs>
              <w:spacing w:before="0" w:beforeAutospacing="0" w:after="0" w:afterAutospacing="0"/>
              <w:ind w:left="240" w:hanging="240"/>
              <w:jc w:val="right"/>
              <w:rPr>
                <w:sz w:val="18"/>
                <w:szCs w:val="18"/>
              </w:rPr>
            </w:pPr>
            <w:r>
              <w:rPr>
                <w:sz w:val="18"/>
                <w:szCs w:val="18"/>
              </w:rPr>
              <w:t>Financial expense- Own</w:t>
            </w:r>
            <w:r>
              <w:rPr>
                <w:sz w:val="18"/>
                <w:szCs w:val="18"/>
              </w:rPr>
              <w:tab/>
            </w:r>
          </w:p>
        </w:tc>
        <w:tc>
          <w:tcPr>
            <w:tcW w:w="1268" w:type="dxa"/>
            <w:shd w:val="clear" w:color="auto" w:fill="auto"/>
            <w:noWrap/>
            <w:tcMar>
              <w:top w:w="0" w:type="dxa"/>
              <w:left w:w="144" w:type="dxa"/>
              <w:bottom w:w="0" w:type="dxa"/>
              <w:right w:w="0" w:type="dxa"/>
            </w:tcMar>
            <w:vAlign w:val="center"/>
          </w:tcPr>
          <w:p w14:paraId="762D8138"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4AC33BC7" w14:textId="77777777" w:rsidR="000E7FC9" w:rsidRDefault="000E7FC9" w:rsidP="00B322A7">
            <w:pPr>
              <w:ind w:right="83"/>
              <w:jc w:val="right"/>
              <w:rPr>
                <w:sz w:val="20"/>
                <w:lang w:val="en-GB" w:eastAsia="en-GB"/>
              </w:rPr>
            </w:pPr>
          </w:p>
        </w:tc>
        <w:tc>
          <w:tcPr>
            <w:tcW w:w="1742" w:type="dxa"/>
            <w:shd w:val="clear" w:color="auto" w:fill="auto"/>
            <w:vAlign w:val="center"/>
          </w:tcPr>
          <w:p w14:paraId="3ED913A4"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28D345F5" w14:textId="77777777" w:rsidR="000E7FC9" w:rsidRDefault="000E7FC9" w:rsidP="00B322A7">
            <w:pPr>
              <w:ind w:right="83"/>
              <w:jc w:val="right"/>
              <w:rPr>
                <w:color w:val="000000"/>
                <w:sz w:val="18"/>
                <w:szCs w:val="18"/>
                <w:lang w:val="en-GB" w:eastAsia="en-GB"/>
              </w:rPr>
            </w:pPr>
            <w:r>
              <w:rPr>
                <w:color w:val="000000"/>
                <w:sz w:val="18"/>
                <w:szCs w:val="18"/>
                <w:lang w:val="en-GB" w:eastAsia="en-GB"/>
              </w:rPr>
              <w:t>(8,255)</w:t>
            </w:r>
          </w:p>
        </w:tc>
      </w:tr>
      <w:tr w:rsidR="000E7FC9" w14:paraId="2C01C107" w14:textId="77777777" w:rsidTr="00B322A7">
        <w:trPr>
          <w:cantSplit/>
          <w:jc w:val="center"/>
        </w:trPr>
        <w:tc>
          <w:tcPr>
            <w:tcW w:w="3721" w:type="dxa"/>
          </w:tcPr>
          <w:p w14:paraId="58D3FEFD"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Financial expense - JV</w:t>
            </w:r>
            <w:r>
              <w:rPr>
                <w:sz w:val="18"/>
                <w:szCs w:val="18"/>
              </w:rPr>
              <w:tab/>
            </w:r>
          </w:p>
        </w:tc>
        <w:tc>
          <w:tcPr>
            <w:tcW w:w="1268" w:type="dxa"/>
            <w:shd w:val="clear" w:color="auto" w:fill="auto"/>
            <w:noWrap/>
            <w:tcMar>
              <w:top w:w="0" w:type="dxa"/>
              <w:left w:w="144" w:type="dxa"/>
              <w:bottom w:w="0" w:type="dxa"/>
              <w:right w:w="0" w:type="dxa"/>
            </w:tcMar>
            <w:vAlign w:val="center"/>
          </w:tcPr>
          <w:p w14:paraId="57EA028E"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4770E8D6" w14:textId="77777777" w:rsidR="000E7FC9" w:rsidRDefault="000E7FC9" w:rsidP="00B322A7">
            <w:pPr>
              <w:ind w:right="83"/>
              <w:jc w:val="right"/>
              <w:rPr>
                <w:sz w:val="20"/>
                <w:lang w:val="en-GB" w:eastAsia="en-GB"/>
              </w:rPr>
            </w:pPr>
          </w:p>
        </w:tc>
        <w:tc>
          <w:tcPr>
            <w:tcW w:w="1742" w:type="dxa"/>
            <w:shd w:val="clear" w:color="auto" w:fill="auto"/>
            <w:vAlign w:val="center"/>
          </w:tcPr>
          <w:p w14:paraId="51A13F1F"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31FF58E3"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1,101 </w:t>
            </w:r>
          </w:p>
        </w:tc>
      </w:tr>
      <w:tr w:rsidR="000E7FC9" w14:paraId="69A129FF" w14:textId="77777777" w:rsidTr="00B322A7">
        <w:trPr>
          <w:cantSplit/>
          <w:jc w:val="center"/>
        </w:trPr>
        <w:tc>
          <w:tcPr>
            <w:tcW w:w="3721" w:type="dxa"/>
          </w:tcPr>
          <w:p w14:paraId="5A56E4BC"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Financial income - JV</w:t>
            </w:r>
            <w:r>
              <w:rPr>
                <w:sz w:val="18"/>
                <w:szCs w:val="18"/>
              </w:rPr>
              <w:tab/>
            </w:r>
          </w:p>
        </w:tc>
        <w:tc>
          <w:tcPr>
            <w:tcW w:w="1268" w:type="dxa"/>
            <w:shd w:val="clear" w:color="auto" w:fill="auto"/>
            <w:noWrap/>
            <w:tcMar>
              <w:top w:w="0" w:type="dxa"/>
              <w:left w:w="144" w:type="dxa"/>
              <w:bottom w:w="0" w:type="dxa"/>
              <w:right w:w="0" w:type="dxa"/>
            </w:tcMar>
            <w:vAlign w:val="center"/>
          </w:tcPr>
          <w:p w14:paraId="5291ED2B"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4344618A" w14:textId="77777777" w:rsidR="000E7FC9" w:rsidRDefault="000E7FC9" w:rsidP="00B322A7">
            <w:pPr>
              <w:ind w:right="83"/>
              <w:jc w:val="right"/>
              <w:rPr>
                <w:sz w:val="20"/>
                <w:lang w:val="en-GB" w:eastAsia="en-GB"/>
              </w:rPr>
            </w:pPr>
          </w:p>
        </w:tc>
        <w:tc>
          <w:tcPr>
            <w:tcW w:w="1742" w:type="dxa"/>
            <w:shd w:val="clear" w:color="auto" w:fill="auto"/>
            <w:vAlign w:val="center"/>
          </w:tcPr>
          <w:p w14:paraId="315EB995"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1A0269CA" w14:textId="77777777" w:rsidR="000E7FC9" w:rsidRDefault="000E7FC9" w:rsidP="00B322A7">
            <w:pPr>
              <w:ind w:right="83"/>
              <w:jc w:val="right"/>
              <w:rPr>
                <w:color w:val="000000"/>
                <w:sz w:val="18"/>
                <w:szCs w:val="18"/>
                <w:lang w:val="en-GB" w:eastAsia="en-GB"/>
              </w:rPr>
            </w:pPr>
            <w:r>
              <w:rPr>
                <w:color w:val="000000"/>
                <w:sz w:val="18"/>
                <w:szCs w:val="18"/>
                <w:lang w:val="en-GB" w:eastAsia="en-GB"/>
              </w:rPr>
              <w:t>(2,229)</w:t>
            </w:r>
          </w:p>
        </w:tc>
      </w:tr>
      <w:tr w:rsidR="000E7FC9" w14:paraId="1B3F4BC1" w14:textId="77777777" w:rsidTr="00B322A7">
        <w:trPr>
          <w:cantSplit/>
          <w:jc w:val="center"/>
        </w:trPr>
        <w:tc>
          <w:tcPr>
            <w:tcW w:w="3721" w:type="dxa"/>
            <w:hideMark/>
          </w:tcPr>
          <w:p w14:paraId="66D4FDA4"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PBT</w:t>
            </w:r>
            <w:r>
              <w:rPr>
                <w:b/>
                <w:bCs/>
                <w:sz w:val="18"/>
                <w:szCs w:val="18"/>
              </w:rPr>
              <w:tab/>
            </w:r>
          </w:p>
        </w:tc>
        <w:tc>
          <w:tcPr>
            <w:tcW w:w="1268" w:type="dxa"/>
            <w:shd w:val="clear" w:color="auto" w:fill="auto"/>
            <w:noWrap/>
            <w:tcMar>
              <w:top w:w="0" w:type="dxa"/>
              <w:left w:w="144" w:type="dxa"/>
              <w:bottom w:w="0" w:type="dxa"/>
              <w:right w:w="0" w:type="dxa"/>
            </w:tcMar>
            <w:vAlign w:val="center"/>
            <w:hideMark/>
          </w:tcPr>
          <w:p w14:paraId="14136CE6"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hideMark/>
          </w:tcPr>
          <w:p w14:paraId="484571BF" w14:textId="77777777" w:rsidR="000E7FC9" w:rsidRDefault="000E7FC9" w:rsidP="00B322A7">
            <w:pPr>
              <w:ind w:right="83"/>
              <w:jc w:val="right"/>
              <w:rPr>
                <w:sz w:val="20"/>
                <w:lang w:val="en-GB" w:eastAsia="en-GB"/>
              </w:rPr>
            </w:pPr>
          </w:p>
        </w:tc>
        <w:tc>
          <w:tcPr>
            <w:tcW w:w="1742" w:type="dxa"/>
            <w:shd w:val="clear" w:color="auto" w:fill="auto"/>
            <w:vAlign w:val="center"/>
          </w:tcPr>
          <w:p w14:paraId="2B297D16"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hideMark/>
          </w:tcPr>
          <w:p w14:paraId="71B08084"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51,000 </w:t>
            </w:r>
          </w:p>
        </w:tc>
      </w:tr>
      <w:tr w:rsidR="000E7FC9" w14:paraId="78B3DE8B" w14:textId="77777777" w:rsidTr="00B322A7">
        <w:trPr>
          <w:cantSplit/>
          <w:jc w:val="center"/>
        </w:trPr>
        <w:tc>
          <w:tcPr>
            <w:tcW w:w="3721" w:type="dxa"/>
          </w:tcPr>
          <w:p w14:paraId="6649F212"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Current income taxes - Own</w:t>
            </w:r>
            <w:r>
              <w:rPr>
                <w:sz w:val="18"/>
                <w:szCs w:val="18"/>
              </w:rPr>
              <w:tab/>
            </w:r>
          </w:p>
        </w:tc>
        <w:tc>
          <w:tcPr>
            <w:tcW w:w="1268" w:type="dxa"/>
            <w:shd w:val="clear" w:color="auto" w:fill="auto"/>
            <w:noWrap/>
            <w:tcMar>
              <w:top w:w="0" w:type="dxa"/>
              <w:left w:w="144" w:type="dxa"/>
              <w:bottom w:w="0" w:type="dxa"/>
              <w:right w:w="0" w:type="dxa"/>
            </w:tcMar>
            <w:vAlign w:val="center"/>
          </w:tcPr>
          <w:p w14:paraId="3DD876E7" w14:textId="77777777" w:rsidR="000E7FC9" w:rsidRDefault="000E7FC9" w:rsidP="00B322A7">
            <w:pPr>
              <w:ind w:right="83"/>
              <w:jc w:val="right"/>
              <w:rPr>
                <w:b/>
                <w:bCs/>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34565802" w14:textId="77777777" w:rsidR="000E7FC9" w:rsidRDefault="000E7FC9" w:rsidP="00B322A7">
            <w:pPr>
              <w:ind w:right="83"/>
              <w:jc w:val="right"/>
              <w:rPr>
                <w:sz w:val="20"/>
                <w:lang w:val="en-GB" w:eastAsia="en-GB"/>
              </w:rPr>
            </w:pPr>
          </w:p>
        </w:tc>
        <w:tc>
          <w:tcPr>
            <w:tcW w:w="1742" w:type="dxa"/>
            <w:shd w:val="clear" w:color="auto" w:fill="auto"/>
            <w:vAlign w:val="center"/>
          </w:tcPr>
          <w:p w14:paraId="6F7B0144"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5CEC84EA" w14:textId="77777777" w:rsidR="000E7FC9" w:rsidRDefault="000E7FC9" w:rsidP="00B322A7">
            <w:pPr>
              <w:ind w:right="83"/>
              <w:jc w:val="right"/>
              <w:rPr>
                <w:color w:val="000000"/>
                <w:sz w:val="18"/>
                <w:szCs w:val="18"/>
                <w:lang w:val="en-GB" w:eastAsia="en-GB"/>
              </w:rPr>
            </w:pPr>
            <w:r>
              <w:rPr>
                <w:color w:val="000000"/>
                <w:sz w:val="18"/>
                <w:szCs w:val="18"/>
                <w:lang w:val="en-GB" w:eastAsia="en-GB"/>
              </w:rPr>
              <w:t>(259)</w:t>
            </w:r>
          </w:p>
        </w:tc>
      </w:tr>
      <w:tr w:rsidR="000E7FC9" w14:paraId="6E1FC98E" w14:textId="77777777" w:rsidTr="00B322A7">
        <w:trPr>
          <w:cantSplit/>
          <w:jc w:val="center"/>
        </w:trPr>
        <w:tc>
          <w:tcPr>
            <w:tcW w:w="3721" w:type="dxa"/>
          </w:tcPr>
          <w:p w14:paraId="276D7D06" w14:textId="77777777" w:rsidR="000E7FC9" w:rsidRDefault="000E7FC9" w:rsidP="00B322A7">
            <w:pPr>
              <w:pStyle w:val="NormalWeb"/>
              <w:tabs>
                <w:tab w:val="right" w:leader="dot" w:pos="4620"/>
              </w:tabs>
              <w:spacing w:before="0" w:beforeAutospacing="0" w:after="0" w:afterAutospacing="0"/>
              <w:ind w:left="240" w:hanging="240"/>
              <w:jc w:val="right"/>
              <w:rPr>
                <w:sz w:val="18"/>
                <w:szCs w:val="18"/>
              </w:rPr>
            </w:pPr>
            <w:r>
              <w:rPr>
                <w:sz w:val="18"/>
                <w:szCs w:val="18"/>
              </w:rPr>
              <w:t>Current income taxes - JV</w:t>
            </w:r>
            <w:r>
              <w:rPr>
                <w:sz w:val="18"/>
                <w:szCs w:val="18"/>
              </w:rPr>
              <w:tab/>
            </w:r>
          </w:p>
        </w:tc>
        <w:tc>
          <w:tcPr>
            <w:tcW w:w="1268" w:type="dxa"/>
            <w:shd w:val="clear" w:color="auto" w:fill="auto"/>
            <w:noWrap/>
            <w:tcMar>
              <w:top w:w="0" w:type="dxa"/>
              <w:left w:w="144" w:type="dxa"/>
              <w:bottom w:w="0" w:type="dxa"/>
              <w:right w:w="0" w:type="dxa"/>
            </w:tcMar>
            <w:vAlign w:val="center"/>
          </w:tcPr>
          <w:p w14:paraId="2E6212D7"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tcPr>
          <w:p w14:paraId="03799CC6" w14:textId="77777777" w:rsidR="000E7FC9" w:rsidRDefault="000E7FC9" w:rsidP="00B322A7">
            <w:pPr>
              <w:ind w:right="83"/>
              <w:jc w:val="center"/>
              <w:rPr>
                <w:sz w:val="20"/>
                <w:lang w:val="en-GB" w:eastAsia="en-GB"/>
              </w:rPr>
            </w:pPr>
          </w:p>
        </w:tc>
        <w:tc>
          <w:tcPr>
            <w:tcW w:w="1742" w:type="dxa"/>
            <w:shd w:val="clear" w:color="auto" w:fill="auto"/>
          </w:tcPr>
          <w:p w14:paraId="6B800329" w14:textId="77777777" w:rsidR="000E7FC9" w:rsidRDefault="000E7FC9" w:rsidP="00B322A7">
            <w:pPr>
              <w:ind w:right="83"/>
              <w:rPr>
                <w:sz w:val="20"/>
                <w:lang w:val="en-GB" w:eastAsia="en-GB"/>
              </w:rPr>
            </w:pPr>
          </w:p>
        </w:tc>
        <w:tc>
          <w:tcPr>
            <w:tcW w:w="1136" w:type="dxa"/>
            <w:shd w:val="clear" w:color="auto" w:fill="auto"/>
            <w:noWrap/>
            <w:tcMar>
              <w:top w:w="0" w:type="dxa"/>
              <w:left w:w="144" w:type="dxa"/>
              <w:bottom w:w="0" w:type="dxa"/>
              <w:right w:w="0" w:type="dxa"/>
            </w:tcMar>
            <w:vAlign w:val="center"/>
          </w:tcPr>
          <w:p w14:paraId="290634AE" w14:textId="77777777" w:rsidR="000E7FC9" w:rsidRDefault="000E7FC9" w:rsidP="00B322A7">
            <w:pPr>
              <w:ind w:right="83"/>
              <w:jc w:val="right"/>
              <w:rPr>
                <w:color w:val="000000"/>
                <w:sz w:val="18"/>
                <w:szCs w:val="18"/>
                <w:lang w:val="en-GB" w:eastAsia="en-GB"/>
              </w:rPr>
            </w:pPr>
            <w:r>
              <w:rPr>
                <w:color w:val="000000"/>
                <w:sz w:val="18"/>
                <w:szCs w:val="18"/>
                <w:lang w:val="en-GB" w:eastAsia="en-GB"/>
              </w:rPr>
              <w:t>(57)</w:t>
            </w:r>
          </w:p>
        </w:tc>
      </w:tr>
      <w:tr w:rsidR="000E7FC9" w14:paraId="1440558A" w14:textId="77777777" w:rsidTr="00B322A7">
        <w:trPr>
          <w:cantSplit/>
          <w:jc w:val="center"/>
        </w:trPr>
        <w:tc>
          <w:tcPr>
            <w:tcW w:w="3721" w:type="dxa"/>
            <w:hideMark/>
          </w:tcPr>
          <w:p w14:paraId="54843E53"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Recurrent net income</w:t>
            </w:r>
            <w:r>
              <w:rPr>
                <w:b/>
                <w:bCs/>
                <w:sz w:val="18"/>
                <w:szCs w:val="18"/>
              </w:rPr>
              <w:tab/>
            </w:r>
          </w:p>
        </w:tc>
        <w:tc>
          <w:tcPr>
            <w:tcW w:w="1268" w:type="dxa"/>
            <w:shd w:val="clear" w:color="auto" w:fill="auto"/>
            <w:noWrap/>
            <w:tcMar>
              <w:top w:w="0" w:type="dxa"/>
              <w:left w:w="144" w:type="dxa"/>
              <w:bottom w:w="0" w:type="dxa"/>
              <w:right w:w="0" w:type="dxa"/>
            </w:tcMar>
            <w:vAlign w:val="center"/>
            <w:hideMark/>
          </w:tcPr>
          <w:p w14:paraId="7057EC29"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hideMark/>
          </w:tcPr>
          <w:p w14:paraId="780BE451" w14:textId="77777777" w:rsidR="000E7FC9" w:rsidRDefault="000E7FC9" w:rsidP="00B322A7">
            <w:pPr>
              <w:ind w:right="83"/>
              <w:jc w:val="right"/>
              <w:rPr>
                <w:sz w:val="20"/>
                <w:lang w:val="en-GB" w:eastAsia="en-GB"/>
              </w:rPr>
            </w:pPr>
          </w:p>
        </w:tc>
        <w:tc>
          <w:tcPr>
            <w:tcW w:w="1742" w:type="dxa"/>
            <w:shd w:val="clear" w:color="auto" w:fill="auto"/>
            <w:vAlign w:val="center"/>
          </w:tcPr>
          <w:p w14:paraId="7B42E857"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hideMark/>
          </w:tcPr>
          <w:p w14:paraId="50D8479E"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50,685 </w:t>
            </w:r>
          </w:p>
        </w:tc>
      </w:tr>
      <w:tr w:rsidR="000E7FC9" w14:paraId="249FA36F" w14:textId="77777777" w:rsidTr="00B322A7">
        <w:trPr>
          <w:cantSplit/>
          <w:jc w:val="center"/>
        </w:trPr>
        <w:tc>
          <w:tcPr>
            <w:tcW w:w="3721" w:type="dxa"/>
          </w:tcPr>
          <w:p w14:paraId="031E3A25"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Net valuation gains / (losses) Romania, Estonia, Latvia and Spain</w:t>
            </w:r>
            <w:r>
              <w:rPr>
                <w:sz w:val="18"/>
                <w:szCs w:val="18"/>
              </w:rPr>
              <w:tab/>
            </w:r>
          </w:p>
        </w:tc>
        <w:tc>
          <w:tcPr>
            <w:tcW w:w="1268" w:type="dxa"/>
            <w:shd w:val="clear" w:color="auto" w:fill="auto"/>
            <w:noWrap/>
            <w:tcMar>
              <w:top w:w="0" w:type="dxa"/>
              <w:left w:w="144" w:type="dxa"/>
              <w:bottom w:w="0" w:type="dxa"/>
              <w:right w:w="0" w:type="dxa"/>
            </w:tcMar>
            <w:vAlign w:val="center"/>
          </w:tcPr>
          <w:p w14:paraId="39A95AF5" w14:textId="77777777" w:rsidR="000E7FC9" w:rsidRDefault="000E7FC9" w:rsidP="00B322A7">
            <w:pPr>
              <w:ind w:right="83"/>
              <w:jc w:val="right"/>
              <w:rPr>
                <w:b/>
                <w:bCs/>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311347B8" w14:textId="77777777" w:rsidR="000E7FC9" w:rsidRDefault="000E7FC9" w:rsidP="00B322A7">
            <w:pPr>
              <w:ind w:right="83"/>
              <w:jc w:val="right"/>
              <w:rPr>
                <w:sz w:val="20"/>
                <w:lang w:val="en-GB" w:eastAsia="en-GB"/>
              </w:rPr>
            </w:pPr>
          </w:p>
        </w:tc>
        <w:tc>
          <w:tcPr>
            <w:tcW w:w="1742" w:type="dxa"/>
            <w:shd w:val="clear" w:color="auto" w:fill="auto"/>
            <w:vAlign w:val="center"/>
          </w:tcPr>
          <w:p w14:paraId="4BB318BD"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30C8DBA9"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10,989 </w:t>
            </w:r>
          </w:p>
        </w:tc>
      </w:tr>
      <w:tr w:rsidR="000E7FC9" w14:paraId="7FB4B70D" w14:textId="77777777" w:rsidTr="00B322A7">
        <w:trPr>
          <w:cantSplit/>
          <w:jc w:val="center"/>
        </w:trPr>
        <w:tc>
          <w:tcPr>
            <w:tcW w:w="3721" w:type="dxa"/>
          </w:tcPr>
          <w:p w14:paraId="1B4DA647" w14:textId="77777777" w:rsidR="000E7FC9" w:rsidRDefault="000E7FC9" w:rsidP="00B322A7">
            <w:pPr>
              <w:pStyle w:val="NormalWeb"/>
              <w:tabs>
                <w:tab w:val="right" w:leader="dot" w:pos="4620"/>
              </w:tabs>
              <w:spacing w:before="0" w:beforeAutospacing="0" w:after="0" w:afterAutospacing="0"/>
              <w:ind w:left="240" w:hanging="240"/>
              <w:jc w:val="right"/>
              <w:rPr>
                <w:sz w:val="18"/>
                <w:szCs w:val="18"/>
              </w:rPr>
            </w:pPr>
            <w:r>
              <w:rPr>
                <w:sz w:val="18"/>
                <w:szCs w:val="18"/>
              </w:rPr>
              <w:t>Net valuation gains / (losses) JV (at share)</w:t>
            </w:r>
            <w:r>
              <w:rPr>
                <w:sz w:val="18"/>
                <w:szCs w:val="18"/>
              </w:rPr>
              <w:tab/>
            </w:r>
          </w:p>
        </w:tc>
        <w:tc>
          <w:tcPr>
            <w:tcW w:w="1268" w:type="dxa"/>
            <w:shd w:val="clear" w:color="auto" w:fill="auto"/>
            <w:noWrap/>
            <w:tcMar>
              <w:top w:w="0" w:type="dxa"/>
              <w:left w:w="144" w:type="dxa"/>
              <w:bottom w:w="0" w:type="dxa"/>
              <w:right w:w="0" w:type="dxa"/>
            </w:tcMar>
            <w:vAlign w:val="center"/>
          </w:tcPr>
          <w:p w14:paraId="0CF0BA2D"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0A2315A9" w14:textId="77777777" w:rsidR="000E7FC9" w:rsidRDefault="000E7FC9" w:rsidP="00B322A7">
            <w:pPr>
              <w:ind w:right="83"/>
              <w:jc w:val="right"/>
              <w:rPr>
                <w:sz w:val="20"/>
                <w:lang w:val="en-GB" w:eastAsia="en-GB"/>
              </w:rPr>
            </w:pPr>
          </w:p>
        </w:tc>
        <w:tc>
          <w:tcPr>
            <w:tcW w:w="1742" w:type="dxa"/>
            <w:shd w:val="clear" w:color="auto" w:fill="auto"/>
            <w:vAlign w:val="center"/>
          </w:tcPr>
          <w:p w14:paraId="7F02A88B"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2408C686"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13,809 </w:t>
            </w:r>
          </w:p>
        </w:tc>
      </w:tr>
      <w:tr w:rsidR="000E7FC9" w14:paraId="4D7C02BE" w14:textId="77777777" w:rsidTr="00B322A7">
        <w:trPr>
          <w:cantSplit/>
          <w:jc w:val="center"/>
        </w:trPr>
        <w:tc>
          <w:tcPr>
            <w:tcW w:w="3721" w:type="dxa"/>
          </w:tcPr>
          <w:p w14:paraId="52DF6CA6"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non-current financial income</w:t>
            </w:r>
            <w:r>
              <w:rPr>
                <w:sz w:val="18"/>
                <w:szCs w:val="18"/>
              </w:rPr>
              <w:tab/>
            </w:r>
          </w:p>
        </w:tc>
        <w:tc>
          <w:tcPr>
            <w:tcW w:w="1268" w:type="dxa"/>
            <w:shd w:val="clear" w:color="auto" w:fill="auto"/>
            <w:noWrap/>
            <w:tcMar>
              <w:top w:w="0" w:type="dxa"/>
              <w:left w:w="144" w:type="dxa"/>
              <w:bottom w:w="0" w:type="dxa"/>
              <w:right w:w="0" w:type="dxa"/>
            </w:tcMar>
            <w:vAlign w:val="center"/>
          </w:tcPr>
          <w:p w14:paraId="6058111E"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2D958C8F" w14:textId="77777777" w:rsidR="000E7FC9" w:rsidRDefault="000E7FC9" w:rsidP="00B322A7">
            <w:pPr>
              <w:ind w:right="83"/>
              <w:jc w:val="right"/>
              <w:rPr>
                <w:sz w:val="20"/>
                <w:lang w:val="en-GB" w:eastAsia="en-GB"/>
              </w:rPr>
            </w:pPr>
          </w:p>
        </w:tc>
        <w:tc>
          <w:tcPr>
            <w:tcW w:w="1742" w:type="dxa"/>
            <w:shd w:val="clear" w:color="auto" w:fill="auto"/>
            <w:vAlign w:val="center"/>
          </w:tcPr>
          <w:p w14:paraId="5D3E0990"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3001BB52"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2,074 </w:t>
            </w:r>
          </w:p>
        </w:tc>
      </w:tr>
      <w:tr w:rsidR="000E7FC9" w14:paraId="188C6919" w14:textId="77777777" w:rsidTr="00B322A7">
        <w:trPr>
          <w:cantSplit/>
          <w:jc w:val="center"/>
        </w:trPr>
        <w:tc>
          <w:tcPr>
            <w:tcW w:w="3721" w:type="dxa"/>
          </w:tcPr>
          <w:p w14:paraId="29821794"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non-current financial expenses</w:t>
            </w:r>
            <w:r>
              <w:rPr>
                <w:sz w:val="18"/>
                <w:szCs w:val="18"/>
              </w:rPr>
              <w:tab/>
            </w:r>
          </w:p>
        </w:tc>
        <w:tc>
          <w:tcPr>
            <w:tcW w:w="1268" w:type="dxa"/>
            <w:shd w:val="clear" w:color="auto" w:fill="auto"/>
            <w:noWrap/>
            <w:tcMar>
              <w:top w:w="0" w:type="dxa"/>
              <w:left w:w="144" w:type="dxa"/>
              <w:bottom w:w="0" w:type="dxa"/>
              <w:right w:w="0" w:type="dxa"/>
            </w:tcMar>
            <w:vAlign w:val="center"/>
          </w:tcPr>
          <w:p w14:paraId="7ECF5976"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73A7F5C1" w14:textId="77777777" w:rsidR="000E7FC9" w:rsidRDefault="000E7FC9" w:rsidP="00B322A7">
            <w:pPr>
              <w:ind w:right="83"/>
              <w:jc w:val="right"/>
              <w:rPr>
                <w:sz w:val="20"/>
                <w:lang w:val="en-GB" w:eastAsia="en-GB"/>
              </w:rPr>
            </w:pPr>
          </w:p>
        </w:tc>
        <w:tc>
          <w:tcPr>
            <w:tcW w:w="1742" w:type="dxa"/>
            <w:shd w:val="clear" w:color="auto" w:fill="auto"/>
            <w:vAlign w:val="center"/>
          </w:tcPr>
          <w:p w14:paraId="0D8BF0EA"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4CA607F7" w14:textId="77777777" w:rsidR="000E7FC9" w:rsidRDefault="000E7FC9" w:rsidP="00B322A7">
            <w:pPr>
              <w:ind w:right="83"/>
              <w:jc w:val="right"/>
              <w:rPr>
                <w:color w:val="000000"/>
                <w:sz w:val="18"/>
                <w:szCs w:val="18"/>
                <w:lang w:val="en-GB" w:eastAsia="en-GB"/>
              </w:rPr>
            </w:pPr>
            <w:r>
              <w:rPr>
                <w:color w:val="000000"/>
                <w:sz w:val="18"/>
                <w:szCs w:val="18"/>
                <w:lang w:val="en-GB" w:eastAsia="en-GB"/>
              </w:rPr>
              <w:t>(929)</w:t>
            </w:r>
          </w:p>
        </w:tc>
      </w:tr>
      <w:tr w:rsidR="000E7FC9" w14:paraId="2FEB1F96" w14:textId="77777777" w:rsidTr="00B322A7">
        <w:trPr>
          <w:cantSplit/>
          <w:jc w:val="center"/>
        </w:trPr>
        <w:tc>
          <w:tcPr>
            <w:tcW w:w="3721" w:type="dxa"/>
          </w:tcPr>
          <w:p w14:paraId="5DA899CE"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non-current financial expenses JV (at share)</w:t>
            </w:r>
            <w:r>
              <w:rPr>
                <w:sz w:val="18"/>
                <w:szCs w:val="18"/>
              </w:rPr>
              <w:tab/>
            </w:r>
          </w:p>
        </w:tc>
        <w:tc>
          <w:tcPr>
            <w:tcW w:w="1268" w:type="dxa"/>
            <w:shd w:val="clear" w:color="auto" w:fill="auto"/>
            <w:noWrap/>
            <w:tcMar>
              <w:top w:w="0" w:type="dxa"/>
              <w:left w:w="144" w:type="dxa"/>
              <w:bottom w:w="0" w:type="dxa"/>
              <w:right w:w="0" w:type="dxa"/>
            </w:tcMar>
            <w:vAlign w:val="center"/>
          </w:tcPr>
          <w:p w14:paraId="282156BE"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220987E0" w14:textId="77777777" w:rsidR="000E7FC9" w:rsidRDefault="000E7FC9" w:rsidP="00B322A7">
            <w:pPr>
              <w:ind w:right="83"/>
              <w:jc w:val="right"/>
              <w:rPr>
                <w:sz w:val="20"/>
                <w:lang w:val="en-GB" w:eastAsia="en-GB"/>
              </w:rPr>
            </w:pPr>
          </w:p>
        </w:tc>
        <w:tc>
          <w:tcPr>
            <w:tcW w:w="1742" w:type="dxa"/>
            <w:shd w:val="clear" w:color="auto" w:fill="auto"/>
            <w:vAlign w:val="center"/>
          </w:tcPr>
          <w:p w14:paraId="62AE4F79"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542BD083" w14:textId="77777777" w:rsidR="000E7FC9" w:rsidRDefault="000E7FC9" w:rsidP="00B322A7">
            <w:pPr>
              <w:ind w:right="83"/>
              <w:jc w:val="right"/>
              <w:rPr>
                <w:color w:val="000000"/>
                <w:sz w:val="18"/>
                <w:szCs w:val="18"/>
                <w:lang w:val="en-GB" w:eastAsia="en-GB"/>
              </w:rPr>
            </w:pPr>
            <w:r>
              <w:rPr>
                <w:color w:val="000000"/>
                <w:sz w:val="18"/>
                <w:szCs w:val="18"/>
                <w:lang w:val="en-GB" w:eastAsia="en-GB"/>
              </w:rPr>
              <w:t>(913)</w:t>
            </w:r>
          </w:p>
        </w:tc>
      </w:tr>
      <w:tr w:rsidR="000E7FC9" w14:paraId="40046F89" w14:textId="77777777" w:rsidTr="00B322A7">
        <w:trPr>
          <w:cantSplit/>
          <w:jc w:val="center"/>
        </w:trPr>
        <w:tc>
          <w:tcPr>
            <w:tcW w:w="3721" w:type="dxa"/>
          </w:tcPr>
          <w:p w14:paraId="6A2789D8"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Deferred taxes - Own</w:t>
            </w:r>
            <w:r>
              <w:rPr>
                <w:sz w:val="18"/>
                <w:szCs w:val="18"/>
              </w:rPr>
              <w:tab/>
            </w:r>
          </w:p>
        </w:tc>
        <w:tc>
          <w:tcPr>
            <w:tcW w:w="1268" w:type="dxa"/>
            <w:shd w:val="clear" w:color="auto" w:fill="auto"/>
            <w:noWrap/>
            <w:tcMar>
              <w:top w:w="0" w:type="dxa"/>
              <w:left w:w="144" w:type="dxa"/>
              <w:bottom w:w="0" w:type="dxa"/>
              <w:right w:w="0" w:type="dxa"/>
            </w:tcMar>
            <w:vAlign w:val="center"/>
          </w:tcPr>
          <w:p w14:paraId="09E000D5"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718CAB4A" w14:textId="77777777" w:rsidR="000E7FC9" w:rsidRDefault="000E7FC9" w:rsidP="00B322A7">
            <w:pPr>
              <w:ind w:right="83"/>
              <w:jc w:val="right"/>
              <w:rPr>
                <w:sz w:val="20"/>
                <w:lang w:val="en-GB" w:eastAsia="en-GB"/>
              </w:rPr>
            </w:pPr>
          </w:p>
        </w:tc>
        <w:tc>
          <w:tcPr>
            <w:tcW w:w="1742" w:type="dxa"/>
            <w:shd w:val="clear" w:color="auto" w:fill="auto"/>
            <w:vAlign w:val="center"/>
          </w:tcPr>
          <w:p w14:paraId="3C9433C3"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1C929FAD" w14:textId="77777777" w:rsidR="000E7FC9" w:rsidRDefault="000E7FC9" w:rsidP="00B322A7">
            <w:pPr>
              <w:ind w:right="83"/>
              <w:jc w:val="right"/>
              <w:rPr>
                <w:color w:val="000000"/>
                <w:sz w:val="18"/>
                <w:szCs w:val="18"/>
                <w:lang w:val="en-GB" w:eastAsia="en-GB"/>
              </w:rPr>
            </w:pPr>
            <w:r>
              <w:rPr>
                <w:color w:val="000000"/>
                <w:sz w:val="18"/>
                <w:szCs w:val="18"/>
                <w:lang w:val="en-GB" w:eastAsia="en-GB"/>
              </w:rPr>
              <w:t>(9,984)</w:t>
            </w:r>
          </w:p>
        </w:tc>
      </w:tr>
      <w:tr w:rsidR="000E7FC9" w14:paraId="19498488" w14:textId="77777777" w:rsidTr="00B322A7">
        <w:trPr>
          <w:cantSplit/>
          <w:jc w:val="center"/>
        </w:trPr>
        <w:tc>
          <w:tcPr>
            <w:tcW w:w="3721" w:type="dxa"/>
          </w:tcPr>
          <w:p w14:paraId="0537C3BF"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Deferred taxes - JV</w:t>
            </w:r>
            <w:r>
              <w:rPr>
                <w:sz w:val="18"/>
                <w:szCs w:val="18"/>
              </w:rPr>
              <w:tab/>
            </w:r>
          </w:p>
        </w:tc>
        <w:tc>
          <w:tcPr>
            <w:tcW w:w="1268" w:type="dxa"/>
            <w:shd w:val="clear" w:color="auto" w:fill="auto"/>
            <w:noWrap/>
            <w:tcMar>
              <w:top w:w="0" w:type="dxa"/>
              <w:left w:w="144" w:type="dxa"/>
              <w:bottom w:w="0" w:type="dxa"/>
              <w:right w:w="0" w:type="dxa"/>
            </w:tcMar>
            <w:vAlign w:val="center"/>
          </w:tcPr>
          <w:p w14:paraId="475D3C38"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5EDC1545" w14:textId="77777777" w:rsidR="000E7FC9" w:rsidRDefault="000E7FC9" w:rsidP="00B322A7">
            <w:pPr>
              <w:ind w:right="83"/>
              <w:jc w:val="right"/>
              <w:rPr>
                <w:sz w:val="20"/>
                <w:lang w:val="en-GB" w:eastAsia="en-GB"/>
              </w:rPr>
            </w:pPr>
          </w:p>
        </w:tc>
        <w:tc>
          <w:tcPr>
            <w:tcW w:w="1742" w:type="dxa"/>
            <w:shd w:val="clear" w:color="auto" w:fill="auto"/>
            <w:vAlign w:val="center"/>
          </w:tcPr>
          <w:p w14:paraId="3C28EB9B"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08E37699" w14:textId="77777777" w:rsidR="000E7FC9" w:rsidRDefault="000E7FC9" w:rsidP="00B322A7">
            <w:pPr>
              <w:ind w:right="83"/>
              <w:jc w:val="right"/>
              <w:rPr>
                <w:color w:val="000000"/>
                <w:sz w:val="18"/>
                <w:szCs w:val="18"/>
                <w:lang w:val="en-GB" w:eastAsia="en-GB"/>
              </w:rPr>
            </w:pPr>
            <w:r>
              <w:rPr>
                <w:color w:val="000000"/>
                <w:sz w:val="18"/>
                <w:szCs w:val="18"/>
                <w:lang w:val="en-GB" w:eastAsia="en-GB"/>
              </w:rPr>
              <w:t>(3,273)</w:t>
            </w:r>
          </w:p>
        </w:tc>
      </w:tr>
      <w:tr w:rsidR="000E7FC9" w14:paraId="5938D5E0" w14:textId="77777777" w:rsidTr="00B322A7">
        <w:trPr>
          <w:cantSplit/>
          <w:jc w:val="center"/>
        </w:trPr>
        <w:tc>
          <w:tcPr>
            <w:tcW w:w="3721" w:type="dxa"/>
            <w:hideMark/>
          </w:tcPr>
          <w:p w14:paraId="346E0AAE"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Reported profit for the period</w:t>
            </w:r>
            <w:r>
              <w:rPr>
                <w:b/>
                <w:bCs/>
                <w:sz w:val="18"/>
                <w:szCs w:val="18"/>
              </w:rPr>
              <w:tab/>
            </w:r>
          </w:p>
        </w:tc>
        <w:tc>
          <w:tcPr>
            <w:tcW w:w="1268" w:type="dxa"/>
            <w:shd w:val="clear" w:color="auto" w:fill="auto"/>
            <w:noWrap/>
            <w:tcMar>
              <w:top w:w="0" w:type="dxa"/>
              <w:left w:w="144" w:type="dxa"/>
              <w:bottom w:w="0" w:type="dxa"/>
              <w:right w:w="0" w:type="dxa"/>
            </w:tcMar>
            <w:vAlign w:val="center"/>
            <w:hideMark/>
          </w:tcPr>
          <w:p w14:paraId="7C9C94AB" w14:textId="77777777" w:rsidR="000E7FC9" w:rsidRDefault="000E7FC9" w:rsidP="00B322A7">
            <w:pPr>
              <w:ind w:right="83"/>
              <w:jc w:val="right"/>
              <w:rPr>
                <w:sz w:val="20"/>
                <w:lang w:val="en-GB" w:eastAsia="en-GB"/>
              </w:rPr>
            </w:pPr>
          </w:p>
        </w:tc>
        <w:tc>
          <w:tcPr>
            <w:tcW w:w="1494" w:type="dxa"/>
            <w:shd w:val="clear" w:color="auto" w:fill="auto"/>
            <w:noWrap/>
            <w:tcMar>
              <w:top w:w="0" w:type="dxa"/>
              <w:left w:w="144" w:type="dxa"/>
              <w:bottom w:w="0" w:type="dxa"/>
              <w:right w:w="0" w:type="dxa"/>
            </w:tcMar>
            <w:vAlign w:val="center"/>
            <w:hideMark/>
          </w:tcPr>
          <w:p w14:paraId="1E004DB3" w14:textId="77777777" w:rsidR="000E7FC9" w:rsidRDefault="000E7FC9" w:rsidP="00B322A7">
            <w:pPr>
              <w:ind w:right="83"/>
              <w:jc w:val="right"/>
              <w:rPr>
                <w:sz w:val="20"/>
                <w:lang w:val="en-GB" w:eastAsia="en-GB"/>
              </w:rPr>
            </w:pPr>
          </w:p>
        </w:tc>
        <w:tc>
          <w:tcPr>
            <w:tcW w:w="1742" w:type="dxa"/>
            <w:shd w:val="clear" w:color="auto" w:fill="auto"/>
            <w:vAlign w:val="center"/>
          </w:tcPr>
          <w:p w14:paraId="0CB17CF5"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hideMark/>
          </w:tcPr>
          <w:p w14:paraId="10138DEF"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62,457 </w:t>
            </w:r>
          </w:p>
        </w:tc>
      </w:tr>
    </w:tbl>
    <w:p w14:paraId="5B8AB428" w14:textId="26BD1892" w:rsidR="000E7FC9" w:rsidRDefault="000E7FC9" w:rsidP="000E7FC9">
      <w:pPr>
        <w:pStyle w:val="VulcanIIbody"/>
        <w:ind w:firstLine="0"/>
      </w:pPr>
    </w:p>
    <w:tbl>
      <w:tblPr>
        <w:tblW w:w="479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716"/>
        <w:gridCol w:w="1266"/>
        <w:gridCol w:w="1492"/>
        <w:gridCol w:w="1740"/>
        <w:gridCol w:w="1135"/>
      </w:tblGrid>
      <w:tr w:rsidR="000E7FC9" w14:paraId="600ACE2B" w14:textId="77777777" w:rsidTr="00B322A7">
        <w:trPr>
          <w:cantSplit/>
          <w:jc w:val="center"/>
        </w:trPr>
        <w:tc>
          <w:tcPr>
            <w:tcW w:w="3721" w:type="dxa"/>
          </w:tcPr>
          <w:p w14:paraId="698EB62C" w14:textId="77777777" w:rsidR="000E7FC9" w:rsidRDefault="000E7FC9" w:rsidP="00B322A7">
            <w:pPr>
              <w:pStyle w:val="NormalWeb"/>
              <w:keepNext/>
              <w:tabs>
                <w:tab w:val="right" w:leader="dot" w:pos="4620"/>
              </w:tabs>
              <w:spacing w:before="0" w:beforeAutospacing="0" w:after="0" w:afterAutospacing="0"/>
              <w:ind w:left="240" w:hanging="240"/>
              <w:rPr>
                <w:i/>
                <w:sz w:val="18"/>
                <w:szCs w:val="18"/>
              </w:rPr>
            </w:pPr>
            <w:r>
              <w:rPr>
                <w:i/>
                <w:sz w:val="18"/>
                <w:szCs w:val="18"/>
              </w:rPr>
              <w:t>In thousands of €</w:t>
            </w:r>
          </w:p>
        </w:tc>
        <w:tc>
          <w:tcPr>
            <w:tcW w:w="5640" w:type="dxa"/>
            <w:gridSpan w:val="4"/>
            <w:noWrap/>
            <w:tcMar>
              <w:top w:w="0" w:type="dxa"/>
              <w:left w:w="144" w:type="dxa"/>
              <w:bottom w:w="0" w:type="dxa"/>
              <w:right w:w="0" w:type="dxa"/>
            </w:tcMar>
          </w:tcPr>
          <w:p w14:paraId="22EFAE9F" w14:textId="5284DCFE" w:rsidR="000E7FC9" w:rsidRDefault="000E7FC9" w:rsidP="00B322A7">
            <w:pPr>
              <w:jc w:val="center"/>
              <w:rPr>
                <w:b/>
                <w:sz w:val="18"/>
                <w:szCs w:val="18"/>
              </w:rPr>
            </w:pPr>
            <w:r>
              <w:rPr>
                <w:b/>
                <w:bCs/>
                <w:sz w:val="16"/>
                <w:szCs w:val="16"/>
              </w:rPr>
              <w:t>For the year ended 31-Dec-</w:t>
            </w:r>
            <w:r>
              <w:rPr>
                <w:b/>
                <w:sz w:val="16"/>
                <w:szCs w:val="16"/>
              </w:rPr>
              <w:t>2016</w:t>
            </w:r>
          </w:p>
        </w:tc>
      </w:tr>
      <w:tr w:rsidR="000E7FC9" w14:paraId="13AF1E1A" w14:textId="77777777" w:rsidTr="00B322A7">
        <w:trPr>
          <w:cantSplit/>
          <w:jc w:val="center"/>
        </w:trPr>
        <w:tc>
          <w:tcPr>
            <w:tcW w:w="3721" w:type="dxa"/>
          </w:tcPr>
          <w:p w14:paraId="1994419B" w14:textId="77777777" w:rsidR="000E7FC9" w:rsidRDefault="000E7FC9" w:rsidP="00B322A7">
            <w:pPr>
              <w:pStyle w:val="NormalWeb"/>
              <w:keepNext/>
              <w:tabs>
                <w:tab w:val="right" w:leader="dot" w:pos="4620"/>
              </w:tabs>
              <w:spacing w:before="0" w:beforeAutospacing="0" w:after="0" w:afterAutospacing="0"/>
              <w:ind w:left="240" w:hanging="240"/>
              <w:jc w:val="right"/>
              <w:rPr>
                <w:sz w:val="18"/>
                <w:szCs w:val="18"/>
              </w:rPr>
            </w:pPr>
          </w:p>
        </w:tc>
        <w:tc>
          <w:tcPr>
            <w:tcW w:w="1268" w:type="dxa"/>
            <w:noWrap/>
            <w:tcMar>
              <w:top w:w="0" w:type="dxa"/>
              <w:left w:w="144" w:type="dxa"/>
              <w:bottom w:w="0" w:type="dxa"/>
              <w:right w:w="0" w:type="dxa"/>
            </w:tcMar>
            <w:vAlign w:val="bottom"/>
          </w:tcPr>
          <w:p w14:paraId="67A5A60E" w14:textId="77777777" w:rsidR="000E7FC9" w:rsidRDefault="000E7FC9" w:rsidP="00B322A7">
            <w:pPr>
              <w:ind w:right="185"/>
              <w:jc w:val="right"/>
              <w:rPr>
                <w:b/>
                <w:bCs/>
                <w:color w:val="000000"/>
                <w:sz w:val="18"/>
                <w:szCs w:val="18"/>
                <w:u w:val="single"/>
                <w:lang w:val="en-GB" w:eastAsia="en-GB"/>
              </w:rPr>
            </w:pPr>
            <w:r>
              <w:rPr>
                <w:b/>
                <w:bCs/>
                <w:color w:val="000000"/>
                <w:sz w:val="18"/>
                <w:szCs w:val="18"/>
                <w:u w:val="single"/>
                <w:lang w:val="en-GB" w:eastAsia="en-GB"/>
              </w:rPr>
              <w:t>Rent</w:t>
            </w:r>
          </w:p>
          <w:p w14:paraId="58E0639E" w14:textId="77777777" w:rsidR="000E7FC9" w:rsidRDefault="000E7FC9" w:rsidP="00B322A7">
            <w:pPr>
              <w:ind w:right="185"/>
              <w:jc w:val="right"/>
              <w:rPr>
                <w:b/>
                <w:bCs/>
                <w:color w:val="000000"/>
                <w:sz w:val="18"/>
                <w:szCs w:val="18"/>
                <w:u w:val="single"/>
                <w:lang w:val="en-GB" w:eastAsia="en-GB"/>
              </w:rPr>
            </w:pPr>
            <w:r>
              <w:rPr>
                <w:b/>
                <w:bCs/>
                <w:color w:val="000000"/>
                <w:sz w:val="18"/>
                <w:szCs w:val="18"/>
                <w:u w:val="single"/>
                <w:lang w:val="en-GB" w:eastAsia="en-GB"/>
              </w:rPr>
              <w:t>EBITDA</w:t>
            </w:r>
          </w:p>
        </w:tc>
        <w:tc>
          <w:tcPr>
            <w:tcW w:w="1494" w:type="dxa"/>
            <w:noWrap/>
            <w:tcMar>
              <w:top w:w="0" w:type="dxa"/>
              <w:left w:w="144" w:type="dxa"/>
              <w:bottom w:w="0" w:type="dxa"/>
              <w:right w:w="0" w:type="dxa"/>
            </w:tcMar>
            <w:vAlign w:val="bottom"/>
          </w:tcPr>
          <w:p w14:paraId="335A79E5" w14:textId="77777777" w:rsidR="000E7FC9" w:rsidRDefault="000E7FC9" w:rsidP="00B322A7">
            <w:pPr>
              <w:ind w:right="185"/>
              <w:jc w:val="right"/>
              <w:rPr>
                <w:b/>
                <w:bCs/>
                <w:color w:val="000000"/>
                <w:sz w:val="18"/>
                <w:szCs w:val="18"/>
                <w:u w:val="single"/>
                <w:lang w:val="en-GB" w:eastAsia="en-GB"/>
              </w:rPr>
            </w:pPr>
            <w:r>
              <w:rPr>
                <w:b/>
                <w:bCs/>
                <w:color w:val="000000"/>
                <w:sz w:val="18"/>
                <w:szCs w:val="18"/>
                <w:u w:val="single"/>
                <w:lang w:val="en-GB" w:eastAsia="en-GB"/>
              </w:rPr>
              <w:t>Development</w:t>
            </w:r>
          </w:p>
          <w:p w14:paraId="31030356" w14:textId="77777777" w:rsidR="000E7FC9" w:rsidRDefault="000E7FC9" w:rsidP="00B322A7">
            <w:pPr>
              <w:ind w:right="185"/>
              <w:jc w:val="right"/>
              <w:rPr>
                <w:b/>
                <w:bCs/>
                <w:color w:val="000000"/>
                <w:sz w:val="18"/>
                <w:szCs w:val="18"/>
                <w:u w:val="single"/>
                <w:lang w:val="en-GB" w:eastAsia="en-GB"/>
              </w:rPr>
            </w:pPr>
            <w:r>
              <w:rPr>
                <w:b/>
                <w:bCs/>
                <w:color w:val="000000"/>
                <w:sz w:val="18"/>
                <w:szCs w:val="18"/>
                <w:u w:val="single"/>
                <w:lang w:val="en-GB" w:eastAsia="en-GB"/>
              </w:rPr>
              <w:t>EBITDA</w:t>
            </w:r>
          </w:p>
        </w:tc>
        <w:tc>
          <w:tcPr>
            <w:tcW w:w="1742" w:type="dxa"/>
            <w:vAlign w:val="bottom"/>
          </w:tcPr>
          <w:p w14:paraId="5BA3B61C" w14:textId="77777777" w:rsidR="000E7FC9" w:rsidRDefault="000E7FC9" w:rsidP="00B322A7">
            <w:pPr>
              <w:ind w:right="185"/>
              <w:jc w:val="right"/>
              <w:rPr>
                <w:b/>
                <w:bCs/>
                <w:color w:val="000000"/>
                <w:sz w:val="18"/>
                <w:szCs w:val="18"/>
                <w:u w:val="single"/>
                <w:lang w:val="en-GB" w:eastAsia="en-GB"/>
              </w:rPr>
            </w:pPr>
            <w:r>
              <w:rPr>
                <w:b/>
                <w:bCs/>
                <w:color w:val="000000"/>
                <w:sz w:val="18"/>
                <w:szCs w:val="18"/>
                <w:u w:val="single"/>
                <w:lang w:val="en-GB" w:eastAsia="en-GB"/>
              </w:rPr>
              <w:t>Property and asset management EBITDA</w:t>
            </w:r>
          </w:p>
        </w:tc>
        <w:tc>
          <w:tcPr>
            <w:tcW w:w="1136" w:type="dxa"/>
            <w:noWrap/>
            <w:tcMar>
              <w:top w:w="0" w:type="dxa"/>
              <w:left w:w="144" w:type="dxa"/>
              <w:bottom w:w="0" w:type="dxa"/>
              <w:right w:w="0" w:type="dxa"/>
            </w:tcMar>
            <w:vAlign w:val="bottom"/>
          </w:tcPr>
          <w:p w14:paraId="328E2F08" w14:textId="77777777" w:rsidR="000E7FC9" w:rsidRDefault="000E7FC9" w:rsidP="00B322A7">
            <w:pPr>
              <w:ind w:right="185"/>
              <w:jc w:val="right"/>
              <w:rPr>
                <w:b/>
                <w:bCs/>
                <w:color w:val="000000"/>
                <w:sz w:val="18"/>
                <w:szCs w:val="18"/>
                <w:u w:val="single"/>
                <w:lang w:val="en-GB" w:eastAsia="en-GB"/>
              </w:rPr>
            </w:pPr>
            <w:r>
              <w:rPr>
                <w:b/>
                <w:bCs/>
                <w:color w:val="000000"/>
                <w:sz w:val="18"/>
                <w:szCs w:val="18"/>
                <w:u w:val="single"/>
                <w:lang w:val="en-GB" w:eastAsia="en-GB"/>
              </w:rPr>
              <w:t>Total</w:t>
            </w:r>
          </w:p>
        </w:tc>
      </w:tr>
      <w:tr w:rsidR="000E7FC9" w14:paraId="002ACE81" w14:textId="77777777" w:rsidTr="00B322A7">
        <w:trPr>
          <w:cantSplit/>
          <w:trHeight w:val="145"/>
          <w:jc w:val="center"/>
        </w:trPr>
        <w:tc>
          <w:tcPr>
            <w:tcW w:w="3721" w:type="dxa"/>
          </w:tcPr>
          <w:p w14:paraId="402276E7" w14:textId="77777777" w:rsidR="000E7FC9" w:rsidRDefault="000E7FC9" w:rsidP="00B322A7">
            <w:pPr>
              <w:pStyle w:val="NormalWeb"/>
              <w:keepNext/>
              <w:tabs>
                <w:tab w:val="right" w:leader="dot" w:pos="4620"/>
              </w:tabs>
              <w:spacing w:before="0" w:beforeAutospacing="0" w:after="0" w:afterAutospacing="0"/>
              <w:ind w:left="240" w:hanging="240"/>
              <w:jc w:val="right"/>
              <w:rPr>
                <w:sz w:val="18"/>
                <w:szCs w:val="18"/>
              </w:rPr>
            </w:pPr>
          </w:p>
        </w:tc>
        <w:tc>
          <w:tcPr>
            <w:tcW w:w="1268" w:type="dxa"/>
            <w:noWrap/>
            <w:tcMar>
              <w:top w:w="0" w:type="dxa"/>
              <w:left w:w="144" w:type="dxa"/>
              <w:bottom w:w="0" w:type="dxa"/>
              <w:right w:w="0" w:type="dxa"/>
            </w:tcMar>
          </w:tcPr>
          <w:p w14:paraId="0538633F" w14:textId="77777777" w:rsidR="000E7FC9" w:rsidRDefault="000E7FC9" w:rsidP="00B322A7">
            <w:pPr>
              <w:pStyle w:val="NormalWeb"/>
              <w:tabs>
                <w:tab w:val="right" w:pos="900"/>
                <w:tab w:val="decimal" w:pos="940"/>
              </w:tabs>
              <w:spacing w:before="0" w:beforeAutospacing="0" w:after="20" w:afterAutospacing="0"/>
              <w:ind w:right="185"/>
              <w:jc w:val="right"/>
              <w:rPr>
                <w:b/>
                <w:sz w:val="18"/>
                <w:szCs w:val="18"/>
              </w:rPr>
            </w:pPr>
          </w:p>
        </w:tc>
        <w:tc>
          <w:tcPr>
            <w:tcW w:w="1494" w:type="dxa"/>
            <w:noWrap/>
            <w:tcMar>
              <w:top w:w="0" w:type="dxa"/>
              <w:left w:w="144" w:type="dxa"/>
              <w:bottom w:w="0" w:type="dxa"/>
              <w:right w:w="0" w:type="dxa"/>
            </w:tcMar>
          </w:tcPr>
          <w:p w14:paraId="5F442DDE" w14:textId="77777777" w:rsidR="000E7FC9" w:rsidRDefault="000E7FC9" w:rsidP="00B322A7">
            <w:pPr>
              <w:pStyle w:val="NormalWeb"/>
              <w:tabs>
                <w:tab w:val="right" w:pos="900"/>
                <w:tab w:val="decimal" w:pos="940"/>
              </w:tabs>
              <w:spacing w:before="0" w:beforeAutospacing="0" w:after="20" w:afterAutospacing="0"/>
              <w:ind w:right="185"/>
              <w:jc w:val="right"/>
              <w:rPr>
                <w:b/>
                <w:sz w:val="18"/>
                <w:szCs w:val="18"/>
              </w:rPr>
            </w:pPr>
          </w:p>
        </w:tc>
        <w:tc>
          <w:tcPr>
            <w:tcW w:w="1742" w:type="dxa"/>
          </w:tcPr>
          <w:p w14:paraId="55A09083" w14:textId="77777777" w:rsidR="000E7FC9" w:rsidRDefault="000E7FC9" w:rsidP="00B322A7">
            <w:pPr>
              <w:pStyle w:val="NormalWeb"/>
              <w:tabs>
                <w:tab w:val="right" w:pos="900"/>
                <w:tab w:val="decimal" w:pos="940"/>
              </w:tabs>
              <w:spacing w:before="0" w:beforeAutospacing="0" w:after="20" w:afterAutospacing="0"/>
              <w:ind w:right="185"/>
              <w:jc w:val="right"/>
              <w:rPr>
                <w:b/>
                <w:sz w:val="18"/>
                <w:szCs w:val="18"/>
              </w:rPr>
            </w:pPr>
          </w:p>
        </w:tc>
        <w:tc>
          <w:tcPr>
            <w:tcW w:w="1136" w:type="dxa"/>
            <w:noWrap/>
            <w:tcMar>
              <w:top w:w="0" w:type="dxa"/>
              <w:left w:w="144" w:type="dxa"/>
              <w:bottom w:w="0" w:type="dxa"/>
              <w:right w:w="0" w:type="dxa"/>
            </w:tcMar>
          </w:tcPr>
          <w:p w14:paraId="0BD4DCE4" w14:textId="77777777" w:rsidR="000E7FC9" w:rsidRDefault="000E7FC9" w:rsidP="00B322A7">
            <w:pPr>
              <w:pStyle w:val="NormalWeb"/>
              <w:tabs>
                <w:tab w:val="right" w:pos="900"/>
                <w:tab w:val="decimal" w:pos="940"/>
              </w:tabs>
              <w:spacing w:before="0" w:beforeAutospacing="0" w:after="20" w:afterAutospacing="0"/>
              <w:ind w:right="185"/>
              <w:jc w:val="right"/>
              <w:rPr>
                <w:b/>
                <w:sz w:val="18"/>
                <w:szCs w:val="18"/>
              </w:rPr>
            </w:pPr>
          </w:p>
        </w:tc>
      </w:tr>
      <w:tr w:rsidR="000E7FC9" w14:paraId="5D2833DA" w14:textId="77777777" w:rsidTr="00B322A7">
        <w:trPr>
          <w:cantSplit/>
          <w:jc w:val="center"/>
        </w:trPr>
        <w:tc>
          <w:tcPr>
            <w:tcW w:w="3721" w:type="dxa"/>
            <w:hideMark/>
          </w:tcPr>
          <w:p w14:paraId="0540DCC5" w14:textId="77777777" w:rsidR="000E7FC9" w:rsidRDefault="000E7FC9" w:rsidP="00B322A7">
            <w:pPr>
              <w:pStyle w:val="NormalWeb"/>
              <w:keepNext/>
              <w:tabs>
                <w:tab w:val="right" w:leader="dot" w:pos="4620"/>
              </w:tabs>
              <w:spacing w:before="0" w:beforeAutospacing="0" w:after="0" w:afterAutospacing="0"/>
              <w:ind w:left="240" w:hanging="240"/>
              <w:jc w:val="right"/>
              <w:rPr>
                <w:rFonts w:eastAsiaTheme="minorEastAsia"/>
                <w:sz w:val="18"/>
                <w:szCs w:val="18"/>
              </w:rPr>
            </w:pPr>
            <w:r>
              <w:rPr>
                <w:sz w:val="18"/>
                <w:szCs w:val="18"/>
              </w:rPr>
              <w:t>Revenue</w:t>
            </w:r>
            <w:r>
              <w:rPr>
                <w:sz w:val="18"/>
                <w:szCs w:val="18"/>
              </w:rPr>
              <w:tab/>
            </w:r>
          </w:p>
        </w:tc>
        <w:tc>
          <w:tcPr>
            <w:tcW w:w="1268" w:type="dxa"/>
            <w:shd w:val="clear" w:color="auto" w:fill="auto"/>
            <w:noWrap/>
            <w:tcMar>
              <w:top w:w="0" w:type="dxa"/>
              <w:left w:w="144" w:type="dxa"/>
              <w:bottom w:w="0" w:type="dxa"/>
              <w:right w:w="0" w:type="dxa"/>
            </w:tcMar>
            <w:vAlign w:val="center"/>
          </w:tcPr>
          <w:p w14:paraId="246223FF" w14:textId="77777777" w:rsidR="000E7FC9" w:rsidRDefault="000E7FC9" w:rsidP="00B322A7">
            <w:pPr>
              <w:ind w:right="83"/>
              <w:jc w:val="right"/>
              <w:rPr>
                <w:sz w:val="20"/>
                <w:szCs w:val="24"/>
                <w:lang w:val="en-GB" w:eastAsia="en-GB"/>
              </w:rPr>
            </w:pPr>
            <w:r>
              <w:rPr>
                <w:sz w:val="20"/>
                <w:szCs w:val="24"/>
                <w:lang w:val="en-GB" w:eastAsia="en-GB"/>
              </w:rPr>
              <w:t>-</w:t>
            </w:r>
          </w:p>
        </w:tc>
        <w:tc>
          <w:tcPr>
            <w:tcW w:w="1494" w:type="dxa"/>
            <w:shd w:val="clear" w:color="auto" w:fill="auto"/>
            <w:noWrap/>
            <w:tcMar>
              <w:top w:w="0" w:type="dxa"/>
              <w:left w:w="144" w:type="dxa"/>
              <w:bottom w:w="0" w:type="dxa"/>
              <w:right w:w="0" w:type="dxa"/>
            </w:tcMar>
            <w:vAlign w:val="center"/>
          </w:tcPr>
          <w:p w14:paraId="640BB8D9" w14:textId="77777777" w:rsidR="000E7FC9" w:rsidRDefault="000E7FC9" w:rsidP="00B322A7">
            <w:pPr>
              <w:ind w:right="83"/>
              <w:jc w:val="right"/>
              <w:rPr>
                <w:sz w:val="20"/>
                <w:lang w:val="en-GB" w:eastAsia="en-GB"/>
              </w:rPr>
            </w:pPr>
            <w:r>
              <w:rPr>
                <w:sz w:val="20"/>
                <w:lang w:val="en-GB" w:eastAsia="en-GB"/>
              </w:rPr>
              <w:t>-</w:t>
            </w:r>
          </w:p>
        </w:tc>
        <w:tc>
          <w:tcPr>
            <w:tcW w:w="1742" w:type="dxa"/>
            <w:shd w:val="clear" w:color="auto" w:fill="auto"/>
            <w:vAlign w:val="center"/>
          </w:tcPr>
          <w:p w14:paraId="30BF543B" w14:textId="77777777" w:rsidR="000E7FC9" w:rsidRDefault="000E7FC9" w:rsidP="00B322A7">
            <w:pPr>
              <w:ind w:right="83"/>
              <w:jc w:val="right"/>
              <w:rPr>
                <w:sz w:val="20"/>
                <w:lang w:val="en-GB" w:eastAsia="en-GB"/>
              </w:rPr>
            </w:pPr>
            <w:r>
              <w:rPr>
                <w:sz w:val="20"/>
                <w:lang w:val="en-GB" w:eastAsia="en-GB"/>
              </w:rPr>
              <w:t>-</w:t>
            </w:r>
          </w:p>
        </w:tc>
        <w:tc>
          <w:tcPr>
            <w:tcW w:w="1136" w:type="dxa"/>
            <w:shd w:val="clear" w:color="auto" w:fill="auto"/>
            <w:noWrap/>
            <w:tcMar>
              <w:top w:w="0" w:type="dxa"/>
              <w:left w:w="144" w:type="dxa"/>
              <w:bottom w:w="0" w:type="dxa"/>
              <w:right w:w="0" w:type="dxa"/>
            </w:tcMar>
            <w:vAlign w:val="center"/>
            <w:hideMark/>
          </w:tcPr>
          <w:p w14:paraId="370F331A"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24,739 </w:t>
            </w:r>
          </w:p>
        </w:tc>
      </w:tr>
      <w:tr w:rsidR="000E7FC9" w14:paraId="67D98F60" w14:textId="77777777" w:rsidTr="00B322A7">
        <w:trPr>
          <w:cantSplit/>
          <w:jc w:val="center"/>
        </w:trPr>
        <w:tc>
          <w:tcPr>
            <w:tcW w:w="3721" w:type="dxa"/>
            <w:hideMark/>
          </w:tcPr>
          <w:p w14:paraId="6A5A1001" w14:textId="77777777" w:rsidR="000E7FC9" w:rsidRDefault="000E7FC9" w:rsidP="00B322A7">
            <w:pPr>
              <w:pStyle w:val="NormalWeb"/>
              <w:keepNext/>
              <w:tabs>
                <w:tab w:val="right" w:leader="dot" w:pos="4620"/>
              </w:tabs>
              <w:spacing w:before="0" w:beforeAutospacing="0" w:after="0" w:afterAutospacing="0"/>
              <w:ind w:left="240" w:hanging="240"/>
              <w:jc w:val="right"/>
              <w:rPr>
                <w:rFonts w:eastAsiaTheme="minorEastAsia"/>
                <w:sz w:val="18"/>
                <w:szCs w:val="18"/>
              </w:rPr>
            </w:pPr>
            <w:r>
              <w:rPr>
                <w:sz w:val="18"/>
                <w:szCs w:val="18"/>
              </w:rPr>
              <w:t>Gross rental income</w:t>
            </w:r>
            <w:r>
              <w:rPr>
                <w:sz w:val="18"/>
                <w:szCs w:val="18"/>
              </w:rPr>
              <w:tab/>
            </w:r>
          </w:p>
        </w:tc>
        <w:tc>
          <w:tcPr>
            <w:tcW w:w="1268" w:type="dxa"/>
            <w:shd w:val="clear" w:color="auto" w:fill="auto"/>
            <w:noWrap/>
            <w:tcMar>
              <w:top w:w="0" w:type="dxa"/>
              <w:left w:w="144" w:type="dxa"/>
              <w:bottom w:w="0" w:type="dxa"/>
              <w:right w:w="0" w:type="dxa"/>
            </w:tcMar>
            <w:vAlign w:val="center"/>
            <w:hideMark/>
          </w:tcPr>
          <w:p w14:paraId="1C24E017"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16,806 </w:t>
            </w:r>
          </w:p>
        </w:tc>
        <w:tc>
          <w:tcPr>
            <w:tcW w:w="1494" w:type="dxa"/>
            <w:shd w:val="clear" w:color="auto" w:fill="auto"/>
            <w:noWrap/>
            <w:tcMar>
              <w:top w:w="0" w:type="dxa"/>
              <w:left w:w="144" w:type="dxa"/>
              <w:bottom w:w="0" w:type="dxa"/>
              <w:right w:w="0" w:type="dxa"/>
            </w:tcMar>
            <w:vAlign w:val="center"/>
          </w:tcPr>
          <w:p w14:paraId="4DB59125"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2" w:type="dxa"/>
            <w:shd w:val="clear" w:color="auto" w:fill="auto"/>
            <w:vAlign w:val="center"/>
          </w:tcPr>
          <w:p w14:paraId="498E1A86"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136" w:type="dxa"/>
            <w:shd w:val="clear" w:color="auto" w:fill="auto"/>
            <w:noWrap/>
            <w:tcMar>
              <w:top w:w="0" w:type="dxa"/>
              <w:left w:w="144" w:type="dxa"/>
              <w:bottom w:w="0" w:type="dxa"/>
              <w:right w:w="0" w:type="dxa"/>
            </w:tcMar>
            <w:vAlign w:val="center"/>
            <w:hideMark/>
          </w:tcPr>
          <w:p w14:paraId="6B9C579A"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16,806 </w:t>
            </w:r>
          </w:p>
        </w:tc>
      </w:tr>
      <w:tr w:rsidR="000E7FC9" w14:paraId="632A045F" w14:textId="77777777" w:rsidTr="00B322A7">
        <w:trPr>
          <w:cantSplit/>
          <w:jc w:val="center"/>
        </w:trPr>
        <w:tc>
          <w:tcPr>
            <w:tcW w:w="3721" w:type="dxa"/>
            <w:hideMark/>
          </w:tcPr>
          <w:p w14:paraId="205E4D63"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Service charge income</w:t>
            </w:r>
            <w:r>
              <w:rPr>
                <w:sz w:val="18"/>
                <w:szCs w:val="18"/>
              </w:rPr>
              <w:tab/>
            </w:r>
          </w:p>
        </w:tc>
        <w:tc>
          <w:tcPr>
            <w:tcW w:w="1268" w:type="dxa"/>
            <w:shd w:val="clear" w:color="auto" w:fill="auto"/>
            <w:noWrap/>
            <w:tcMar>
              <w:top w:w="0" w:type="dxa"/>
              <w:left w:w="144" w:type="dxa"/>
              <w:bottom w:w="0" w:type="dxa"/>
              <w:right w:w="0" w:type="dxa"/>
            </w:tcMar>
            <w:vAlign w:val="center"/>
            <w:hideMark/>
          </w:tcPr>
          <w:p w14:paraId="5CCB9DF0"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4,108 </w:t>
            </w:r>
          </w:p>
        </w:tc>
        <w:tc>
          <w:tcPr>
            <w:tcW w:w="1494" w:type="dxa"/>
            <w:shd w:val="clear" w:color="auto" w:fill="auto"/>
            <w:noWrap/>
            <w:tcMar>
              <w:top w:w="0" w:type="dxa"/>
              <w:left w:w="144" w:type="dxa"/>
              <w:bottom w:w="0" w:type="dxa"/>
              <w:right w:w="0" w:type="dxa"/>
            </w:tcMar>
            <w:vAlign w:val="center"/>
          </w:tcPr>
          <w:p w14:paraId="0A76EB43"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2" w:type="dxa"/>
            <w:shd w:val="clear" w:color="auto" w:fill="auto"/>
            <w:vAlign w:val="center"/>
          </w:tcPr>
          <w:p w14:paraId="0F2C3279"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136" w:type="dxa"/>
            <w:shd w:val="clear" w:color="auto" w:fill="auto"/>
            <w:noWrap/>
            <w:tcMar>
              <w:top w:w="0" w:type="dxa"/>
              <w:left w:w="144" w:type="dxa"/>
              <w:bottom w:w="0" w:type="dxa"/>
              <w:right w:w="0" w:type="dxa"/>
            </w:tcMar>
            <w:vAlign w:val="center"/>
            <w:hideMark/>
          </w:tcPr>
          <w:p w14:paraId="2D990A39"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4,108 </w:t>
            </w:r>
          </w:p>
        </w:tc>
      </w:tr>
      <w:tr w:rsidR="000E7FC9" w14:paraId="05A1A784" w14:textId="77777777" w:rsidTr="00B322A7">
        <w:trPr>
          <w:cantSplit/>
          <w:jc w:val="center"/>
        </w:trPr>
        <w:tc>
          <w:tcPr>
            <w:tcW w:w="3721" w:type="dxa"/>
            <w:hideMark/>
          </w:tcPr>
          <w:p w14:paraId="5DF69E48" w14:textId="77777777" w:rsidR="000E7FC9" w:rsidRDefault="000E7FC9" w:rsidP="00B322A7">
            <w:pPr>
              <w:pStyle w:val="NormalWeb"/>
              <w:tabs>
                <w:tab w:val="right" w:leader="dot" w:pos="4620"/>
              </w:tabs>
              <w:spacing w:before="0" w:beforeAutospacing="0" w:after="0" w:afterAutospacing="0"/>
              <w:jc w:val="right"/>
              <w:rPr>
                <w:rFonts w:eastAsiaTheme="minorEastAsia"/>
                <w:sz w:val="18"/>
                <w:szCs w:val="18"/>
              </w:rPr>
            </w:pPr>
            <w:r>
              <w:rPr>
                <w:sz w:val="18"/>
                <w:szCs w:val="18"/>
              </w:rPr>
              <w:t>Service charge expenses</w:t>
            </w:r>
            <w:r>
              <w:rPr>
                <w:sz w:val="18"/>
                <w:szCs w:val="18"/>
              </w:rPr>
              <w:tab/>
            </w:r>
          </w:p>
        </w:tc>
        <w:tc>
          <w:tcPr>
            <w:tcW w:w="1268" w:type="dxa"/>
            <w:shd w:val="clear" w:color="auto" w:fill="auto"/>
            <w:noWrap/>
            <w:tcMar>
              <w:top w:w="0" w:type="dxa"/>
              <w:left w:w="144" w:type="dxa"/>
              <w:bottom w:w="0" w:type="dxa"/>
              <w:right w:w="0" w:type="dxa"/>
            </w:tcMar>
            <w:vAlign w:val="center"/>
            <w:hideMark/>
          </w:tcPr>
          <w:p w14:paraId="59230DF7" w14:textId="77777777" w:rsidR="000E7FC9" w:rsidRDefault="000E7FC9" w:rsidP="00B322A7">
            <w:pPr>
              <w:ind w:right="83"/>
              <w:jc w:val="right"/>
              <w:rPr>
                <w:color w:val="000000"/>
                <w:sz w:val="18"/>
                <w:szCs w:val="18"/>
                <w:lang w:val="en-GB" w:eastAsia="en-GB"/>
              </w:rPr>
            </w:pPr>
            <w:r>
              <w:rPr>
                <w:color w:val="000000"/>
                <w:sz w:val="18"/>
                <w:szCs w:val="18"/>
                <w:lang w:val="en-GB" w:eastAsia="en-GB"/>
              </w:rPr>
              <w:t>(3,073)</w:t>
            </w:r>
          </w:p>
        </w:tc>
        <w:tc>
          <w:tcPr>
            <w:tcW w:w="1494" w:type="dxa"/>
            <w:shd w:val="clear" w:color="auto" w:fill="auto"/>
            <w:noWrap/>
            <w:tcMar>
              <w:top w:w="0" w:type="dxa"/>
              <w:left w:w="144" w:type="dxa"/>
              <w:bottom w:w="0" w:type="dxa"/>
              <w:right w:w="0" w:type="dxa"/>
            </w:tcMar>
            <w:vAlign w:val="center"/>
          </w:tcPr>
          <w:p w14:paraId="30DBA675"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2" w:type="dxa"/>
            <w:shd w:val="clear" w:color="auto" w:fill="auto"/>
            <w:vAlign w:val="center"/>
          </w:tcPr>
          <w:p w14:paraId="758D954A"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136" w:type="dxa"/>
            <w:shd w:val="clear" w:color="auto" w:fill="auto"/>
            <w:noWrap/>
            <w:tcMar>
              <w:top w:w="0" w:type="dxa"/>
              <w:left w:w="144" w:type="dxa"/>
              <w:bottom w:w="0" w:type="dxa"/>
              <w:right w:w="0" w:type="dxa"/>
            </w:tcMar>
            <w:vAlign w:val="center"/>
            <w:hideMark/>
          </w:tcPr>
          <w:p w14:paraId="53A54054" w14:textId="77777777" w:rsidR="000E7FC9" w:rsidRDefault="000E7FC9" w:rsidP="00B322A7">
            <w:pPr>
              <w:ind w:right="83"/>
              <w:jc w:val="right"/>
              <w:rPr>
                <w:color w:val="000000"/>
                <w:sz w:val="18"/>
                <w:szCs w:val="18"/>
                <w:lang w:val="en-GB" w:eastAsia="en-GB"/>
              </w:rPr>
            </w:pPr>
            <w:r>
              <w:rPr>
                <w:color w:val="000000"/>
                <w:sz w:val="18"/>
                <w:szCs w:val="18"/>
                <w:lang w:val="en-GB" w:eastAsia="en-GB"/>
              </w:rPr>
              <w:t>(3,073)</w:t>
            </w:r>
          </w:p>
        </w:tc>
      </w:tr>
      <w:tr w:rsidR="000E7FC9" w14:paraId="7F9D9EE7" w14:textId="77777777" w:rsidTr="00B322A7">
        <w:trPr>
          <w:cantSplit/>
          <w:jc w:val="center"/>
        </w:trPr>
        <w:tc>
          <w:tcPr>
            <w:tcW w:w="3721" w:type="dxa"/>
            <w:hideMark/>
          </w:tcPr>
          <w:p w14:paraId="25A433FE" w14:textId="77777777" w:rsidR="000E7FC9" w:rsidRDefault="000E7FC9" w:rsidP="00B322A7">
            <w:pPr>
              <w:pStyle w:val="NormalWeb"/>
              <w:tabs>
                <w:tab w:val="right" w:leader="dot" w:pos="4620"/>
              </w:tabs>
              <w:spacing w:before="0" w:beforeAutospacing="0" w:after="0" w:afterAutospacing="0"/>
              <w:jc w:val="right"/>
              <w:rPr>
                <w:rFonts w:eastAsiaTheme="minorEastAsia"/>
                <w:sz w:val="18"/>
                <w:szCs w:val="18"/>
              </w:rPr>
            </w:pPr>
            <w:r>
              <w:rPr>
                <w:sz w:val="18"/>
                <w:szCs w:val="18"/>
              </w:rPr>
              <w:t>Property operating expenses</w:t>
            </w:r>
            <w:r>
              <w:rPr>
                <w:sz w:val="18"/>
                <w:szCs w:val="18"/>
              </w:rPr>
              <w:tab/>
            </w:r>
          </w:p>
        </w:tc>
        <w:tc>
          <w:tcPr>
            <w:tcW w:w="1268" w:type="dxa"/>
            <w:shd w:val="clear" w:color="auto" w:fill="auto"/>
            <w:noWrap/>
            <w:tcMar>
              <w:top w:w="0" w:type="dxa"/>
              <w:left w:w="144" w:type="dxa"/>
              <w:bottom w:w="0" w:type="dxa"/>
              <w:right w:w="0" w:type="dxa"/>
            </w:tcMar>
            <w:vAlign w:val="center"/>
            <w:hideMark/>
          </w:tcPr>
          <w:p w14:paraId="276B643A" w14:textId="77777777" w:rsidR="000E7FC9" w:rsidRDefault="000E7FC9" w:rsidP="00B322A7">
            <w:pPr>
              <w:ind w:right="83"/>
              <w:jc w:val="right"/>
              <w:rPr>
                <w:color w:val="000000"/>
                <w:sz w:val="18"/>
                <w:szCs w:val="18"/>
                <w:lang w:val="en-GB" w:eastAsia="en-GB"/>
              </w:rPr>
            </w:pPr>
            <w:r>
              <w:rPr>
                <w:color w:val="000000"/>
                <w:sz w:val="18"/>
                <w:szCs w:val="18"/>
                <w:lang w:val="en-GB" w:eastAsia="en-GB"/>
              </w:rPr>
              <w:t>(170)</w:t>
            </w:r>
          </w:p>
        </w:tc>
        <w:tc>
          <w:tcPr>
            <w:tcW w:w="1494" w:type="dxa"/>
            <w:shd w:val="clear" w:color="auto" w:fill="auto"/>
            <w:noWrap/>
            <w:tcMar>
              <w:top w:w="0" w:type="dxa"/>
              <w:left w:w="144" w:type="dxa"/>
              <w:bottom w:w="0" w:type="dxa"/>
              <w:right w:w="0" w:type="dxa"/>
            </w:tcMar>
            <w:vAlign w:val="center"/>
            <w:hideMark/>
          </w:tcPr>
          <w:p w14:paraId="5DF0CD73" w14:textId="77777777" w:rsidR="000E7FC9" w:rsidRDefault="000E7FC9" w:rsidP="00B322A7">
            <w:pPr>
              <w:ind w:right="83"/>
              <w:jc w:val="right"/>
              <w:rPr>
                <w:color w:val="000000"/>
                <w:sz w:val="18"/>
                <w:szCs w:val="18"/>
                <w:lang w:val="en-GB" w:eastAsia="en-GB"/>
              </w:rPr>
            </w:pPr>
            <w:r>
              <w:rPr>
                <w:color w:val="000000"/>
                <w:sz w:val="18"/>
                <w:szCs w:val="18"/>
                <w:lang w:val="en-GB" w:eastAsia="en-GB"/>
              </w:rPr>
              <w:t>(1,533)</w:t>
            </w:r>
          </w:p>
        </w:tc>
        <w:tc>
          <w:tcPr>
            <w:tcW w:w="1742" w:type="dxa"/>
            <w:shd w:val="clear" w:color="auto" w:fill="auto"/>
            <w:vAlign w:val="center"/>
          </w:tcPr>
          <w:p w14:paraId="7A06A072"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 </w:t>
            </w:r>
          </w:p>
        </w:tc>
        <w:tc>
          <w:tcPr>
            <w:tcW w:w="1136" w:type="dxa"/>
            <w:shd w:val="clear" w:color="auto" w:fill="auto"/>
            <w:noWrap/>
            <w:tcMar>
              <w:top w:w="0" w:type="dxa"/>
              <w:left w:w="144" w:type="dxa"/>
              <w:bottom w:w="0" w:type="dxa"/>
              <w:right w:w="0" w:type="dxa"/>
            </w:tcMar>
            <w:vAlign w:val="center"/>
            <w:hideMark/>
          </w:tcPr>
          <w:p w14:paraId="6B46364A" w14:textId="77777777" w:rsidR="000E7FC9" w:rsidRDefault="000E7FC9" w:rsidP="00B322A7">
            <w:pPr>
              <w:ind w:right="83"/>
              <w:jc w:val="right"/>
              <w:rPr>
                <w:color w:val="000000"/>
                <w:sz w:val="18"/>
                <w:szCs w:val="18"/>
                <w:lang w:val="en-GB" w:eastAsia="en-GB"/>
              </w:rPr>
            </w:pPr>
            <w:r>
              <w:rPr>
                <w:color w:val="000000"/>
                <w:sz w:val="18"/>
                <w:szCs w:val="18"/>
                <w:lang w:val="en-GB" w:eastAsia="en-GB"/>
              </w:rPr>
              <w:t>(1,703)</w:t>
            </w:r>
          </w:p>
        </w:tc>
      </w:tr>
      <w:tr w:rsidR="000E7FC9" w14:paraId="3D62379A" w14:textId="77777777" w:rsidTr="00B322A7">
        <w:trPr>
          <w:cantSplit/>
          <w:jc w:val="center"/>
        </w:trPr>
        <w:tc>
          <w:tcPr>
            <w:tcW w:w="3721" w:type="dxa"/>
            <w:hideMark/>
          </w:tcPr>
          <w:p w14:paraId="5CE60505"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Net rental income</w:t>
            </w:r>
            <w:r>
              <w:rPr>
                <w:b/>
                <w:bCs/>
                <w:sz w:val="18"/>
                <w:szCs w:val="18"/>
              </w:rPr>
              <w:tab/>
            </w:r>
          </w:p>
        </w:tc>
        <w:tc>
          <w:tcPr>
            <w:tcW w:w="1268" w:type="dxa"/>
            <w:shd w:val="clear" w:color="auto" w:fill="auto"/>
            <w:noWrap/>
            <w:tcMar>
              <w:top w:w="0" w:type="dxa"/>
              <w:left w:w="144" w:type="dxa"/>
              <w:bottom w:w="0" w:type="dxa"/>
              <w:right w:w="0" w:type="dxa"/>
            </w:tcMar>
            <w:vAlign w:val="center"/>
            <w:hideMark/>
          </w:tcPr>
          <w:p w14:paraId="7F5B6974"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17,671 </w:t>
            </w:r>
          </w:p>
        </w:tc>
        <w:tc>
          <w:tcPr>
            <w:tcW w:w="1494" w:type="dxa"/>
            <w:shd w:val="clear" w:color="auto" w:fill="auto"/>
            <w:noWrap/>
            <w:tcMar>
              <w:top w:w="0" w:type="dxa"/>
              <w:left w:w="144" w:type="dxa"/>
              <w:bottom w:w="0" w:type="dxa"/>
              <w:right w:w="0" w:type="dxa"/>
            </w:tcMar>
            <w:vAlign w:val="center"/>
            <w:hideMark/>
          </w:tcPr>
          <w:p w14:paraId="70E982C5"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(1,533)</w:t>
            </w:r>
          </w:p>
        </w:tc>
        <w:tc>
          <w:tcPr>
            <w:tcW w:w="1742" w:type="dxa"/>
            <w:shd w:val="clear" w:color="auto" w:fill="auto"/>
            <w:vAlign w:val="center"/>
          </w:tcPr>
          <w:p w14:paraId="494AB4AE"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 </w:t>
            </w:r>
          </w:p>
        </w:tc>
        <w:tc>
          <w:tcPr>
            <w:tcW w:w="1136" w:type="dxa"/>
            <w:shd w:val="clear" w:color="auto" w:fill="auto"/>
            <w:noWrap/>
            <w:tcMar>
              <w:top w:w="0" w:type="dxa"/>
              <w:left w:w="144" w:type="dxa"/>
              <w:bottom w:w="0" w:type="dxa"/>
              <w:right w:w="0" w:type="dxa"/>
            </w:tcMar>
            <w:vAlign w:val="center"/>
            <w:hideMark/>
          </w:tcPr>
          <w:p w14:paraId="52024D74"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16,138 </w:t>
            </w:r>
          </w:p>
        </w:tc>
      </w:tr>
      <w:tr w:rsidR="000E7FC9" w14:paraId="53B36A2A" w14:textId="77777777" w:rsidTr="00B322A7">
        <w:trPr>
          <w:cantSplit/>
          <w:jc w:val="center"/>
        </w:trPr>
        <w:tc>
          <w:tcPr>
            <w:tcW w:w="3721" w:type="dxa"/>
            <w:hideMark/>
          </w:tcPr>
          <w:p w14:paraId="7BFBEE53"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Property and development management income</w:t>
            </w:r>
            <w:r>
              <w:rPr>
                <w:sz w:val="18"/>
                <w:szCs w:val="18"/>
              </w:rPr>
              <w:tab/>
            </w:r>
          </w:p>
        </w:tc>
        <w:tc>
          <w:tcPr>
            <w:tcW w:w="1268" w:type="dxa"/>
            <w:shd w:val="clear" w:color="auto" w:fill="auto"/>
            <w:noWrap/>
            <w:tcMar>
              <w:top w:w="0" w:type="dxa"/>
              <w:left w:w="144" w:type="dxa"/>
              <w:bottom w:w="0" w:type="dxa"/>
              <w:right w:w="0" w:type="dxa"/>
            </w:tcMar>
            <w:vAlign w:val="center"/>
          </w:tcPr>
          <w:p w14:paraId="0AF2EF20"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494" w:type="dxa"/>
            <w:shd w:val="clear" w:color="auto" w:fill="auto"/>
            <w:noWrap/>
            <w:tcMar>
              <w:top w:w="0" w:type="dxa"/>
              <w:left w:w="144" w:type="dxa"/>
              <w:bottom w:w="0" w:type="dxa"/>
              <w:right w:w="0" w:type="dxa"/>
            </w:tcMar>
            <w:vAlign w:val="center"/>
          </w:tcPr>
          <w:p w14:paraId="24CC539A"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2" w:type="dxa"/>
            <w:shd w:val="clear" w:color="auto" w:fill="auto"/>
            <w:vAlign w:val="center"/>
          </w:tcPr>
          <w:p w14:paraId="4DAFFE88"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3,141 </w:t>
            </w:r>
          </w:p>
        </w:tc>
        <w:tc>
          <w:tcPr>
            <w:tcW w:w="1136" w:type="dxa"/>
            <w:shd w:val="clear" w:color="auto" w:fill="auto"/>
            <w:noWrap/>
            <w:tcMar>
              <w:top w:w="0" w:type="dxa"/>
              <w:left w:w="144" w:type="dxa"/>
              <w:bottom w:w="0" w:type="dxa"/>
              <w:right w:w="0" w:type="dxa"/>
            </w:tcMar>
            <w:vAlign w:val="center"/>
            <w:hideMark/>
          </w:tcPr>
          <w:p w14:paraId="73C47B19"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3,141 </w:t>
            </w:r>
          </w:p>
        </w:tc>
      </w:tr>
      <w:tr w:rsidR="000E7FC9" w14:paraId="286BD4E2" w14:textId="77777777" w:rsidTr="00B322A7">
        <w:trPr>
          <w:cantSplit/>
          <w:jc w:val="center"/>
        </w:trPr>
        <w:tc>
          <w:tcPr>
            <w:tcW w:w="3721" w:type="dxa"/>
            <w:hideMark/>
          </w:tcPr>
          <w:p w14:paraId="24FC9F4E"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Facility management income</w:t>
            </w:r>
            <w:r>
              <w:rPr>
                <w:sz w:val="18"/>
                <w:szCs w:val="18"/>
              </w:rPr>
              <w:tab/>
            </w:r>
          </w:p>
        </w:tc>
        <w:tc>
          <w:tcPr>
            <w:tcW w:w="1268" w:type="dxa"/>
            <w:shd w:val="clear" w:color="auto" w:fill="auto"/>
            <w:noWrap/>
            <w:tcMar>
              <w:top w:w="0" w:type="dxa"/>
              <w:left w:w="144" w:type="dxa"/>
              <w:bottom w:w="0" w:type="dxa"/>
              <w:right w:w="0" w:type="dxa"/>
            </w:tcMar>
            <w:vAlign w:val="center"/>
          </w:tcPr>
          <w:p w14:paraId="0A784935"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494" w:type="dxa"/>
            <w:shd w:val="clear" w:color="auto" w:fill="auto"/>
            <w:noWrap/>
            <w:tcMar>
              <w:top w:w="0" w:type="dxa"/>
              <w:left w:w="144" w:type="dxa"/>
              <w:bottom w:w="0" w:type="dxa"/>
              <w:right w:w="0" w:type="dxa"/>
            </w:tcMar>
            <w:vAlign w:val="center"/>
          </w:tcPr>
          <w:p w14:paraId="439D2FE0"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2" w:type="dxa"/>
            <w:shd w:val="clear" w:color="auto" w:fill="auto"/>
            <w:vAlign w:val="center"/>
          </w:tcPr>
          <w:p w14:paraId="00427201"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684 </w:t>
            </w:r>
          </w:p>
        </w:tc>
        <w:tc>
          <w:tcPr>
            <w:tcW w:w="1136" w:type="dxa"/>
            <w:shd w:val="clear" w:color="auto" w:fill="auto"/>
            <w:noWrap/>
            <w:tcMar>
              <w:top w:w="0" w:type="dxa"/>
              <w:left w:w="144" w:type="dxa"/>
              <w:bottom w:w="0" w:type="dxa"/>
              <w:right w:w="0" w:type="dxa"/>
            </w:tcMar>
            <w:vAlign w:val="center"/>
            <w:hideMark/>
          </w:tcPr>
          <w:p w14:paraId="101C4ABC"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684 </w:t>
            </w:r>
          </w:p>
        </w:tc>
      </w:tr>
      <w:tr w:rsidR="000E7FC9" w14:paraId="75940F1E" w14:textId="77777777" w:rsidTr="00B322A7">
        <w:trPr>
          <w:cantSplit/>
          <w:jc w:val="center"/>
        </w:trPr>
        <w:tc>
          <w:tcPr>
            <w:tcW w:w="3721" w:type="dxa"/>
            <w:hideMark/>
          </w:tcPr>
          <w:p w14:paraId="4BD2A7FE" w14:textId="77777777" w:rsidR="000E7FC9" w:rsidRDefault="000E7FC9" w:rsidP="00B322A7">
            <w:pPr>
              <w:pStyle w:val="NormalWeb"/>
              <w:tabs>
                <w:tab w:val="right" w:leader="dot" w:pos="4620"/>
              </w:tabs>
              <w:spacing w:before="0" w:beforeAutospacing="0" w:after="0" w:afterAutospacing="0"/>
              <w:ind w:left="240" w:hanging="240"/>
              <w:rPr>
                <w:rFonts w:eastAsiaTheme="minorEastAsia"/>
                <w:sz w:val="18"/>
                <w:szCs w:val="18"/>
              </w:rPr>
            </w:pPr>
            <w:r>
              <w:rPr>
                <w:sz w:val="18"/>
                <w:szCs w:val="18"/>
              </w:rPr>
              <w:t>Net valuation gains/(losses) on investment properties</w:t>
            </w:r>
            <w:r>
              <w:rPr>
                <w:sz w:val="18"/>
                <w:szCs w:val="18"/>
              </w:rPr>
              <w:tab/>
            </w:r>
          </w:p>
        </w:tc>
        <w:tc>
          <w:tcPr>
            <w:tcW w:w="1268" w:type="dxa"/>
            <w:shd w:val="clear" w:color="auto" w:fill="auto"/>
            <w:noWrap/>
            <w:tcMar>
              <w:top w:w="0" w:type="dxa"/>
              <w:left w:w="144" w:type="dxa"/>
              <w:bottom w:w="0" w:type="dxa"/>
              <w:right w:w="0" w:type="dxa"/>
            </w:tcMar>
            <w:vAlign w:val="center"/>
            <w:hideMark/>
          </w:tcPr>
          <w:p w14:paraId="6B8388AC"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494" w:type="dxa"/>
            <w:shd w:val="clear" w:color="auto" w:fill="auto"/>
            <w:noWrap/>
            <w:tcMar>
              <w:top w:w="0" w:type="dxa"/>
              <w:left w:w="144" w:type="dxa"/>
              <w:bottom w:w="0" w:type="dxa"/>
              <w:right w:w="0" w:type="dxa"/>
            </w:tcMar>
            <w:vAlign w:val="center"/>
            <w:hideMark/>
          </w:tcPr>
          <w:p w14:paraId="301F20AD"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111,123 </w:t>
            </w:r>
          </w:p>
        </w:tc>
        <w:tc>
          <w:tcPr>
            <w:tcW w:w="1742" w:type="dxa"/>
            <w:shd w:val="clear" w:color="auto" w:fill="auto"/>
            <w:vAlign w:val="center"/>
          </w:tcPr>
          <w:p w14:paraId="35355FCB"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136" w:type="dxa"/>
            <w:shd w:val="clear" w:color="auto" w:fill="auto"/>
            <w:noWrap/>
            <w:tcMar>
              <w:top w:w="0" w:type="dxa"/>
              <w:left w:w="144" w:type="dxa"/>
              <w:bottom w:w="0" w:type="dxa"/>
              <w:right w:w="0" w:type="dxa"/>
            </w:tcMar>
            <w:vAlign w:val="center"/>
            <w:hideMark/>
          </w:tcPr>
          <w:p w14:paraId="5BA8CB82"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111,123 </w:t>
            </w:r>
          </w:p>
        </w:tc>
      </w:tr>
      <w:tr w:rsidR="000E7FC9" w14:paraId="351243B6" w14:textId="77777777" w:rsidTr="00B322A7">
        <w:trPr>
          <w:cantSplit/>
          <w:jc w:val="center"/>
        </w:trPr>
        <w:tc>
          <w:tcPr>
            <w:tcW w:w="3721" w:type="dxa"/>
            <w:hideMark/>
          </w:tcPr>
          <w:p w14:paraId="4C14EA62"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Administration expenses</w:t>
            </w:r>
            <w:r>
              <w:rPr>
                <w:sz w:val="18"/>
                <w:szCs w:val="18"/>
              </w:rPr>
              <w:tab/>
            </w:r>
          </w:p>
        </w:tc>
        <w:tc>
          <w:tcPr>
            <w:tcW w:w="1268" w:type="dxa"/>
            <w:shd w:val="clear" w:color="auto" w:fill="auto"/>
            <w:noWrap/>
            <w:tcMar>
              <w:top w:w="0" w:type="dxa"/>
              <w:left w:w="144" w:type="dxa"/>
              <w:bottom w:w="0" w:type="dxa"/>
              <w:right w:w="0" w:type="dxa"/>
            </w:tcMar>
            <w:vAlign w:val="center"/>
            <w:hideMark/>
          </w:tcPr>
          <w:p w14:paraId="59708E70" w14:textId="77777777" w:rsidR="000E7FC9" w:rsidRDefault="000E7FC9" w:rsidP="00B322A7">
            <w:pPr>
              <w:ind w:right="83"/>
              <w:jc w:val="right"/>
              <w:rPr>
                <w:color w:val="000000"/>
                <w:sz w:val="18"/>
                <w:szCs w:val="18"/>
                <w:lang w:val="en-GB" w:eastAsia="en-GB"/>
              </w:rPr>
            </w:pPr>
            <w:r>
              <w:rPr>
                <w:color w:val="000000"/>
                <w:sz w:val="18"/>
                <w:szCs w:val="18"/>
                <w:lang w:val="en-GB" w:eastAsia="en-GB"/>
              </w:rPr>
              <w:t>(279)</w:t>
            </w:r>
          </w:p>
        </w:tc>
        <w:tc>
          <w:tcPr>
            <w:tcW w:w="1494" w:type="dxa"/>
            <w:shd w:val="clear" w:color="auto" w:fill="auto"/>
            <w:noWrap/>
            <w:tcMar>
              <w:top w:w="0" w:type="dxa"/>
              <w:left w:w="144" w:type="dxa"/>
              <w:bottom w:w="0" w:type="dxa"/>
              <w:right w:w="0" w:type="dxa"/>
            </w:tcMar>
            <w:vAlign w:val="center"/>
            <w:hideMark/>
          </w:tcPr>
          <w:p w14:paraId="4E153A8D" w14:textId="77777777" w:rsidR="000E7FC9" w:rsidRDefault="000E7FC9" w:rsidP="00B322A7">
            <w:pPr>
              <w:ind w:right="83"/>
              <w:jc w:val="right"/>
              <w:rPr>
                <w:color w:val="000000"/>
                <w:sz w:val="18"/>
                <w:szCs w:val="18"/>
                <w:lang w:val="en-GB" w:eastAsia="en-GB"/>
              </w:rPr>
            </w:pPr>
            <w:r>
              <w:rPr>
                <w:color w:val="000000"/>
                <w:sz w:val="18"/>
                <w:szCs w:val="18"/>
                <w:lang w:val="en-GB" w:eastAsia="en-GB"/>
              </w:rPr>
              <w:t>(13,069)</w:t>
            </w:r>
          </w:p>
        </w:tc>
        <w:tc>
          <w:tcPr>
            <w:tcW w:w="1742" w:type="dxa"/>
            <w:shd w:val="clear" w:color="auto" w:fill="auto"/>
            <w:vAlign w:val="center"/>
          </w:tcPr>
          <w:p w14:paraId="1F74013A" w14:textId="77777777" w:rsidR="000E7FC9" w:rsidRDefault="000E7FC9" w:rsidP="00B322A7">
            <w:pPr>
              <w:ind w:right="83"/>
              <w:jc w:val="right"/>
              <w:rPr>
                <w:color w:val="000000"/>
                <w:sz w:val="18"/>
                <w:szCs w:val="18"/>
                <w:lang w:val="en-GB" w:eastAsia="en-GB"/>
              </w:rPr>
            </w:pPr>
            <w:r>
              <w:rPr>
                <w:color w:val="000000"/>
                <w:sz w:val="18"/>
                <w:szCs w:val="18"/>
                <w:lang w:val="en-GB" w:eastAsia="en-GB"/>
              </w:rPr>
              <w:t>(1,325)</w:t>
            </w:r>
          </w:p>
        </w:tc>
        <w:tc>
          <w:tcPr>
            <w:tcW w:w="1136" w:type="dxa"/>
            <w:shd w:val="clear" w:color="auto" w:fill="auto"/>
            <w:noWrap/>
            <w:tcMar>
              <w:top w:w="0" w:type="dxa"/>
              <w:left w:w="144" w:type="dxa"/>
              <w:bottom w:w="0" w:type="dxa"/>
              <w:right w:w="0" w:type="dxa"/>
            </w:tcMar>
            <w:vAlign w:val="center"/>
            <w:hideMark/>
          </w:tcPr>
          <w:p w14:paraId="405FC4EB"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(14,673)</w:t>
            </w:r>
          </w:p>
        </w:tc>
      </w:tr>
      <w:tr w:rsidR="000E7FC9" w14:paraId="1249874E" w14:textId="77777777" w:rsidTr="00B322A7">
        <w:trPr>
          <w:cantSplit/>
          <w:jc w:val="center"/>
        </w:trPr>
        <w:tc>
          <w:tcPr>
            <w:tcW w:w="3721" w:type="dxa"/>
            <w:hideMark/>
          </w:tcPr>
          <w:p w14:paraId="18BC7CE1"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income</w:t>
            </w:r>
            <w:r>
              <w:rPr>
                <w:sz w:val="18"/>
                <w:szCs w:val="18"/>
              </w:rPr>
              <w:tab/>
            </w:r>
          </w:p>
        </w:tc>
        <w:tc>
          <w:tcPr>
            <w:tcW w:w="1268" w:type="dxa"/>
            <w:shd w:val="clear" w:color="auto" w:fill="auto"/>
            <w:noWrap/>
            <w:tcMar>
              <w:top w:w="0" w:type="dxa"/>
              <w:left w:w="144" w:type="dxa"/>
              <w:bottom w:w="0" w:type="dxa"/>
              <w:right w:w="0" w:type="dxa"/>
            </w:tcMar>
            <w:vAlign w:val="center"/>
            <w:hideMark/>
          </w:tcPr>
          <w:p w14:paraId="120F7C76"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483 </w:t>
            </w:r>
          </w:p>
        </w:tc>
        <w:tc>
          <w:tcPr>
            <w:tcW w:w="1494" w:type="dxa"/>
            <w:shd w:val="clear" w:color="auto" w:fill="auto"/>
            <w:noWrap/>
            <w:tcMar>
              <w:top w:w="0" w:type="dxa"/>
              <w:left w:w="144" w:type="dxa"/>
              <w:bottom w:w="0" w:type="dxa"/>
              <w:right w:w="0" w:type="dxa"/>
            </w:tcMar>
            <w:vAlign w:val="center"/>
            <w:hideMark/>
          </w:tcPr>
          <w:p w14:paraId="77268199"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2" w:type="dxa"/>
            <w:shd w:val="clear" w:color="auto" w:fill="auto"/>
            <w:vAlign w:val="center"/>
          </w:tcPr>
          <w:p w14:paraId="1B46B668"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 </w:t>
            </w:r>
          </w:p>
        </w:tc>
        <w:tc>
          <w:tcPr>
            <w:tcW w:w="1136" w:type="dxa"/>
            <w:shd w:val="clear" w:color="auto" w:fill="auto"/>
            <w:noWrap/>
            <w:tcMar>
              <w:top w:w="0" w:type="dxa"/>
              <w:left w:w="144" w:type="dxa"/>
              <w:bottom w:w="0" w:type="dxa"/>
              <w:right w:w="0" w:type="dxa"/>
            </w:tcMar>
            <w:vAlign w:val="center"/>
            <w:hideMark/>
          </w:tcPr>
          <w:p w14:paraId="02D075F2"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483 </w:t>
            </w:r>
          </w:p>
        </w:tc>
      </w:tr>
      <w:tr w:rsidR="000E7FC9" w14:paraId="5F5582CF" w14:textId="77777777" w:rsidTr="00B322A7">
        <w:trPr>
          <w:cantSplit/>
          <w:jc w:val="center"/>
        </w:trPr>
        <w:tc>
          <w:tcPr>
            <w:tcW w:w="3721" w:type="dxa"/>
            <w:hideMark/>
          </w:tcPr>
          <w:p w14:paraId="29D86C45"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expenses</w:t>
            </w:r>
            <w:r>
              <w:rPr>
                <w:sz w:val="18"/>
                <w:szCs w:val="18"/>
              </w:rPr>
              <w:tab/>
            </w:r>
          </w:p>
        </w:tc>
        <w:tc>
          <w:tcPr>
            <w:tcW w:w="1268" w:type="dxa"/>
            <w:shd w:val="clear" w:color="auto" w:fill="auto"/>
            <w:noWrap/>
            <w:tcMar>
              <w:top w:w="0" w:type="dxa"/>
              <w:left w:w="144" w:type="dxa"/>
              <w:bottom w:w="0" w:type="dxa"/>
              <w:right w:w="0" w:type="dxa"/>
            </w:tcMar>
            <w:vAlign w:val="center"/>
            <w:hideMark/>
          </w:tcPr>
          <w:p w14:paraId="6EBE4EA2" w14:textId="77777777" w:rsidR="000E7FC9" w:rsidRDefault="000E7FC9" w:rsidP="00B322A7">
            <w:pPr>
              <w:ind w:right="83"/>
              <w:jc w:val="right"/>
              <w:rPr>
                <w:color w:val="000000"/>
                <w:sz w:val="18"/>
                <w:szCs w:val="18"/>
                <w:lang w:val="en-GB" w:eastAsia="en-GB"/>
              </w:rPr>
            </w:pPr>
            <w:r>
              <w:rPr>
                <w:color w:val="000000"/>
                <w:sz w:val="18"/>
                <w:szCs w:val="18"/>
                <w:lang w:val="en-GB" w:eastAsia="en-GB"/>
              </w:rPr>
              <w:t>(825)</w:t>
            </w:r>
          </w:p>
        </w:tc>
        <w:tc>
          <w:tcPr>
            <w:tcW w:w="1494" w:type="dxa"/>
            <w:shd w:val="clear" w:color="auto" w:fill="auto"/>
            <w:noWrap/>
            <w:tcMar>
              <w:top w:w="0" w:type="dxa"/>
              <w:left w:w="144" w:type="dxa"/>
              <w:bottom w:w="0" w:type="dxa"/>
              <w:right w:w="0" w:type="dxa"/>
            </w:tcMar>
            <w:vAlign w:val="center"/>
          </w:tcPr>
          <w:p w14:paraId="15DB8634"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2" w:type="dxa"/>
            <w:shd w:val="clear" w:color="auto" w:fill="auto"/>
            <w:vAlign w:val="center"/>
          </w:tcPr>
          <w:p w14:paraId="21B83B5B" w14:textId="77777777" w:rsidR="000E7FC9" w:rsidRDefault="000E7FC9" w:rsidP="00B322A7">
            <w:pPr>
              <w:ind w:right="83"/>
              <w:jc w:val="right"/>
              <w:rPr>
                <w:color w:val="000000"/>
                <w:sz w:val="18"/>
                <w:szCs w:val="18"/>
                <w:lang w:val="en-GB" w:eastAsia="en-GB"/>
              </w:rPr>
            </w:pPr>
            <w:r>
              <w:rPr>
                <w:color w:val="000000"/>
                <w:sz w:val="18"/>
                <w:szCs w:val="18"/>
                <w:lang w:val="en-GB" w:eastAsia="en-GB"/>
              </w:rPr>
              <w:t>(990)</w:t>
            </w:r>
          </w:p>
        </w:tc>
        <w:tc>
          <w:tcPr>
            <w:tcW w:w="1136" w:type="dxa"/>
            <w:shd w:val="clear" w:color="auto" w:fill="auto"/>
            <w:noWrap/>
            <w:tcMar>
              <w:top w:w="0" w:type="dxa"/>
              <w:left w:w="144" w:type="dxa"/>
              <w:bottom w:w="0" w:type="dxa"/>
              <w:right w:w="0" w:type="dxa"/>
            </w:tcMar>
            <w:vAlign w:val="center"/>
            <w:hideMark/>
          </w:tcPr>
          <w:p w14:paraId="33C9C9F5"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(1,815)</w:t>
            </w:r>
          </w:p>
        </w:tc>
      </w:tr>
      <w:tr w:rsidR="000E7FC9" w14:paraId="51251D12" w14:textId="77777777" w:rsidTr="00B322A7">
        <w:trPr>
          <w:cantSplit/>
          <w:jc w:val="center"/>
        </w:trPr>
        <w:tc>
          <w:tcPr>
            <w:tcW w:w="3721" w:type="dxa"/>
          </w:tcPr>
          <w:p w14:paraId="6E8831FD" w14:textId="77777777" w:rsidR="000E7FC9" w:rsidRDefault="000E7FC9" w:rsidP="00B322A7">
            <w:pPr>
              <w:pStyle w:val="NormalWeb"/>
              <w:tabs>
                <w:tab w:val="right" w:leader="dot" w:pos="4620"/>
              </w:tabs>
              <w:spacing w:before="0" w:beforeAutospacing="0" w:after="0" w:afterAutospacing="0"/>
              <w:ind w:left="240" w:hanging="240"/>
              <w:jc w:val="right"/>
              <w:rPr>
                <w:sz w:val="18"/>
                <w:szCs w:val="18"/>
              </w:rPr>
            </w:pPr>
            <w:r>
              <w:rPr>
                <w:sz w:val="18"/>
                <w:szCs w:val="18"/>
              </w:rPr>
              <w:t>Share in result of joint venture and associates</w:t>
            </w:r>
            <w:r>
              <w:rPr>
                <w:sz w:val="18"/>
                <w:szCs w:val="18"/>
              </w:rPr>
              <w:tab/>
            </w:r>
          </w:p>
        </w:tc>
        <w:tc>
          <w:tcPr>
            <w:tcW w:w="1268" w:type="dxa"/>
            <w:shd w:val="clear" w:color="auto" w:fill="auto"/>
            <w:noWrap/>
            <w:tcMar>
              <w:top w:w="0" w:type="dxa"/>
              <w:left w:w="144" w:type="dxa"/>
              <w:bottom w:w="0" w:type="dxa"/>
              <w:right w:w="0" w:type="dxa"/>
            </w:tcMar>
            <w:vAlign w:val="center"/>
          </w:tcPr>
          <w:p w14:paraId="79F29B3C"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6,938 </w:t>
            </w:r>
          </w:p>
        </w:tc>
        <w:tc>
          <w:tcPr>
            <w:tcW w:w="1494" w:type="dxa"/>
            <w:shd w:val="clear" w:color="auto" w:fill="auto"/>
            <w:noWrap/>
            <w:tcMar>
              <w:top w:w="0" w:type="dxa"/>
              <w:left w:w="144" w:type="dxa"/>
              <w:bottom w:w="0" w:type="dxa"/>
              <w:right w:w="0" w:type="dxa"/>
            </w:tcMar>
            <w:vAlign w:val="center"/>
          </w:tcPr>
          <w:p w14:paraId="6B3A5564"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2" w:type="dxa"/>
            <w:shd w:val="clear" w:color="auto" w:fill="auto"/>
            <w:vAlign w:val="center"/>
          </w:tcPr>
          <w:p w14:paraId="37EABC43"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 </w:t>
            </w:r>
          </w:p>
        </w:tc>
        <w:tc>
          <w:tcPr>
            <w:tcW w:w="1136" w:type="dxa"/>
            <w:shd w:val="clear" w:color="auto" w:fill="auto"/>
            <w:noWrap/>
            <w:tcMar>
              <w:top w:w="0" w:type="dxa"/>
              <w:left w:w="144" w:type="dxa"/>
              <w:bottom w:w="0" w:type="dxa"/>
              <w:right w:w="0" w:type="dxa"/>
            </w:tcMar>
            <w:vAlign w:val="center"/>
          </w:tcPr>
          <w:p w14:paraId="43453593"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6,938 </w:t>
            </w:r>
          </w:p>
        </w:tc>
      </w:tr>
      <w:tr w:rsidR="000E7FC9" w14:paraId="382A5F89" w14:textId="77777777" w:rsidTr="00B322A7">
        <w:trPr>
          <w:cantSplit/>
          <w:jc w:val="center"/>
        </w:trPr>
        <w:tc>
          <w:tcPr>
            <w:tcW w:w="3721" w:type="dxa"/>
            <w:hideMark/>
          </w:tcPr>
          <w:p w14:paraId="17D91F1F"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EBITDA</w:t>
            </w:r>
            <w:r>
              <w:rPr>
                <w:b/>
                <w:bCs/>
                <w:sz w:val="18"/>
                <w:szCs w:val="18"/>
              </w:rPr>
              <w:tab/>
            </w:r>
          </w:p>
        </w:tc>
        <w:tc>
          <w:tcPr>
            <w:tcW w:w="1268" w:type="dxa"/>
            <w:shd w:val="clear" w:color="auto" w:fill="auto"/>
            <w:noWrap/>
            <w:tcMar>
              <w:top w:w="0" w:type="dxa"/>
              <w:left w:w="144" w:type="dxa"/>
              <w:bottom w:w="0" w:type="dxa"/>
              <w:right w:w="0" w:type="dxa"/>
            </w:tcMar>
            <w:vAlign w:val="center"/>
            <w:hideMark/>
          </w:tcPr>
          <w:p w14:paraId="7F8BAB18"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23,987 </w:t>
            </w:r>
          </w:p>
        </w:tc>
        <w:tc>
          <w:tcPr>
            <w:tcW w:w="1494" w:type="dxa"/>
            <w:shd w:val="clear" w:color="auto" w:fill="auto"/>
            <w:noWrap/>
            <w:tcMar>
              <w:top w:w="0" w:type="dxa"/>
              <w:left w:w="144" w:type="dxa"/>
              <w:bottom w:w="0" w:type="dxa"/>
              <w:right w:w="0" w:type="dxa"/>
            </w:tcMar>
            <w:vAlign w:val="center"/>
            <w:hideMark/>
          </w:tcPr>
          <w:p w14:paraId="2C2FB8D2"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96,522 </w:t>
            </w:r>
          </w:p>
        </w:tc>
        <w:tc>
          <w:tcPr>
            <w:tcW w:w="1742" w:type="dxa"/>
            <w:shd w:val="clear" w:color="auto" w:fill="auto"/>
            <w:vAlign w:val="center"/>
          </w:tcPr>
          <w:p w14:paraId="3DD228EE"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1,511 </w:t>
            </w:r>
          </w:p>
        </w:tc>
        <w:tc>
          <w:tcPr>
            <w:tcW w:w="1136" w:type="dxa"/>
            <w:shd w:val="clear" w:color="auto" w:fill="auto"/>
            <w:noWrap/>
            <w:tcMar>
              <w:top w:w="0" w:type="dxa"/>
              <w:left w:w="144" w:type="dxa"/>
              <w:bottom w:w="0" w:type="dxa"/>
              <w:right w:w="0" w:type="dxa"/>
            </w:tcMar>
            <w:vAlign w:val="center"/>
            <w:hideMark/>
          </w:tcPr>
          <w:p w14:paraId="427907BB" w14:textId="77777777" w:rsidR="000E7FC9" w:rsidRPr="000E7FC9" w:rsidRDefault="000E7FC9" w:rsidP="00B322A7">
            <w:pPr>
              <w:ind w:right="83"/>
              <w:jc w:val="right"/>
              <w:rPr>
                <w:b/>
                <w:bCs/>
                <w:color w:val="000000"/>
                <w:sz w:val="18"/>
                <w:szCs w:val="18"/>
                <w:lang w:val="en-GB" w:eastAsia="en-GB"/>
              </w:rPr>
            </w:pPr>
            <w:r w:rsidRPr="000E7FC9">
              <w:rPr>
                <w:b/>
                <w:bCs/>
                <w:color w:val="000000"/>
                <w:sz w:val="18"/>
                <w:szCs w:val="18"/>
                <w:lang w:val="en-GB" w:eastAsia="en-GB"/>
              </w:rPr>
              <w:t xml:space="preserve">122,020 </w:t>
            </w:r>
          </w:p>
        </w:tc>
      </w:tr>
      <w:tr w:rsidR="000E7FC9" w14:paraId="41709E5C" w14:textId="77777777" w:rsidTr="00B322A7">
        <w:trPr>
          <w:jc w:val="center"/>
        </w:trPr>
        <w:tc>
          <w:tcPr>
            <w:tcW w:w="3721" w:type="dxa"/>
            <w:tcMar>
              <w:top w:w="0" w:type="dxa"/>
              <w:left w:w="144" w:type="dxa"/>
              <w:bottom w:w="0" w:type="dxa"/>
              <w:right w:w="0" w:type="dxa"/>
            </w:tcMar>
            <w:hideMark/>
          </w:tcPr>
          <w:p w14:paraId="4C9FD300" w14:textId="77777777" w:rsidR="000E7FC9" w:rsidRDefault="000E7FC9" w:rsidP="00B322A7">
            <w:pPr>
              <w:pStyle w:val="la2"/>
              <w:jc w:val="right"/>
              <w:rPr>
                <w:rFonts w:eastAsiaTheme="minorEastAsia"/>
                <w:sz w:val="2"/>
                <w:szCs w:val="2"/>
              </w:rPr>
            </w:pPr>
            <w:r>
              <w:rPr>
                <w:sz w:val="2"/>
                <w:szCs w:val="2"/>
              </w:rPr>
              <w:t> </w:t>
            </w:r>
          </w:p>
        </w:tc>
        <w:tc>
          <w:tcPr>
            <w:tcW w:w="1268" w:type="dxa"/>
            <w:shd w:val="clear" w:color="auto" w:fill="auto"/>
            <w:tcMar>
              <w:top w:w="0" w:type="dxa"/>
              <w:left w:w="144" w:type="dxa"/>
              <w:bottom w:w="0" w:type="dxa"/>
              <w:right w:w="0" w:type="dxa"/>
            </w:tcMar>
            <w:vAlign w:val="center"/>
            <w:hideMark/>
          </w:tcPr>
          <w:p w14:paraId="2A6E84BD" w14:textId="77777777" w:rsidR="000E7FC9" w:rsidRDefault="000E7FC9" w:rsidP="00B322A7">
            <w:pPr>
              <w:ind w:right="83"/>
              <w:jc w:val="right"/>
              <w:rPr>
                <w:b/>
                <w:bCs/>
                <w:color w:val="000000"/>
                <w:sz w:val="18"/>
                <w:szCs w:val="18"/>
                <w:lang w:val="en-GB" w:eastAsia="en-GB"/>
              </w:rPr>
            </w:pPr>
          </w:p>
        </w:tc>
        <w:tc>
          <w:tcPr>
            <w:tcW w:w="1494" w:type="dxa"/>
            <w:shd w:val="clear" w:color="auto" w:fill="auto"/>
            <w:tcMar>
              <w:top w:w="0" w:type="dxa"/>
              <w:left w:w="144" w:type="dxa"/>
              <w:bottom w:w="0" w:type="dxa"/>
              <w:right w:w="0" w:type="dxa"/>
            </w:tcMar>
            <w:vAlign w:val="center"/>
            <w:hideMark/>
          </w:tcPr>
          <w:p w14:paraId="6CE7030D" w14:textId="77777777" w:rsidR="000E7FC9" w:rsidRDefault="000E7FC9" w:rsidP="00B322A7">
            <w:pPr>
              <w:ind w:right="83"/>
              <w:jc w:val="right"/>
              <w:rPr>
                <w:sz w:val="20"/>
                <w:lang w:val="en-GB" w:eastAsia="en-GB"/>
              </w:rPr>
            </w:pPr>
          </w:p>
        </w:tc>
        <w:tc>
          <w:tcPr>
            <w:tcW w:w="1742" w:type="dxa"/>
            <w:shd w:val="clear" w:color="auto" w:fill="auto"/>
            <w:vAlign w:val="center"/>
          </w:tcPr>
          <w:p w14:paraId="756CF2FE" w14:textId="77777777" w:rsidR="000E7FC9" w:rsidRDefault="000E7FC9" w:rsidP="00B322A7">
            <w:pPr>
              <w:ind w:right="83"/>
              <w:jc w:val="right"/>
              <w:rPr>
                <w:sz w:val="20"/>
                <w:lang w:val="en-GB" w:eastAsia="en-GB"/>
              </w:rPr>
            </w:pPr>
          </w:p>
        </w:tc>
        <w:tc>
          <w:tcPr>
            <w:tcW w:w="1136" w:type="dxa"/>
            <w:shd w:val="clear" w:color="auto" w:fill="auto"/>
            <w:tcMar>
              <w:top w:w="0" w:type="dxa"/>
              <w:left w:w="144" w:type="dxa"/>
              <w:bottom w:w="0" w:type="dxa"/>
              <w:right w:w="0" w:type="dxa"/>
            </w:tcMar>
            <w:vAlign w:val="center"/>
            <w:hideMark/>
          </w:tcPr>
          <w:p w14:paraId="6FB3026A" w14:textId="77777777" w:rsidR="000E7FC9" w:rsidRDefault="000E7FC9" w:rsidP="00B322A7">
            <w:pPr>
              <w:ind w:right="83"/>
              <w:jc w:val="right"/>
              <w:rPr>
                <w:sz w:val="20"/>
                <w:lang w:val="en-GB" w:eastAsia="en-GB"/>
              </w:rPr>
            </w:pPr>
          </w:p>
        </w:tc>
      </w:tr>
      <w:tr w:rsidR="000E7FC9" w14:paraId="5DE307F0" w14:textId="77777777" w:rsidTr="00B322A7">
        <w:trPr>
          <w:cantSplit/>
          <w:jc w:val="center"/>
        </w:trPr>
        <w:tc>
          <w:tcPr>
            <w:tcW w:w="3721" w:type="dxa"/>
          </w:tcPr>
          <w:p w14:paraId="18780106" w14:textId="77777777" w:rsidR="000E7FC9" w:rsidRDefault="000E7FC9" w:rsidP="00B322A7">
            <w:pPr>
              <w:pStyle w:val="NormalWeb"/>
              <w:tabs>
                <w:tab w:val="right" w:leader="dot" w:pos="4620"/>
              </w:tabs>
              <w:spacing w:before="0" w:beforeAutospacing="0" w:after="0" w:afterAutospacing="0"/>
              <w:ind w:left="240" w:hanging="240"/>
              <w:rPr>
                <w:sz w:val="18"/>
                <w:szCs w:val="18"/>
              </w:rPr>
            </w:pPr>
            <w:r>
              <w:rPr>
                <w:sz w:val="18"/>
                <w:szCs w:val="18"/>
              </w:rPr>
              <w:t>Depreciation and amortization</w:t>
            </w:r>
          </w:p>
        </w:tc>
        <w:tc>
          <w:tcPr>
            <w:tcW w:w="1268" w:type="dxa"/>
            <w:shd w:val="clear" w:color="auto" w:fill="auto"/>
            <w:noWrap/>
            <w:tcMar>
              <w:top w:w="0" w:type="dxa"/>
              <w:left w:w="144" w:type="dxa"/>
              <w:bottom w:w="0" w:type="dxa"/>
              <w:right w:w="0" w:type="dxa"/>
            </w:tcMar>
            <w:vAlign w:val="center"/>
          </w:tcPr>
          <w:p w14:paraId="4ECBEF3D" w14:textId="77777777" w:rsidR="000E7FC9" w:rsidRDefault="000E7FC9" w:rsidP="00B322A7">
            <w:pPr>
              <w:ind w:right="83"/>
              <w:jc w:val="right"/>
              <w:rPr>
                <w:sz w:val="20"/>
                <w:lang w:val="en-GB" w:eastAsia="en-GB"/>
              </w:rPr>
            </w:pPr>
          </w:p>
        </w:tc>
        <w:tc>
          <w:tcPr>
            <w:tcW w:w="1494" w:type="dxa"/>
            <w:shd w:val="clear" w:color="auto" w:fill="auto"/>
            <w:noWrap/>
            <w:tcMar>
              <w:top w:w="0" w:type="dxa"/>
              <w:left w:w="144" w:type="dxa"/>
              <w:bottom w:w="0" w:type="dxa"/>
              <w:right w:w="0" w:type="dxa"/>
            </w:tcMar>
            <w:vAlign w:val="center"/>
          </w:tcPr>
          <w:p w14:paraId="00A5C983" w14:textId="77777777" w:rsidR="000E7FC9" w:rsidRDefault="000E7FC9" w:rsidP="00B322A7">
            <w:pPr>
              <w:ind w:right="83"/>
              <w:jc w:val="right"/>
              <w:rPr>
                <w:sz w:val="20"/>
                <w:lang w:val="en-GB" w:eastAsia="en-GB"/>
              </w:rPr>
            </w:pPr>
          </w:p>
        </w:tc>
        <w:tc>
          <w:tcPr>
            <w:tcW w:w="1742" w:type="dxa"/>
            <w:shd w:val="clear" w:color="auto" w:fill="auto"/>
            <w:vAlign w:val="center"/>
          </w:tcPr>
          <w:p w14:paraId="73304B9A"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1ED148D0" w14:textId="77777777" w:rsidR="000E7FC9" w:rsidRDefault="000E7FC9" w:rsidP="00B322A7">
            <w:pPr>
              <w:ind w:right="83"/>
              <w:jc w:val="right"/>
              <w:rPr>
                <w:color w:val="000000"/>
                <w:sz w:val="18"/>
                <w:szCs w:val="18"/>
                <w:lang w:val="en-GB" w:eastAsia="en-GB"/>
              </w:rPr>
            </w:pPr>
            <w:r>
              <w:rPr>
                <w:color w:val="000000"/>
                <w:sz w:val="18"/>
                <w:szCs w:val="18"/>
                <w:lang w:val="en-GB" w:eastAsia="en-GB"/>
              </w:rPr>
              <w:t>(773)</w:t>
            </w:r>
          </w:p>
        </w:tc>
      </w:tr>
      <w:tr w:rsidR="000E7FC9" w14:paraId="31E4B9F3" w14:textId="77777777" w:rsidTr="00B322A7">
        <w:trPr>
          <w:cantSplit/>
          <w:jc w:val="center"/>
        </w:trPr>
        <w:tc>
          <w:tcPr>
            <w:tcW w:w="3721" w:type="dxa"/>
            <w:hideMark/>
          </w:tcPr>
          <w:p w14:paraId="69B45AC0" w14:textId="15A28A1A" w:rsidR="000E7FC9" w:rsidRDefault="000E7FC9" w:rsidP="000E7FC9">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EBIT</w:t>
            </w:r>
            <w:r>
              <w:rPr>
                <w:b/>
                <w:bCs/>
                <w:sz w:val="18"/>
                <w:szCs w:val="18"/>
              </w:rPr>
              <w:tab/>
            </w:r>
          </w:p>
        </w:tc>
        <w:tc>
          <w:tcPr>
            <w:tcW w:w="1268" w:type="dxa"/>
            <w:shd w:val="clear" w:color="auto" w:fill="auto"/>
            <w:noWrap/>
            <w:tcMar>
              <w:top w:w="0" w:type="dxa"/>
              <w:left w:w="144" w:type="dxa"/>
              <w:bottom w:w="0" w:type="dxa"/>
              <w:right w:w="0" w:type="dxa"/>
            </w:tcMar>
            <w:vAlign w:val="center"/>
            <w:hideMark/>
          </w:tcPr>
          <w:p w14:paraId="470A6C6A"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hideMark/>
          </w:tcPr>
          <w:p w14:paraId="75EDF13A" w14:textId="77777777" w:rsidR="000E7FC9" w:rsidRDefault="000E7FC9" w:rsidP="00B322A7">
            <w:pPr>
              <w:ind w:right="83"/>
              <w:jc w:val="right"/>
              <w:rPr>
                <w:sz w:val="20"/>
                <w:lang w:val="en-GB" w:eastAsia="en-GB"/>
              </w:rPr>
            </w:pPr>
          </w:p>
        </w:tc>
        <w:tc>
          <w:tcPr>
            <w:tcW w:w="1742" w:type="dxa"/>
            <w:shd w:val="clear" w:color="auto" w:fill="auto"/>
            <w:vAlign w:val="center"/>
          </w:tcPr>
          <w:p w14:paraId="444C2C4A"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hideMark/>
          </w:tcPr>
          <w:p w14:paraId="394BF437"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121,246 </w:t>
            </w:r>
          </w:p>
        </w:tc>
      </w:tr>
      <w:tr w:rsidR="000E7FC9" w14:paraId="4AD73BE4" w14:textId="77777777" w:rsidTr="00B322A7">
        <w:trPr>
          <w:cantSplit/>
          <w:jc w:val="center"/>
        </w:trPr>
        <w:tc>
          <w:tcPr>
            <w:tcW w:w="3721" w:type="dxa"/>
          </w:tcPr>
          <w:p w14:paraId="2EBE5C32"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Financial income - Own</w:t>
            </w:r>
            <w:r>
              <w:rPr>
                <w:sz w:val="18"/>
                <w:szCs w:val="18"/>
              </w:rPr>
              <w:tab/>
            </w:r>
          </w:p>
        </w:tc>
        <w:tc>
          <w:tcPr>
            <w:tcW w:w="1268" w:type="dxa"/>
            <w:shd w:val="clear" w:color="auto" w:fill="auto"/>
            <w:noWrap/>
            <w:tcMar>
              <w:top w:w="0" w:type="dxa"/>
              <w:left w:w="144" w:type="dxa"/>
              <w:bottom w:w="0" w:type="dxa"/>
              <w:right w:w="0" w:type="dxa"/>
            </w:tcMar>
            <w:vAlign w:val="bottom"/>
          </w:tcPr>
          <w:p w14:paraId="57E3B77D" w14:textId="77777777" w:rsidR="000E7FC9" w:rsidRDefault="000E7FC9" w:rsidP="00B322A7">
            <w:pPr>
              <w:ind w:right="83"/>
              <w:jc w:val="right"/>
              <w:rPr>
                <w:b/>
                <w:bCs/>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560321A2" w14:textId="77777777" w:rsidR="000E7FC9" w:rsidRDefault="000E7FC9" w:rsidP="00B322A7">
            <w:pPr>
              <w:ind w:right="83"/>
              <w:jc w:val="right"/>
              <w:rPr>
                <w:sz w:val="20"/>
                <w:lang w:val="en-GB" w:eastAsia="en-GB"/>
              </w:rPr>
            </w:pPr>
          </w:p>
        </w:tc>
        <w:tc>
          <w:tcPr>
            <w:tcW w:w="1742" w:type="dxa"/>
            <w:shd w:val="clear" w:color="auto" w:fill="auto"/>
            <w:vAlign w:val="center"/>
          </w:tcPr>
          <w:p w14:paraId="512E1AEB"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70CB85C1"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2,480 </w:t>
            </w:r>
          </w:p>
        </w:tc>
      </w:tr>
      <w:tr w:rsidR="000E7FC9" w14:paraId="21349239" w14:textId="77777777" w:rsidTr="00B322A7">
        <w:trPr>
          <w:cantSplit/>
          <w:jc w:val="center"/>
        </w:trPr>
        <w:tc>
          <w:tcPr>
            <w:tcW w:w="3721" w:type="dxa"/>
          </w:tcPr>
          <w:p w14:paraId="3E21808E" w14:textId="77777777" w:rsidR="000E7FC9" w:rsidRDefault="000E7FC9" w:rsidP="00B322A7">
            <w:pPr>
              <w:pStyle w:val="NormalWeb"/>
              <w:tabs>
                <w:tab w:val="right" w:leader="dot" w:pos="4620"/>
              </w:tabs>
              <w:spacing w:before="0" w:beforeAutospacing="0" w:after="0" w:afterAutospacing="0"/>
              <w:ind w:left="240" w:hanging="240"/>
              <w:jc w:val="right"/>
              <w:rPr>
                <w:sz w:val="18"/>
                <w:szCs w:val="18"/>
              </w:rPr>
            </w:pPr>
            <w:r>
              <w:rPr>
                <w:sz w:val="18"/>
                <w:szCs w:val="18"/>
              </w:rPr>
              <w:lastRenderedPageBreak/>
              <w:t>Financial expense- Own</w:t>
            </w:r>
            <w:r>
              <w:rPr>
                <w:sz w:val="18"/>
                <w:szCs w:val="18"/>
              </w:rPr>
              <w:tab/>
            </w:r>
          </w:p>
        </w:tc>
        <w:tc>
          <w:tcPr>
            <w:tcW w:w="1268" w:type="dxa"/>
            <w:shd w:val="clear" w:color="auto" w:fill="auto"/>
            <w:noWrap/>
            <w:tcMar>
              <w:top w:w="0" w:type="dxa"/>
              <w:left w:w="144" w:type="dxa"/>
              <w:bottom w:w="0" w:type="dxa"/>
              <w:right w:w="0" w:type="dxa"/>
            </w:tcMar>
            <w:vAlign w:val="bottom"/>
          </w:tcPr>
          <w:p w14:paraId="264DA28D"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0B61C255" w14:textId="77777777" w:rsidR="000E7FC9" w:rsidRDefault="000E7FC9" w:rsidP="00B322A7">
            <w:pPr>
              <w:ind w:right="83"/>
              <w:jc w:val="right"/>
              <w:rPr>
                <w:sz w:val="20"/>
                <w:lang w:val="en-GB" w:eastAsia="en-GB"/>
              </w:rPr>
            </w:pPr>
          </w:p>
        </w:tc>
        <w:tc>
          <w:tcPr>
            <w:tcW w:w="1742" w:type="dxa"/>
            <w:shd w:val="clear" w:color="auto" w:fill="auto"/>
            <w:vAlign w:val="center"/>
          </w:tcPr>
          <w:p w14:paraId="4068F8D1"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161E3DC6" w14:textId="77777777" w:rsidR="000E7FC9" w:rsidRDefault="000E7FC9" w:rsidP="00B322A7">
            <w:pPr>
              <w:ind w:right="83"/>
              <w:jc w:val="right"/>
              <w:rPr>
                <w:color w:val="000000"/>
                <w:sz w:val="18"/>
                <w:szCs w:val="18"/>
                <w:lang w:val="en-GB" w:eastAsia="en-GB"/>
              </w:rPr>
            </w:pPr>
            <w:r>
              <w:rPr>
                <w:color w:val="000000"/>
                <w:sz w:val="18"/>
                <w:szCs w:val="18"/>
                <w:lang w:val="en-GB" w:eastAsia="en-GB"/>
              </w:rPr>
              <w:t>(11,595)</w:t>
            </w:r>
          </w:p>
        </w:tc>
      </w:tr>
      <w:tr w:rsidR="000E7FC9" w14:paraId="40B59887" w14:textId="77777777" w:rsidTr="00B322A7">
        <w:trPr>
          <w:cantSplit/>
          <w:jc w:val="center"/>
        </w:trPr>
        <w:tc>
          <w:tcPr>
            <w:tcW w:w="3721" w:type="dxa"/>
          </w:tcPr>
          <w:p w14:paraId="78DA5E82"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Financial expense - JV</w:t>
            </w:r>
            <w:r>
              <w:rPr>
                <w:sz w:val="18"/>
                <w:szCs w:val="18"/>
              </w:rPr>
              <w:tab/>
            </w:r>
          </w:p>
        </w:tc>
        <w:tc>
          <w:tcPr>
            <w:tcW w:w="1268" w:type="dxa"/>
            <w:shd w:val="clear" w:color="auto" w:fill="auto"/>
            <w:noWrap/>
            <w:tcMar>
              <w:top w:w="0" w:type="dxa"/>
              <w:left w:w="144" w:type="dxa"/>
              <w:bottom w:w="0" w:type="dxa"/>
              <w:right w:w="0" w:type="dxa"/>
            </w:tcMar>
            <w:vAlign w:val="bottom"/>
          </w:tcPr>
          <w:p w14:paraId="6C689E34"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048A3033" w14:textId="77777777" w:rsidR="000E7FC9" w:rsidRDefault="000E7FC9" w:rsidP="00B322A7">
            <w:pPr>
              <w:ind w:right="83"/>
              <w:jc w:val="right"/>
              <w:rPr>
                <w:sz w:val="20"/>
                <w:lang w:val="en-GB" w:eastAsia="en-GB"/>
              </w:rPr>
            </w:pPr>
          </w:p>
        </w:tc>
        <w:tc>
          <w:tcPr>
            <w:tcW w:w="1742" w:type="dxa"/>
            <w:shd w:val="clear" w:color="auto" w:fill="auto"/>
            <w:vAlign w:val="center"/>
          </w:tcPr>
          <w:p w14:paraId="4467B904"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5A31B9E6"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100 </w:t>
            </w:r>
          </w:p>
        </w:tc>
      </w:tr>
      <w:tr w:rsidR="000E7FC9" w14:paraId="22D5DD7D" w14:textId="77777777" w:rsidTr="00B322A7">
        <w:trPr>
          <w:cantSplit/>
          <w:jc w:val="center"/>
        </w:trPr>
        <w:tc>
          <w:tcPr>
            <w:tcW w:w="3721" w:type="dxa"/>
          </w:tcPr>
          <w:p w14:paraId="11A94312"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Financial income - JV</w:t>
            </w:r>
            <w:r>
              <w:rPr>
                <w:sz w:val="18"/>
                <w:szCs w:val="18"/>
              </w:rPr>
              <w:tab/>
            </w:r>
          </w:p>
        </w:tc>
        <w:tc>
          <w:tcPr>
            <w:tcW w:w="1268" w:type="dxa"/>
            <w:shd w:val="clear" w:color="auto" w:fill="auto"/>
            <w:noWrap/>
            <w:tcMar>
              <w:top w:w="0" w:type="dxa"/>
              <w:left w:w="144" w:type="dxa"/>
              <w:bottom w:w="0" w:type="dxa"/>
              <w:right w:w="0" w:type="dxa"/>
            </w:tcMar>
            <w:vAlign w:val="bottom"/>
          </w:tcPr>
          <w:p w14:paraId="257EBCB8"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0A1A94A5" w14:textId="77777777" w:rsidR="000E7FC9" w:rsidRDefault="000E7FC9" w:rsidP="00B322A7">
            <w:pPr>
              <w:ind w:right="83"/>
              <w:jc w:val="right"/>
              <w:rPr>
                <w:sz w:val="20"/>
                <w:lang w:val="en-GB" w:eastAsia="en-GB"/>
              </w:rPr>
            </w:pPr>
          </w:p>
        </w:tc>
        <w:tc>
          <w:tcPr>
            <w:tcW w:w="1742" w:type="dxa"/>
            <w:shd w:val="clear" w:color="auto" w:fill="auto"/>
            <w:vAlign w:val="center"/>
          </w:tcPr>
          <w:p w14:paraId="38C54174"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026CCBDF" w14:textId="77777777" w:rsidR="000E7FC9" w:rsidRDefault="000E7FC9" w:rsidP="00B322A7">
            <w:pPr>
              <w:ind w:right="83"/>
              <w:jc w:val="right"/>
              <w:rPr>
                <w:color w:val="000000"/>
                <w:sz w:val="18"/>
                <w:szCs w:val="18"/>
                <w:lang w:val="en-GB" w:eastAsia="en-GB"/>
              </w:rPr>
            </w:pPr>
            <w:r>
              <w:rPr>
                <w:color w:val="000000"/>
                <w:sz w:val="18"/>
                <w:szCs w:val="18"/>
                <w:lang w:val="en-GB" w:eastAsia="en-GB"/>
              </w:rPr>
              <w:t>(3,423)</w:t>
            </w:r>
          </w:p>
        </w:tc>
      </w:tr>
      <w:tr w:rsidR="000E7FC9" w14:paraId="5F93C901" w14:textId="77777777" w:rsidTr="00B322A7">
        <w:trPr>
          <w:cantSplit/>
          <w:jc w:val="center"/>
        </w:trPr>
        <w:tc>
          <w:tcPr>
            <w:tcW w:w="3721" w:type="dxa"/>
            <w:hideMark/>
          </w:tcPr>
          <w:p w14:paraId="019ED617"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PBT</w:t>
            </w:r>
            <w:r>
              <w:rPr>
                <w:b/>
                <w:bCs/>
                <w:sz w:val="18"/>
                <w:szCs w:val="18"/>
              </w:rPr>
              <w:tab/>
            </w:r>
          </w:p>
        </w:tc>
        <w:tc>
          <w:tcPr>
            <w:tcW w:w="1268" w:type="dxa"/>
            <w:shd w:val="clear" w:color="auto" w:fill="auto"/>
            <w:noWrap/>
            <w:tcMar>
              <w:top w:w="0" w:type="dxa"/>
              <w:left w:w="144" w:type="dxa"/>
              <w:bottom w:w="0" w:type="dxa"/>
              <w:right w:w="0" w:type="dxa"/>
            </w:tcMar>
            <w:vAlign w:val="center"/>
            <w:hideMark/>
          </w:tcPr>
          <w:p w14:paraId="4587D405"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hideMark/>
          </w:tcPr>
          <w:p w14:paraId="06DDAF58" w14:textId="77777777" w:rsidR="000E7FC9" w:rsidRDefault="000E7FC9" w:rsidP="00B322A7">
            <w:pPr>
              <w:ind w:right="83"/>
              <w:jc w:val="right"/>
              <w:rPr>
                <w:sz w:val="20"/>
                <w:lang w:val="en-GB" w:eastAsia="en-GB"/>
              </w:rPr>
            </w:pPr>
          </w:p>
        </w:tc>
        <w:tc>
          <w:tcPr>
            <w:tcW w:w="1742" w:type="dxa"/>
            <w:shd w:val="clear" w:color="auto" w:fill="auto"/>
            <w:vAlign w:val="center"/>
          </w:tcPr>
          <w:p w14:paraId="019C74A6"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hideMark/>
          </w:tcPr>
          <w:p w14:paraId="6A33C830"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108,808 </w:t>
            </w:r>
          </w:p>
        </w:tc>
      </w:tr>
      <w:tr w:rsidR="000E7FC9" w14:paraId="5BB24D8C" w14:textId="77777777" w:rsidTr="00B322A7">
        <w:trPr>
          <w:cantSplit/>
          <w:jc w:val="center"/>
        </w:trPr>
        <w:tc>
          <w:tcPr>
            <w:tcW w:w="3721" w:type="dxa"/>
          </w:tcPr>
          <w:p w14:paraId="4393226D"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Current income taxes - Own</w:t>
            </w:r>
            <w:r>
              <w:rPr>
                <w:sz w:val="18"/>
                <w:szCs w:val="18"/>
              </w:rPr>
              <w:tab/>
            </w:r>
          </w:p>
        </w:tc>
        <w:tc>
          <w:tcPr>
            <w:tcW w:w="1268" w:type="dxa"/>
            <w:shd w:val="clear" w:color="auto" w:fill="auto"/>
            <w:noWrap/>
            <w:tcMar>
              <w:top w:w="0" w:type="dxa"/>
              <w:left w:w="144" w:type="dxa"/>
              <w:bottom w:w="0" w:type="dxa"/>
              <w:right w:w="0" w:type="dxa"/>
            </w:tcMar>
            <w:vAlign w:val="center"/>
          </w:tcPr>
          <w:p w14:paraId="7E9C7B1F" w14:textId="77777777" w:rsidR="000E7FC9" w:rsidRDefault="000E7FC9" w:rsidP="00B322A7">
            <w:pPr>
              <w:ind w:right="83"/>
              <w:jc w:val="right"/>
              <w:rPr>
                <w:b/>
                <w:bCs/>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542C580F" w14:textId="77777777" w:rsidR="000E7FC9" w:rsidRDefault="000E7FC9" w:rsidP="00B322A7">
            <w:pPr>
              <w:ind w:right="83"/>
              <w:jc w:val="right"/>
              <w:rPr>
                <w:sz w:val="20"/>
                <w:lang w:val="en-GB" w:eastAsia="en-GB"/>
              </w:rPr>
            </w:pPr>
          </w:p>
        </w:tc>
        <w:tc>
          <w:tcPr>
            <w:tcW w:w="1742" w:type="dxa"/>
            <w:shd w:val="clear" w:color="auto" w:fill="auto"/>
            <w:vAlign w:val="center"/>
          </w:tcPr>
          <w:p w14:paraId="443B24C5"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2BFE73EE" w14:textId="77777777" w:rsidR="000E7FC9" w:rsidRDefault="000E7FC9" w:rsidP="00B322A7">
            <w:pPr>
              <w:ind w:right="83"/>
              <w:jc w:val="right"/>
              <w:rPr>
                <w:color w:val="000000"/>
                <w:sz w:val="18"/>
                <w:szCs w:val="18"/>
                <w:lang w:val="en-GB" w:eastAsia="en-GB"/>
              </w:rPr>
            </w:pPr>
            <w:r>
              <w:rPr>
                <w:color w:val="000000"/>
                <w:sz w:val="18"/>
                <w:szCs w:val="18"/>
                <w:lang w:val="en-GB" w:eastAsia="en-GB"/>
              </w:rPr>
              <w:t>(939)</w:t>
            </w:r>
          </w:p>
        </w:tc>
      </w:tr>
      <w:tr w:rsidR="000E7FC9" w14:paraId="64DD5744" w14:textId="77777777" w:rsidTr="00B322A7">
        <w:trPr>
          <w:cantSplit/>
          <w:jc w:val="center"/>
        </w:trPr>
        <w:tc>
          <w:tcPr>
            <w:tcW w:w="3721" w:type="dxa"/>
          </w:tcPr>
          <w:p w14:paraId="6255D6C3" w14:textId="77777777" w:rsidR="000E7FC9" w:rsidRDefault="000E7FC9" w:rsidP="00B322A7">
            <w:pPr>
              <w:pStyle w:val="NormalWeb"/>
              <w:tabs>
                <w:tab w:val="right" w:leader="dot" w:pos="4620"/>
              </w:tabs>
              <w:spacing w:before="0" w:beforeAutospacing="0" w:after="0" w:afterAutospacing="0"/>
              <w:ind w:left="240" w:hanging="240"/>
              <w:jc w:val="right"/>
              <w:rPr>
                <w:sz w:val="18"/>
                <w:szCs w:val="18"/>
              </w:rPr>
            </w:pPr>
            <w:r>
              <w:rPr>
                <w:sz w:val="18"/>
                <w:szCs w:val="18"/>
              </w:rPr>
              <w:t>Current income taxes - JV</w:t>
            </w:r>
            <w:r>
              <w:rPr>
                <w:sz w:val="18"/>
                <w:szCs w:val="18"/>
              </w:rPr>
              <w:tab/>
            </w:r>
          </w:p>
        </w:tc>
        <w:tc>
          <w:tcPr>
            <w:tcW w:w="1268" w:type="dxa"/>
            <w:shd w:val="clear" w:color="auto" w:fill="auto"/>
            <w:noWrap/>
            <w:tcMar>
              <w:top w:w="0" w:type="dxa"/>
              <w:left w:w="144" w:type="dxa"/>
              <w:bottom w:w="0" w:type="dxa"/>
              <w:right w:w="0" w:type="dxa"/>
            </w:tcMar>
            <w:vAlign w:val="center"/>
          </w:tcPr>
          <w:p w14:paraId="121CEE0E"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tcPr>
          <w:p w14:paraId="7AE5422F" w14:textId="77777777" w:rsidR="000E7FC9" w:rsidRDefault="000E7FC9" w:rsidP="00B322A7">
            <w:pPr>
              <w:ind w:right="83"/>
              <w:jc w:val="right"/>
              <w:rPr>
                <w:sz w:val="20"/>
                <w:lang w:val="en-GB" w:eastAsia="en-GB"/>
              </w:rPr>
            </w:pPr>
          </w:p>
        </w:tc>
        <w:tc>
          <w:tcPr>
            <w:tcW w:w="1742" w:type="dxa"/>
            <w:shd w:val="clear" w:color="auto" w:fill="auto"/>
          </w:tcPr>
          <w:p w14:paraId="482900A1"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680A0E8E" w14:textId="77777777" w:rsidR="000E7FC9" w:rsidRDefault="000E7FC9" w:rsidP="00B322A7">
            <w:pPr>
              <w:ind w:right="83"/>
              <w:jc w:val="right"/>
              <w:rPr>
                <w:color w:val="000000"/>
                <w:sz w:val="18"/>
                <w:szCs w:val="18"/>
                <w:lang w:val="en-GB" w:eastAsia="en-GB"/>
              </w:rPr>
            </w:pPr>
            <w:r>
              <w:rPr>
                <w:color w:val="000000"/>
                <w:sz w:val="18"/>
                <w:szCs w:val="18"/>
                <w:lang w:val="en-GB" w:eastAsia="en-GB"/>
              </w:rPr>
              <w:t>(156)</w:t>
            </w:r>
          </w:p>
        </w:tc>
      </w:tr>
      <w:tr w:rsidR="000E7FC9" w14:paraId="3F8A0389" w14:textId="77777777" w:rsidTr="00B322A7">
        <w:trPr>
          <w:cantSplit/>
          <w:jc w:val="center"/>
        </w:trPr>
        <w:tc>
          <w:tcPr>
            <w:tcW w:w="3721" w:type="dxa"/>
            <w:hideMark/>
          </w:tcPr>
          <w:p w14:paraId="1A69CB4F"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Recurrent net income</w:t>
            </w:r>
            <w:r>
              <w:rPr>
                <w:b/>
                <w:bCs/>
                <w:sz w:val="18"/>
                <w:szCs w:val="18"/>
              </w:rPr>
              <w:tab/>
            </w:r>
          </w:p>
        </w:tc>
        <w:tc>
          <w:tcPr>
            <w:tcW w:w="1268" w:type="dxa"/>
            <w:shd w:val="clear" w:color="auto" w:fill="auto"/>
            <w:noWrap/>
            <w:tcMar>
              <w:top w:w="0" w:type="dxa"/>
              <w:left w:w="144" w:type="dxa"/>
              <w:bottom w:w="0" w:type="dxa"/>
              <w:right w:w="0" w:type="dxa"/>
            </w:tcMar>
            <w:vAlign w:val="center"/>
            <w:hideMark/>
          </w:tcPr>
          <w:p w14:paraId="67A955FC"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hideMark/>
          </w:tcPr>
          <w:p w14:paraId="66549EE7" w14:textId="77777777" w:rsidR="000E7FC9" w:rsidRDefault="000E7FC9" w:rsidP="00B322A7">
            <w:pPr>
              <w:ind w:right="83"/>
              <w:jc w:val="right"/>
              <w:rPr>
                <w:sz w:val="20"/>
                <w:lang w:val="en-GB" w:eastAsia="en-GB"/>
              </w:rPr>
            </w:pPr>
          </w:p>
        </w:tc>
        <w:tc>
          <w:tcPr>
            <w:tcW w:w="1742" w:type="dxa"/>
            <w:shd w:val="clear" w:color="auto" w:fill="auto"/>
            <w:vAlign w:val="center"/>
          </w:tcPr>
          <w:p w14:paraId="5760F582"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hideMark/>
          </w:tcPr>
          <w:p w14:paraId="3DB76427"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107,714 </w:t>
            </w:r>
          </w:p>
        </w:tc>
      </w:tr>
      <w:tr w:rsidR="000E7FC9" w14:paraId="4CD2E33C" w14:textId="77777777" w:rsidTr="00B322A7">
        <w:trPr>
          <w:cantSplit/>
          <w:jc w:val="center"/>
        </w:trPr>
        <w:tc>
          <w:tcPr>
            <w:tcW w:w="3721" w:type="dxa"/>
          </w:tcPr>
          <w:p w14:paraId="2CB670AB"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Net valuation gains / (losses) Romania, Estonia, Latvia and Spain</w:t>
            </w:r>
            <w:r>
              <w:rPr>
                <w:sz w:val="18"/>
                <w:szCs w:val="18"/>
              </w:rPr>
              <w:tab/>
            </w:r>
          </w:p>
        </w:tc>
        <w:tc>
          <w:tcPr>
            <w:tcW w:w="1268" w:type="dxa"/>
            <w:shd w:val="clear" w:color="auto" w:fill="auto"/>
            <w:noWrap/>
            <w:tcMar>
              <w:top w:w="0" w:type="dxa"/>
              <w:left w:w="144" w:type="dxa"/>
              <w:bottom w:w="0" w:type="dxa"/>
              <w:right w:w="0" w:type="dxa"/>
            </w:tcMar>
            <w:vAlign w:val="bottom"/>
          </w:tcPr>
          <w:p w14:paraId="6E0D180D" w14:textId="77777777" w:rsidR="000E7FC9" w:rsidRDefault="000E7FC9" w:rsidP="00B322A7">
            <w:pPr>
              <w:ind w:right="83"/>
              <w:jc w:val="right"/>
              <w:rPr>
                <w:b/>
                <w:bCs/>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076092F4" w14:textId="77777777" w:rsidR="000E7FC9" w:rsidRDefault="000E7FC9" w:rsidP="00B322A7">
            <w:pPr>
              <w:ind w:right="83"/>
              <w:jc w:val="right"/>
              <w:rPr>
                <w:sz w:val="20"/>
                <w:lang w:val="en-GB" w:eastAsia="en-GB"/>
              </w:rPr>
            </w:pPr>
          </w:p>
        </w:tc>
        <w:tc>
          <w:tcPr>
            <w:tcW w:w="1742" w:type="dxa"/>
            <w:shd w:val="clear" w:color="auto" w:fill="auto"/>
            <w:vAlign w:val="center"/>
          </w:tcPr>
          <w:p w14:paraId="1EF2413B"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4EBD3CD0"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7,777 </w:t>
            </w:r>
          </w:p>
        </w:tc>
      </w:tr>
      <w:tr w:rsidR="000E7FC9" w14:paraId="425AD011" w14:textId="77777777" w:rsidTr="00B322A7">
        <w:trPr>
          <w:cantSplit/>
          <w:jc w:val="center"/>
        </w:trPr>
        <w:tc>
          <w:tcPr>
            <w:tcW w:w="3721" w:type="dxa"/>
          </w:tcPr>
          <w:p w14:paraId="51644F4F" w14:textId="77777777" w:rsidR="000E7FC9" w:rsidRDefault="000E7FC9" w:rsidP="00B322A7">
            <w:pPr>
              <w:pStyle w:val="NormalWeb"/>
              <w:tabs>
                <w:tab w:val="right" w:leader="dot" w:pos="4620"/>
              </w:tabs>
              <w:spacing w:before="0" w:beforeAutospacing="0" w:after="0" w:afterAutospacing="0"/>
              <w:ind w:left="240" w:hanging="240"/>
              <w:jc w:val="right"/>
              <w:rPr>
                <w:sz w:val="18"/>
                <w:szCs w:val="18"/>
              </w:rPr>
            </w:pPr>
            <w:r>
              <w:rPr>
                <w:sz w:val="18"/>
                <w:szCs w:val="18"/>
              </w:rPr>
              <w:t>Net valuation gains / (losses) JV (at share)</w:t>
            </w:r>
            <w:r>
              <w:rPr>
                <w:sz w:val="18"/>
                <w:szCs w:val="18"/>
              </w:rPr>
              <w:tab/>
            </w:r>
          </w:p>
        </w:tc>
        <w:tc>
          <w:tcPr>
            <w:tcW w:w="1268" w:type="dxa"/>
            <w:shd w:val="clear" w:color="auto" w:fill="auto"/>
            <w:noWrap/>
            <w:tcMar>
              <w:top w:w="0" w:type="dxa"/>
              <w:left w:w="144" w:type="dxa"/>
              <w:bottom w:w="0" w:type="dxa"/>
              <w:right w:w="0" w:type="dxa"/>
            </w:tcMar>
            <w:vAlign w:val="bottom"/>
          </w:tcPr>
          <w:p w14:paraId="104373BA"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06BB5AE0" w14:textId="77777777" w:rsidR="000E7FC9" w:rsidRDefault="000E7FC9" w:rsidP="00B322A7">
            <w:pPr>
              <w:ind w:right="83"/>
              <w:jc w:val="right"/>
              <w:rPr>
                <w:sz w:val="20"/>
                <w:lang w:val="en-GB" w:eastAsia="en-GB"/>
              </w:rPr>
            </w:pPr>
          </w:p>
        </w:tc>
        <w:tc>
          <w:tcPr>
            <w:tcW w:w="1742" w:type="dxa"/>
            <w:shd w:val="clear" w:color="auto" w:fill="auto"/>
            <w:vAlign w:val="center"/>
          </w:tcPr>
          <w:p w14:paraId="5C99EE9B"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1863A919"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7,008 </w:t>
            </w:r>
          </w:p>
        </w:tc>
      </w:tr>
      <w:tr w:rsidR="000E7FC9" w14:paraId="530635C4" w14:textId="77777777" w:rsidTr="00B322A7">
        <w:trPr>
          <w:cantSplit/>
          <w:jc w:val="center"/>
        </w:trPr>
        <w:tc>
          <w:tcPr>
            <w:tcW w:w="3721" w:type="dxa"/>
          </w:tcPr>
          <w:p w14:paraId="30ECE78E"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non-current financial income</w:t>
            </w:r>
            <w:r>
              <w:rPr>
                <w:sz w:val="18"/>
                <w:szCs w:val="18"/>
              </w:rPr>
              <w:tab/>
            </w:r>
          </w:p>
        </w:tc>
        <w:tc>
          <w:tcPr>
            <w:tcW w:w="1268" w:type="dxa"/>
            <w:shd w:val="clear" w:color="auto" w:fill="auto"/>
            <w:noWrap/>
            <w:tcMar>
              <w:top w:w="0" w:type="dxa"/>
              <w:left w:w="144" w:type="dxa"/>
              <w:bottom w:w="0" w:type="dxa"/>
              <w:right w:w="0" w:type="dxa"/>
            </w:tcMar>
            <w:vAlign w:val="bottom"/>
          </w:tcPr>
          <w:p w14:paraId="0B7C0217"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2F68D51E" w14:textId="77777777" w:rsidR="000E7FC9" w:rsidRDefault="000E7FC9" w:rsidP="00B322A7">
            <w:pPr>
              <w:ind w:right="83"/>
              <w:jc w:val="right"/>
              <w:rPr>
                <w:sz w:val="20"/>
                <w:lang w:val="en-GB" w:eastAsia="en-GB"/>
              </w:rPr>
            </w:pPr>
          </w:p>
        </w:tc>
        <w:tc>
          <w:tcPr>
            <w:tcW w:w="1742" w:type="dxa"/>
            <w:shd w:val="clear" w:color="auto" w:fill="auto"/>
            <w:vAlign w:val="center"/>
          </w:tcPr>
          <w:p w14:paraId="63C4B28B"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0C0265C0"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334 </w:t>
            </w:r>
          </w:p>
        </w:tc>
      </w:tr>
      <w:tr w:rsidR="000E7FC9" w14:paraId="7C59DFB1" w14:textId="77777777" w:rsidTr="00B322A7">
        <w:trPr>
          <w:cantSplit/>
          <w:jc w:val="center"/>
        </w:trPr>
        <w:tc>
          <w:tcPr>
            <w:tcW w:w="3721" w:type="dxa"/>
          </w:tcPr>
          <w:p w14:paraId="304970D4"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non-current financial expenses</w:t>
            </w:r>
            <w:r>
              <w:rPr>
                <w:sz w:val="18"/>
                <w:szCs w:val="18"/>
              </w:rPr>
              <w:tab/>
            </w:r>
          </w:p>
        </w:tc>
        <w:tc>
          <w:tcPr>
            <w:tcW w:w="1268" w:type="dxa"/>
            <w:shd w:val="clear" w:color="auto" w:fill="auto"/>
            <w:noWrap/>
            <w:tcMar>
              <w:top w:w="0" w:type="dxa"/>
              <w:left w:w="144" w:type="dxa"/>
              <w:bottom w:w="0" w:type="dxa"/>
              <w:right w:w="0" w:type="dxa"/>
            </w:tcMar>
            <w:vAlign w:val="bottom"/>
          </w:tcPr>
          <w:p w14:paraId="0C7A3994"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47FF9DF5" w14:textId="77777777" w:rsidR="000E7FC9" w:rsidRDefault="000E7FC9" w:rsidP="00B322A7">
            <w:pPr>
              <w:ind w:right="83"/>
              <w:jc w:val="right"/>
              <w:rPr>
                <w:sz w:val="20"/>
                <w:lang w:val="en-GB" w:eastAsia="en-GB"/>
              </w:rPr>
            </w:pPr>
          </w:p>
        </w:tc>
        <w:tc>
          <w:tcPr>
            <w:tcW w:w="1742" w:type="dxa"/>
            <w:shd w:val="clear" w:color="auto" w:fill="auto"/>
            <w:vAlign w:val="center"/>
          </w:tcPr>
          <w:p w14:paraId="345BACE0"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3C03E44B" w14:textId="77777777" w:rsidR="000E7FC9" w:rsidRDefault="000E7FC9" w:rsidP="00B322A7">
            <w:pPr>
              <w:ind w:right="83"/>
              <w:jc w:val="right"/>
              <w:rPr>
                <w:color w:val="000000"/>
                <w:sz w:val="18"/>
                <w:szCs w:val="18"/>
                <w:lang w:val="en-GB" w:eastAsia="en-GB"/>
              </w:rPr>
            </w:pPr>
            <w:r>
              <w:rPr>
                <w:color w:val="000000"/>
                <w:sz w:val="18"/>
                <w:szCs w:val="18"/>
                <w:lang w:val="en-GB" w:eastAsia="en-GB"/>
              </w:rPr>
              <w:t>(8,125)</w:t>
            </w:r>
          </w:p>
        </w:tc>
      </w:tr>
      <w:tr w:rsidR="000E7FC9" w14:paraId="02FA74A9" w14:textId="77777777" w:rsidTr="00B322A7">
        <w:trPr>
          <w:cantSplit/>
          <w:jc w:val="center"/>
        </w:trPr>
        <w:tc>
          <w:tcPr>
            <w:tcW w:w="3721" w:type="dxa"/>
          </w:tcPr>
          <w:p w14:paraId="1EE79053"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non-current financial expenses JV (at share)</w:t>
            </w:r>
            <w:r>
              <w:rPr>
                <w:sz w:val="18"/>
                <w:szCs w:val="18"/>
              </w:rPr>
              <w:tab/>
            </w:r>
          </w:p>
        </w:tc>
        <w:tc>
          <w:tcPr>
            <w:tcW w:w="1268" w:type="dxa"/>
            <w:shd w:val="clear" w:color="auto" w:fill="auto"/>
            <w:noWrap/>
            <w:tcMar>
              <w:top w:w="0" w:type="dxa"/>
              <w:left w:w="144" w:type="dxa"/>
              <w:bottom w:w="0" w:type="dxa"/>
              <w:right w:w="0" w:type="dxa"/>
            </w:tcMar>
            <w:vAlign w:val="bottom"/>
          </w:tcPr>
          <w:p w14:paraId="34987FEB"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597023F3" w14:textId="77777777" w:rsidR="000E7FC9" w:rsidRDefault="000E7FC9" w:rsidP="00B322A7">
            <w:pPr>
              <w:ind w:right="83"/>
              <w:jc w:val="right"/>
              <w:rPr>
                <w:sz w:val="20"/>
                <w:lang w:val="en-GB" w:eastAsia="en-GB"/>
              </w:rPr>
            </w:pPr>
          </w:p>
        </w:tc>
        <w:tc>
          <w:tcPr>
            <w:tcW w:w="1742" w:type="dxa"/>
            <w:shd w:val="clear" w:color="auto" w:fill="auto"/>
            <w:vAlign w:val="center"/>
          </w:tcPr>
          <w:p w14:paraId="3E20095A"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6E13A6FF" w14:textId="77777777" w:rsidR="000E7FC9" w:rsidRDefault="000E7FC9" w:rsidP="00B322A7">
            <w:pPr>
              <w:ind w:right="83"/>
              <w:jc w:val="right"/>
              <w:rPr>
                <w:color w:val="000000"/>
                <w:sz w:val="18"/>
                <w:szCs w:val="18"/>
                <w:lang w:val="en-GB" w:eastAsia="en-GB"/>
              </w:rPr>
            </w:pPr>
            <w:r>
              <w:rPr>
                <w:color w:val="000000"/>
                <w:sz w:val="18"/>
                <w:szCs w:val="18"/>
                <w:lang w:val="en-GB" w:eastAsia="en-GB"/>
              </w:rPr>
              <w:t>(647)</w:t>
            </w:r>
          </w:p>
        </w:tc>
      </w:tr>
      <w:tr w:rsidR="000E7FC9" w14:paraId="3D54012F" w14:textId="77777777" w:rsidTr="00B322A7">
        <w:trPr>
          <w:cantSplit/>
          <w:jc w:val="center"/>
        </w:trPr>
        <w:tc>
          <w:tcPr>
            <w:tcW w:w="3721" w:type="dxa"/>
          </w:tcPr>
          <w:p w14:paraId="5D5A19C9"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Deferred taxes - Own</w:t>
            </w:r>
            <w:r>
              <w:rPr>
                <w:sz w:val="18"/>
                <w:szCs w:val="18"/>
              </w:rPr>
              <w:tab/>
            </w:r>
          </w:p>
        </w:tc>
        <w:tc>
          <w:tcPr>
            <w:tcW w:w="1268" w:type="dxa"/>
            <w:shd w:val="clear" w:color="auto" w:fill="auto"/>
            <w:noWrap/>
            <w:tcMar>
              <w:top w:w="0" w:type="dxa"/>
              <w:left w:w="144" w:type="dxa"/>
              <w:bottom w:w="0" w:type="dxa"/>
              <w:right w:w="0" w:type="dxa"/>
            </w:tcMar>
            <w:vAlign w:val="bottom"/>
          </w:tcPr>
          <w:p w14:paraId="649C1C2C"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53F1A0E5" w14:textId="77777777" w:rsidR="000E7FC9" w:rsidRDefault="000E7FC9" w:rsidP="00B322A7">
            <w:pPr>
              <w:ind w:right="83"/>
              <w:jc w:val="right"/>
              <w:rPr>
                <w:sz w:val="20"/>
                <w:lang w:val="en-GB" w:eastAsia="en-GB"/>
              </w:rPr>
            </w:pPr>
          </w:p>
        </w:tc>
        <w:tc>
          <w:tcPr>
            <w:tcW w:w="1742" w:type="dxa"/>
            <w:shd w:val="clear" w:color="auto" w:fill="auto"/>
            <w:vAlign w:val="center"/>
          </w:tcPr>
          <w:p w14:paraId="77B65405"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28C23410" w14:textId="77777777" w:rsidR="000E7FC9" w:rsidRDefault="000E7FC9" w:rsidP="00B322A7">
            <w:pPr>
              <w:ind w:right="83"/>
              <w:jc w:val="right"/>
              <w:rPr>
                <w:color w:val="000000"/>
                <w:sz w:val="18"/>
                <w:szCs w:val="18"/>
                <w:lang w:val="en-GB" w:eastAsia="en-GB"/>
              </w:rPr>
            </w:pPr>
            <w:r>
              <w:rPr>
                <w:color w:val="000000"/>
                <w:sz w:val="18"/>
                <w:szCs w:val="18"/>
                <w:lang w:val="en-GB" w:eastAsia="en-GB"/>
              </w:rPr>
              <w:t>(20,851)</w:t>
            </w:r>
          </w:p>
        </w:tc>
      </w:tr>
      <w:tr w:rsidR="000E7FC9" w14:paraId="767BEC80" w14:textId="77777777" w:rsidTr="00B322A7">
        <w:trPr>
          <w:cantSplit/>
          <w:jc w:val="center"/>
        </w:trPr>
        <w:tc>
          <w:tcPr>
            <w:tcW w:w="3721" w:type="dxa"/>
          </w:tcPr>
          <w:p w14:paraId="5ABE4AD4"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Deferred taxes - JV</w:t>
            </w:r>
            <w:r>
              <w:rPr>
                <w:sz w:val="18"/>
                <w:szCs w:val="18"/>
              </w:rPr>
              <w:tab/>
            </w:r>
          </w:p>
        </w:tc>
        <w:tc>
          <w:tcPr>
            <w:tcW w:w="1268" w:type="dxa"/>
            <w:shd w:val="clear" w:color="auto" w:fill="auto"/>
            <w:noWrap/>
            <w:tcMar>
              <w:top w:w="0" w:type="dxa"/>
              <w:left w:w="144" w:type="dxa"/>
              <w:bottom w:w="0" w:type="dxa"/>
              <w:right w:w="0" w:type="dxa"/>
            </w:tcMar>
            <w:vAlign w:val="bottom"/>
          </w:tcPr>
          <w:p w14:paraId="5149904A" w14:textId="77777777" w:rsidR="000E7FC9" w:rsidRDefault="000E7FC9" w:rsidP="00B322A7">
            <w:pPr>
              <w:ind w:right="83"/>
              <w:jc w:val="right"/>
              <w:rPr>
                <w:color w:val="000000"/>
                <w:sz w:val="18"/>
                <w:szCs w:val="18"/>
                <w:lang w:val="en-GB" w:eastAsia="en-GB"/>
              </w:rPr>
            </w:pPr>
          </w:p>
        </w:tc>
        <w:tc>
          <w:tcPr>
            <w:tcW w:w="1494" w:type="dxa"/>
            <w:shd w:val="clear" w:color="auto" w:fill="auto"/>
            <w:noWrap/>
            <w:tcMar>
              <w:top w:w="0" w:type="dxa"/>
              <w:left w:w="144" w:type="dxa"/>
              <w:bottom w:w="0" w:type="dxa"/>
              <w:right w:w="0" w:type="dxa"/>
            </w:tcMar>
            <w:vAlign w:val="center"/>
          </w:tcPr>
          <w:p w14:paraId="0E314898" w14:textId="77777777" w:rsidR="000E7FC9" w:rsidRDefault="000E7FC9" w:rsidP="00B322A7">
            <w:pPr>
              <w:ind w:right="83"/>
              <w:jc w:val="right"/>
              <w:rPr>
                <w:sz w:val="20"/>
                <w:lang w:val="en-GB" w:eastAsia="en-GB"/>
              </w:rPr>
            </w:pPr>
          </w:p>
        </w:tc>
        <w:tc>
          <w:tcPr>
            <w:tcW w:w="1742" w:type="dxa"/>
            <w:shd w:val="clear" w:color="auto" w:fill="auto"/>
            <w:vAlign w:val="center"/>
          </w:tcPr>
          <w:p w14:paraId="13BA9D4D"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tcPr>
          <w:p w14:paraId="793161A5" w14:textId="77777777" w:rsidR="000E7FC9" w:rsidRDefault="000E7FC9" w:rsidP="00B322A7">
            <w:pPr>
              <w:ind w:right="83"/>
              <w:jc w:val="right"/>
              <w:rPr>
                <w:color w:val="000000"/>
                <w:sz w:val="18"/>
                <w:szCs w:val="18"/>
                <w:lang w:val="en-GB" w:eastAsia="en-GB"/>
              </w:rPr>
            </w:pPr>
            <w:r>
              <w:rPr>
                <w:color w:val="000000"/>
                <w:sz w:val="18"/>
                <w:szCs w:val="18"/>
                <w:lang w:val="en-GB" w:eastAsia="en-GB"/>
              </w:rPr>
              <w:t>(1,922)</w:t>
            </w:r>
          </w:p>
        </w:tc>
      </w:tr>
      <w:tr w:rsidR="000E7FC9" w14:paraId="6279BF59" w14:textId="77777777" w:rsidTr="00B322A7">
        <w:trPr>
          <w:cantSplit/>
          <w:jc w:val="center"/>
        </w:trPr>
        <w:tc>
          <w:tcPr>
            <w:tcW w:w="3721" w:type="dxa"/>
            <w:hideMark/>
          </w:tcPr>
          <w:p w14:paraId="0B2CEA8E"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Reported profit for the period</w:t>
            </w:r>
            <w:r>
              <w:rPr>
                <w:b/>
                <w:bCs/>
                <w:sz w:val="18"/>
                <w:szCs w:val="18"/>
              </w:rPr>
              <w:tab/>
            </w:r>
          </w:p>
        </w:tc>
        <w:tc>
          <w:tcPr>
            <w:tcW w:w="1268" w:type="dxa"/>
            <w:shd w:val="clear" w:color="auto" w:fill="auto"/>
            <w:noWrap/>
            <w:tcMar>
              <w:top w:w="0" w:type="dxa"/>
              <w:left w:w="144" w:type="dxa"/>
              <w:bottom w:w="0" w:type="dxa"/>
              <w:right w:w="0" w:type="dxa"/>
            </w:tcMar>
            <w:vAlign w:val="center"/>
            <w:hideMark/>
          </w:tcPr>
          <w:p w14:paraId="552F0D65" w14:textId="77777777" w:rsidR="000E7FC9" w:rsidRDefault="000E7FC9" w:rsidP="00B322A7">
            <w:pPr>
              <w:ind w:right="83"/>
              <w:jc w:val="right"/>
              <w:rPr>
                <w:sz w:val="20"/>
                <w:lang w:val="en-GB" w:eastAsia="en-GB"/>
              </w:rPr>
            </w:pPr>
          </w:p>
        </w:tc>
        <w:tc>
          <w:tcPr>
            <w:tcW w:w="1494" w:type="dxa"/>
            <w:shd w:val="clear" w:color="auto" w:fill="auto"/>
            <w:noWrap/>
            <w:tcMar>
              <w:top w:w="0" w:type="dxa"/>
              <w:left w:w="144" w:type="dxa"/>
              <w:bottom w:w="0" w:type="dxa"/>
              <w:right w:w="0" w:type="dxa"/>
            </w:tcMar>
            <w:vAlign w:val="center"/>
            <w:hideMark/>
          </w:tcPr>
          <w:p w14:paraId="0921C44C" w14:textId="77777777" w:rsidR="000E7FC9" w:rsidRDefault="000E7FC9" w:rsidP="00B322A7">
            <w:pPr>
              <w:ind w:right="83"/>
              <w:jc w:val="right"/>
              <w:rPr>
                <w:sz w:val="20"/>
                <w:lang w:val="en-GB" w:eastAsia="en-GB"/>
              </w:rPr>
            </w:pPr>
          </w:p>
        </w:tc>
        <w:tc>
          <w:tcPr>
            <w:tcW w:w="1742" w:type="dxa"/>
            <w:shd w:val="clear" w:color="auto" w:fill="auto"/>
            <w:vAlign w:val="center"/>
          </w:tcPr>
          <w:p w14:paraId="6F743A99" w14:textId="77777777" w:rsidR="000E7FC9" w:rsidRDefault="000E7FC9" w:rsidP="00B322A7">
            <w:pPr>
              <w:ind w:right="83"/>
              <w:jc w:val="right"/>
              <w:rPr>
                <w:sz w:val="20"/>
                <w:lang w:val="en-GB" w:eastAsia="en-GB"/>
              </w:rPr>
            </w:pPr>
          </w:p>
        </w:tc>
        <w:tc>
          <w:tcPr>
            <w:tcW w:w="1136" w:type="dxa"/>
            <w:shd w:val="clear" w:color="auto" w:fill="auto"/>
            <w:noWrap/>
            <w:tcMar>
              <w:top w:w="0" w:type="dxa"/>
              <w:left w:w="144" w:type="dxa"/>
              <w:bottom w:w="0" w:type="dxa"/>
              <w:right w:w="0" w:type="dxa"/>
            </w:tcMar>
            <w:vAlign w:val="center"/>
            <w:hideMark/>
          </w:tcPr>
          <w:p w14:paraId="58F8F91D"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91,286 </w:t>
            </w:r>
          </w:p>
        </w:tc>
      </w:tr>
    </w:tbl>
    <w:p w14:paraId="20A414C9" w14:textId="7FC832D5" w:rsidR="000E7FC9" w:rsidRDefault="000E7FC9" w:rsidP="0060104C">
      <w:pPr>
        <w:pStyle w:val="VulcanIIbody"/>
      </w:pPr>
    </w:p>
    <w:tbl>
      <w:tblPr>
        <w:tblW w:w="472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477"/>
        <w:gridCol w:w="1267"/>
        <w:gridCol w:w="1492"/>
        <w:gridCol w:w="1740"/>
        <w:gridCol w:w="1235"/>
      </w:tblGrid>
      <w:tr w:rsidR="000E7FC9" w14:paraId="49F181B4" w14:textId="77777777" w:rsidTr="000E7FC9">
        <w:trPr>
          <w:cantSplit/>
          <w:jc w:val="center"/>
        </w:trPr>
        <w:tc>
          <w:tcPr>
            <w:tcW w:w="3477" w:type="dxa"/>
          </w:tcPr>
          <w:p w14:paraId="12B21A12" w14:textId="77777777" w:rsidR="000E7FC9" w:rsidRDefault="000E7FC9" w:rsidP="00B322A7">
            <w:pPr>
              <w:pStyle w:val="NormalWeb"/>
              <w:keepNext/>
              <w:tabs>
                <w:tab w:val="right" w:leader="dot" w:pos="4620"/>
              </w:tabs>
              <w:spacing w:before="0" w:beforeAutospacing="0" w:after="0" w:afterAutospacing="0"/>
              <w:ind w:left="240" w:hanging="240"/>
              <w:rPr>
                <w:i/>
                <w:sz w:val="18"/>
                <w:szCs w:val="18"/>
              </w:rPr>
            </w:pPr>
            <w:r>
              <w:rPr>
                <w:i/>
                <w:sz w:val="18"/>
                <w:szCs w:val="18"/>
              </w:rPr>
              <w:t>In thousands of €</w:t>
            </w:r>
          </w:p>
        </w:tc>
        <w:tc>
          <w:tcPr>
            <w:tcW w:w="5734" w:type="dxa"/>
            <w:gridSpan w:val="4"/>
            <w:noWrap/>
            <w:tcMar>
              <w:top w:w="0" w:type="dxa"/>
              <w:left w:w="144" w:type="dxa"/>
              <w:bottom w:w="0" w:type="dxa"/>
              <w:right w:w="0" w:type="dxa"/>
            </w:tcMar>
          </w:tcPr>
          <w:p w14:paraId="559ED8D7" w14:textId="31E9A59D" w:rsidR="000E7FC9" w:rsidRDefault="000E7FC9" w:rsidP="00B322A7">
            <w:pPr>
              <w:jc w:val="center"/>
              <w:rPr>
                <w:b/>
                <w:sz w:val="18"/>
                <w:szCs w:val="18"/>
              </w:rPr>
            </w:pPr>
            <w:r>
              <w:rPr>
                <w:b/>
                <w:bCs/>
                <w:sz w:val="16"/>
                <w:szCs w:val="16"/>
              </w:rPr>
              <w:t>For the year ended 31-Dec-</w:t>
            </w:r>
            <w:r>
              <w:rPr>
                <w:b/>
                <w:sz w:val="16"/>
                <w:szCs w:val="16"/>
              </w:rPr>
              <w:t>2015</w:t>
            </w:r>
          </w:p>
        </w:tc>
      </w:tr>
      <w:tr w:rsidR="000E7FC9" w14:paraId="13CFA699" w14:textId="77777777" w:rsidTr="000E7FC9">
        <w:trPr>
          <w:cantSplit/>
          <w:jc w:val="center"/>
        </w:trPr>
        <w:tc>
          <w:tcPr>
            <w:tcW w:w="3477" w:type="dxa"/>
          </w:tcPr>
          <w:p w14:paraId="5109A8D0" w14:textId="77777777" w:rsidR="000E7FC9" w:rsidRDefault="000E7FC9" w:rsidP="00B322A7">
            <w:pPr>
              <w:pStyle w:val="NormalWeb"/>
              <w:keepNext/>
              <w:tabs>
                <w:tab w:val="right" w:leader="dot" w:pos="4620"/>
              </w:tabs>
              <w:spacing w:before="0" w:beforeAutospacing="0" w:after="0" w:afterAutospacing="0"/>
              <w:ind w:left="240" w:hanging="240"/>
              <w:jc w:val="right"/>
              <w:rPr>
                <w:sz w:val="18"/>
                <w:szCs w:val="18"/>
              </w:rPr>
            </w:pPr>
          </w:p>
        </w:tc>
        <w:tc>
          <w:tcPr>
            <w:tcW w:w="1267" w:type="dxa"/>
            <w:noWrap/>
            <w:tcMar>
              <w:top w:w="0" w:type="dxa"/>
              <w:left w:w="144" w:type="dxa"/>
              <w:bottom w:w="0" w:type="dxa"/>
              <w:right w:w="0" w:type="dxa"/>
            </w:tcMar>
            <w:vAlign w:val="bottom"/>
          </w:tcPr>
          <w:p w14:paraId="7A9E05E8" w14:textId="77777777" w:rsidR="000E7FC9" w:rsidRPr="000E7FC9" w:rsidRDefault="000E7FC9" w:rsidP="00B322A7">
            <w:pPr>
              <w:ind w:right="185"/>
              <w:jc w:val="right"/>
              <w:rPr>
                <w:b/>
                <w:bCs/>
                <w:color w:val="000000"/>
                <w:sz w:val="18"/>
                <w:szCs w:val="18"/>
                <w:u w:val="single"/>
                <w:lang w:val="en-GB" w:eastAsia="en-GB"/>
              </w:rPr>
            </w:pPr>
            <w:r w:rsidRPr="000E7FC9">
              <w:rPr>
                <w:b/>
                <w:bCs/>
                <w:color w:val="000000"/>
                <w:sz w:val="18"/>
                <w:szCs w:val="18"/>
                <w:u w:val="single"/>
                <w:lang w:val="en-GB" w:eastAsia="en-GB"/>
              </w:rPr>
              <w:t>Rent</w:t>
            </w:r>
          </w:p>
          <w:p w14:paraId="1B558706" w14:textId="77777777" w:rsidR="000E7FC9" w:rsidRPr="000E7FC9" w:rsidRDefault="000E7FC9" w:rsidP="00B322A7">
            <w:pPr>
              <w:ind w:right="185"/>
              <w:jc w:val="right"/>
              <w:rPr>
                <w:b/>
                <w:bCs/>
                <w:color w:val="000000"/>
                <w:sz w:val="18"/>
                <w:szCs w:val="18"/>
                <w:u w:val="single"/>
                <w:lang w:val="en-GB" w:eastAsia="en-GB"/>
              </w:rPr>
            </w:pPr>
            <w:r w:rsidRPr="000E7FC9">
              <w:rPr>
                <w:b/>
                <w:bCs/>
                <w:color w:val="000000"/>
                <w:sz w:val="18"/>
                <w:szCs w:val="18"/>
                <w:u w:val="single"/>
                <w:lang w:val="en-GB" w:eastAsia="en-GB"/>
              </w:rPr>
              <w:t>EBITDA</w:t>
            </w:r>
          </w:p>
        </w:tc>
        <w:tc>
          <w:tcPr>
            <w:tcW w:w="1492" w:type="dxa"/>
            <w:noWrap/>
            <w:tcMar>
              <w:top w:w="0" w:type="dxa"/>
              <w:left w:w="144" w:type="dxa"/>
              <w:bottom w:w="0" w:type="dxa"/>
              <w:right w:w="0" w:type="dxa"/>
            </w:tcMar>
            <w:vAlign w:val="bottom"/>
          </w:tcPr>
          <w:p w14:paraId="3B29C0D4" w14:textId="77777777" w:rsidR="000E7FC9" w:rsidRPr="000E7FC9" w:rsidRDefault="000E7FC9" w:rsidP="00B322A7">
            <w:pPr>
              <w:ind w:right="185"/>
              <w:jc w:val="right"/>
              <w:rPr>
                <w:b/>
                <w:bCs/>
                <w:color w:val="000000"/>
                <w:sz w:val="18"/>
                <w:szCs w:val="18"/>
                <w:u w:val="single"/>
                <w:lang w:val="en-GB" w:eastAsia="en-GB"/>
              </w:rPr>
            </w:pPr>
            <w:r w:rsidRPr="000E7FC9">
              <w:rPr>
                <w:b/>
                <w:bCs/>
                <w:color w:val="000000"/>
                <w:sz w:val="18"/>
                <w:szCs w:val="18"/>
                <w:u w:val="single"/>
                <w:lang w:val="en-GB" w:eastAsia="en-GB"/>
              </w:rPr>
              <w:t>Development</w:t>
            </w:r>
          </w:p>
          <w:p w14:paraId="4BD76213" w14:textId="77777777" w:rsidR="000E7FC9" w:rsidRPr="000E7FC9" w:rsidRDefault="000E7FC9" w:rsidP="00B322A7">
            <w:pPr>
              <w:ind w:right="185"/>
              <w:jc w:val="right"/>
              <w:rPr>
                <w:b/>
                <w:bCs/>
                <w:color w:val="000000"/>
                <w:sz w:val="18"/>
                <w:szCs w:val="18"/>
                <w:u w:val="single"/>
                <w:lang w:val="en-GB" w:eastAsia="en-GB"/>
              </w:rPr>
            </w:pPr>
            <w:r w:rsidRPr="000E7FC9">
              <w:rPr>
                <w:b/>
                <w:bCs/>
                <w:color w:val="000000"/>
                <w:sz w:val="18"/>
                <w:szCs w:val="18"/>
                <w:u w:val="single"/>
                <w:lang w:val="en-GB" w:eastAsia="en-GB"/>
              </w:rPr>
              <w:t>EBITDA</w:t>
            </w:r>
          </w:p>
        </w:tc>
        <w:tc>
          <w:tcPr>
            <w:tcW w:w="1740" w:type="dxa"/>
            <w:vAlign w:val="bottom"/>
          </w:tcPr>
          <w:p w14:paraId="20DA63AC" w14:textId="77777777" w:rsidR="000E7FC9" w:rsidRPr="000E7FC9" w:rsidRDefault="000E7FC9" w:rsidP="00B322A7">
            <w:pPr>
              <w:ind w:right="185"/>
              <w:jc w:val="right"/>
              <w:rPr>
                <w:b/>
                <w:bCs/>
                <w:color w:val="000000"/>
                <w:sz w:val="18"/>
                <w:szCs w:val="18"/>
                <w:u w:val="single"/>
                <w:lang w:val="en-GB" w:eastAsia="en-GB"/>
              </w:rPr>
            </w:pPr>
            <w:r w:rsidRPr="000E7FC9">
              <w:rPr>
                <w:b/>
                <w:bCs/>
                <w:color w:val="000000"/>
                <w:sz w:val="18"/>
                <w:szCs w:val="18"/>
                <w:u w:val="single"/>
                <w:lang w:val="en-GB" w:eastAsia="en-GB"/>
              </w:rPr>
              <w:t>Property and asset management EBITDA</w:t>
            </w:r>
          </w:p>
        </w:tc>
        <w:tc>
          <w:tcPr>
            <w:tcW w:w="1235" w:type="dxa"/>
            <w:noWrap/>
            <w:tcMar>
              <w:top w:w="0" w:type="dxa"/>
              <w:left w:w="144" w:type="dxa"/>
              <w:bottom w:w="0" w:type="dxa"/>
              <w:right w:w="0" w:type="dxa"/>
            </w:tcMar>
            <w:vAlign w:val="bottom"/>
          </w:tcPr>
          <w:p w14:paraId="752E7F1E" w14:textId="77777777" w:rsidR="000E7FC9" w:rsidRPr="000E7FC9" w:rsidRDefault="000E7FC9" w:rsidP="00B322A7">
            <w:pPr>
              <w:ind w:right="185"/>
              <w:jc w:val="right"/>
              <w:rPr>
                <w:b/>
                <w:bCs/>
                <w:color w:val="000000"/>
                <w:sz w:val="18"/>
                <w:szCs w:val="18"/>
                <w:u w:val="single"/>
                <w:lang w:val="en-GB" w:eastAsia="en-GB"/>
              </w:rPr>
            </w:pPr>
            <w:r w:rsidRPr="000E7FC9">
              <w:rPr>
                <w:b/>
                <w:bCs/>
                <w:color w:val="000000"/>
                <w:sz w:val="18"/>
                <w:szCs w:val="18"/>
                <w:u w:val="single"/>
                <w:lang w:val="en-GB" w:eastAsia="en-GB"/>
              </w:rPr>
              <w:t>Total</w:t>
            </w:r>
          </w:p>
        </w:tc>
      </w:tr>
      <w:tr w:rsidR="000E7FC9" w14:paraId="4DDD92B8" w14:textId="77777777" w:rsidTr="000E7FC9">
        <w:trPr>
          <w:cantSplit/>
          <w:trHeight w:val="145"/>
          <w:jc w:val="center"/>
        </w:trPr>
        <w:tc>
          <w:tcPr>
            <w:tcW w:w="3477" w:type="dxa"/>
          </w:tcPr>
          <w:p w14:paraId="2037096F" w14:textId="77777777" w:rsidR="000E7FC9" w:rsidRDefault="000E7FC9" w:rsidP="00B322A7">
            <w:pPr>
              <w:pStyle w:val="NormalWeb"/>
              <w:keepNext/>
              <w:tabs>
                <w:tab w:val="right" w:leader="dot" w:pos="4620"/>
              </w:tabs>
              <w:spacing w:before="0" w:beforeAutospacing="0" w:after="0" w:afterAutospacing="0"/>
              <w:ind w:left="240" w:hanging="240"/>
              <w:jc w:val="right"/>
              <w:rPr>
                <w:sz w:val="18"/>
                <w:szCs w:val="18"/>
              </w:rPr>
            </w:pPr>
          </w:p>
        </w:tc>
        <w:tc>
          <w:tcPr>
            <w:tcW w:w="1267" w:type="dxa"/>
            <w:noWrap/>
            <w:tcMar>
              <w:top w:w="0" w:type="dxa"/>
              <w:left w:w="144" w:type="dxa"/>
              <w:bottom w:w="0" w:type="dxa"/>
              <w:right w:w="0" w:type="dxa"/>
            </w:tcMar>
          </w:tcPr>
          <w:p w14:paraId="7A71B698" w14:textId="77777777" w:rsidR="000E7FC9" w:rsidRPr="000E7FC9" w:rsidRDefault="000E7FC9" w:rsidP="00B322A7">
            <w:pPr>
              <w:pStyle w:val="NormalWeb"/>
              <w:tabs>
                <w:tab w:val="right" w:pos="900"/>
                <w:tab w:val="decimal" w:pos="940"/>
              </w:tabs>
              <w:spacing w:before="0" w:beforeAutospacing="0" w:after="20" w:afterAutospacing="0"/>
              <w:ind w:right="185"/>
              <w:jc w:val="right"/>
              <w:rPr>
                <w:b/>
                <w:sz w:val="18"/>
                <w:szCs w:val="18"/>
              </w:rPr>
            </w:pPr>
          </w:p>
        </w:tc>
        <w:tc>
          <w:tcPr>
            <w:tcW w:w="1492" w:type="dxa"/>
            <w:noWrap/>
            <w:tcMar>
              <w:top w:w="0" w:type="dxa"/>
              <w:left w:w="144" w:type="dxa"/>
              <w:bottom w:w="0" w:type="dxa"/>
              <w:right w:w="0" w:type="dxa"/>
            </w:tcMar>
          </w:tcPr>
          <w:p w14:paraId="7776EC29" w14:textId="77777777" w:rsidR="000E7FC9" w:rsidRPr="000E7FC9" w:rsidRDefault="000E7FC9" w:rsidP="00B322A7">
            <w:pPr>
              <w:pStyle w:val="NormalWeb"/>
              <w:tabs>
                <w:tab w:val="right" w:pos="900"/>
                <w:tab w:val="decimal" w:pos="940"/>
              </w:tabs>
              <w:spacing w:before="0" w:beforeAutospacing="0" w:after="20" w:afterAutospacing="0"/>
              <w:ind w:right="185"/>
              <w:jc w:val="right"/>
              <w:rPr>
                <w:b/>
                <w:sz w:val="18"/>
                <w:szCs w:val="18"/>
              </w:rPr>
            </w:pPr>
          </w:p>
        </w:tc>
        <w:tc>
          <w:tcPr>
            <w:tcW w:w="1740" w:type="dxa"/>
          </w:tcPr>
          <w:p w14:paraId="284EE658" w14:textId="77777777" w:rsidR="000E7FC9" w:rsidRPr="000E7FC9" w:rsidRDefault="000E7FC9" w:rsidP="00B322A7">
            <w:pPr>
              <w:pStyle w:val="NormalWeb"/>
              <w:tabs>
                <w:tab w:val="right" w:pos="900"/>
                <w:tab w:val="decimal" w:pos="940"/>
              </w:tabs>
              <w:spacing w:before="0" w:beforeAutospacing="0" w:after="20" w:afterAutospacing="0"/>
              <w:ind w:right="185"/>
              <w:jc w:val="right"/>
              <w:rPr>
                <w:b/>
                <w:sz w:val="18"/>
                <w:szCs w:val="18"/>
              </w:rPr>
            </w:pPr>
          </w:p>
        </w:tc>
        <w:tc>
          <w:tcPr>
            <w:tcW w:w="1235" w:type="dxa"/>
            <w:noWrap/>
            <w:tcMar>
              <w:top w:w="0" w:type="dxa"/>
              <w:left w:w="144" w:type="dxa"/>
              <w:bottom w:w="0" w:type="dxa"/>
              <w:right w:w="0" w:type="dxa"/>
            </w:tcMar>
          </w:tcPr>
          <w:p w14:paraId="75E784C6" w14:textId="77777777" w:rsidR="000E7FC9" w:rsidRPr="000E7FC9" w:rsidRDefault="000E7FC9" w:rsidP="00B322A7">
            <w:pPr>
              <w:pStyle w:val="NormalWeb"/>
              <w:tabs>
                <w:tab w:val="right" w:pos="900"/>
                <w:tab w:val="decimal" w:pos="940"/>
              </w:tabs>
              <w:spacing w:before="0" w:beforeAutospacing="0" w:after="20" w:afterAutospacing="0"/>
              <w:ind w:right="185"/>
              <w:jc w:val="right"/>
              <w:rPr>
                <w:b/>
                <w:sz w:val="18"/>
                <w:szCs w:val="18"/>
              </w:rPr>
            </w:pPr>
          </w:p>
        </w:tc>
      </w:tr>
      <w:tr w:rsidR="000E7FC9" w14:paraId="12BAEFEC" w14:textId="77777777" w:rsidTr="000E7FC9">
        <w:trPr>
          <w:cantSplit/>
          <w:jc w:val="center"/>
        </w:trPr>
        <w:tc>
          <w:tcPr>
            <w:tcW w:w="3477" w:type="dxa"/>
            <w:hideMark/>
          </w:tcPr>
          <w:p w14:paraId="4852812C" w14:textId="77777777" w:rsidR="000E7FC9" w:rsidRDefault="000E7FC9" w:rsidP="00B322A7">
            <w:pPr>
              <w:pStyle w:val="NormalWeb"/>
              <w:keepNext/>
              <w:tabs>
                <w:tab w:val="right" w:leader="dot" w:pos="4620"/>
              </w:tabs>
              <w:spacing w:before="0" w:beforeAutospacing="0" w:after="0" w:afterAutospacing="0"/>
              <w:ind w:left="240" w:hanging="240"/>
              <w:jc w:val="right"/>
              <w:rPr>
                <w:rFonts w:eastAsiaTheme="minorEastAsia"/>
                <w:sz w:val="18"/>
                <w:szCs w:val="18"/>
              </w:rPr>
            </w:pPr>
            <w:r>
              <w:rPr>
                <w:sz w:val="18"/>
                <w:szCs w:val="18"/>
              </w:rPr>
              <w:t>Revenue</w:t>
            </w:r>
            <w:r>
              <w:rPr>
                <w:sz w:val="18"/>
                <w:szCs w:val="18"/>
              </w:rPr>
              <w:tab/>
            </w:r>
          </w:p>
        </w:tc>
        <w:tc>
          <w:tcPr>
            <w:tcW w:w="1267" w:type="dxa"/>
            <w:shd w:val="clear" w:color="auto" w:fill="auto"/>
            <w:noWrap/>
            <w:tcMar>
              <w:top w:w="0" w:type="dxa"/>
              <w:left w:w="144" w:type="dxa"/>
              <w:bottom w:w="0" w:type="dxa"/>
              <w:right w:w="0" w:type="dxa"/>
            </w:tcMar>
            <w:vAlign w:val="center"/>
          </w:tcPr>
          <w:p w14:paraId="20325725"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w:t>
            </w:r>
          </w:p>
        </w:tc>
        <w:tc>
          <w:tcPr>
            <w:tcW w:w="1492" w:type="dxa"/>
            <w:shd w:val="clear" w:color="auto" w:fill="auto"/>
            <w:noWrap/>
            <w:tcMar>
              <w:top w:w="0" w:type="dxa"/>
              <w:left w:w="144" w:type="dxa"/>
              <w:bottom w:w="0" w:type="dxa"/>
              <w:right w:w="0" w:type="dxa"/>
            </w:tcMar>
            <w:vAlign w:val="center"/>
          </w:tcPr>
          <w:p w14:paraId="4645D7F8"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w:t>
            </w:r>
          </w:p>
        </w:tc>
        <w:tc>
          <w:tcPr>
            <w:tcW w:w="1740" w:type="dxa"/>
            <w:shd w:val="clear" w:color="auto" w:fill="auto"/>
            <w:vAlign w:val="center"/>
          </w:tcPr>
          <w:p w14:paraId="007B2169"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w:t>
            </w:r>
          </w:p>
        </w:tc>
        <w:tc>
          <w:tcPr>
            <w:tcW w:w="1235" w:type="dxa"/>
            <w:shd w:val="clear" w:color="auto" w:fill="auto"/>
            <w:noWrap/>
            <w:tcMar>
              <w:top w:w="0" w:type="dxa"/>
              <w:left w:w="144" w:type="dxa"/>
              <w:bottom w:w="0" w:type="dxa"/>
              <w:right w:w="0" w:type="dxa"/>
            </w:tcMar>
            <w:vAlign w:val="center"/>
            <w:hideMark/>
          </w:tcPr>
          <w:p w14:paraId="0EBD643B"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23,118 </w:t>
            </w:r>
          </w:p>
        </w:tc>
      </w:tr>
      <w:tr w:rsidR="000E7FC9" w14:paraId="5CF32E43" w14:textId="77777777" w:rsidTr="000E7FC9">
        <w:trPr>
          <w:cantSplit/>
          <w:jc w:val="center"/>
        </w:trPr>
        <w:tc>
          <w:tcPr>
            <w:tcW w:w="3477" w:type="dxa"/>
            <w:hideMark/>
          </w:tcPr>
          <w:p w14:paraId="2892F076" w14:textId="77777777" w:rsidR="000E7FC9" w:rsidRDefault="000E7FC9" w:rsidP="00B322A7">
            <w:pPr>
              <w:pStyle w:val="NormalWeb"/>
              <w:keepNext/>
              <w:tabs>
                <w:tab w:val="right" w:leader="dot" w:pos="4620"/>
              </w:tabs>
              <w:spacing w:before="0" w:beforeAutospacing="0" w:after="0" w:afterAutospacing="0"/>
              <w:ind w:left="240" w:hanging="240"/>
              <w:jc w:val="right"/>
              <w:rPr>
                <w:rFonts w:eastAsiaTheme="minorEastAsia"/>
                <w:sz w:val="18"/>
                <w:szCs w:val="18"/>
              </w:rPr>
            </w:pPr>
            <w:r>
              <w:rPr>
                <w:sz w:val="18"/>
                <w:szCs w:val="18"/>
              </w:rPr>
              <w:t>Gross rental income</w:t>
            </w:r>
            <w:r>
              <w:rPr>
                <w:sz w:val="18"/>
                <w:szCs w:val="18"/>
              </w:rPr>
              <w:tab/>
            </w:r>
          </w:p>
        </w:tc>
        <w:tc>
          <w:tcPr>
            <w:tcW w:w="1267" w:type="dxa"/>
            <w:shd w:val="clear" w:color="auto" w:fill="auto"/>
            <w:noWrap/>
            <w:tcMar>
              <w:top w:w="0" w:type="dxa"/>
              <w:left w:w="144" w:type="dxa"/>
              <w:bottom w:w="0" w:type="dxa"/>
              <w:right w:w="0" w:type="dxa"/>
            </w:tcMar>
            <w:vAlign w:val="center"/>
            <w:hideMark/>
          </w:tcPr>
          <w:p w14:paraId="281FB825"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17,073 </w:t>
            </w:r>
          </w:p>
        </w:tc>
        <w:tc>
          <w:tcPr>
            <w:tcW w:w="1492" w:type="dxa"/>
            <w:shd w:val="clear" w:color="auto" w:fill="auto"/>
            <w:noWrap/>
            <w:tcMar>
              <w:top w:w="0" w:type="dxa"/>
              <w:left w:w="144" w:type="dxa"/>
              <w:bottom w:w="0" w:type="dxa"/>
              <w:right w:w="0" w:type="dxa"/>
            </w:tcMar>
            <w:vAlign w:val="center"/>
          </w:tcPr>
          <w:p w14:paraId="63E83A65"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w:t>
            </w:r>
          </w:p>
        </w:tc>
        <w:tc>
          <w:tcPr>
            <w:tcW w:w="1740" w:type="dxa"/>
            <w:shd w:val="clear" w:color="auto" w:fill="auto"/>
            <w:vAlign w:val="center"/>
          </w:tcPr>
          <w:p w14:paraId="5F1519CE"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w:t>
            </w:r>
          </w:p>
        </w:tc>
        <w:tc>
          <w:tcPr>
            <w:tcW w:w="1235" w:type="dxa"/>
            <w:shd w:val="clear" w:color="auto" w:fill="auto"/>
            <w:noWrap/>
            <w:tcMar>
              <w:top w:w="0" w:type="dxa"/>
              <w:left w:w="144" w:type="dxa"/>
              <w:bottom w:w="0" w:type="dxa"/>
              <w:right w:w="0" w:type="dxa"/>
            </w:tcMar>
            <w:vAlign w:val="center"/>
            <w:hideMark/>
          </w:tcPr>
          <w:p w14:paraId="478BE594"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17,073 </w:t>
            </w:r>
          </w:p>
        </w:tc>
      </w:tr>
      <w:tr w:rsidR="000E7FC9" w14:paraId="74353A44" w14:textId="77777777" w:rsidTr="000E7FC9">
        <w:trPr>
          <w:cantSplit/>
          <w:jc w:val="center"/>
        </w:trPr>
        <w:tc>
          <w:tcPr>
            <w:tcW w:w="3477" w:type="dxa"/>
            <w:hideMark/>
          </w:tcPr>
          <w:p w14:paraId="7842B5D3"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Service charge income</w:t>
            </w:r>
            <w:r>
              <w:rPr>
                <w:sz w:val="18"/>
                <w:szCs w:val="18"/>
              </w:rPr>
              <w:tab/>
            </w:r>
          </w:p>
        </w:tc>
        <w:tc>
          <w:tcPr>
            <w:tcW w:w="1267" w:type="dxa"/>
            <w:shd w:val="clear" w:color="auto" w:fill="auto"/>
            <w:noWrap/>
            <w:tcMar>
              <w:top w:w="0" w:type="dxa"/>
              <w:left w:w="144" w:type="dxa"/>
              <w:bottom w:w="0" w:type="dxa"/>
              <w:right w:w="0" w:type="dxa"/>
            </w:tcMar>
            <w:vAlign w:val="center"/>
            <w:hideMark/>
          </w:tcPr>
          <w:p w14:paraId="324658AA"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3,498 </w:t>
            </w:r>
          </w:p>
        </w:tc>
        <w:tc>
          <w:tcPr>
            <w:tcW w:w="1492" w:type="dxa"/>
            <w:shd w:val="clear" w:color="auto" w:fill="auto"/>
            <w:noWrap/>
            <w:tcMar>
              <w:top w:w="0" w:type="dxa"/>
              <w:left w:w="144" w:type="dxa"/>
              <w:bottom w:w="0" w:type="dxa"/>
              <w:right w:w="0" w:type="dxa"/>
            </w:tcMar>
            <w:vAlign w:val="center"/>
          </w:tcPr>
          <w:p w14:paraId="4FC432B8"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w:t>
            </w:r>
          </w:p>
        </w:tc>
        <w:tc>
          <w:tcPr>
            <w:tcW w:w="1740" w:type="dxa"/>
            <w:shd w:val="clear" w:color="auto" w:fill="auto"/>
            <w:vAlign w:val="center"/>
          </w:tcPr>
          <w:p w14:paraId="34DAA931"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w:t>
            </w:r>
          </w:p>
        </w:tc>
        <w:tc>
          <w:tcPr>
            <w:tcW w:w="1235" w:type="dxa"/>
            <w:shd w:val="clear" w:color="auto" w:fill="auto"/>
            <w:noWrap/>
            <w:tcMar>
              <w:top w:w="0" w:type="dxa"/>
              <w:left w:w="144" w:type="dxa"/>
              <w:bottom w:w="0" w:type="dxa"/>
              <w:right w:w="0" w:type="dxa"/>
            </w:tcMar>
            <w:vAlign w:val="center"/>
            <w:hideMark/>
          </w:tcPr>
          <w:p w14:paraId="4399894D"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3,498 </w:t>
            </w:r>
          </w:p>
        </w:tc>
      </w:tr>
      <w:tr w:rsidR="000E7FC9" w14:paraId="36C0BFEB" w14:textId="77777777" w:rsidTr="000E7FC9">
        <w:trPr>
          <w:cantSplit/>
          <w:jc w:val="center"/>
        </w:trPr>
        <w:tc>
          <w:tcPr>
            <w:tcW w:w="3477" w:type="dxa"/>
            <w:hideMark/>
          </w:tcPr>
          <w:p w14:paraId="3909471A" w14:textId="77777777" w:rsidR="000E7FC9" w:rsidRDefault="000E7FC9" w:rsidP="00B322A7">
            <w:pPr>
              <w:pStyle w:val="NormalWeb"/>
              <w:tabs>
                <w:tab w:val="right" w:leader="dot" w:pos="4620"/>
              </w:tabs>
              <w:spacing w:before="0" w:beforeAutospacing="0" w:after="0" w:afterAutospacing="0"/>
              <w:jc w:val="right"/>
              <w:rPr>
                <w:rFonts w:eastAsiaTheme="minorEastAsia"/>
                <w:sz w:val="18"/>
                <w:szCs w:val="18"/>
              </w:rPr>
            </w:pPr>
            <w:r>
              <w:rPr>
                <w:sz w:val="18"/>
                <w:szCs w:val="18"/>
              </w:rPr>
              <w:t>Service charge expenses</w:t>
            </w:r>
            <w:r>
              <w:rPr>
                <w:sz w:val="18"/>
                <w:szCs w:val="18"/>
              </w:rPr>
              <w:tab/>
            </w:r>
          </w:p>
        </w:tc>
        <w:tc>
          <w:tcPr>
            <w:tcW w:w="1267" w:type="dxa"/>
            <w:shd w:val="clear" w:color="auto" w:fill="auto"/>
            <w:noWrap/>
            <w:tcMar>
              <w:top w:w="0" w:type="dxa"/>
              <w:left w:w="144" w:type="dxa"/>
              <w:bottom w:w="0" w:type="dxa"/>
              <w:right w:w="0" w:type="dxa"/>
            </w:tcMar>
            <w:vAlign w:val="center"/>
            <w:hideMark/>
          </w:tcPr>
          <w:p w14:paraId="33F988C9"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(3,076)</w:t>
            </w:r>
          </w:p>
        </w:tc>
        <w:tc>
          <w:tcPr>
            <w:tcW w:w="1492" w:type="dxa"/>
            <w:shd w:val="clear" w:color="auto" w:fill="auto"/>
            <w:noWrap/>
            <w:tcMar>
              <w:top w:w="0" w:type="dxa"/>
              <w:left w:w="144" w:type="dxa"/>
              <w:bottom w:w="0" w:type="dxa"/>
              <w:right w:w="0" w:type="dxa"/>
            </w:tcMar>
            <w:vAlign w:val="center"/>
          </w:tcPr>
          <w:p w14:paraId="070166C8"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w:t>
            </w:r>
          </w:p>
        </w:tc>
        <w:tc>
          <w:tcPr>
            <w:tcW w:w="1740" w:type="dxa"/>
            <w:shd w:val="clear" w:color="auto" w:fill="auto"/>
            <w:vAlign w:val="center"/>
          </w:tcPr>
          <w:p w14:paraId="5BD0BF60"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w:t>
            </w:r>
          </w:p>
        </w:tc>
        <w:tc>
          <w:tcPr>
            <w:tcW w:w="1235" w:type="dxa"/>
            <w:shd w:val="clear" w:color="auto" w:fill="auto"/>
            <w:noWrap/>
            <w:tcMar>
              <w:top w:w="0" w:type="dxa"/>
              <w:left w:w="144" w:type="dxa"/>
              <w:bottom w:w="0" w:type="dxa"/>
              <w:right w:w="0" w:type="dxa"/>
            </w:tcMar>
            <w:vAlign w:val="center"/>
            <w:hideMark/>
          </w:tcPr>
          <w:p w14:paraId="724AB2F8"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(3,076)</w:t>
            </w:r>
          </w:p>
        </w:tc>
      </w:tr>
      <w:tr w:rsidR="000E7FC9" w14:paraId="0EFB9C91" w14:textId="77777777" w:rsidTr="000E7FC9">
        <w:trPr>
          <w:cantSplit/>
          <w:jc w:val="center"/>
        </w:trPr>
        <w:tc>
          <w:tcPr>
            <w:tcW w:w="3477" w:type="dxa"/>
            <w:hideMark/>
          </w:tcPr>
          <w:p w14:paraId="1B8F5C89" w14:textId="77777777" w:rsidR="000E7FC9" w:rsidRDefault="000E7FC9" w:rsidP="00B322A7">
            <w:pPr>
              <w:pStyle w:val="NormalWeb"/>
              <w:tabs>
                <w:tab w:val="right" w:leader="dot" w:pos="4620"/>
              </w:tabs>
              <w:spacing w:before="0" w:beforeAutospacing="0" w:after="0" w:afterAutospacing="0"/>
              <w:jc w:val="right"/>
              <w:rPr>
                <w:rFonts w:eastAsiaTheme="minorEastAsia"/>
                <w:sz w:val="18"/>
                <w:szCs w:val="18"/>
              </w:rPr>
            </w:pPr>
            <w:r>
              <w:rPr>
                <w:sz w:val="18"/>
                <w:szCs w:val="18"/>
              </w:rPr>
              <w:t>Property operating expenses</w:t>
            </w:r>
            <w:r>
              <w:rPr>
                <w:sz w:val="18"/>
                <w:szCs w:val="18"/>
              </w:rPr>
              <w:tab/>
            </w:r>
          </w:p>
        </w:tc>
        <w:tc>
          <w:tcPr>
            <w:tcW w:w="1267" w:type="dxa"/>
            <w:shd w:val="clear" w:color="auto" w:fill="auto"/>
            <w:noWrap/>
            <w:tcMar>
              <w:top w:w="0" w:type="dxa"/>
              <w:left w:w="144" w:type="dxa"/>
              <w:bottom w:w="0" w:type="dxa"/>
              <w:right w:w="0" w:type="dxa"/>
            </w:tcMar>
            <w:vAlign w:val="center"/>
            <w:hideMark/>
          </w:tcPr>
          <w:p w14:paraId="65DDB627"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(97)</w:t>
            </w:r>
          </w:p>
        </w:tc>
        <w:tc>
          <w:tcPr>
            <w:tcW w:w="1492" w:type="dxa"/>
            <w:shd w:val="clear" w:color="auto" w:fill="auto"/>
            <w:noWrap/>
            <w:tcMar>
              <w:top w:w="0" w:type="dxa"/>
              <w:left w:w="144" w:type="dxa"/>
              <w:bottom w:w="0" w:type="dxa"/>
              <w:right w:w="0" w:type="dxa"/>
            </w:tcMar>
            <w:vAlign w:val="center"/>
            <w:hideMark/>
          </w:tcPr>
          <w:p w14:paraId="05A1F3D4"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(875)</w:t>
            </w:r>
          </w:p>
        </w:tc>
        <w:tc>
          <w:tcPr>
            <w:tcW w:w="1740" w:type="dxa"/>
            <w:shd w:val="clear" w:color="auto" w:fill="auto"/>
            <w:vAlign w:val="center"/>
          </w:tcPr>
          <w:p w14:paraId="3113B095"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 </w:t>
            </w:r>
          </w:p>
        </w:tc>
        <w:tc>
          <w:tcPr>
            <w:tcW w:w="1235" w:type="dxa"/>
            <w:shd w:val="clear" w:color="auto" w:fill="auto"/>
            <w:noWrap/>
            <w:tcMar>
              <w:top w:w="0" w:type="dxa"/>
              <w:left w:w="144" w:type="dxa"/>
              <w:bottom w:w="0" w:type="dxa"/>
              <w:right w:w="0" w:type="dxa"/>
            </w:tcMar>
            <w:vAlign w:val="center"/>
            <w:hideMark/>
          </w:tcPr>
          <w:p w14:paraId="5B6A102E"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(972)</w:t>
            </w:r>
          </w:p>
        </w:tc>
      </w:tr>
      <w:tr w:rsidR="000E7FC9" w14:paraId="47E64ACA" w14:textId="77777777" w:rsidTr="000E7FC9">
        <w:trPr>
          <w:cantSplit/>
          <w:jc w:val="center"/>
        </w:trPr>
        <w:tc>
          <w:tcPr>
            <w:tcW w:w="3477" w:type="dxa"/>
            <w:hideMark/>
          </w:tcPr>
          <w:p w14:paraId="65B210B5"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Net rental income</w:t>
            </w:r>
            <w:r>
              <w:rPr>
                <w:b/>
                <w:bCs/>
                <w:sz w:val="18"/>
                <w:szCs w:val="18"/>
              </w:rPr>
              <w:tab/>
            </w:r>
          </w:p>
        </w:tc>
        <w:tc>
          <w:tcPr>
            <w:tcW w:w="1267" w:type="dxa"/>
            <w:shd w:val="clear" w:color="auto" w:fill="auto"/>
            <w:noWrap/>
            <w:tcMar>
              <w:top w:w="0" w:type="dxa"/>
              <w:left w:w="144" w:type="dxa"/>
              <w:bottom w:w="0" w:type="dxa"/>
              <w:right w:w="0" w:type="dxa"/>
            </w:tcMar>
            <w:vAlign w:val="center"/>
            <w:hideMark/>
          </w:tcPr>
          <w:p w14:paraId="7B37EC22" w14:textId="77777777" w:rsidR="000E7FC9" w:rsidRPr="000E7FC9" w:rsidRDefault="000E7FC9" w:rsidP="00B322A7">
            <w:pPr>
              <w:ind w:right="83"/>
              <w:jc w:val="right"/>
              <w:rPr>
                <w:b/>
                <w:bCs/>
                <w:color w:val="000000"/>
                <w:sz w:val="18"/>
                <w:szCs w:val="18"/>
                <w:lang w:val="en-GB" w:eastAsia="en-GB"/>
              </w:rPr>
            </w:pPr>
            <w:r w:rsidRPr="000E7FC9">
              <w:rPr>
                <w:b/>
                <w:bCs/>
                <w:color w:val="000000"/>
                <w:sz w:val="18"/>
                <w:szCs w:val="18"/>
                <w:lang w:val="en-GB" w:eastAsia="en-GB"/>
              </w:rPr>
              <w:t xml:space="preserve">17,398 </w:t>
            </w:r>
          </w:p>
        </w:tc>
        <w:tc>
          <w:tcPr>
            <w:tcW w:w="1492" w:type="dxa"/>
            <w:shd w:val="clear" w:color="auto" w:fill="auto"/>
            <w:noWrap/>
            <w:tcMar>
              <w:top w:w="0" w:type="dxa"/>
              <w:left w:w="144" w:type="dxa"/>
              <w:bottom w:w="0" w:type="dxa"/>
              <w:right w:w="0" w:type="dxa"/>
            </w:tcMar>
            <w:vAlign w:val="center"/>
            <w:hideMark/>
          </w:tcPr>
          <w:p w14:paraId="2B6AC246" w14:textId="77777777" w:rsidR="000E7FC9" w:rsidRPr="000E7FC9" w:rsidRDefault="000E7FC9" w:rsidP="00B322A7">
            <w:pPr>
              <w:ind w:right="83"/>
              <w:jc w:val="right"/>
              <w:rPr>
                <w:b/>
                <w:bCs/>
                <w:color w:val="000000"/>
                <w:sz w:val="18"/>
                <w:szCs w:val="18"/>
                <w:lang w:val="en-GB" w:eastAsia="en-GB"/>
              </w:rPr>
            </w:pPr>
            <w:r w:rsidRPr="000E7FC9">
              <w:rPr>
                <w:b/>
                <w:bCs/>
                <w:color w:val="000000"/>
                <w:sz w:val="18"/>
                <w:szCs w:val="18"/>
                <w:lang w:val="en-GB" w:eastAsia="en-GB"/>
              </w:rPr>
              <w:t>(875)</w:t>
            </w:r>
          </w:p>
        </w:tc>
        <w:tc>
          <w:tcPr>
            <w:tcW w:w="1740" w:type="dxa"/>
            <w:shd w:val="clear" w:color="auto" w:fill="auto"/>
            <w:vAlign w:val="center"/>
          </w:tcPr>
          <w:p w14:paraId="39ABBCE4" w14:textId="77777777" w:rsidR="000E7FC9" w:rsidRPr="000E7FC9" w:rsidRDefault="000E7FC9" w:rsidP="00B322A7">
            <w:pPr>
              <w:ind w:right="83"/>
              <w:jc w:val="right"/>
              <w:rPr>
                <w:b/>
                <w:bCs/>
                <w:color w:val="000000"/>
                <w:sz w:val="18"/>
                <w:szCs w:val="18"/>
                <w:lang w:val="en-GB" w:eastAsia="en-GB"/>
              </w:rPr>
            </w:pPr>
            <w:r w:rsidRPr="000E7FC9">
              <w:rPr>
                <w:b/>
                <w:bCs/>
                <w:color w:val="000000"/>
                <w:sz w:val="18"/>
                <w:szCs w:val="18"/>
                <w:lang w:val="en-GB" w:eastAsia="en-GB"/>
              </w:rPr>
              <w:t xml:space="preserve">- </w:t>
            </w:r>
          </w:p>
        </w:tc>
        <w:tc>
          <w:tcPr>
            <w:tcW w:w="1235" w:type="dxa"/>
            <w:shd w:val="clear" w:color="auto" w:fill="auto"/>
            <w:noWrap/>
            <w:tcMar>
              <w:top w:w="0" w:type="dxa"/>
              <w:left w:w="144" w:type="dxa"/>
              <w:bottom w:w="0" w:type="dxa"/>
              <w:right w:w="0" w:type="dxa"/>
            </w:tcMar>
            <w:vAlign w:val="center"/>
            <w:hideMark/>
          </w:tcPr>
          <w:p w14:paraId="0C7A38EB" w14:textId="77777777" w:rsidR="000E7FC9" w:rsidRPr="000E7FC9" w:rsidRDefault="000E7FC9" w:rsidP="00B322A7">
            <w:pPr>
              <w:ind w:right="83"/>
              <w:jc w:val="right"/>
              <w:rPr>
                <w:b/>
                <w:bCs/>
                <w:color w:val="000000"/>
                <w:sz w:val="18"/>
                <w:szCs w:val="18"/>
                <w:lang w:val="en-GB" w:eastAsia="en-GB"/>
              </w:rPr>
            </w:pPr>
            <w:r w:rsidRPr="000E7FC9">
              <w:rPr>
                <w:b/>
                <w:bCs/>
                <w:color w:val="000000"/>
                <w:sz w:val="18"/>
                <w:szCs w:val="18"/>
                <w:lang w:val="en-GB" w:eastAsia="en-GB"/>
              </w:rPr>
              <w:t xml:space="preserve">16,523 </w:t>
            </w:r>
          </w:p>
        </w:tc>
      </w:tr>
      <w:tr w:rsidR="000E7FC9" w14:paraId="64F46FCF" w14:textId="77777777" w:rsidTr="000E7FC9">
        <w:trPr>
          <w:cantSplit/>
          <w:jc w:val="center"/>
        </w:trPr>
        <w:tc>
          <w:tcPr>
            <w:tcW w:w="3477" w:type="dxa"/>
            <w:hideMark/>
          </w:tcPr>
          <w:p w14:paraId="68D002CB"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Property and development management income</w:t>
            </w:r>
            <w:r>
              <w:rPr>
                <w:sz w:val="18"/>
                <w:szCs w:val="18"/>
              </w:rPr>
              <w:tab/>
            </w:r>
          </w:p>
        </w:tc>
        <w:tc>
          <w:tcPr>
            <w:tcW w:w="1267" w:type="dxa"/>
            <w:shd w:val="clear" w:color="auto" w:fill="auto"/>
            <w:noWrap/>
            <w:tcMar>
              <w:top w:w="0" w:type="dxa"/>
              <w:left w:w="144" w:type="dxa"/>
              <w:bottom w:w="0" w:type="dxa"/>
              <w:right w:w="0" w:type="dxa"/>
            </w:tcMar>
            <w:vAlign w:val="center"/>
          </w:tcPr>
          <w:p w14:paraId="0F0816AB"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w:t>
            </w:r>
          </w:p>
        </w:tc>
        <w:tc>
          <w:tcPr>
            <w:tcW w:w="1492" w:type="dxa"/>
            <w:shd w:val="clear" w:color="auto" w:fill="auto"/>
            <w:noWrap/>
            <w:tcMar>
              <w:top w:w="0" w:type="dxa"/>
              <w:left w:w="144" w:type="dxa"/>
              <w:bottom w:w="0" w:type="dxa"/>
              <w:right w:w="0" w:type="dxa"/>
            </w:tcMar>
            <w:vAlign w:val="center"/>
          </w:tcPr>
          <w:p w14:paraId="445A4755"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w:t>
            </w:r>
          </w:p>
        </w:tc>
        <w:tc>
          <w:tcPr>
            <w:tcW w:w="1740" w:type="dxa"/>
            <w:shd w:val="clear" w:color="auto" w:fill="auto"/>
            <w:vAlign w:val="center"/>
          </w:tcPr>
          <w:p w14:paraId="566F5DF8"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1,433 </w:t>
            </w:r>
          </w:p>
        </w:tc>
        <w:tc>
          <w:tcPr>
            <w:tcW w:w="1235" w:type="dxa"/>
            <w:shd w:val="clear" w:color="auto" w:fill="auto"/>
            <w:noWrap/>
            <w:tcMar>
              <w:top w:w="0" w:type="dxa"/>
              <w:left w:w="144" w:type="dxa"/>
              <w:bottom w:w="0" w:type="dxa"/>
              <w:right w:w="0" w:type="dxa"/>
            </w:tcMar>
            <w:vAlign w:val="center"/>
            <w:hideMark/>
          </w:tcPr>
          <w:p w14:paraId="0974E7FC"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1,433 </w:t>
            </w:r>
          </w:p>
        </w:tc>
      </w:tr>
      <w:tr w:rsidR="000E7FC9" w14:paraId="435D9767" w14:textId="77777777" w:rsidTr="000E7FC9">
        <w:trPr>
          <w:cantSplit/>
          <w:jc w:val="center"/>
        </w:trPr>
        <w:tc>
          <w:tcPr>
            <w:tcW w:w="3477" w:type="dxa"/>
            <w:hideMark/>
          </w:tcPr>
          <w:p w14:paraId="10723A0F"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Facility management income</w:t>
            </w:r>
            <w:r>
              <w:rPr>
                <w:sz w:val="18"/>
                <w:szCs w:val="18"/>
              </w:rPr>
              <w:tab/>
            </w:r>
          </w:p>
        </w:tc>
        <w:tc>
          <w:tcPr>
            <w:tcW w:w="1267" w:type="dxa"/>
            <w:shd w:val="clear" w:color="auto" w:fill="auto"/>
            <w:noWrap/>
            <w:tcMar>
              <w:top w:w="0" w:type="dxa"/>
              <w:left w:w="144" w:type="dxa"/>
              <w:bottom w:w="0" w:type="dxa"/>
              <w:right w:w="0" w:type="dxa"/>
            </w:tcMar>
            <w:vAlign w:val="center"/>
          </w:tcPr>
          <w:p w14:paraId="092A0D78"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w:t>
            </w:r>
          </w:p>
        </w:tc>
        <w:tc>
          <w:tcPr>
            <w:tcW w:w="1492" w:type="dxa"/>
            <w:shd w:val="clear" w:color="auto" w:fill="auto"/>
            <w:noWrap/>
            <w:tcMar>
              <w:top w:w="0" w:type="dxa"/>
              <w:left w:w="144" w:type="dxa"/>
              <w:bottom w:w="0" w:type="dxa"/>
              <w:right w:w="0" w:type="dxa"/>
            </w:tcMar>
            <w:vAlign w:val="center"/>
          </w:tcPr>
          <w:p w14:paraId="2D537B07"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w:t>
            </w:r>
          </w:p>
        </w:tc>
        <w:tc>
          <w:tcPr>
            <w:tcW w:w="1740" w:type="dxa"/>
            <w:shd w:val="clear" w:color="auto" w:fill="auto"/>
            <w:vAlign w:val="center"/>
          </w:tcPr>
          <w:p w14:paraId="76A38B7D"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1,114 </w:t>
            </w:r>
          </w:p>
        </w:tc>
        <w:tc>
          <w:tcPr>
            <w:tcW w:w="1235" w:type="dxa"/>
            <w:shd w:val="clear" w:color="auto" w:fill="auto"/>
            <w:noWrap/>
            <w:tcMar>
              <w:top w:w="0" w:type="dxa"/>
              <w:left w:w="144" w:type="dxa"/>
              <w:bottom w:w="0" w:type="dxa"/>
              <w:right w:w="0" w:type="dxa"/>
            </w:tcMar>
            <w:vAlign w:val="center"/>
            <w:hideMark/>
          </w:tcPr>
          <w:p w14:paraId="7B2B3357"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1,114 </w:t>
            </w:r>
          </w:p>
        </w:tc>
      </w:tr>
      <w:tr w:rsidR="000E7FC9" w14:paraId="134A4D71" w14:textId="77777777" w:rsidTr="000E7FC9">
        <w:trPr>
          <w:cantSplit/>
          <w:jc w:val="center"/>
        </w:trPr>
        <w:tc>
          <w:tcPr>
            <w:tcW w:w="3477" w:type="dxa"/>
            <w:hideMark/>
          </w:tcPr>
          <w:p w14:paraId="78861B90" w14:textId="77777777" w:rsidR="000E7FC9" w:rsidRDefault="000E7FC9" w:rsidP="00B322A7">
            <w:pPr>
              <w:pStyle w:val="NormalWeb"/>
              <w:tabs>
                <w:tab w:val="right" w:leader="dot" w:pos="4620"/>
              </w:tabs>
              <w:spacing w:before="0" w:beforeAutospacing="0" w:after="0" w:afterAutospacing="0"/>
              <w:ind w:left="240" w:hanging="240"/>
              <w:rPr>
                <w:rFonts w:eastAsiaTheme="minorEastAsia"/>
                <w:sz w:val="18"/>
                <w:szCs w:val="18"/>
              </w:rPr>
            </w:pPr>
            <w:r>
              <w:rPr>
                <w:sz w:val="18"/>
                <w:szCs w:val="18"/>
              </w:rPr>
              <w:t>Net valuation gains/(losses) on investment properties</w:t>
            </w:r>
            <w:r>
              <w:rPr>
                <w:sz w:val="18"/>
                <w:szCs w:val="18"/>
              </w:rPr>
              <w:tab/>
            </w:r>
          </w:p>
        </w:tc>
        <w:tc>
          <w:tcPr>
            <w:tcW w:w="1267" w:type="dxa"/>
            <w:shd w:val="clear" w:color="auto" w:fill="auto"/>
            <w:noWrap/>
            <w:tcMar>
              <w:top w:w="0" w:type="dxa"/>
              <w:left w:w="144" w:type="dxa"/>
              <w:bottom w:w="0" w:type="dxa"/>
              <w:right w:w="0" w:type="dxa"/>
            </w:tcMar>
            <w:vAlign w:val="center"/>
            <w:hideMark/>
          </w:tcPr>
          <w:p w14:paraId="4BDC58A6"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 </w:t>
            </w:r>
          </w:p>
        </w:tc>
        <w:tc>
          <w:tcPr>
            <w:tcW w:w="1492" w:type="dxa"/>
            <w:shd w:val="clear" w:color="auto" w:fill="auto"/>
            <w:noWrap/>
            <w:tcMar>
              <w:top w:w="0" w:type="dxa"/>
              <w:left w:w="144" w:type="dxa"/>
              <w:bottom w:w="0" w:type="dxa"/>
              <w:right w:w="0" w:type="dxa"/>
            </w:tcMar>
            <w:vAlign w:val="center"/>
            <w:hideMark/>
          </w:tcPr>
          <w:p w14:paraId="5F41C387"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97,298 </w:t>
            </w:r>
          </w:p>
        </w:tc>
        <w:tc>
          <w:tcPr>
            <w:tcW w:w="1740" w:type="dxa"/>
            <w:shd w:val="clear" w:color="auto" w:fill="auto"/>
            <w:vAlign w:val="center"/>
          </w:tcPr>
          <w:p w14:paraId="78F6E91B"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w:t>
            </w:r>
          </w:p>
        </w:tc>
        <w:tc>
          <w:tcPr>
            <w:tcW w:w="1235" w:type="dxa"/>
            <w:shd w:val="clear" w:color="auto" w:fill="auto"/>
            <w:noWrap/>
            <w:tcMar>
              <w:top w:w="0" w:type="dxa"/>
              <w:left w:w="144" w:type="dxa"/>
              <w:bottom w:w="0" w:type="dxa"/>
              <w:right w:w="0" w:type="dxa"/>
            </w:tcMar>
            <w:vAlign w:val="center"/>
            <w:hideMark/>
          </w:tcPr>
          <w:p w14:paraId="3359B38F"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 xml:space="preserve">97,298 </w:t>
            </w:r>
          </w:p>
        </w:tc>
      </w:tr>
      <w:tr w:rsidR="000E7FC9" w14:paraId="2D983724" w14:textId="77777777" w:rsidTr="000E7FC9">
        <w:trPr>
          <w:cantSplit/>
          <w:jc w:val="center"/>
        </w:trPr>
        <w:tc>
          <w:tcPr>
            <w:tcW w:w="3477" w:type="dxa"/>
            <w:hideMark/>
          </w:tcPr>
          <w:p w14:paraId="2489AF62"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Administration expenses</w:t>
            </w:r>
            <w:r>
              <w:rPr>
                <w:sz w:val="18"/>
                <w:szCs w:val="18"/>
              </w:rPr>
              <w:tab/>
            </w:r>
          </w:p>
        </w:tc>
        <w:tc>
          <w:tcPr>
            <w:tcW w:w="1267" w:type="dxa"/>
            <w:shd w:val="clear" w:color="auto" w:fill="auto"/>
            <w:noWrap/>
            <w:tcMar>
              <w:top w:w="0" w:type="dxa"/>
              <w:left w:w="144" w:type="dxa"/>
              <w:bottom w:w="0" w:type="dxa"/>
              <w:right w:w="0" w:type="dxa"/>
            </w:tcMar>
            <w:vAlign w:val="center"/>
            <w:hideMark/>
          </w:tcPr>
          <w:p w14:paraId="511A1971"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(229)</w:t>
            </w:r>
          </w:p>
        </w:tc>
        <w:tc>
          <w:tcPr>
            <w:tcW w:w="1492" w:type="dxa"/>
            <w:shd w:val="clear" w:color="auto" w:fill="auto"/>
            <w:noWrap/>
            <w:tcMar>
              <w:top w:w="0" w:type="dxa"/>
              <w:left w:w="144" w:type="dxa"/>
              <w:bottom w:w="0" w:type="dxa"/>
              <w:right w:w="0" w:type="dxa"/>
            </w:tcMar>
            <w:vAlign w:val="center"/>
            <w:hideMark/>
          </w:tcPr>
          <w:p w14:paraId="714EF1E5"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(11,122)</w:t>
            </w:r>
          </w:p>
        </w:tc>
        <w:tc>
          <w:tcPr>
            <w:tcW w:w="1740" w:type="dxa"/>
            <w:shd w:val="clear" w:color="auto" w:fill="auto"/>
            <w:vAlign w:val="center"/>
          </w:tcPr>
          <w:p w14:paraId="7CA2C2F7"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(1,366)</w:t>
            </w:r>
          </w:p>
        </w:tc>
        <w:tc>
          <w:tcPr>
            <w:tcW w:w="1235" w:type="dxa"/>
            <w:shd w:val="clear" w:color="auto" w:fill="auto"/>
            <w:noWrap/>
            <w:tcMar>
              <w:top w:w="0" w:type="dxa"/>
              <w:left w:w="144" w:type="dxa"/>
              <w:bottom w:w="0" w:type="dxa"/>
              <w:right w:w="0" w:type="dxa"/>
            </w:tcMar>
            <w:vAlign w:val="center"/>
            <w:hideMark/>
          </w:tcPr>
          <w:p w14:paraId="0B1E89C6" w14:textId="77777777" w:rsidR="000E7FC9" w:rsidRPr="000E7FC9" w:rsidRDefault="000E7FC9" w:rsidP="00B322A7">
            <w:pPr>
              <w:ind w:right="83"/>
              <w:jc w:val="right"/>
              <w:rPr>
                <w:color w:val="000000"/>
                <w:sz w:val="18"/>
                <w:szCs w:val="18"/>
                <w:lang w:val="en-GB" w:eastAsia="en-GB"/>
              </w:rPr>
            </w:pPr>
            <w:r w:rsidRPr="000E7FC9">
              <w:rPr>
                <w:color w:val="000000"/>
                <w:sz w:val="18"/>
                <w:szCs w:val="18"/>
                <w:lang w:val="en-GB" w:eastAsia="en-GB"/>
              </w:rPr>
              <w:t>(12,717)</w:t>
            </w:r>
          </w:p>
        </w:tc>
      </w:tr>
      <w:tr w:rsidR="000E7FC9" w14:paraId="398EBD04" w14:textId="77777777" w:rsidTr="000E7FC9">
        <w:trPr>
          <w:cantSplit/>
          <w:jc w:val="center"/>
        </w:trPr>
        <w:tc>
          <w:tcPr>
            <w:tcW w:w="3477" w:type="dxa"/>
            <w:hideMark/>
          </w:tcPr>
          <w:p w14:paraId="43881B1F"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income</w:t>
            </w:r>
            <w:r>
              <w:rPr>
                <w:sz w:val="18"/>
                <w:szCs w:val="18"/>
              </w:rPr>
              <w:tab/>
            </w:r>
          </w:p>
        </w:tc>
        <w:tc>
          <w:tcPr>
            <w:tcW w:w="1267" w:type="dxa"/>
            <w:shd w:val="clear" w:color="auto" w:fill="auto"/>
            <w:noWrap/>
            <w:tcMar>
              <w:top w:w="0" w:type="dxa"/>
              <w:left w:w="144" w:type="dxa"/>
              <w:bottom w:w="0" w:type="dxa"/>
              <w:right w:w="0" w:type="dxa"/>
            </w:tcMar>
            <w:vAlign w:val="center"/>
            <w:hideMark/>
          </w:tcPr>
          <w:p w14:paraId="57855332"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487 </w:t>
            </w:r>
          </w:p>
        </w:tc>
        <w:tc>
          <w:tcPr>
            <w:tcW w:w="1492" w:type="dxa"/>
            <w:shd w:val="clear" w:color="auto" w:fill="auto"/>
            <w:noWrap/>
            <w:tcMar>
              <w:top w:w="0" w:type="dxa"/>
              <w:left w:w="144" w:type="dxa"/>
              <w:bottom w:w="0" w:type="dxa"/>
              <w:right w:w="0" w:type="dxa"/>
            </w:tcMar>
            <w:vAlign w:val="center"/>
          </w:tcPr>
          <w:p w14:paraId="30D58453"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0" w:type="dxa"/>
            <w:shd w:val="clear" w:color="auto" w:fill="auto"/>
            <w:vAlign w:val="center"/>
          </w:tcPr>
          <w:p w14:paraId="0A4231DB"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235" w:type="dxa"/>
            <w:shd w:val="clear" w:color="auto" w:fill="auto"/>
            <w:noWrap/>
            <w:tcMar>
              <w:top w:w="0" w:type="dxa"/>
              <w:left w:w="144" w:type="dxa"/>
              <w:bottom w:w="0" w:type="dxa"/>
              <w:right w:w="0" w:type="dxa"/>
            </w:tcMar>
            <w:vAlign w:val="center"/>
            <w:hideMark/>
          </w:tcPr>
          <w:p w14:paraId="287F5FE6"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487 </w:t>
            </w:r>
          </w:p>
        </w:tc>
      </w:tr>
      <w:tr w:rsidR="000E7FC9" w14:paraId="2A86A5EB" w14:textId="77777777" w:rsidTr="000E7FC9">
        <w:trPr>
          <w:cantSplit/>
          <w:jc w:val="center"/>
        </w:trPr>
        <w:tc>
          <w:tcPr>
            <w:tcW w:w="3477" w:type="dxa"/>
            <w:hideMark/>
          </w:tcPr>
          <w:p w14:paraId="33F620B7"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expenses</w:t>
            </w:r>
            <w:r>
              <w:rPr>
                <w:sz w:val="18"/>
                <w:szCs w:val="18"/>
              </w:rPr>
              <w:tab/>
            </w:r>
          </w:p>
        </w:tc>
        <w:tc>
          <w:tcPr>
            <w:tcW w:w="1267" w:type="dxa"/>
            <w:shd w:val="clear" w:color="auto" w:fill="auto"/>
            <w:noWrap/>
            <w:tcMar>
              <w:top w:w="0" w:type="dxa"/>
              <w:left w:w="144" w:type="dxa"/>
              <w:bottom w:w="0" w:type="dxa"/>
              <w:right w:w="0" w:type="dxa"/>
            </w:tcMar>
            <w:vAlign w:val="center"/>
            <w:hideMark/>
          </w:tcPr>
          <w:p w14:paraId="0451D34B" w14:textId="77777777" w:rsidR="000E7FC9" w:rsidRDefault="000E7FC9" w:rsidP="00B322A7">
            <w:pPr>
              <w:ind w:right="83"/>
              <w:jc w:val="right"/>
              <w:rPr>
                <w:color w:val="000000"/>
                <w:sz w:val="18"/>
                <w:szCs w:val="18"/>
                <w:lang w:val="en-GB" w:eastAsia="en-GB"/>
              </w:rPr>
            </w:pPr>
            <w:r>
              <w:rPr>
                <w:color w:val="000000"/>
                <w:sz w:val="18"/>
                <w:szCs w:val="18"/>
                <w:lang w:val="en-GB" w:eastAsia="en-GB"/>
              </w:rPr>
              <w:t>(756)</w:t>
            </w:r>
          </w:p>
        </w:tc>
        <w:tc>
          <w:tcPr>
            <w:tcW w:w="1492" w:type="dxa"/>
            <w:shd w:val="clear" w:color="auto" w:fill="auto"/>
            <w:noWrap/>
            <w:tcMar>
              <w:top w:w="0" w:type="dxa"/>
              <w:left w:w="144" w:type="dxa"/>
              <w:bottom w:w="0" w:type="dxa"/>
              <w:right w:w="0" w:type="dxa"/>
            </w:tcMar>
            <w:vAlign w:val="center"/>
          </w:tcPr>
          <w:p w14:paraId="52238A4F"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0" w:type="dxa"/>
            <w:shd w:val="clear" w:color="auto" w:fill="auto"/>
            <w:vAlign w:val="center"/>
          </w:tcPr>
          <w:p w14:paraId="387DDD07" w14:textId="77777777" w:rsidR="000E7FC9" w:rsidRDefault="000E7FC9" w:rsidP="00B322A7">
            <w:pPr>
              <w:ind w:right="83"/>
              <w:jc w:val="right"/>
              <w:rPr>
                <w:color w:val="000000"/>
                <w:sz w:val="18"/>
                <w:szCs w:val="18"/>
                <w:lang w:val="en-GB" w:eastAsia="en-GB"/>
              </w:rPr>
            </w:pPr>
            <w:r>
              <w:rPr>
                <w:color w:val="000000"/>
                <w:sz w:val="18"/>
                <w:szCs w:val="18"/>
                <w:lang w:val="en-GB" w:eastAsia="en-GB"/>
              </w:rPr>
              <w:t>(278)</w:t>
            </w:r>
          </w:p>
        </w:tc>
        <w:tc>
          <w:tcPr>
            <w:tcW w:w="1235" w:type="dxa"/>
            <w:shd w:val="clear" w:color="auto" w:fill="auto"/>
            <w:noWrap/>
            <w:tcMar>
              <w:top w:w="0" w:type="dxa"/>
              <w:left w:w="144" w:type="dxa"/>
              <w:bottom w:w="0" w:type="dxa"/>
              <w:right w:w="0" w:type="dxa"/>
            </w:tcMar>
            <w:vAlign w:val="center"/>
            <w:hideMark/>
          </w:tcPr>
          <w:p w14:paraId="4F9537B3" w14:textId="77777777" w:rsidR="000E7FC9" w:rsidRDefault="000E7FC9" w:rsidP="00B322A7">
            <w:pPr>
              <w:ind w:right="83"/>
              <w:jc w:val="right"/>
              <w:rPr>
                <w:color w:val="000000"/>
                <w:sz w:val="18"/>
                <w:szCs w:val="18"/>
                <w:lang w:val="en-GB" w:eastAsia="en-GB"/>
              </w:rPr>
            </w:pPr>
            <w:r>
              <w:rPr>
                <w:color w:val="000000"/>
                <w:sz w:val="18"/>
                <w:szCs w:val="18"/>
                <w:lang w:val="en-GB" w:eastAsia="en-GB"/>
              </w:rPr>
              <w:t>(1,034)</w:t>
            </w:r>
          </w:p>
        </w:tc>
      </w:tr>
      <w:tr w:rsidR="000E7FC9" w14:paraId="599848E8" w14:textId="77777777" w:rsidTr="000E7FC9">
        <w:trPr>
          <w:cantSplit/>
          <w:jc w:val="center"/>
        </w:trPr>
        <w:tc>
          <w:tcPr>
            <w:tcW w:w="3477" w:type="dxa"/>
          </w:tcPr>
          <w:p w14:paraId="0A9804B0" w14:textId="77777777" w:rsidR="000E7FC9" w:rsidRDefault="000E7FC9" w:rsidP="00B322A7">
            <w:pPr>
              <w:pStyle w:val="NormalWeb"/>
              <w:tabs>
                <w:tab w:val="right" w:leader="dot" w:pos="4620"/>
              </w:tabs>
              <w:spacing w:before="0" w:beforeAutospacing="0" w:after="0" w:afterAutospacing="0"/>
              <w:ind w:left="240" w:hanging="240"/>
              <w:jc w:val="right"/>
              <w:rPr>
                <w:sz w:val="18"/>
                <w:szCs w:val="18"/>
              </w:rPr>
            </w:pPr>
            <w:r>
              <w:rPr>
                <w:sz w:val="18"/>
                <w:szCs w:val="18"/>
              </w:rPr>
              <w:t>Share in result of joint venture and associates</w:t>
            </w:r>
            <w:r>
              <w:rPr>
                <w:sz w:val="18"/>
                <w:szCs w:val="18"/>
              </w:rPr>
              <w:tab/>
            </w:r>
          </w:p>
        </w:tc>
        <w:tc>
          <w:tcPr>
            <w:tcW w:w="1267" w:type="dxa"/>
            <w:shd w:val="clear" w:color="auto" w:fill="auto"/>
            <w:noWrap/>
            <w:tcMar>
              <w:top w:w="0" w:type="dxa"/>
              <w:left w:w="144" w:type="dxa"/>
              <w:bottom w:w="0" w:type="dxa"/>
              <w:right w:w="0" w:type="dxa"/>
            </w:tcMar>
            <w:vAlign w:val="center"/>
          </w:tcPr>
          <w:p w14:paraId="04F87F06"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191 </w:t>
            </w:r>
          </w:p>
        </w:tc>
        <w:tc>
          <w:tcPr>
            <w:tcW w:w="1492" w:type="dxa"/>
            <w:shd w:val="clear" w:color="auto" w:fill="auto"/>
            <w:noWrap/>
            <w:tcMar>
              <w:top w:w="0" w:type="dxa"/>
              <w:left w:w="144" w:type="dxa"/>
              <w:bottom w:w="0" w:type="dxa"/>
              <w:right w:w="0" w:type="dxa"/>
            </w:tcMar>
            <w:vAlign w:val="center"/>
          </w:tcPr>
          <w:p w14:paraId="4C2DCDAA"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740" w:type="dxa"/>
            <w:shd w:val="clear" w:color="auto" w:fill="auto"/>
            <w:vAlign w:val="center"/>
          </w:tcPr>
          <w:p w14:paraId="1437CD59" w14:textId="77777777" w:rsidR="000E7FC9" w:rsidRDefault="000E7FC9" w:rsidP="00B322A7">
            <w:pPr>
              <w:ind w:right="83"/>
              <w:jc w:val="right"/>
              <w:rPr>
                <w:color w:val="000000"/>
                <w:sz w:val="18"/>
                <w:szCs w:val="18"/>
                <w:lang w:val="en-GB" w:eastAsia="en-GB"/>
              </w:rPr>
            </w:pPr>
            <w:r>
              <w:rPr>
                <w:color w:val="000000"/>
                <w:sz w:val="18"/>
                <w:szCs w:val="18"/>
                <w:lang w:val="en-GB" w:eastAsia="en-GB"/>
              </w:rPr>
              <w:t>-</w:t>
            </w:r>
          </w:p>
        </w:tc>
        <w:tc>
          <w:tcPr>
            <w:tcW w:w="1235" w:type="dxa"/>
            <w:shd w:val="clear" w:color="auto" w:fill="auto"/>
            <w:noWrap/>
            <w:tcMar>
              <w:top w:w="0" w:type="dxa"/>
              <w:left w:w="144" w:type="dxa"/>
              <w:bottom w:w="0" w:type="dxa"/>
              <w:right w:w="0" w:type="dxa"/>
            </w:tcMar>
            <w:vAlign w:val="center"/>
          </w:tcPr>
          <w:p w14:paraId="3BCD99F6"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191 </w:t>
            </w:r>
          </w:p>
        </w:tc>
      </w:tr>
      <w:tr w:rsidR="000E7FC9" w14:paraId="559582A0" w14:textId="77777777" w:rsidTr="000E7FC9">
        <w:trPr>
          <w:cantSplit/>
          <w:jc w:val="center"/>
        </w:trPr>
        <w:tc>
          <w:tcPr>
            <w:tcW w:w="3477" w:type="dxa"/>
            <w:hideMark/>
          </w:tcPr>
          <w:p w14:paraId="4231E49E"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EBITDA</w:t>
            </w:r>
            <w:r>
              <w:rPr>
                <w:b/>
                <w:bCs/>
                <w:sz w:val="18"/>
                <w:szCs w:val="18"/>
              </w:rPr>
              <w:tab/>
            </w:r>
          </w:p>
        </w:tc>
        <w:tc>
          <w:tcPr>
            <w:tcW w:w="1267" w:type="dxa"/>
            <w:shd w:val="clear" w:color="auto" w:fill="auto"/>
            <w:noWrap/>
            <w:tcMar>
              <w:top w:w="0" w:type="dxa"/>
              <w:left w:w="144" w:type="dxa"/>
              <w:bottom w:w="0" w:type="dxa"/>
              <w:right w:w="0" w:type="dxa"/>
            </w:tcMar>
            <w:vAlign w:val="center"/>
            <w:hideMark/>
          </w:tcPr>
          <w:p w14:paraId="0F1C504D"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17,091 </w:t>
            </w:r>
          </w:p>
        </w:tc>
        <w:tc>
          <w:tcPr>
            <w:tcW w:w="1492" w:type="dxa"/>
            <w:shd w:val="clear" w:color="auto" w:fill="auto"/>
            <w:noWrap/>
            <w:tcMar>
              <w:top w:w="0" w:type="dxa"/>
              <w:left w:w="144" w:type="dxa"/>
              <w:bottom w:w="0" w:type="dxa"/>
              <w:right w:w="0" w:type="dxa"/>
            </w:tcMar>
            <w:vAlign w:val="center"/>
            <w:hideMark/>
          </w:tcPr>
          <w:p w14:paraId="4C4157B7"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85,301 </w:t>
            </w:r>
          </w:p>
        </w:tc>
        <w:tc>
          <w:tcPr>
            <w:tcW w:w="1740" w:type="dxa"/>
            <w:shd w:val="clear" w:color="auto" w:fill="auto"/>
            <w:vAlign w:val="center"/>
          </w:tcPr>
          <w:p w14:paraId="01CED4BC"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903 </w:t>
            </w:r>
          </w:p>
        </w:tc>
        <w:tc>
          <w:tcPr>
            <w:tcW w:w="1235" w:type="dxa"/>
            <w:shd w:val="clear" w:color="auto" w:fill="auto"/>
            <w:noWrap/>
            <w:tcMar>
              <w:top w:w="0" w:type="dxa"/>
              <w:left w:w="144" w:type="dxa"/>
              <w:bottom w:w="0" w:type="dxa"/>
              <w:right w:w="0" w:type="dxa"/>
            </w:tcMar>
            <w:vAlign w:val="center"/>
            <w:hideMark/>
          </w:tcPr>
          <w:p w14:paraId="76C3EE2F"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103,295 </w:t>
            </w:r>
          </w:p>
        </w:tc>
      </w:tr>
      <w:tr w:rsidR="000E7FC9" w14:paraId="3871173D" w14:textId="77777777" w:rsidTr="000E7FC9">
        <w:trPr>
          <w:jc w:val="center"/>
        </w:trPr>
        <w:tc>
          <w:tcPr>
            <w:tcW w:w="3477" w:type="dxa"/>
            <w:tcMar>
              <w:top w:w="0" w:type="dxa"/>
              <w:left w:w="144" w:type="dxa"/>
              <w:bottom w:w="0" w:type="dxa"/>
              <w:right w:w="0" w:type="dxa"/>
            </w:tcMar>
            <w:hideMark/>
          </w:tcPr>
          <w:p w14:paraId="63C12723" w14:textId="77777777" w:rsidR="000E7FC9" w:rsidRDefault="000E7FC9" w:rsidP="00B322A7">
            <w:pPr>
              <w:pStyle w:val="la2"/>
              <w:jc w:val="right"/>
              <w:rPr>
                <w:rFonts w:eastAsiaTheme="minorEastAsia"/>
                <w:sz w:val="2"/>
                <w:szCs w:val="2"/>
              </w:rPr>
            </w:pPr>
            <w:r>
              <w:rPr>
                <w:sz w:val="2"/>
                <w:szCs w:val="2"/>
              </w:rPr>
              <w:t> </w:t>
            </w:r>
          </w:p>
        </w:tc>
        <w:tc>
          <w:tcPr>
            <w:tcW w:w="1267" w:type="dxa"/>
            <w:shd w:val="clear" w:color="auto" w:fill="auto"/>
            <w:tcMar>
              <w:top w:w="0" w:type="dxa"/>
              <w:left w:w="144" w:type="dxa"/>
              <w:bottom w:w="0" w:type="dxa"/>
              <w:right w:w="0" w:type="dxa"/>
            </w:tcMar>
            <w:vAlign w:val="center"/>
            <w:hideMark/>
          </w:tcPr>
          <w:p w14:paraId="040762F4" w14:textId="77777777" w:rsidR="000E7FC9" w:rsidRDefault="000E7FC9" w:rsidP="00B322A7">
            <w:pPr>
              <w:ind w:right="83"/>
              <w:jc w:val="right"/>
              <w:rPr>
                <w:b/>
                <w:bCs/>
                <w:color w:val="000000"/>
                <w:sz w:val="18"/>
                <w:szCs w:val="18"/>
                <w:lang w:val="en-GB" w:eastAsia="en-GB"/>
              </w:rPr>
            </w:pPr>
          </w:p>
        </w:tc>
        <w:tc>
          <w:tcPr>
            <w:tcW w:w="1492" w:type="dxa"/>
            <w:shd w:val="clear" w:color="auto" w:fill="auto"/>
            <w:tcMar>
              <w:top w:w="0" w:type="dxa"/>
              <w:left w:w="144" w:type="dxa"/>
              <w:bottom w:w="0" w:type="dxa"/>
              <w:right w:w="0" w:type="dxa"/>
            </w:tcMar>
            <w:vAlign w:val="center"/>
            <w:hideMark/>
          </w:tcPr>
          <w:p w14:paraId="2A6BDA12" w14:textId="77777777" w:rsidR="000E7FC9" w:rsidRDefault="000E7FC9" w:rsidP="00B322A7">
            <w:pPr>
              <w:ind w:right="83"/>
              <w:jc w:val="right"/>
              <w:rPr>
                <w:sz w:val="20"/>
                <w:lang w:val="en-GB" w:eastAsia="en-GB"/>
              </w:rPr>
            </w:pPr>
          </w:p>
        </w:tc>
        <w:tc>
          <w:tcPr>
            <w:tcW w:w="1740" w:type="dxa"/>
            <w:shd w:val="clear" w:color="auto" w:fill="auto"/>
            <w:vAlign w:val="center"/>
          </w:tcPr>
          <w:p w14:paraId="0699BD8F" w14:textId="77777777" w:rsidR="000E7FC9" w:rsidRDefault="000E7FC9" w:rsidP="00B322A7">
            <w:pPr>
              <w:ind w:right="83"/>
              <w:jc w:val="right"/>
              <w:rPr>
                <w:sz w:val="20"/>
                <w:lang w:val="en-GB" w:eastAsia="en-GB"/>
              </w:rPr>
            </w:pPr>
          </w:p>
        </w:tc>
        <w:tc>
          <w:tcPr>
            <w:tcW w:w="1235" w:type="dxa"/>
            <w:shd w:val="clear" w:color="auto" w:fill="auto"/>
            <w:tcMar>
              <w:top w:w="0" w:type="dxa"/>
              <w:left w:w="144" w:type="dxa"/>
              <w:bottom w:w="0" w:type="dxa"/>
              <w:right w:w="0" w:type="dxa"/>
            </w:tcMar>
            <w:vAlign w:val="center"/>
            <w:hideMark/>
          </w:tcPr>
          <w:p w14:paraId="5309C255" w14:textId="77777777" w:rsidR="000E7FC9" w:rsidRDefault="000E7FC9" w:rsidP="00B322A7">
            <w:pPr>
              <w:ind w:right="83"/>
              <w:jc w:val="right"/>
              <w:rPr>
                <w:sz w:val="20"/>
                <w:lang w:val="en-GB" w:eastAsia="en-GB"/>
              </w:rPr>
            </w:pPr>
          </w:p>
        </w:tc>
      </w:tr>
      <w:tr w:rsidR="000E7FC9" w14:paraId="301877A7" w14:textId="77777777" w:rsidTr="000E7FC9">
        <w:trPr>
          <w:cantSplit/>
          <w:jc w:val="center"/>
        </w:trPr>
        <w:tc>
          <w:tcPr>
            <w:tcW w:w="3477" w:type="dxa"/>
          </w:tcPr>
          <w:p w14:paraId="65954943" w14:textId="77777777" w:rsidR="000E7FC9" w:rsidRDefault="000E7FC9" w:rsidP="00B322A7">
            <w:pPr>
              <w:pStyle w:val="NormalWeb"/>
              <w:tabs>
                <w:tab w:val="right" w:leader="dot" w:pos="4620"/>
              </w:tabs>
              <w:spacing w:before="0" w:beforeAutospacing="0" w:after="0" w:afterAutospacing="0"/>
              <w:ind w:left="240" w:hanging="240"/>
              <w:rPr>
                <w:sz w:val="18"/>
                <w:szCs w:val="18"/>
              </w:rPr>
            </w:pPr>
            <w:r>
              <w:rPr>
                <w:sz w:val="18"/>
                <w:szCs w:val="18"/>
              </w:rPr>
              <w:t>Depreciation and amortization</w:t>
            </w:r>
          </w:p>
        </w:tc>
        <w:tc>
          <w:tcPr>
            <w:tcW w:w="1267" w:type="dxa"/>
            <w:shd w:val="clear" w:color="auto" w:fill="auto"/>
            <w:noWrap/>
            <w:tcMar>
              <w:top w:w="0" w:type="dxa"/>
              <w:left w:w="144" w:type="dxa"/>
              <w:bottom w:w="0" w:type="dxa"/>
              <w:right w:w="0" w:type="dxa"/>
            </w:tcMar>
            <w:vAlign w:val="bottom"/>
          </w:tcPr>
          <w:p w14:paraId="2B2881D5" w14:textId="77777777" w:rsidR="000E7FC9" w:rsidRDefault="000E7FC9" w:rsidP="00B322A7">
            <w:pPr>
              <w:ind w:right="83"/>
              <w:jc w:val="right"/>
              <w:rPr>
                <w:sz w:val="20"/>
                <w:lang w:val="en-GB" w:eastAsia="en-GB"/>
              </w:rPr>
            </w:pPr>
          </w:p>
        </w:tc>
        <w:tc>
          <w:tcPr>
            <w:tcW w:w="1492" w:type="dxa"/>
            <w:shd w:val="clear" w:color="auto" w:fill="auto"/>
            <w:noWrap/>
            <w:tcMar>
              <w:top w:w="0" w:type="dxa"/>
              <w:left w:w="144" w:type="dxa"/>
              <w:bottom w:w="0" w:type="dxa"/>
              <w:right w:w="0" w:type="dxa"/>
            </w:tcMar>
            <w:vAlign w:val="center"/>
          </w:tcPr>
          <w:p w14:paraId="4C0990D6" w14:textId="77777777" w:rsidR="000E7FC9" w:rsidRDefault="000E7FC9" w:rsidP="00B322A7">
            <w:pPr>
              <w:ind w:right="83"/>
              <w:rPr>
                <w:sz w:val="20"/>
                <w:lang w:val="en-GB" w:eastAsia="en-GB"/>
              </w:rPr>
            </w:pPr>
          </w:p>
        </w:tc>
        <w:tc>
          <w:tcPr>
            <w:tcW w:w="1740" w:type="dxa"/>
            <w:shd w:val="clear" w:color="auto" w:fill="auto"/>
            <w:vAlign w:val="center"/>
          </w:tcPr>
          <w:p w14:paraId="26062E05"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tcPr>
          <w:p w14:paraId="56204C35" w14:textId="77777777" w:rsidR="000E7FC9" w:rsidRDefault="000E7FC9" w:rsidP="00B322A7">
            <w:pPr>
              <w:ind w:right="83"/>
              <w:jc w:val="right"/>
              <w:rPr>
                <w:color w:val="000000"/>
                <w:sz w:val="18"/>
                <w:szCs w:val="18"/>
                <w:lang w:val="en-GB" w:eastAsia="en-GB"/>
              </w:rPr>
            </w:pPr>
            <w:r>
              <w:rPr>
                <w:color w:val="000000"/>
                <w:sz w:val="18"/>
                <w:szCs w:val="18"/>
                <w:lang w:val="en-GB" w:eastAsia="en-GB"/>
              </w:rPr>
              <w:t>(734)</w:t>
            </w:r>
          </w:p>
        </w:tc>
      </w:tr>
      <w:tr w:rsidR="000E7FC9" w14:paraId="225A7BBA" w14:textId="77777777" w:rsidTr="000E7FC9">
        <w:trPr>
          <w:cantSplit/>
          <w:jc w:val="center"/>
        </w:trPr>
        <w:tc>
          <w:tcPr>
            <w:tcW w:w="3477" w:type="dxa"/>
            <w:hideMark/>
          </w:tcPr>
          <w:p w14:paraId="35B318CF"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EBIT</w:t>
            </w:r>
            <w:r>
              <w:rPr>
                <w:b/>
                <w:bCs/>
                <w:sz w:val="18"/>
                <w:szCs w:val="18"/>
              </w:rPr>
              <w:tab/>
            </w:r>
          </w:p>
        </w:tc>
        <w:tc>
          <w:tcPr>
            <w:tcW w:w="1267" w:type="dxa"/>
            <w:shd w:val="clear" w:color="auto" w:fill="auto"/>
            <w:noWrap/>
            <w:tcMar>
              <w:top w:w="0" w:type="dxa"/>
              <w:left w:w="144" w:type="dxa"/>
              <w:bottom w:w="0" w:type="dxa"/>
              <w:right w:w="0" w:type="dxa"/>
            </w:tcMar>
            <w:vAlign w:val="center"/>
            <w:hideMark/>
          </w:tcPr>
          <w:p w14:paraId="32CBA08E" w14:textId="77777777" w:rsidR="000E7FC9" w:rsidRDefault="000E7FC9" w:rsidP="00B322A7">
            <w:pPr>
              <w:ind w:right="83"/>
              <w:jc w:val="right"/>
              <w:rPr>
                <w:sz w:val="20"/>
                <w:lang w:val="en-GB" w:eastAsia="en-GB"/>
              </w:rPr>
            </w:pPr>
          </w:p>
        </w:tc>
        <w:tc>
          <w:tcPr>
            <w:tcW w:w="1492" w:type="dxa"/>
            <w:shd w:val="clear" w:color="auto" w:fill="auto"/>
            <w:noWrap/>
            <w:tcMar>
              <w:top w:w="0" w:type="dxa"/>
              <w:left w:w="144" w:type="dxa"/>
              <w:bottom w:w="0" w:type="dxa"/>
              <w:right w:w="0" w:type="dxa"/>
            </w:tcMar>
            <w:vAlign w:val="center"/>
            <w:hideMark/>
          </w:tcPr>
          <w:p w14:paraId="48DB3BE1" w14:textId="77777777" w:rsidR="000E7FC9" w:rsidRDefault="000E7FC9" w:rsidP="00B322A7">
            <w:pPr>
              <w:ind w:right="83"/>
              <w:jc w:val="right"/>
              <w:rPr>
                <w:sz w:val="20"/>
                <w:lang w:val="en-GB" w:eastAsia="en-GB"/>
              </w:rPr>
            </w:pPr>
          </w:p>
        </w:tc>
        <w:tc>
          <w:tcPr>
            <w:tcW w:w="1740" w:type="dxa"/>
            <w:shd w:val="clear" w:color="auto" w:fill="auto"/>
            <w:vAlign w:val="center"/>
          </w:tcPr>
          <w:p w14:paraId="1D950DD8"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hideMark/>
          </w:tcPr>
          <w:p w14:paraId="7A40C88B"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102,561 </w:t>
            </w:r>
          </w:p>
        </w:tc>
      </w:tr>
      <w:tr w:rsidR="000E7FC9" w14:paraId="49B8699B" w14:textId="77777777" w:rsidTr="000E7FC9">
        <w:trPr>
          <w:cantSplit/>
          <w:jc w:val="center"/>
        </w:trPr>
        <w:tc>
          <w:tcPr>
            <w:tcW w:w="3477" w:type="dxa"/>
          </w:tcPr>
          <w:p w14:paraId="04495289"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Financial income - Own</w:t>
            </w:r>
            <w:r>
              <w:rPr>
                <w:sz w:val="18"/>
                <w:szCs w:val="18"/>
              </w:rPr>
              <w:tab/>
            </w:r>
          </w:p>
        </w:tc>
        <w:tc>
          <w:tcPr>
            <w:tcW w:w="1267" w:type="dxa"/>
            <w:shd w:val="clear" w:color="auto" w:fill="auto"/>
            <w:noWrap/>
            <w:tcMar>
              <w:top w:w="0" w:type="dxa"/>
              <w:left w:w="144" w:type="dxa"/>
              <w:bottom w:w="0" w:type="dxa"/>
              <w:right w:w="0" w:type="dxa"/>
            </w:tcMar>
            <w:vAlign w:val="center"/>
          </w:tcPr>
          <w:p w14:paraId="0BEFFB95" w14:textId="77777777" w:rsidR="000E7FC9" w:rsidRDefault="000E7FC9" w:rsidP="00B322A7">
            <w:pPr>
              <w:ind w:right="83"/>
              <w:jc w:val="right"/>
              <w:rPr>
                <w:sz w:val="20"/>
                <w:lang w:val="en-GB" w:eastAsia="en-GB"/>
              </w:rPr>
            </w:pPr>
          </w:p>
        </w:tc>
        <w:tc>
          <w:tcPr>
            <w:tcW w:w="1492" w:type="dxa"/>
            <w:shd w:val="clear" w:color="auto" w:fill="auto"/>
            <w:noWrap/>
            <w:tcMar>
              <w:top w:w="0" w:type="dxa"/>
              <w:left w:w="144" w:type="dxa"/>
              <w:bottom w:w="0" w:type="dxa"/>
              <w:right w:w="0" w:type="dxa"/>
            </w:tcMar>
            <w:vAlign w:val="center"/>
          </w:tcPr>
          <w:p w14:paraId="1093443F" w14:textId="77777777" w:rsidR="000E7FC9" w:rsidRDefault="000E7FC9" w:rsidP="00B322A7">
            <w:pPr>
              <w:ind w:right="83"/>
              <w:jc w:val="right"/>
              <w:rPr>
                <w:sz w:val="20"/>
                <w:lang w:val="en-GB" w:eastAsia="en-GB"/>
              </w:rPr>
            </w:pPr>
          </w:p>
        </w:tc>
        <w:tc>
          <w:tcPr>
            <w:tcW w:w="1740" w:type="dxa"/>
            <w:shd w:val="clear" w:color="auto" w:fill="auto"/>
            <w:vAlign w:val="center"/>
          </w:tcPr>
          <w:p w14:paraId="7CADD271"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tcPr>
          <w:p w14:paraId="336F23AD"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19 </w:t>
            </w:r>
          </w:p>
        </w:tc>
      </w:tr>
      <w:tr w:rsidR="000E7FC9" w14:paraId="77AD2509" w14:textId="77777777" w:rsidTr="000E7FC9">
        <w:trPr>
          <w:cantSplit/>
          <w:jc w:val="center"/>
        </w:trPr>
        <w:tc>
          <w:tcPr>
            <w:tcW w:w="3477" w:type="dxa"/>
          </w:tcPr>
          <w:p w14:paraId="42B83D45" w14:textId="77777777" w:rsidR="000E7FC9" w:rsidRDefault="000E7FC9" w:rsidP="00B322A7">
            <w:pPr>
              <w:pStyle w:val="NormalWeb"/>
              <w:tabs>
                <w:tab w:val="right" w:leader="dot" w:pos="4620"/>
              </w:tabs>
              <w:spacing w:before="0" w:beforeAutospacing="0" w:after="0" w:afterAutospacing="0"/>
              <w:ind w:left="240" w:hanging="240"/>
              <w:jc w:val="right"/>
              <w:rPr>
                <w:sz w:val="18"/>
                <w:szCs w:val="18"/>
              </w:rPr>
            </w:pPr>
            <w:r>
              <w:rPr>
                <w:sz w:val="18"/>
                <w:szCs w:val="18"/>
              </w:rPr>
              <w:t>Financial expense- Own</w:t>
            </w:r>
            <w:r>
              <w:rPr>
                <w:sz w:val="18"/>
                <w:szCs w:val="18"/>
              </w:rPr>
              <w:tab/>
            </w:r>
          </w:p>
        </w:tc>
        <w:tc>
          <w:tcPr>
            <w:tcW w:w="1267" w:type="dxa"/>
            <w:shd w:val="clear" w:color="auto" w:fill="auto"/>
            <w:noWrap/>
            <w:tcMar>
              <w:top w:w="0" w:type="dxa"/>
              <w:left w:w="144" w:type="dxa"/>
              <w:bottom w:w="0" w:type="dxa"/>
              <w:right w:w="0" w:type="dxa"/>
            </w:tcMar>
            <w:vAlign w:val="center"/>
          </w:tcPr>
          <w:p w14:paraId="3113515D" w14:textId="77777777" w:rsidR="000E7FC9" w:rsidRDefault="000E7FC9" w:rsidP="00B322A7">
            <w:pPr>
              <w:ind w:right="83"/>
              <w:jc w:val="right"/>
              <w:rPr>
                <w:color w:val="000000"/>
                <w:sz w:val="18"/>
                <w:szCs w:val="18"/>
                <w:lang w:val="en-GB" w:eastAsia="en-GB"/>
              </w:rPr>
            </w:pPr>
          </w:p>
        </w:tc>
        <w:tc>
          <w:tcPr>
            <w:tcW w:w="1492" w:type="dxa"/>
            <w:shd w:val="clear" w:color="auto" w:fill="auto"/>
            <w:noWrap/>
            <w:tcMar>
              <w:top w:w="0" w:type="dxa"/>
              <w:left w:w="144" w:type="dxa"/>
              <w:bottom w:w="0" w:type="dxa"/>
              <w:right w:w="0" w:type="dxa"/>
            </w:tcMar>
            <w:vAlign w:val="center"/>
          </w:tcPr>
          <w:p w14:paraId="4D2539B2" w14:textId="77777777" w:rsidR="000E7FC9" w:rsidRDefault="000E7FC9" w:rsidP="00B322A7">
            <w:pPr>
              <w:ind w:right="83"/>
              <w:jc w:val="right"/>
              <w:rPr>
                <w:sz w:val="20"/>
                <w:lang w:val="en-GB" w:eastAsia="en-GB"/>
              </w:rPr>
            </w:pPr>
          </w:p>
        </w:tc>
        <w:tc>
          <w:tcPr>
            <w:tcW w:w="1740" w:type="dxa"/>
            <w:shd w:val="clear" w:color="auto" w:fill="auto"/>
            <w:vAlign w:val="center"/>
          </w:tcPr>
          <w:p w14:paraId="2823447F"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tcPr>
          <w:p w14:paraId="6C078603" w14:textId="77777777" w:rsidR="000E7FC9" w:rsidRDefault="000E7FC9" w:rsidP="00B322A7">
            <w:pPr>
              <w:ind w:right="83"/>
              <w:jc w:val="right"/>
              <w:rPr>
                <w:color w:val="000000"/>
                <w:sz w:val="18"/>
                <w:szCs w:val="18"/>
                <w:lang w:val="en-GB" w:eastAsia="en-GB"/>
              </w:rPr>
            </w:pPr>
            <w:r>
              <w:rPr>
                <w:color w:val="000000"/>
                <w:sz w:val="18"/>
                <w:szCs w:val="18"/>
                <w:lang w:val="en-GB" w:eastAsia="en-GB"/>
              </w:rPr>
              <w:t>(7,820)</w:t>
            </w:r>
          </w:p>
        </w:tc>
      </w:tr>
      <w:tr w:rsidR="000E7FC9" w14:paraId="6FD6BA70" w14:textId="77777777" w:rsidTr="000E7FC9">
        <w:trPr>
          <w:cantSplit/>
          <w:jc w:val="center"/>
        </w:trPr>
        <w:tc>
          <w:tcPr>
            <w:tcW w:w="3477" w:type="dxa"/>
          </w:tcPr>
          <w:p w14:paraId="4872C587"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Financial expense - JV</w:t>
            </w:r>
            <w:r>
              <w:rPr>
                <w:sz w:val="18"/>
                <w:szCs w:val="18"/>
              </w:rPr>
              <w:tab/>
            </w:r>
          </w:p>
        </w:tc>
        <w:tc>
          <w:tcPr>
            <w:tcW w:w="1267" w:type="dxa"/>
            <w:shd w:val="clear" w:color="auto" w:fill="auto"/>
            <w:noWrap/>
            <w:tcMar>
              <w:top w:w="0" w:type="dxa"/>
              <w:left w:w="144" w:type="dxa"/>
              <w:bottom w:w="0" w:type="dxa"/>
              <w:right w:w="0" w:type="dxa"/>
            </w:tcMar>
            <w:vAlign w:val="center"/>
          </w:tcPr>
          <w:p w14:paraId="76109E3D" w14:textId="77777777" w:rsidR="000E7FC9" w:rsidRDefault="000E7FC9" w:rsidP="00B322A7">
            <w:pPr>
              <w:ind w:right="83"/>
              <w:jc w:val="right"/>
              <w:rPr>
                <w:color w:val="000000"/>
                <w:sz w:val="18"/>
                <w:szCs w:val="18"/>
                <w:lang w:val="en-GB" w:eastAsia="en-GB"/>
              </w:rPr>
            </w:pPr>
          </w:p>
        </w:tc>
        <w:tc>
          <w:tcPr>
            <w:tcW w:w="1492" w:type="dxa"/>
            <w:shd w:val="clear" w:color="auto" w:fill="auto"/>
            <w:noWrap/>
            <w:tcMar>
              <w:top w:w="0" w:type="dxa"/>
              <w:left w:w="144" w:type="dxa"/>
              <w:bottom w:w="0" w:type="dxa"/>
              <w:right w:w="0" w:type="dxa"/>
            </w:tcMar>
            <w:vAlign w:val="center"/>
          </w:tcPr>
          <w:p w14:paraId="76936DF6" w14:textId="77777777" w:rsidR="000E7FC9" w:rsidRDefault="000E7FC9" w:rsidP="00B322A7">
            <w:pPr>
              <w:ind w:right="83"/>
              <w:jc w:val="right"/>
              <w:rPr>
                <w:sz w:val="20"/>
                <w:lang w:val="en-GB" w:eastAsia="en-GB"/>
              </w:rPr>
            </w:pPr>
          </w:p>
        </w:tc>
        <w:tc>
          <w:tcPr>
            <w:tcW w:w="1740" w:type="dxa"/>
            <w:shd w:val="clear" w:color="auto" w:fill="auto"/>
            <w:vAlign w:val="center"/>
          </w:tcPr>
          <w:p w14:paraId="10EE747A"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tcPr>
          <w:p w14:paraId="26F71469"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0 </w:t>
            </w:r>
          </w:p>
        </w:tc>
      </w:tr>
      <w:tr w:rsidR="000E7FC9" w14:paraId="565AC811" w14:textId="77777777" w:rsidTr="000E7FC9">
        <w:trPr>
          <w:cantSplit/>
          <w:jc w:val="center"/>
        </w:trPr>
        <w:tc>
          <w:tcPr>
            <w:tcW w:w="3477" w:type="dxa"/>
          </w:tcPr>
          <w:p w14:paraId="1BBB40AB"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Financial income - JV</w:t>
            </w:r>
            <w:r>
              <w:rPr>
                <w:sz w:val="18"/>
                <w:szCs w:val="18"/>
              </w:rPr>
              <w:tab/>
            </w:r>
          </w:p>
        </w:tc>
        <w:tc>
          <w:tcPr>
            <w:tcW w:w="1267" w:type="dxa"/>
            <w:shd w:val="clear" w:color="auto" w:fill="auto"/>
            <w:noWrap/>
            <w:tcMar>
              <w:top w:w="0" w:type="dxa"/>
              <w:left w:w="144" w:type="dxa"/>
              <w:bottom w:w="0" w:type="dxa"/>
              <w:right w:w="0" w:type="dxa"/>
            </w:tcMar>
            <w:vAlign w:val="center"/>
          </w:tcPr>
          <w:p w14:paraId="79AC9BD6" w14:textId="77777777" w:rsidR="000E7FC9" w:rsidRDefault="000E7FC9" w:rsidP="00B322A7">
            <w:pPr>
              <w:ind w:right="83"/>
              <w:jc w:val="right"/>
              <w:rPr>
                <w:color w:val="000000"/>
                <w:sz w:val="18"/>
                <w:szCs w:val="18"/>
                <w:lang w:val="en-GB" w:eastAsia="en-GB"/>
              </w:rPr>
            </w:pPr>
          </w:p>
        </w:tc>
        <w:tc>
          <w:tcPr>
            <w:tcW w:w="1492" w:type="dxa"/>
            <w:shd w:val="clear" w:color="auto" w:fill="auto"/>
            <w:noWrap/>
            <w:tcMar>
              <w:top w:w="0" w:type="dxa"/>
              <w:left w:w="144" w:type="dxa"/>
              <w:bottom w:w="0" w:type="dxa"/>
              <w:right w:w="0" w:type="dxa"/>
            </w:tcMar>
            <w:vAlign w:val="center"/>
          </w:tcPr>
          <w:p w14:paraId="6DE35807" w14:textId="77777777" w:rsidR="000E7FC9" w:rsidRDefault="000E7FC9" w:rsidP="00B322A7">
            <w:pPr>
              <w:ind w:right="83"/>
              <w:jc w:val="right"/>
              <w:rPr>
                <w:sz w:val="20"/>
                <w:lang w:val="en-GB" w:eastAsia="en-GB"/>
              </w:rPr>
            </w:pPr>
          </w:p>
        </w:tc>
        <w:tc>
          <w:tcPr>
            <w:tcW w:w="1740" w:type="dxa"/>
            <w:shd w:val="clear" w:color="auto" w:fill="auto"/>
            <w:vAlign w:val="center"/>
          </w:tcPr>
          <w:p w14:paraId="45B4E4FA"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tcPr>
          <w:p w14:paraId="47C11BF8"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0 </w:t>
            </w:r>
          </w:p>
        </w:tc>
      </w:tr>
      <w:tr w:rsidR="000E7FC9" w14:paraId="397DFB31" w14:textId="77777777" w:rsidTr="000E7FC9">
        <w:trPr>
          <w:cantSplit/>
          <w:jc w:val="center"/>
        </w:trPr>
        <w:tc>
          <w:tcPr>
            <w:tcW w:w="3477" w:type="dxa"/>
            <w:hideMark/>
          </w:tcPr>
          <w:p w14:paraId="73BA1F3F"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PBT</w:t>
            </w:r>
            <w:r>
              <w:rPr>
                <w:b/>
                <w:bCs/>
                <w:sz w:val="18"/>
                <w:szCs w:val="18"/>
              </w:rPr>
              <w:tab/>
            </w:r>
          </w:p>
        </w:tc>
        <w:tc>
          <w:tcPr>
            <w:tcW w:w="1267" w:type="dxa"/>
            <w:shd w:val="clear" w:color="auto" w:fill="auto"/>
            <w:noWrap/>
            <w:tcMar>
              <w:top w:w="0" w:type="dxa"/>
              <w:left w:w="144" w:type="dxa"/>
              <w:bottom w:w="0" w:type="dxa"/>
              <w:right w:w="0" w:type="dxa"/>
            </w:tcMar>
            <w:vAlign w:val="center"/>
            <w:hideMark/>
          </w:tcPr>
          <w:p w14:paraId="464DA361" w14:textId="77777777" w:rsidR="000E7FC9" w:rsidRDefault="000E7FC9" w:rsidP="00B322A7">
            <w:pPr>
              <w:ind w:right="83"/>
              <w:jc w:val="right"/>
              <w:rPr>
                <w:sz w:val="20"/>
                <w:lang w:val="en-GB" w:eastAsia="en-GB"/>
              </w:rPr>
            </w:pPr>
          </w:p>
        </w:tc>
        <w:tc>
          <w:tcPr>
            <w:tcW w:w="1492" w:type="dxa"/>
            <w:shd w:val="clear" w:color="auto" w:fill="auto"/>
            <w:noWrap/>
            <w:tcMar>
              <w:top w:w="0" w:type="dxa"/>
              <w:left w:w="144" w:type="dxa"/>
              <w:bottom w:w="0" w:type="dxa"/>
              <w:right w:w="0" w:type="dxa"/>
            </w:tcMar>
            <w:vAlign w:val="center"/>
            <w:hideMark/>
          </w:tcPr>
          <w:p w14:paraId="2B81A4DE" w14:textId="77777777" w:rsidR="000E7FC9" w:rsidRDefault="000E7FC9" w:rsidP="00B322A7">
            <w:pPr>
              <w:ind w:right="83"/>
              <w:jc w:val="right"/>
              <w:rPr>
                <w:sz w:val="20"/>
                <w:lang w:val="en-GB" w:eastAsia="en-GB"/>
              </w:rPr>
            </w:pPr>
          </w:p>
        </w:tc>
        <w:tc>
          <w:tcPr>
            <w:tcW w:w="1740" w:type="dxa"/>
            <w:shd w:val="clear" w:color="auto" w:fill="auto"/>
            <w:vAlign w:val="center"/>
          </w:tcPr>
          <w:p w14:paraId="279EB051"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hideMark/>
          </w:tcPr>
          <w:p w14:paraId="0DDEDAD6"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94,760 </w:t>
            </w:r>
          </w:p>
        </w:tc>
      </w:tr>
      <w:tr w:rsidR="000E7FC9" w14:paraId="2D6174E7" w14:textId="77777777" w:rsidTr="000E7FC9">
        <w:trPr>
          <w:cantSplit/>
          <w:jc w:val="center"/>
        </w:trPr>
        <w:tc>
          <w:tcPr>
            <w:tcW w:w="3477" w:type="dxa"/>
          </w:tcPr>
          <w:p w14:paraId="311A4A2A"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Current income taxes - Own</w:t>
            </w:r>
            <w:r>
              <w:rPr>
                <w:sz w:val="18"/>
                <w:szCs w:val="18"/>
              </w:rPr>
              <w:tab/>
            </w:r>
          </w:p>
        </w:tc>
        <w:tc>
          <w:tcPr>
            <w:tcW w:w="1267" w:type="dxa"/>
            <w:shd w:val="clear" w:color="auto" w:fill="auto"/>
            <w:noWrap/>
            <w:tcMar>
              <w:top w:w="0" w:type="dxa"/>
              <w:left w:w="144" w:type="dxa"/>
              <w:bottom w:w="0" w:type="dxa"/>
              <w:right w:w="0" w:type="dxa"/>
            </w:tcMar>
            <w:vAlign w:val="center"/>
          </w:tcPr>
          <w:p w14:paraId="589BEC0C" w14:textId="77777777" w:rsidR="000E7FC9" w:rsidRDefault="000E7FC9" w:rsidP="00B322A7">
            <w:pPr>
              <w:ind w:right="83"/>
              <w:jc w:val="right"/>
              <w:rPr>
                <w:sz w:val="20"/>
                <w:lang w:val="en-GB" w:eastAsia="en-GB"/>
              </w:rPr>
            </w:pPr>
          </w:p>
        </w:tc>
        <w:tc>
          <w:tcPr>
            <w:tcW w:w="1492" w:type="dxa"/>
            <w:shd w:val="clear" w:color="auto" w:fill="auto"/>
            <w:noWrap/>
            <w:tcMar>
              <w:top w:w="0" w:type="dxa"/>
              <w:left w:w="144" w:type="dxa"/>
              <w:bottom w:w="0" w:type="dxa"/>
              <w:right w:w="0" w:type="dxa"/>
            </w:tcMar>
            <w:vAlign w:val="center"/>
          </w:tcPr>
          <w:p w14:paraId="70BB6A70" w14:textId="77777777" w:rsidR="000E7FC9" w:rsidRDefault="000E7FC9" w:rsidP="00B322A7">
            <w:pPr>
              <w:ind w:right="83"/>
              <w:jc w:val="right"/>
              <w:rPr>
                <w:sz w:val="20"/>
                <w:lang w:val="en-GB" w:eastAsia="en-GB"/>
              </w:rPr>
            </w:pPr>
          </w:p>
        </w:tc>
        <w:tc>
          <w:tcPr>
            <w:tcW w:w="1740" w:type="dxa"/>
            <w:shd w:val="clear" w:color="auto" w:fill="auto"/>
            <w:vAlign w:val="center"/>
          </w:tcPr>
          <w:p w14:paraId="60EF41F9"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tcPr>
          <w:p w14:paraId="55C2CDE4" w14:textId="77777777" w:rsidR="000E7FC9" w:rsidRDefault="000E7FC9" w:rsidP="00B322A7">
            <w:pPr>
              <w:ind w:right="83"/>
              <w:jc w:val="right"/>
              <w:rPr>
                <w:color w:val="000000"/>
                <w:sz w:val="18"/>
                <w:szCs w:val="18"/>
                <w:lang w:val="en-GB" w:eastAsia="en-GB"/>
              </w:rPr>
            </w:pPr>
            <w:r>
              <w:rPr>
                <w:color w:val="000000"/>
                <w:sz w:val="18"/>
                <w:szCs w:val="18"/>
                <w:lang w:val="en-GB" w:eastAsia="en-GB"/>
              </w:rPr>
              <w:t>(383)</w:t>
            </w:r>
          </w:p>
        </w:tc>
      </w:tr>
      <w:tr w:rsidR="000E7FC9" w14:paraId="1DD42BB1" w14:textId="77777777" w:rsidTr="000E7FC9">
        <w:trPr>
          <w:cantSplit/>
          <w:jc w:val="center"/>
        </w:trPr>
        <w:tc>
          <w:tcPr>
            <w:tcW w:w="3477" w:type="dxa"/>
          </w:tcPr>
          <w:p w14:paraId="0ECE89ED" w14:textId="77777777" w:rsidR="000E7FC9" w:rsidRDefault="000E7FC9" w:rsidP="00B322A7">
            <w:pPr>
              <w:pStyle w:val="NormalWeb"/>
              <w:tabs>
                <w:tab w:val="right" w:leader="dot" w:pos="4620"/>
              </w:tabs>
              <w:spacing w:before="0" w:beforeAutospacing="0" w:after="0" w:afterAutospacing="0"/>
              <w:ind w:left="240" w:hanging="240"/>
              <w:jc w:val="right"/>
              <w:rPr>
                <w:sz w:val="18"/>
                <w:szCs w:val="18"/>
              </w:rPr>
            </w:pPr>
            <w:r>
              <w:rPr>
                <w:sz w:val="18"/>
                <w:szCs w:val="18"/>
              </w:rPr>
              <w:t>Current income taxes - JV</w:t>
            </w:r>
            <w:r>
              <w:rPr>
                <w:sz w:val="18"/>
                <w:szCs w:val="18"/>
              </w:rPr>
              <w:tab/>
            </w:r>
          </w:p>
        </w:tc>
        <w:tc>
          <w:tcPr>
            <w:tcW w:w="1267" w:type="dxa"/>
            <w:shd w:val="clear" w:color="auto" w:fill="auto"/>
            <w:noWrap/>
            <w:tcMar>
              <w:top w:w="0" w:type="dxa"/>
              <w:left w:w="144" w:type="dxa"/>
              <w:bottom w:w="0" w:type="dxa"/>
              <w:right w:w="0" w:type="dxa"/>
            </w:tcMar>
            <w:vAlign w:val="center"/>
          </w:tcPr>
          <w:p w14:paraId="248E11EE" w14:textId="77777777" w:rsidR="000E7FC9" w:rsidRDefault="000E7FC9" w:rsidP="00B322A7">
            <w:pPr>
              <w:ind w:right="83"/>
              <w:jc w:val="right"/>
              <w:rPr>
                <w:color w:val="000000"/>
                <w:sz w:val="18"/>
                <w:szCs w:val="18"/>
                <w:lang w:val="en-GB" w:eastAsia="en-GB"/>
              </w:rPr>
            </w:pPr>
          </w:p>
        </w:tc>
        <w:tc>
          <w:tcPr>
            <w:tcW w:w="1492" w:type="dxa"/>
            <w:shd w:val="clear" w:color="auto" w:fill="auto"/>
            <w:noWrap/>
            <w:tcMar>
              <w:top w:w="0" w:type="dxa"/>
              <w:left w:w="144" w:type="dxa"/>
              <w:bottom w:w="0" w:type="dxa"/>
              <w:right w:w="0" w:type="dxa"/>
            </w:tcMar>
            <w:vAlign w:val="center"/>
          </w:tcPr>
          <w:p w14:paraId="7952A037" w14:textId="77777777" w:rsidR="000E7FC9" w:rsidRDefault="000E7FC9" w:rsidP="00B322A7">
            <w:pPr>
              <w:ind w:right="83"/>
              <w:jc w:val="right"/>
              <w:rPr>
                <w:sz w:val="20"/>
                <w:lang w:val="en-GB" w:eastAsia="en-GB"/>
              </w:rPr>
            </w:pPr>
          </w:p>
        </w:tc>
        <w:tc>
          <w:tcPr>
            <w:tcW w:w="1740" w:type="dxa"/>
            <w:shd w:val="clear" w:color="auto" w:fill="auto"/>
            <w:vAlign w:val="center"/>
          </w:tcPr>
          <w:p w14:paraId="71D94621"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tcPr>
          <w:p w14:paraId="37644C69"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0 </w:t>
            </w:r>
          </w:p>
        </w:tc>
      </w:tr>
      <w:tr w:rsidR="000E7FC9" w14:paraId="54D856F9" w14:textId="77777777" w:rsidTr="000E7FC9">
        <w:trPr>
          <w:cantSplit/>
          <w:jc w:val="center"/>
        </w:trPr>
        <w:tc>
          <w:tcPr>
            <w:tcW w:w="3477" w:type="dxa"/>
            <w:hideMark/>
          </w:tcPr>
          <w:p w14:paraId="6F9CED14"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Recurrent net income</w:t>
            </w:r>
            <w:r>
              <w:rPr>
                <w:b/>
                <w:bCs/>
                <w:sz w:val="18"/>
                <w:szCs w:val="18"/>
              </w:rPr>
              <w:tab/>
            </w:r>
          </w:p>
        </w:tc>
        <w:tc>
          <w:tcPr>
            <w:tcW w:w="1267" w:type="dxa"/>
            <w:shd w:val="clear" w:color="auto" w:fill="auto"/>
            <w:noWrap/>
            <w:tcMar>
              <w:top w:w="0" w:type="dxa"/>
              <w:left w:w="144" w:type="dxa"/>
              <w:bottom w:w="0" w:type="dxa"/>
              <w:right w:w="0" w:type="dxa"/>
            </w:tcMar>
            <w:vAlign w:val="center"/>
            <w:hideMark/>
          </w:tcPr>
          <w:p w14:paraId="724018EA" w14:textId="77777777" w:rsidR="000E7FC9" w:rsidRDefault="000E7FC9" w:rsidP="00B322A7">
            <w:pPr>
              <w:ind w:right="83"/>
              <w:jc w:val="right"/>
              <w:rPr>
                <w:sz w:val="20"/>
                <w:lang w:val="en-GB" w:eastAsia="en-GB"/>
              </w:rPr>
            </w:pPr>
          </w:p>
        </w:tc>
        <w:tc>
          <w:tcPr>
            <w:tcW w:w="1492" w:type="dxa"/>
            <w:shd w:val="clear" w:color="auto" w:fill="auto"/>
            <w:noWrap/>
            <w:tcMar>
              <w:top w:w="0" w:type="dxa"/>
              <w:left w:w="144" w:type="dxa"/>
              <w:bottom w:w="0" w:type="dxa"/>
              <w:right w:w="0" w:type="dxa"/>
            </w:tcMar>
            <w:vAlign w:val="center"/>
            <w:hideMark/>
          </w:tcPr>
          <w:p w14:paraId="2008C491" w14:textId="77777777" w:rsidR="000E7FC9" w:rsidRDefault="000E7FC9" w:rsidP="00B322A7">
            <w:pPr>
              <w:ind w:right="83"/>
              <w:jc w:val="right"/>
              <w:rPr>
                <w:sz w:val="20"/>
                <w:lang w:val="en-GB" w:eastAsia="en-GB"/>
              </w:rPr>
            </w:pPr>
          </w:p>
        </w:tc>
        <w:tc>
          <w:tcPr>
            <w:tcW w:w="1740" w:type="dxa"/>
            <w:shd w:val="clear" w:color="auto" w:fill="auto"/>
            <w:vAlign w:val="center"/>
          </w:tcPr>
          <w:p w14:paraId="0B69B663"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hideMark/>
          </w:tcPr>
          <w:p w14:paraId="7186A0EB"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94,377 </w:t>
            </w:r>
          </w:p>
        </w:tc>
      </w:tr>
      <w:tr w:rsidR="000E7FC9" w14:paraId="3D80B12A" w14:textId="77777777" w:rsidTr="000E7FC9">
        <w:trPr>
          <w:cantSplit/>
          <w:jc w:val="center"/>
        </w:trPr>
        <w:tc>
          <w:tcPr>
            <w:tcW w:w="3477" w:type="dxa"/>
          </w:tcPr>
          <w:p w14:paraId="0A8D7530"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Net valuation gains / (losses) Romania, Estonia, Latvia and Spain</w:t>
            </w:r>
            <w:r>
              <w:rPr>
                <w:sz w:val="18"/>
                <w:szCs w:val="18"/>
              </w:rPr>
              <w:tab/>
            </w:r>
          </w:p>
        </w:tc>
        <w:tc>
          <w:tcPr>
            <w:tcW w:w="1267" w:type="dxa"/>
            <w:shd w:val="clear" w:color="auto" w:fill="auto"/>
            <w:noWrap/>
            <w:tcMar>
              <w:top w:w="0" w:type="dxa"/>
              <w:left w:w="144" w:type="dxa"/>
              <w:bottom w:w="0" w:type="dxa"/>
              <w:right w:w="0" w:type="dxa"/>
            </w:tcMar>
            <w:vAlign w:val="center"/>
          </w:tcPr>
          <w:p w14:paraId="6FD56709" w14:textId="77777777" w:rsidR="000E7FC9" w:rsidRDefault="000E7FC9" w:rsidP="00B322A7">
            <w:pPr>
              <w:ind w:right="83"/>
              <w:jc w:val="right"/>
              <w:rPr>
                <w:sz w:val="20"/>
                <w:lang w:val="en-GB" w:eastAsia="en-GB"/>
              </w:rPr>
            </w:pPr>
          </w:p>
        </w:tc>
        <w:tc>
          <w:tcPr>
            <w:tcW w:w="1492" w:type="dxa"/>
            <w:shd w:val="clear" w:color="auto" w:fill="auto"/>
            <w:noWrap/>
            <w:tcMar>
              <w:top w:w="0" w:type="dxa"/>
              <w:left w:w="144" w:type="dxa"/>
              <w:bottom w:w="0" w:type="dxa"/>
              <w:right w:w="0" w:type="dxa"/>
            </w:tcMar>
            <w:vAlign w:val="center"/>
          </w:tcPr>
          <w:p w14:paraId="68DEB1BD" w14:textId="77777777" w:rsidR="000E7FC9" w:rsidRDefault="000E7FC9" w:rsidP="00B322A7">
            <w:pPr>
              <w:ind w:right="83"/>
              <w:jc w:val="right"/>
              <w:rPr>
                <w:sz w:val="20"/>
                <w:lang w:val="en-GB" w:eastAsia="en-GB"/>
              </w:rPr>
            </w:pPr>
          </w:p>
        </w:tc>
        <w:tc>
          <w:tcPr>
            <w:tcW w:w="1740" w:type="dxa"/>
            <w:shd w:val="clear" w:color="auto" w:fill="auto"/>
            <w:vAlign w:val="center"/>
          </w:tcPr>
          <w:p w14:paraId="42558809"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tcPr>
          <w:p w14:paraId="66509C15"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6,683 </w:t>
            </w:r>
          </w:p>
        </w:tc>
      </w:tr>
      <w:tr w:rsidR="000E7FC9" w14:paraId="783932A5" w14:textId="77777777" w:rsidTr="000E7FC9">
        <w:trPr>
          <w:cantSplit/>
          <w:jc w:val="center"/>
        </w:trPr>
        <w:tc>
          <w:tcPr>
            <w:tcW w:w="3477" w:type="dxa"/>
          </w:tcPr>
          <w:p w14:paraId="0D196271" w14:textId="77777777" w:rsidR="000E7FC9" w:rsidRDefault="000E7FC9" w:rsidP="00B322A7">
            <w:pPr>
              <w:pStyle w:val="NormalWeb"/>
              <w:tabs>
                <w:tab w:val="right" w:leader="dot" w:pos="4620"/>
              </w:tabs>
              <w:spacing w:before="0" w:beforeAutospacing="0" w:after="0" w:afterAutospacing="0"/>
              <w:ind w:left="240" w:hanging="240"/>
              <w:jc w:val="right"/>
              <w:rPr>
                <w:sz w:val="18"/>
                <w:szCs w:val="18"/>
              </w:rPr>
            </w:pPr>
            <w:r>
              <w:rPr>
                <w:sz w:val="18"/>
                <w:szCs w:val="18"/>
              </w:rPr>
              <w:t>Net valuation gains / (losses) JV (at share)</w:t>
            </w:r>
            <w:r>
              <w:rPr>
                <w:sz w:val="18"/>
                <w:szCs w:val="18"/>
              </w:rPr>
              <w:tab/>
            </w:r>
          </w:p>
        </w:tc>
        <w:tc>
          <w:tcPr>
            <w:tcW w:w="1267" w:type="dxa"/>
            <w:shd w:val="clear" w:color="auto" w:fill="auto"/>
            <w:noWrap/>
            <w:tcMar>
              <w:top w:w="0" w:type="dxa"/>
              <w:left w:w="144" w:type="dxa"/>
              <w:bottom w:w="0" w:type="dxa"/>
              <w:right w:w="0" w:type="dxa"/>
            </w:tcMar>
            <w:vAlign w:val="center"/>
          </w:tcPr>
          <w:p w14:paraId="21E235C9" w14:textId="77777777" w:rsidR="000E7FC9" w:rsidRDefault="000E7FC9" w:rsidP="00B322A7">
            <w:pPr>
              <w:ind w:right="83"/>
              <w:jc w:val="right"/>
              <w:rPr>
                <w:color w:val="000000"/>
                <w:sz w:val="18"/>
                <w:szCs w:val="18"/>
                <w:lang w:val="en-GB" w:eastAsia="en-GB"/>
              </w:rPr>
            </w:pPr>
          </w:p>
        </w:tc>
        <w:tc>
          <w:tcPr>
            <w:tcW w:w="1492" w:type="dxa"/>
            <w:shd w:val="clear" w:color="auto" w:fill="auto"/>
            <w:noWrap/>
            <w:tcMar>
              <w:top w:w="0" w:type="dxa"/>
              <w:left w:w="144" w:type="dxa"/>
              <w:bottom w:w="0" w:type="dxa"/>
              <w:right w:w="0" w:type="dxa"/>
            </w:tcMar>
            <w:vAlign w:val="center"/>
          </w:tcPr>
          <w:p w14:paraId="7E36245A" w14:textId="77777777" w:rsidR="000E7FC9" w:rsidRDefault="000E7FC9" w:rsidP="00B322A7">
            <w:pPr>
              <w:ind w:right="83"/>
              <w:jc w:val="right"/>
              <w:rPr>
                <w:sz w:val="20"/>
                <w:lang w:val="en-GB" w:eastAsia="en-GB"/>
              </w:rPr>
            </w:pPr>
          </w:p>
        </w:tc>
        <w:tc>
          <w:tcPr>
            <w:tcW w:w="1740" w:type="dxa"/>
            <w:shd w:val="clear" w:color="auto" w:fill="auto"/>
            <w:vAlign w:val="center"/>
          </w:tcPr>
          <w:p w14:paraId="7E1D83B5"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tcPr>
          <w:p w14:paraId="4D52B010"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0 </w:t>
            </w:r>
          </w:p>
        </w:tc>
      </w:tr>
      <w:tr w:rsidR="000E7FC9" w14:paraId="5AF2C81F" w14:textId="77777777" w:rsidTr="000E7FC9">
        <w:trPr>
          <w:cantSplit/>
          <w:jc w:val="center"/>
        </w:trPr>
        <w:tc>
          <w:tcPr>
            <w:tcW w:w="3477" w:type="dxa"/>
          </w:tcPr>
          <w:p w14:paraId="4558E62B"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non-current financial income</w:t>
            </w:r>
            <w:r>
              <w:rPr>
                <w:sz w:val="18"/>
                <w:szCs w:val="18"/>
              </w:rPr>
              <w:tab/>
            </w:r>
          </w:p>
        </w:tc>
        <w:tc>
          <w:tcPr>
            <w:tcW w:w="1267" w:type="dxa"/>
            <w:shd w:val="clear" w:color="auto" w:fill="auto"/>
            <w:noWrap/>
            <w:tcMar>
              <w:top w:w="0" w:type="dxa"/>
              <w:left w:w="144" w:type="dxa"/>
              <w:bottom w:w="0" w:type="dxa"/>
              <w:right w:w="0" w:type="dxa"/>
            </w:tcMar>
            <w:vAlign w:val="center"/>
          </w:tcPr>
          <w:p w14:paraId="7E82CDC5" w14:textId="77777777" w:rsidR="000E7FC9" w:rsidRDefault="000E7FC9" w:rsidP="00B322A7">
            <w:pPr>
              <w:ind w:right="83"/>
              <w:jc w:val="right"/>
              <w:rPr>
                <w:color w:val="000000"/>
                <w:sz w:val="18"/>
                <w:szCs w:val="18"/>
                <w:lang w:val="en-GB" w:eastAsia="en-GB"/>
              </w:rPr>
            </w:pPr>
          </w:p>
        </w:tc>
        <w:tc>
          <w:tcPr>
            <w:tcW w:w="1492" w:type="dxa"/>
            <w:shd w:val="clear" w:color="auto" w:fill="auto"/>
            <w:noWrap/>
            <w:tcMar>
              <w:top w:w="0" w:type="dxa"/>
              <w:left w:w="144" w:type="dxa"/>
              <w:bottom w:w="0" w:type="dxa"/>
              <w:right w:w="0" w:type="dxa"/>
            </w:tcMar>
            <w:vAlign w:val="center"/>
          </w:tcPr>
          <w:p w14:paraId="7B1CE9B6" w14:textId="77777777" w:rsidR="000E7FC9" w:rsidRDefault="000E7FC9" w:rsidP="00B322A7">
            <w:pPr>
              <w:ind w:right="83"/>
              <w:jc w:val="right"/>
              <w:rPr>
                <w:sz w:val="20"/>
                <w:lang w:val="en-GB" w:eastAsia="en-GB"/>
              </w:rPr>
            </w:pPr>
          </w:p>
        </w:tc>
        <w:tc>
          <w:tcPr>
            <w:tcW w:w="1740" w:type="dxa"/>
            <w:shd w:val="clear" w:color="auto" w:fill="auto"/>
            <w:vAlign w:val="center"/>
          </w:tcPr>
          <w:p w14:paraId="1F3EE1BB"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tcPr>
          <w:p w14:paraId="4A668B17"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447 </w:t>
            </w:r>
          </w:p>
        </w:tc>
      </w:tr>
      <w:tr w:rsidR="000E7FC9" w14:paraId="0548B9CD" w14:textId="77777777" w:rsidTr="000E7FC9">
        <w:trPr>
          <w:cantSplit/>
          <w:jc w:val="center"/>
        </w:trPr>
        <w:tc>
          <w:tcPr>
            <w:tcW w:w="3477" w:type="dxa"/>
          </w:tcPr>
          <w:p w14:paraId="2EF43424"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non-current financial expenses</w:t>
            </w:r>
            <w:r>
              <w:rPr>
                <w:sz w:val="18"/>
                <w:szCs w:val="18"/>
              </w:rPr>
              <w:tab/>
            </w:r>
          </w:p>
        </w:tc>
        <w:tc>
          <w:tcPr>
            <w:tcW w:w="1267" w:type="dxa"/>
            <w:shd w:val="clear" w:color="auto" w:fill="auto"/>
            <w:noWrap/>
            <w:tcMar>
              <w:top w:w="0" w:type="dxa"/>
              <w:left w:w="144" w:type="dxa"/>
              <w:bottom w:w="0" w:type="dxa"/>
              <w:right w:w="0" w:type="dxa"/>
            </w:tcMar>
            <w:vAlign w:val="center"/>
          </w:tcPr>
          <w:p w14:paraId="69810B9D" w14:textId="77777777" w:rsidR="000E7FC9" w:rsidRDefault="000E7FC9" w:rsidP="00B322A7">
            <w:pPr>
              <w:ind w:right="83"/>
              <w:jc w:val="right"/>
              <w:rPr>
                <w:color w:val="000000"/>
                <w:sz w:val="18"/>
                <w:szCs w:val="18"/>
                <w:lang w:val="en-GB" w:eastAsia="en-GB"/>
              </w:rPr>
            </w:pPr>
          </w:p>
        </w:tc>
        <w:tc>
          <w:tcPr>
            <w:tcW w:w="1492" w:type="dxa"/>
            <w:shd w:val="clear" w:color="auto" w:fill="auto"/>
            <w:noWrap/>
            <w:tcMar>
              <w:top w:w="0" w:type="dxa"/>
              <w:left w:w="144" w:type="dxa"/>
              <w:bottom w:w="0" w:type="dxa"/>
              <w:right w:w="0" w:type="dxa"/>
            </w:tcMar>
            <w:vAlign w:val="center"/>
          </w:tcPr>
          <w:p w14:paraId="16A76B44" w14:textId="77777777" w:rsidR="000E7FC9" w:rsidRDefault="000E7FC9" w:rsidP="00B322A7">
            <w:pPr>
              <w:ind w:right="83"/>
              <w:jc w:val="right"/>
              <w:rPr>
                <w:sz w:val="20"/>
                <w:lang w:val="en-GB" w:eastAsia="en-GB"/>
              </w:rPr>
            </w:pPr>
          </w:p>
        </w:tc>
        <w:tc>
          <w:tcPr>
            <w:tcW w:w="1740" w:type="dxa"/>
            <w:shd w:val="clear" w:color="auto" w:fill="auto"/>
            <w:vAlign w:val="center"/>
          </w:tcPr>
          <w:p w14:paraId="2FCAD264"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tcPr>
          <w:p w14:paraId="12F61322" w14:textId="77777777" w:rsidR="000E7FC9" w:rsidRDefault="000E7FC9" w:rsidP="00B322A7">
            <w:pPr>
              <w:ind w:right="83"/>
              <w:jc w:val="right"/>
              <w:rPr>
                <w:color w:val="000000"/>
                <w:sz w:val="18"/>
                <w:szCs w:val="18"/>
                <w:lang w:val="en-GB" w:eastAsia="en-GB"/>
              </w:rPr>
            </w:pPr>
            <w:r>
              <w:rPr>
                <w:color w:val="000000"/>
                <w:sz w:val="18"/>
                <w:szCs w:val="18"/>
                <w:lang w:val="en-GB" w:eastAsia="en-GB"/>
              </w:rPr>
              <w:t>(2,800)</w:t>
            </w:r>
          </w:p>
        </w:tc>
      </w:tr>
      <w:tr w:rsidR="000E7FC9" w14:paraId="4FE68D50" w14:textId="77777777" w:rsidTr="000E7FC9">
        <w:trPr>
          <w:cantSplit/>
          <w:jc w:val="center"/>
        </w:trPr>
        <w:tc>
          <w:tcPr>
            <w:tcW w:w="3477" w:type="dxa"/>
          </w:tcPr>
          <w:p w14:paraId="520C94A9"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Other non-current financial expenses JV (at share)</w:t>
            </w:r>
            <w:r>
              <w:rPr>
                <w:sz w:val="18"/>
                <w:szCs w:val="18"/>
              </w:rPr>
              <w:tab/>
            </w:r>
          </w:p>
        </w:tc>
        <w:tc>
          <w:tcPr>
            <w:tcW w:w="1267" w:type="dxa"/>
            <w:shd w:val="clear" w:color="auto" w:fill="auto"/>
            <w:noWrap/>
            <w:tcMar>
              <w:top w:w="0" w:type="dxa"/>
              <w:left w:w="144" w:type="dxa"/>
              <w:bottom w:w="0" w:type="dxa"/>
              <w:right w:w="0" w:type="dxa"/>
            </w:tcMar>
            <w:vAlign w:val="center"/>
          </w:tcPr>
          <w:p w14:paraId="47AFF129" w14:textId="77777777" w:rsidR="000E7FC9" w:rsidRDefault="000E7FC9" w:rsidP="00B322A7">
            <w:pPr>
              <w:ind w:right="83"/>
              <w:jc w:val="right"/>
              <w:rPr>
                <w:color w:val="000000"/>
                <w:sz w:val="18"/>
                <w:szCs w:val="18"/>
                <w:lang w:val="en-GB" w:eastAsia="en-GB"/>
              </w:rPr>
            </w:pPr>
          </w:p>
        </w:tc>
        <w:tc>
          <w:tcPr>
            <w:tcW w:w="1492" w:type="dxa"/>
            <w:shd w:val="clear" w:color="auto" w:fill="auto"/>
            <w:noWrap/>
            <w:tcMar>
              <w:top w:w="0" w:type="dxa"/>
              <w:left w:w="144" w:type="dxa"/>
              <w:bottom w:w="0" w:type="dxa"/>
              <w:right w:w="0" w:type="dxa"/>
            </w:tcMar>
            <w:vAlign w:val="center"/>
          </w:tcPr>
          <w:p w14:paraId="43C37C99" w14:textId="77777777" w:rsidR="000E7FC9" w:rsidRDefault="000E7FC9" w:rsidP="00B322A7">
            <w:pPr>
              <w:ind w:right="83"/>
              <w:jc w:val="right"/>
              <w:rPr>
                <w:sz w:val="20"/>
                <w:lang w:val="en-GB" w:eastAsia="en-GB"/>
              </w:rPr>
            </w:pPr>
          </w:p>
        </w:tc>
        <w:tc>
          <w:tcPr>
            <w:tcW w:w="1740" w:type="dxa"/>
            <w:shd w:val="clear" w:color="auto" w:fill="auto"/>
            <w:vAlign w:val="center"/>
          </w:tcPr>
          <w:p w14:paraId="3D8FD718"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tcPr>
          <w:p w14:paraId="523B8192"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0 </w:t>
            </w:r>
          </w:p>
        </w:tc>
      </w:tr>
      <w:tr w:rsidR="000E7FC9" w14:paraId="3E3B972F" w14:textId="77777777" w:rsidTr="000E7FC9">
        <w:trPr>
          <w:cantSplit/>
          <w:jc w:val="center"/>
        </w:trPr>
        <w:tc>
          <w:tcPr>
            <w:tcW w:w="3477" w:type="dxa"/>
          </w:tcPr>
          <w:p w14:paraId="5AC816A5"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Deferred taxes - Own</w:t>
            </w:r>
            <w:r>
              <w:rPr>
                <w:sz w:val="18"/>
                <w:szCs w:val="18"/>
              </w:rPr>
              <w:tab/>
            </w:r>
          </w:p>
        </w:tc>
        <w:tc>
          <w:tcPr>
            <w:tcW w:w="1267" w:type="dxa"/>
            <w:shd w:val="clear" w:color="auto" w:fill="auto"/>
            <w:noWrap/>
            <w:tcMar>
              <w:top w:w="0" w:type="dxa"/>
              <w:left w:w="144" w:type="dxa"/>
              <w:bottom w:w="0" w:type="dxa"/>
              <w:right w:w="0" w:type="dxa"/>
            </w:tcMar>
            <w:vAlign w:val="center"/>
          </w:tcPr>
          <w:p w14:paraId="491996F3" w14:textId="77777777" w:rsidR="000E7FC9" w:rsidRDefault="000E7FC9" w:rsidP="00B322A7">
            <w:pPr>
              <w:ind w:right="83"/>
              <w:jc w:val="right"/>
              <w:rPr>
                <w:color w:val="000000"/>
                <w:sz w:val="18"/>
                <w:szCs w:val="18"/>
                <w:lang w:val="en-GB" w:eastAsia="en-GB"/>
              </w:rPr>
            </w:pPr>
          </w:p>
        </w:tc>
        <w:tc>
          <w:tcPr>
            <w:tcW w:w="1492" w:type="dxa"/>
            <w:shd w:val="clear" w:color="auto" w:fill="auto"/>
            <w:noWrap/>
            <w:tcMar>
              <w:top w:w="0" w:type="dxa"/>
              <w:left w:w="144" w:type="dxa"/>
              <w:bottom w:w="0" w:type="dxa"/>
              <w:right w:w="0" w:type="dxa"/>
            </w:tcMar>
            <w:vAlign w:val="center"/>
          </w:tcPr>
          <w:p w14:paraId="75C0CE67" w14:textId="77777777" w:rsidR="000E7FC9" w:rsidRDefault="000E7FC9" w:rsidP="00B322A7">
            <w:pPr>
              <w:ind w:right="83"/>
              <w:jc w:val="right"/>
              <w:rPr>
                <w:sz w:val="20"/>
                <w:lang w:val="en-GB" w:eastAsia="en-GB"/>
              </w:rPr>
            </w:pPr>
          </w:p>
        </w:tc>
        <w:tc>
          <w:tcPr>
            <w:tcW w:w="1740" w:type="dxa"/>
            <w:shd w:val="clear" w:color="auto" w:fill="auto"/>
            <w:vAlign w:val="center"/>
          </w:tcPr>
          <w:p w14:paraId="00BB355D"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tcPr>
          <w:p w14:paraId="28FAF2A6" w14:textId="77777777" w:rsidR="000E7FC9" w:rsidRDefault="000E7FC9" w:rsidP="00B322A7">
            <w:pPr>
              <w:ind w:right="83"/>
              <w:jc w:val="right"/>
              <w:rPr>
                <w:color w:val="000000"/>
                <w:sz w:val="18"/>
                <w:szCs w:val="18"/>
                <w:lang w:val="en-GB" w:eastAsia="en-GB"/>
              </w:rPr>
            </w:pPr>
            <w:r>
              <w:rPr>
                <w:color w:val="000000"/>
                <w:sz w:val="18"/>
                <w:szCs w:val="18"/>
                <w:lang w:val="en-GB" w:eastAsia="en-GB"/>
              </w:rPr>
              <w:t>(12,146)</w:t>
            </w:r>
          </w:p>
        </w:tc>
      </w:tr>
      <w:tr w:rsidR="000E7FC9" w14:paraId="37D8CF09" w14:textId="77777777" w:rsidTr="000E7FC9">
        <w:trPr>
          <w:cantSplit/>
          <w:jc w:val="center"/>
        </w:trPr>
        <w:tc>
          <w:tcPr>
            <w:tcW w:w="3477" w:type="dxa"/>
          </w:tcPr>
          <w:p w14:paraId="0F23B2FE"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sz w:val="18"/>
                <w:szCs w:val="18"/>
              </w:rPr>
              <w:t>Deferred taxes - JV</w:t>
            </w:r>
            <w:r>
              <w:rPr>
                <w:sz w:val="18"/>
                <w:szCs w:val="18"/>
              </w:rPr>
              <w:tab/>
            </w:r>
          </w:p>
        </w:tc>
        <w:tc>
          <w:tcPr>
            <w:tcW w:w="1267" w:type="dxa"/>
            <w:shd w:val="clear" w:color="auto" w:fill="auto"/>
            <w:noWrap/>
            <w:tcMar>
              <w:top w:w="0" w:type="dxa"/>
              <w:left w:w="144" w:type="dxa"/>
              <w:bottom w:w="0" w:type="dxa"/>
              <w:right w:w="0" w:type="dxa"/>
            </w:tcMar>
            <w:vAlign w:val="center"/>
          </w:tcPr>
          <w:p w14:paraId="67966C06" w14:textId="77777777" w:rsidR="000E7FC9" w:rsidRDefault="000E7FC9" w:rsidP="00B322A7">
            <w:pPr>
              <w:ind w:right="83"/>
              <w:jc w:val="right"/>
              <w:rPr>
                <w:color w:val="000000"/>
                <w:sz w:val="18"/>
                <w:szCs w:val="18"/>
                <w:lang w:val="en-GB" w:eastAsia="en-GB"/>
              </w:rPr>
            </w:pPr>
          </w:p>
        </w:tc>
        <w:tc>
          <w:tcPr>
            <w:tcW w:w="1492" w:type="dxa"/>
            <w:shd w:val="clear" w:color="auto" w:fill="auto"/>
            <w:noWrap/>
            <w:tcMar>
              <w:top w:w="0" w:type="dxa"/>
              <w:left w:w="144" w:type="dxa"/>
              <w:bottom w:w="0" w:type="dxa"/>
              <w:right w:w="0" w:type="dxa"/>
            </w:tcMar>
            <w:vAlign w:val="center"/>
          </w:tcPr>
          <w:p w14:paraId="10BB1366" w14:textId="77777777" w:rsidR="000E7FC9" w:rsidRDefault="000E7FC9" w:rsidP="00B322A7">
            <w:pPr>
              <w:ind w:right="83"/>
              <w:jc w:val="right"/>
              <w:rPr>
                <w:sz w:val="20"/>
                <w:lang w:val="en-GB" w:eastAsia="en-GB"/>
              </w:rPr>
            </w:pPr>
          </w:p>
        </w:tc>
        <w:tc>
          <w:tcPr>
            <w:tcW w:w="1740" w:type="dxa"/>
            <w:shd w:val="clear" w:color="auto" w:fill="auto"/>
            <w:vAlign w:val="center"/>
          </w:tcPr>
          <w:p w14:paraId="73E3F523"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tcPr>
          <w:p w14:paraId="0B402BB1" w14:textId="77777777" w:rsidR="000E7FC9" w:rsidRDefault="000E7FC9" w:rsidP="00B322A7">
            <w:pPr>
              <w:ind w:right="83"/>
              <w:jc w:val="right"/>
              <w:rPr>
                <w:color w:val="000000"/>
                <w:sz w:val="18"/>
                <w:szCs w:val="18"/>
                <w:lang w:val="en-GB" w:eastAsia="en-GB"/>
              </w:rPr>
            </w:pPr>
            <w:r>
              <w:rPr>
                <w:color w:val="000000"/>
                <w:sz w:val="18"/>
                <w:szCs w:val="18"/>
                <w:lang w:val="en-GB" w:eastAsia="en-GB"/>
              </w:rPr>
              <w:t xml:space="preserve">0 </w:t>
            </w:r>
          </w:p>
        </w:tc>
      </w:tr>
      <w:tr w:rsidR="000E7FC9" w14:paraId="02FB4F9B" w14:textId="77777777" w:rsidTr="000E7FC9">
        <w:trPr>
          <w:cantSplit/>
          <w:jc w:val="center"/>
        </w:trPr>
        <w:tc>
          <w:tcPr>
            <w:tcW w:w="3477" w:type="dxa"/>
            <w:hideMark/>
          </w:tcPr>
          <w:p w14:paraId="138B6CC8" w14:textId="77777777" w:rsidR="000E7FC9" w:rsidRDefault="000E7FC9" w:rsidP="00B322A7">
            <w:pPr>
              <w:pStyle w:val="NormalWeb"/>
              <w:tabs>
                <w:tab w:val="right" w:leader="dot" w:pos="4620"/>
              </w:tabs>
              <w:spacing w:before="0" w:beforeAutospacing="0" w:after="0" w:afterAutospacing="0"/>
              <w:ind w:left="240" w:hanging="240"/>
              <w:jc w:val="right"/>
              <w:rPr>
                <w:rFonts w:eastAsiaTheme="minorEastAsia"/>
                <w:sz w:val="18"/>
                <w:szCs w:val="18"/>
              </w:rPr>
            </w:pPr>
            <w:r>
              <w:rPr>
                <w:b/>
                <w:bCs/>
                <w:sz w:val="18"/>
                <w:szCs w:val="18"/>
              </w:rPr>
              <w:t>Reported profit for the period</w:t>
            </w:r>
            <w:r>
              <w:rPr>
                <w:b/>
                <w:bCs/>
                <w:sz w:val="18"/>
                <w:szCs w:val="18"/>
              </w:rPr>
              <w:tab/>
            </w:r>
          </w:p>
        </w:tc>
        <w:tc>
          <w:tcPr>
            <w:tcW w:w="1267" w:type="dxa"/>
            <w:shd w:val="clear" w:color="auto" w:fill="auto"/>
            <w:noWrap/>
            <w:tcMar>
              <w:top w:w="0" w:type="dxa"/>
              <w:left w:w="144" w:type="dxa"/>
              <w:bottom w:w="0" w:type="dxa"/>
              <w:right w:w="0" w:type="dxa"/>
            </w:tcMar>
            <w:vAlign w:val="center"/>
            <w:hideMark/>
          </w:tcPr>
          <w:p w14:paraId="66D8E655" w14:textId="77777777" w:rsidR="000E7FC9" w:rsidRDefault="000E7FC9" w:rsidP="00B322A7">
            <w:pPr>
              <w:ind w:right="83"/>
              <w:jc w:val="right"/>
              <w:rPr>
                <w:sz w:val="20"/>
                <w:lang w:val="en-GB" w:eastAsia="en-GB"/>
              </w:rPr>
            </w:pPr>
          </w:p>
        </w:tc>
        <w:tc>
          <w:tcPr>
            <w:tcW w:w="1492" w:type="dxa"/>
            <w:shd w:val="clear" w:color="auto" w:fill="auto"/>
            <w:noWrap/>
            <w:tcMar>
              <w:top w:w="0" w:type="dxa"/>
              <w:left w:w="144" w:type="dxa"/>
              <w:bottom w:w="0" w:type="dxa"/>
              <w:right w:w="0" w:type="dxa"/>
            </w:tcMar>
            <w:vAlign w:val="center"/>
            <w:hideMark/>
          </w:tcPr>
          <w:p w14:paraId="2A093521" w14:textId="77777777" w:rsidR="000E7FC9" w:rsidRDefault="000E7FC9" w:rsidP="00B322A7">
            <w:pPr>
              <w:ind w:right="83"/>
              <w:jc w:val="right"/>
              <w:rPr>
                <w:sz w:val="20"/>
                <w:lang w:val="en-GB" w:eastAsia="en-GB"/>
              </w:rPr>
            </w:pPr>
          </w:p>
        </w:tc>
        <w:tc>
          <w:tcPr>
            <w:tcW w:w="1740" w:type="dxa"/>
            <w:shd w:val="clear" w:color="auto" w:fill="auto"/>
            <w:vAlign w:val="center"/>
          </w:tcPr>
          <w:p w14:paraId="3E47FC32" w14:textId="77777777" w:rsidR="000E7FC9" w:rsidRDefault="000E7FC9" w:rsidP="00B322A7">
            <w:pPr>
              <w:ind w:right="83"/>
              <w:jc w:val="right"/>
              <w:rPr>
                <w:sz w:val="20"/>
                <w:lang w:val="en-GB" w:eastAsia="en-GB"/>
              </w:rPr>
            </w:pPr>
          </w:p>
        </w:tc>
        <w:tc>
          <w:tcPr>
            <w:tcW w:w="1235" w:type="dxa"/>
            <w:shd w:val="clear" w:color="auto" w:fill="auto"/>
            <w:noWrap/>
            <w:tcMar>
              <w:top w:w="0" w:type="dxa"/>
              <w:left w:w="144" w:type="dxa"/>
              <w:bottom w:w="0" w:type="dxa"/>
              <w:right w:w="0" w:type="dxa"/>
            </w:tcMar>
            <w:vAlign w:val="center"/>
            <w:hideMark/>
          </w:tcPr>
          <w:p w14:paraId="6AA2CF65" w14:textId="77777777" w:rsidR="000E7FC9" w:rsidRDefault="000E7FC9" w:rsidP="00B322A7">
            <w:pPr>
              <w:ind w:right="83"/>
              <w:jc w:val="right"/>
              <w:rPr>
                <w:b/>
                <w:bCs/>
                <w:color w:val="000000"/>
                <w:sz w:val="18"/>
                <w:szCs w:val="18"/>
                <w:lang w:val="en-GB" w:eastAsia="en-GB"/>
              </w:rPr>
            </w:pPr>
            <w:r>
              <w:rPr>
                <w:b/>
                <w:bCs/>
                <w:color w:val="000000"/>
                <w:sz w:val="18"/>
                <w:szCs w:val="18"/>
                <w:lang w:val="en-GB" w:eastAsia="en-GB"/>
              </w:rPr>
              <w:t xml:space="preserve">86,561 </w:t>
            </w:r>
          </w:p>
        </w:tc>
      </w:tr>
    </w:tbl>
    <w:p w14:paraId="28F816FA" w14:textId="6E207D85" w:rsidR="000E7FC9" w:rsidRDefault="000E7FC9" w:rsidP="000E7FC9">
      <w:pPr>
        <w:pStyle w:val="VulcanIIbody"/>
        <w:ind w:firstLine="0"/>
      </w:pPr>
    </w:p>
    <w:p w14:paraId="42D2674F" w14:textId="1D7FE0CB" w:rsidR="0060104C" w:rsidRDefault="0060104C" w:rsidP="0060104C">
      <w:pPr>
        <w:pStyle w:val="VulcanIIbody"/>
      </w:pPr>
      <w:r w:rsidRPr="0060104C">
        <w:t>The following table sets out</w:t>
      </w:r>
      <w:r>
        <w:t xml:space="preserve"> a reconciliation of</w:t>
      </w:r>
      <w:r w:rsidR="00A5572A">
        <w:t xml:space="preserve"> the calculation by business line of the Group’s</w:t>
      </w:r>
      <w:r>
        <w:t xml:space="preserve"> (</w:t>
      </w:r>
      <w:proofErr w:type="spellStart"/>
      <w:r>
        <w:t>i</w:t>
      </w:r>
      <w:proofErr w:type="spellEnd"/>
      <w:r>
        <w:t>) IFRS n</w:t>
      </w:r>
      <w:r w:rsidRPr="0060104C">
        <w:t>et valuation gains/losses on in</w:t>
      </w:r>
      <w:r>
        <w:t>vestment properties; (ii) IFRS a</w:t>
      </w:r>
      <w:r w:rsidRPr="0060104C">
        <w:t>dministration expenses; (iii) IFRS N</w:t>
      </w:r>
      <w:r>
        <w:t xml:space="preserve">et financial result; (iv) IFRS taxes; (v) IFRS </w:t>
      </w:r>
      <w:r>
        <w:lastRenderedPageBreak/>
        <w:t>s</w:t>
      </w:r>
      <w:r w:rsidRPr="0060104C">
        <w:t>hare in result of joint venture and associates</w:t>
      </w:r>
      <w:r>
        <w:t xml:space="preserve"> at share; and (vi) IFRS o</w:t>
      </w:r>
      <w:r w:rsidRPr="0060104C">
        <w:t>perating profit</w:t>
      </w:r>
      <w:r w:rsidR="00F53F52">
        <w:t>, all as set out in the Annual Financial Statements and the Interim Financial Statements</w:t>
      </w:r>
      <w:r w:rsidRPr="0060104C">
        <w:t>.</w:t>
      </w:r>
    </w:p>
    <w:p w14:paraId="4055E089" w14:textId="77777777" w:rsidR="000E7FC9" w:rsidRPr="0060104C" w:rsidRDefault="000E7FC9" w:rsidP="0060104C">
      <w:pPr>
        <w:pStyle w:val="VulcanIIbody"/>
      </w:pPr>
    </w:p>
    <w:tbl>
      <w:tblPr>
        <w:tblStyle w:val="TableGrid8"/>
        <w:tblW w:w="8956" w:type="dxa"/>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62"/>
        <w:gridCol w:w="1312"/>
        <w:gridCol w:w="236"/>
        <w:gridCol w:w="1177"/>
        <w:gridCol w:w="250"/>
        <w:gridCol w:w="1167"/>
        <w:gridCol w:w="7"/>
        <w:gridCol w:w="238"/>
        <w:gridCol w:w="7"/>
      </w:tblGrid>
      <w:tr w:rsidR="0060104C" w14:paraId="61F02C72" w14:textId="77777777" w:rsidTr="0060104C">
        <w:tc>
          <w:tcPr>
            <w:tcW w:w="4562" w:type="dxa"/>
            <w:vAlign w:val="bottom"/>
          </w:tcPr>
          <w:p w14:paraId="5141FC89" w14:textId="77777777" w:rsidR="0060104C" w:rsidRDefault="0060104C" w:rsidP="0060104C">
            <w:pPr>
              <w:jc w:val="both"/>
              <w:rPr>
                <w:bCs/>
                <w:i/>
                <w:sz w:val="18"/>
                <w:szCs w:val="18"/>
                <w:lang w:val="en-GB"/>
              </w:rPr>
            </w:pPr>
          </w:p>
        </w:tc>
        <w:tc>
          <w:tcPr>
            <w:tcW w:w="1312" w:type="dxa"/>
            <w:vAlign w:val="bottom"/>
          </w:tcPr>
          <w:p w14:paraId="6B81F3D3" w14:textId="77777777" w:rsidR="0060104C" w:rsidRDefault="0060104C" w:rsidP="0060104C">
            <w:pPr>
              <w:jc w:val="right"/>
              <w:rPr>
                <w:b/>
                <w:bCs/>
                <w:sz w:val="18"/>
                <w:szCs w:val="18"/>
                <w:lang w:val="en-GB" w:eastAsia="zh-TW"/>
              </w:rPr>
            </w:pPr>
            <w:r>
              <w:rPr>
                <w:b/>
                <w:bCs/>
                <w:sz w:val="18"/>
                <w:szCs w:val="18"/>
                <w:lang w:val="en-GB" w:eastAsia="zh-TW"/>
              </w:rPr>
              <w:t>As at 30-Jun</w:t>
            </w:r>
          </w:p>
        </w:tc>
        <w:tc>
          <w:tcPr>
            <w:tcW w:w="236" w:type="dxa"/>
            <w:vAlign w:val="bottom"/>
          </w:tcPr>
          <w:p w14:paraId="7373E09B" w14:textId="77777777" w:rsidR="0060104C" w:rsidRDefault="0060104C" w:rsidP="0060104C">
            <w:pPr>
              <w:jc w:val="right"/>
              <w:rPr>
                <w:b/>
                <w:bCs/>
                <w:sz w:val="18"/>
                <w:szCs w:val="18"/>
                <w:lang w:val="en-GB"/>
              </w:rPr>
            </w:pPr>
          </w:p>
        </w:tc>
        <w:tc>
          <w:tcPr>
            <w:tcW w:w="2601" w:type="dxa"/>
            <w:gridSpan w:val="4"/>
            <w:vAlign w:val="bottom"/>
          </w:tcPr>
          <w:p w14:paraId="3F7C9D5C" w14:textId="77777777" w:rsidR="0060104C" w:rsidRDefault="0060104C" w:rsidP="0060104C">
            <w:pPr>
              <w:jc w:val="center"/>
              <w:rPr>
                <w:b/>
                <w:bCs/>
                <w:sz w:val="18"/>
                <w:szCs w:val="18"/>
                <w:lang w:val="en-GB"/>
              </w:rPr>
            </w:pPr>
            <w:r>
              <w:rPr>
                <w:b/>
                <w:bCs/>
                <w:sz w:val="18"/>
                <w:szCs w:val="18"/>
                <w:lang w:val="en-GB" w:eastAsia="zh-TW"/>
              </w:rPr>
              <w:t>As at 31-Dec</w:t>
            </w:r>
          </w:p>
        </w:tc>
        <w:tc>
          <w:tcPr>
            <w:tcW w:w="245" w:type="dxa"/>
            <w:gridSpan w:val="2"/>
            <w:vAlign w:val="bottom"/>
          </w:tcPr>
          <w:p w14:paraId="2AADA06D" w14:textId="77777777" w:rsidR="0060104C" w:rsidRDefault="0060104C" w:rsidP="0060104C">
            <w:pPr>
              <w:jc w:val="right"/>
              <w:rPr>
                <w:b/>
                <w:bCs/>
                <w:sz w:val="18"/>
                <w:szCs w:val="18"/>
                <w:lang w:val="en-GB"/>
              </w:rPr>
            </w:pPr>
          </w:p>
        </w:tc>
      </w:tr>
      <w:tr w:rsidR="0060104C" w14:paraId="0C4CDDA6" w14:textId="77777777" w:rsidTr="0060104C">
        <w:trPr>
          <w:gridAfter w:val="1"/>
          <w:wAfter w:w="7" w:type="dxa"/>
        </w:trPr>
        <w:tc>
          <w:tcPr>
            <w:tcW w:w="4562" w:type="dxa"/>
            <w:vAlign w:val="bottom"/>
          </w:tcPr>
          <w:p w14:paraId="55E5E9C1" w14:textId="77777777" w:rsidR="0060104C" w:rsidRDefault="0060104C" w:rsidP="0060104C">
            <w:pPr>
              <w:jc w:val="both"/>
              <w:rPr>
                <w:b/>
                <w:bCs/>
                <w:sz w:val="18"/>
                <w:szCs w:val="18"/>
                <w:lang w:val="en-GB"/>
              </w:rPr>
            </w:pPr>
            <w:r>
              <w:rPr>
                <w:bCs/>
                <w:i/>
                <w:sz w:val="18"/>
                <w:szCs w:val="18"/>
                <w:lang w:val="en-GB"/>
              </w:rPr>
              <w:t>In thousands of €</w:t>
            </w:r>
          </w:p>
        </w:tc>
        <w:tc>
          <w:tcPr>
            <w:tcW w:w="1312" w:type="dxa"/>
            <w:vAlign w:val="bottom"/>
          </w:tcPr>
          <w:p w14:paraId="704570DE" w14:textId="77777777" w:rsidR="0060104C" w:rsidRDefault="0060104C" w:rsidP="0060104C">
            <w:pPr>
              <w:jc w:val="right"/>
              <w:rPr>
                <w:b/>
                <w:bCs/>
                <w:sz w:val="18"/>
                <w:szCs w:val="18"/>
                <w:lang w:val="en-GB"/>
              </w:rPr>
            </w:pPr>
            <w:r>
              <w:rPr>
                <w:b/>
                <w:bCs/>
                <w:sz w:val="18"/>
                <w:szCs w:val="18"/>
                <w:lang w:val="en-GB" w:eastAsia="zh-TW"/>
              </w:rPr>
              <w:t>2017</w:t>
            </w:r>
          </w:p>
        </w:tc>
        <w:tc>
          <w:tcPr>
            <w:tcW w:w="236" w:type="dxa"/>
            <w:vAlign w:val="bottom"/>
          </w:tcPr>
          <w:p w14:paraId="3307FA19" w14:textId="77777777" w:rsidR="0060104C" w:rsidRDefault="0060104C" w:rsidP="0060104C">
            <w:pPr>
              <w:jc w:val="right"/>
              <w:rPr>
                <w:b/>
                <w:bCs/>
                <w:sz w:val="18"/>
                <w:szCs w:val="18"/>
                <w:lang w:val="en-GB"/>
              </w:rPr>
            </w:pPr>
          </w:p>
        </w:tc>
        <w:tc>
          <w:tcPr>
            <w:tcW w:w="1177" w:type="dxa"/>
            <w:vAlign w:val="bottom"/>
          </w:tcPr>
          <w:p w14:paraId="541257E3" w14:textId="77777777" w:rsidR="0060104C" w:rsidRDefault="0060104C" w:rsidP="0060104C">
            <w:pPr>
              <w:jc w:val="right"/>
              <w:rPr>
                <w:b/>
                <w:bCs/>
                <w:sz w:val="18"/>
                <w:szCs w:val="18"/>
                <w:lang w:val="en-GB"/>
              </w:rPr>
            </w:pPr>
            <w:r>
              <w:rPr>
                <w:b/>
                <w:bCs/>
                <w:sz w:val="18"/>
                <w:szCs w:val="18"/>
                <w:lang w:val="en-GB"/>
              </w:rPr>
              <w:t>2016</w:t>
            </w:r>
          </w:p>
        </w:tc>
        <w:tc>
          <w:tcPr>
            <w:tcW w:w="250" w:type="dxa"/>
            <w:vAlign w:val="bottom"/>
          </w:tcPr>
          <w:p w14:paraId="5EC29241" w14:textId="77777777" w:rsidR="0060104C" w:rsidRDefault="0060104C" w:rsidP="0060104C">
            <w:pPr>
              <w:jc w:val="right"/>
              <w:rPr>
                <w:b/>
                <w:bCs/>
                <w:sz w:val="18"/>
                <w:szCs w:val="18"/>
                <w:lang w:val="en-GB"/>
              </w:rPr>
            </w:pPr>
          </w:p>
        </w:tc>
        <w:tc>
          <w:tcPr>
            <w:tcW w:w="1167" w:type="dxa"/>
            <w:vAlign w:val="bottom"/>
          </w:tcPr>
          <w:p w14:paraId="6971ABF1" w14:textId="77777777" w:rsidR="0060104C" w:rsidRDefault="0060104C" w:rsidP="0060104C">
            <w:pPr>
              <w:jc w:val="right"/>
              <w:rPr>
                <w:b/>
                <w:bCs/>
                <w:sz w:val="18"/>
                <w:szCs w:val="18"/>
                <w:lang w:val="en-GB"/>
              </w:rPr>
            </w:pPr>
            <w:r>
              <w:rPr>
                <w:b/>
                <w:bCs/>
                <w:sz w:val="18"/>
                <w:szCs w:val="18"/>
                <w:lang w:val="en-GB"/>
              </w:rPr>
              <w:t>2015</w:t>
            </w:r>
          </w:p>
        </w:tc>
        <w:tc>
          <w:tcPr>
            <w:tcW w:w="245" w:type="dxa"/>
            <w:gridSpan w:val="2"/>
            <w:vAlign w:val="bottom"/>
          </w:tcPr>
          <w:p w14:paraId="48DE1EB5" w14:textId="77777777" w:rsidR="0060104C" w:rsidRDefault="0060104C" w:rsidP="0060104C">
            <w:pPr>
              <w:jc w:val="right"/>
              <w:rPr>
                <w:b/>
                <w:bCs/>
                <w:sz w:val="18"/>
                <w:szCs w:val="18"/>
                <w:lang w:val="en-GB"/>
              </w:rPr>
            </w:pPr>
          </w:p>
        </w:tc>
      </w:tr>
      <w:tr w:rsidR="0060104C" w14:paraId="6820F912" w14:textId="77777777" w:rsidTr="0060104C">
        <w:trPr>
          <w:gridAfter w:val="1"/>
          <w:wAfter w:w="7" w:type="dxa"/>
        </w:trPr>
        <w:tc>
          <w:tcPr>
            <w:tcW w:w="4562" w:type="dxa"/>
            <w:vAlign w:val="bottom"/>
          </w:tcPr>
          <w:p w14:paraId="7BDFDF40" w14:textId="77777777" w:rsidR="0060104C" w:rsidRDefault="0060104C" w:rsidP="0060104C">
            <w:pPr>
              <w:jc w:val="both"/>
              <w:rPr>
                <w:sz w:val="18"/>
                <w:szCs w:val="18"/>
                <w:lang w:val="en-GB" w:eastAsia="nl-NL"/>
              </w:rPr>
            </w:pPr>
          </w:p>
        </w:tc>
        <w:tc>
          <w:tcPr>
            <w:tcW w:w="1312" w:type="dxa"/>
            <w:vAlign w:val="bottom"/>
          </w:tcPr>
          <w:p w14:paraId="5684920F" w14:textId="77777777" w:rsidR="0060104C" w:rsidRDefault="0060104C" w:rsidP="0060104C">
            <w:pPr>
              <w:jc w:val="right"/>
              <w:rPr>
                <w:color w:val="000000"/>
                <w:sz w:val="18"/>
                <w:szCs w:val="18"/>
                <w:lang w:val="en-GB" w:eastAsia="en-GB"/>
              </w:rPr>
            </w:pPr>
          </w:p>
        </w:tc>
        <w:tc>
          <w:tcPr>
            <w:tcW w:w="236" w:type="dxa"/>
            <w:vAlign w:val="bottom"/>
          </w:tcPr>
          <w:p w14:paraId="36E4345F" w14:textId="77777777" w:rsidR="0060104C" w:rsidRDefault="0060104C" w:rsidP="0060104C">
            <w:pPr>
              <w:jc w:val="right"/>
              <w:rPr>
                <w:b/>
                <w:bCs/>
                <w:sz w:val="18"/>
                <w:szCs w:val="18"/>
                <w:lang w:val="en-GB"/>
              </w:rPr>
            </w:pPr>
          </w:p>
        </w:tc>
        <w:tc>
          <w:tcPr>
            <w:tcW w:w="1177" w:type="dxa"/>
            <w:vAlign w:val="bottom"/>
          </w:tcPr>
          <w:p w14:paraId="6BBA0211" w14:textId="77777777" w:rsidR="0060104C" w:rsidRDefault="0060104C" w:rsidP="0060104C">
            <w:pPr>
              <w:jc w:val="right"/>
              <w:rPr>
                <w:color w:val="000000"/>
                <w:sz w:val="18"/>
                <w:szCs w:val="18"/>
                <w:lang w:val="en-GB" w:eastAsia="en-GB"/>
              </w:rPr>
            </w:pPr>
          </w:p>
        </w:tc>
        <w:tc>
          <w:tcPr>
            <w:tcW w:w="250" w:type="dxa"/>
            <w:vAlign w:val="bottom"/>
          </w:tcPr>
          <w:p w14:paraId="59EE330C" w14:textId="77777777" w:rsidR="0060104C" w:rsidRDefault="0060104C" w:rsidP="0060104C">
            <w:pPr>
              <w:jc w:val="right"/>
              <w:rPr>
                <w:b/>
                <w:bCs/>
                <w:sz w:val="18"/>
                <w:szCs w:val="18"/>
                <w:lang w:val="en-GB"/>
              </w:rPr>
            </w:pPr>
          </w:p>
        </w:tc>
        <w:tc>
          <w:tcPr>
            <w:tcW w:w="1167" w:type="dxa"/>
            <w:vAlign w:val="bottom"/>
          </w:tcPr>
          <w:p w14:paraId="22292A5A" w14:textId="77777777" w:rsidR="0060104C" w:rsidRDefault="0060104C" w:rsidP="0060104C">
            <w:pPr>
              <w:jc w:val="right"/>
              <w:rPr>
                <w:color w:val="000000"/>
                <w:sz w:val="18"/>
                <w:szCs w:val="18"/>
                <w:lang w:val="en-GB" w:eastAsia="en-GB"/>
              </w:rPr>
            </w:pPr>
          </w:p>
        </w:tc>
        <w:tc>
          <w:tcPr>
            <w:tcW w:w="245" w:type="dxa"/>
            <w:gridSpan w:val="2"/>
            <w:vAlign w:val="bottom"/>
          </w:tcPr>
          <w:p w14:paraId="204A941E" w14:textId="77777777" w:rsidR="0060104C" w:rsidRDefault="0060104C" w:rsidP="0060104C">
            <w:pPr>
              <w:jc w:val="right"/>
              <w:rPr>
                <w:b/>
                <w:bCs/>
                <w:sz w:val="18"/>
                <w:szCs w:val="18"/>
                <w:lang w:val="en-GB"/>
              </w:rPr>
            </w:pPr>
          </w:p>
        </w:tc>
      </w:tr>
      <w:tr w:rsidR="0060104C" w14:paraId="6F19E777" w14:textId="77777777" w:rsidTr="0060104C">
        <w:trPr>
          <w:gridAfter w:val="1"/>
          <w:wAfter w:w="7" w:type="dxa"/>
        </w:trPr>
        <w:tc>
          <w:tcPr>
            <w:tcW w:w="4562" w:type="dxa"/>
            <w:vAlign w:val="bottom"/>
          </w:tcPr>
          <w:p w14:paraId="54000DE4" w14:textId="77777777" w:rsidR="0060104C" w:rsidRDefault="0060104C" w:rsidP="0060104C">
            <w:pPr>
              <w:rPr>
                <w:color w:val="000000"/>
                <w:sz w:val="18"/>
                <w:szCs w:val="18"/>
                <w:lang w:val="en-GB" w:eastAsia="en-GB"/>
              </w:rPr>
            </w:pPr>
            <w:r w:rsidRPr="00BD1859">
              <w:rPr>
                <w:color w:val="000000"/>
                <w:sz w:val="18"/>
                <w:szCs w:val="18"/>
                <w:lang w:val="en-GB" w:eastAsia="en-GB"/>
              </w:rPr>
              <w:t xml:space="preserve">Net valuation gains/(losses) on investment properties </w:t>
            </w:r>
          </w:p>
        </w:tc>
        <w:tc>
          <w:tcPr>
            <w:tcW w:w="1312" w:type="dxa"/>
            <w:vAlign w:val="bottom"/>
          </w:tcPr>
          <w:p w14:paraId="2121C251" w14:textId="77777777" w:rsidR="0060104C" w:rsidRDefault="0060104C" w:rsidP="0060104C">
            <w:pPr>
              <w:jc w:val="right"/>
              <w:rPr>
                <w:color w:val="000000"/>
                <w:sz w:val="18"/>
                <w:szCs w:val="18"/>
                <w:lang w:val="en-GB" w:eastAsia="en-GB"/>
              </w:rPr>
            </w:pPr>
            <w:r w:rsidRPr="00BD1859">
              <w:rPr>
                <w:color w:val="000000"/>
                <w:sz w:val="18"/>
                <w:szCs w:val="18"/>
                <w:lang w:val="en-GB" w:eastAsia="en-GB"/>
              </w:rPr>
              <w:t xml:space="preserve">48,875 </w:t>
            </w:r>
          </w:p>
        </w:tc>
        <w:tc>
          <w:tcPr>
            <w:tcW w:w="236" w:type="dxa"/>
            <w:vAlign w:val="bottom"/>
          </w:tcPr>
          <w:p w14:paraId="272852C7" w14:textId="77777777" w:rsidR="0060104C" w:rsidRDefault="0060104C" w:rsidP="0060104C">
            <w:pPr>
              <w:jc w:val="right"/>
              <w:rPr>
                <w:b/>
                <w:bCs/>
                <w:sz w:val="18"/>
                <w:szCs w:val="18"/>
                <w:lang w:val="en-GB"/>
              </w:rPr>
            </w:pPr>
          </w:p>
        </w:tc>
        <w:tc>
          <w:tcPr>
            <w:tcW w:w="1177" w:type="dxa"/>
            <w:vAlign w:val="bottom"/>
          </w:tcPr>
          <w:p w14:paraId="50FC5C5B" w14:textId="77777777" w:rsidR="0060104C" w:rsidRDefault="0060104C" w:rsidP="0060104C">
            <w:pPr>
              <w:jc w:val="right"/>
              <w:rPr>
                <w:color w:val="000000"/>
                <w:sz w:val="18"/>
                <w:szCs w:val="18"/>
                <w:lang w:val="en-GB" w:eastAsia="en-GB"/>
              </w:rPr>
            </w:pPr>
            <w:r w:rsidRPr="00BD1859">
              <w:rPr>
                <w:color w:val="000000"/>
                <w:sz w:val="18"/>
                <w:szCs w:val="18"/>
                <w:lang w:val="en-GB" w:eastAsia="en-GB"/>
              </w:rPr>
              <w:t xml:space="preserve">111,123 </w:t>
            </w:r>
          </w:p>
        </w:tc>
        <w:tc>
          <w:tcPr>
            <w:tcW w:w="250" w:type="dxa"/>
            <w:vAlign w:val="bottom"/>
          </w:tcPr>
          <w:p w14:paraId="7C6FF482" w14:textId="77777777" w:rsidR="0060104C" w:rsidRDefault="0060104C" w:rsidP="0060104C">
            <w:pPr>
              <w:jc w:val="right"/>
              <w:rPr>
                <w:b/>
                <w:bCs/>
                <w:sz w:val="18"/>
                <w:szCs w:val="18"/>
                <w:lang w:val="en-GB"/>
              </w:rPr>
            </w:pPr>
          </w:p>
        </w:tc>
        <w:tc>
          <w:tcPr>
            <w:tcW w:w="1167" w:type="dxa"/>
            <w:vAlign w:val="bottom"/>
          </w:tcPr>
          <w:p w14:paraId="6E041D2E" w14:textId="77777777" w:rsidR="0060104C" w:rsidRDefault="0060104C" w:rsidP="0060104C">
            <w:pPr>
              <w:jc w:val="right"/>
              <w:rPr>
                <w:color w:val="000000"/>
                <w:sz w:val="18"/>
                <w:szCs w:val="18"/>
                <w:lang w:val="en-GB" w:eastAsia="en-GB"/>
              </w:rPr>
            </w:pPr>
            <w:r w:rsidRPr="00BD1859">
              <w:rPr>
                <w:color w:val="000000"/>
                <w:sz w:val="18"/>
                <w:szCs w:val="18"/>
                <w:lang w:val="en-GB" w:eastAsia="en-GB"/>
              </w:rPr>
              <w:t xml:space="preserve">97,298 </w:t>
            </w:r>
          </w:p>
        </w:tc>
        <w:tc>
          <w:tcPr>
            <w:tcW w:w="245" w:type="dxa"/>
            <w:gridSpan w:val="2"/>
            <w:vAlign w:val="bottom"/>
          </w:tcPr>
          <w:p w14:paraId="2EE05497" w14:textId="77777777" w:rsidR="0060104C" w:rsidRDefault="0060104C" w:rsidP="0060104C">
            <w:pPr>
              <w:jc w:val="right"/>
              <w:rPr>
                <w:b/>
                <w:bCs/>
                <w:sz w:val="18"/>
                <w:szCs w:val="18"/>
                <w:lang w:val="en-GB"/>
              </w:rPr>
            </w:pPr>
          </w:p>
        </w:tc>
      </w:tr>
      <w:tr w:rsidR="0060104C" w14:paraId="55B0BCEA" w14:textId="77777777" w:rsidTr="0060104C">
        <w:trPr>
          <w:gridAfter w:val="1"/>
          <w:wAfter w:w="7" w:type="dxa"/>
        </w:trPr>
        <w:tc>
          <w:tcPr>
            <w:tcW w:w="4562" w:type="dxa"/>
            <w:vAlign w:val="bottom"/>
          </w:tcPr>
          <w:p w14:paraId="4FD1AC6D" w14:textId="77777777" w:rsidR="0060104C" w:rsidRDefault="0060104C" w:rsidP="0060104C">
            <w:pPr>
              <w:rPr>
                <w:color w:val="000000"/>
                <w:sz w:val="18"/>
                <w:szCs w:val="18"/>
                <w:lang w:val="en-GB" w:eastAsia="en-GB"/>
              </w:rPr>
            </w:pPr>
            <w:r w:rsidRPr="00BD1859">
              <w:rPr>
                <w:color w:val="000000"/>
                <w:sz w:val="18"/>
                <w:szCs w:val="18"/>
                <w:lang w:val="en-GB" w:eastAsia="en-GB"/>
              </w:rPr>
              <w:t xml:space="preserve">Net valuation gains / (losses) Romania, Estonia, Latvia and Spain </w:t>
            </w:r>
          </w:p>
        </w:tc>
        <w:tc>
          <w:tcPr>
            <w:tcW w:w="1312" w:type="dxa"/>
            <w:vAlign w:val="bottom"/>
          </w:tcPr>
          <w:p w14:paraId="39D0B687" w14:textId="77777777" w:rsidR="0060104C" w:rsidRDefault="0060104C" w:rsidP="0060104C">
            <w:pPr>
              <w:jc w:val="right"/>
              <w:rPr>
                <w:color w:val="000000"/>
                <w:sz w:val="18"/>
                <w:szCs w:val="18"/>
                <w:lang w:val="en-GB" w:eastAsia="en-GB"/>
              </w:rPr>
            </w:pPr>
            <w:r w:rsidRPr="00BD1859">
              <w:rPr>
                <w:color w:val="000000"/>
                <w:sz w:val="18"/>
                <w:szCs w:val="18"/>
                <w:lang w:val="en-GB" w:eastAsia="en-GB"/>
              </w:rPr>
              <w:t xml:space="preserve">10,989 </w:t>
            </w:r>
          </w:p>
        </w:tc>
        <w:tc>
          <w:tcPr>
            <w:tcW w:w="236" w:type="dxa"/>
            <w:vAlign w:val="bottom"/>
          </w:tcPr>
          <w:p w14:paraId="16F72639" w14:textId="77777777" w:rsidR="0060104C" w:rsidRDefault="0060104C" w:rsidP="0060104C">
            <w:pPr>
              <w:jc w:val="right"/>
              <w:rPr>
                <w:b/>
                <w:bCs/>
                <w:sz w:val="18"/>
                <w:szCs w:val="18"/>
                <w:lang w:val="en-GB"/>
              </w:rPr>
            </w:pPr>
          </w:p>
        </w:tc>
        <w:tc>
          <w:tcPr>
            <w:tcW w:w="1177" w:type="dxa"/>
            <w:vAlign w:val="bottom"/>
          </w:tcPr>
          <w:p w14:paraId="22820FA2" w14:textId="77777777" w:rsidR="0060104C" w:rsidRDefault="0060104C" w:rsidP="0060104C">
            <w:pPr>
              <w:jc w:val="right"/>
              <w:rPr>
                <w:color w:val="000000"/>
                <w:sz w:val="18"/>
                <w:szCs w:val="18"/>
                <w:lang w:val="en-GB" w:eastAsia="en-GB"/>
              </w:rPr>
            </w:pPr>
            <w:r w:rsidRPr="00BD1859">
              <w:rPr>
                <w:color w:val="000000"/>
                <w:sz w:val="18"/>
                <w:szCs w:val="18"/>
                <w:lang w:val="en-GB" w:eastAsia="en-GB"/>
              </w:rPr>
              <w:t xml:space="preserve">7,777 </w:t>
            </w:r>
          </w:p>
        </w:tc>
        <w:tc>
          <w:tcPr>
            <w:tcW w:w="250" w:type="dxa"/>
            <w:vAlign w:val="bottom"/>
          </w:tcPr>
          <w:p w14:paraId="729E72CB" w14:textId="77777777" w:rsidR="0060104C" w:rsidRDefault="0060104C" w:rsidP="0060104C">
            <w:pPr>
              <w:jc w:val="right"/>
              <w:rPr>
                <w:b/>
                <w:bCs/>
                <w:sz w:val="18"/>
                <w:szCs w:val="18"/>
                <w:lang w:val="en-GB"/>
              </w:rPr>
            </w:pPr>
          </w:p>
        </w:tc>
        <w:tc>
          <w:tcPr>
            <w:tcW w:w="1167" w:type="dxa"/>
            <w:vAlign w:val="bottom"/>
          </w:tcPr>
          <w:p w14:paraId="43A6D7BF" w14:textId="77777777" w:rsidR="0060104C" w:rsidRDefault="0060104C" w:rsidP="0060104C">
            <w:pPr>
              <w:jc w:val="right"/>
              <w:rPr>
                <w:color w:val="000000"/>
                <w:sz w:val="18"/>
                <w:szCs w:val="18"/>
                <w:lang w:val="en-GB" w:eastAsia="en-GB"/>
              </w:rPr>
            </w:pPr>
            <w:r w:rsidRPr="00BD1859">
              <w:rPr>
                <w:color w:val="000000"/>
                <w:sz w:val="18"/>
                <w:szCs w:val="18"/>
                <w:lang w:val="en-GB" w:eastAsia="en-GB"/>
              </w:rPr>
              <w:t xml:space="preserve">6,683 </w:t>
            </w:r>
          </w:p>
        </w:tc>
        <w:tc>
          <w:tcPr>
            <w:tcW w:w="245" w:type="dxa"/>
            <w:gridSpan w:val="2"/>
            <w:vAlign w:val="bottom"/>
          </w:tcPr>
          <w:p w14:paraId="72AF99EB" w14:textId="77777777" w:rsidR="0060104C" w:rsidRDefault="0060104C" w:rsidP="0060104C">
            <w:pPr>
              <w:jc w:val="right"/>
              <w:rPr>
                <w:b/>
                <w:bCs/>
                <w:sz w:val="18"/>
                <w:szCs w:val="18"/>
                <w:lang w:val="en-GB"/>
              </w:rPr>
            </w:pPr>
          </w:p>
        </w:tc>
      </w:tr>
      <w:tr w:rsidR="0060104C" w14:paraId="1C4D22AE" w14:textId="77777777" w:rsidTr="0060104C">
        <w:trPr>
          <w:gridAfter w:val="1"/>
          <w:wAfter w:w="7" w:type="dxa"/>
        </w:trPr>
        <w:tc>
          <w:tcPr>
            <w:tcW w:w="4562" w:type="dxa"/>
            <w:vAlign w:val="bottom"/>
          </w:tcPr>
          <w:p w14:paraId="784C3040" w14:textId="77777777" w:rsidR="0060104C" w:rsidRPr="00407604" w:rsidRDefault="0060104C" w:rsidP="0060104C">
            <w:pPr>
              <w:rPr>
                <w:b/>
                <w:color w:val="000000"/>
                <w:sz w:val="18"/>
                <w:szCs w:val="18"/>
                <w:lang w:val="en-GB" w:eastAsia="en-GB"/>
              </w:rPr>
            </w:pPr>
            <w:r w:rsidRPr="00407604">
              <w:rPr>
                <w:b/>
                <w:color w:val="000000"/>
                <w:sz w:val="18"/>
                <w:szCs w:val="18"/>
                <w:lang w:val="en-GB" w:eastAsia="en-GB"/>
              </w:rPr>
              <w:t>IFRS Net valuation gains / (losses) on investment properties</w:t>
            </w:r>
          </w:p>
        </w:tc>
        <w:tc>
          <w:tcPr>
            <w:tcW w:w="1312" w:type="dxa"/>
            <w:vAlign w:val="bottom"/>
          </w:tcPr>
          <w:p w14:paraId="1DE3FFE3" w14:textId="77777777" w:rsidR="0060104C" w:rsidRPr="00407604" w:rsidRDefault="0060104C" w:rsidP="0060104C">
            <w:pPr>
              <w:jc w:val="right"/>
              <w:rPr>
                <w:b/>
                <w:color w:val="000000"/>
                <w:sz w:val="18"/>
                <w:szCs w:val="18"/>
                <w:lang w:val="en-GB" w:eastAsia="en-GB"/>
              </w:rPr>
            </w:pPr>
            <w:r w:rsidRPr="00407604">
              <w:rPr>
                <w:b/>
                <w:color w:val="000000"/>
                <w:sz w:val="18"/>
                <w:szCs w:val="18"/>
                <w:lang w:val="en-GB" w:eastAsia="en-GB"/>
              </w:rPr>
              <w:t xml:space="preserve">59,864 </w:t>
            </w:r>
          </w:p>
        </w:tc>
        <w:tc>
          <w:tcPr>
            <w:tcW w:w="236" w:type="dxa"/>
            <w:vAlign w:val="bottom"/>
          </w:tcPr>
          <w:p w14:paraId="4EDC6C06" w14:textId="77777777" w:rsidR="0060104C" w:rsidRPr="00D62D2A" w:rsidRDefault="0060104C" w:rsidP="0060104C">
            <w:pPr>
              <w:jc w:val="right"/>
              <w:rPr>
                <w:b/>
                <w:bCs/>
                <w:sz w:val="18"/>
                <w:szCs w:val="18"/>
                <w:lang w:val="en-GB"/>
              </w:rPr>
            </w:pPr>
          </w:p>
        </w:tc>
        <w:tc>
          <w:tcPr>
            <w:tcW w:w="1177" w:type="dxa"/>
            <w:vAlign w:val="bottom"/>
          </w:tcPr>
          <w:p w14:paraId="792903BC" w14:textId="77777777" w:rsidR="0060104C" w:rsidRPr="00407604" w:rsidRDefault="0060104C" w:rsidP="0060104C">
            <w:pPr>
              <w:jc w:val="right"/>
              <w:rPr>
                <w:b/>
                <w:color w:val="000000"/>
                <w:sz w:val="18"/>
                <w:szCs w:val="18"/>
                <w:lang w:val="en-GB" w:eastAsia="en-GB"/>
              </w:rPr>
            </w:pPr>
            <w:r w:rsidRPr="00407604">
              <w:rPr>
                <w:b/>
                <w:color w:val="000000"/>
                <w:sz w:val="18"/>
                <w:szCs w:val="18"/>
                <w:lang w:val="en-GB" w:eastAsia="en-GB"/>
              </w:rPr>
              <w:t xml:space="preserve">118,900 </w:t>
            </w:r>
          </w:p>
        </w:tc>
        <w:tc>
          <w:tcPr>
            <w:tcW w:w="250" w:type="dxa"/>
            <w:vAlign w:val="bottom"/>
          </w:tcPr>
          <w:p w14:paraId="3581302B" w14:textId="77777777" w:rsidR="0060104C" w:rsidRPr="00D62D2A" w:rsidRDefault="0060104C" w:rsidP="0060104C">
            <w:pPr>
              <w:jc w:val="right"/>
              <w:rPr>
                <w:b/>
                <w:bCs/>
                <w:sz w:val="18"/>
                <w:szCs w:val="18"/>
                <w:lang w:val="en-GB"/>
              </w:rPr>
            </w:pPr>
          </w:p>
        </w:tc>
        <w:tc>
          <w:tcPr>
            <w:tcW w:w="1167" w:type="dxa"/>
            <w:vAlign w:val="bottom"/>
          </w:tcPr>
          <w:p w14:paraId="3821B89D" w14:textId="77777777" w:rsidR="0060104C" w:rsidRPr="00407604" w:rsidRDefault="0060104C" w:rsidP="0060104C">
            <w:pPr>
              <w:jc w:val="right"/>
              <w:rPr>
                <w:b/>
                <w:color w:val="000000"/>
                <w:sz w:val="18"/>
                <w:szCs w:val="18"/>
                <w:lang w:val="en-GB" w:eastAsia="en-GB"/>
              </w:rPr>
            </w:pPr>
            <w:r w:rsidRPr="00407604">
              <w:rPr>
                <w:b/>
                <w:color w:val="000000"/>
                <w:sz w:val="18"/>
                <w:szCs w:val="18"/>
                <w:lang w:val="en-GB" w:eastAsia="en-GB"/>
              </w:rPr>
              <w:t xml:space="preserve">103,981 </w:t>
            </w:r>
          </w:p>
        </w:tc>
        <w:tc>
          <w:tcPr>
            <w:tcW w:w="245" w:type="dxa"/>
            <w:gridSpan w:val="2"/>
            <w:vAlign w:val="bottom"/>
          </w:tcPr>
          <w:p w14:paraId="00B43475" w14:textId="77777777" w:rsidR="0060104C" w:rsidRDefault="0060104C" w:rsidP="0060104C">
            <w:pPr>
              <w:jc w:val="right"/>
              <w:rPr>
                <w:b/>
                <w:bCs/>
                <w:sz w:val="18"/>
                <w:szCs w:val="18"/>
                <w:lang w:val="en-GB"/>
              </w:rPr>
            </w:pPr>
          </w:p>
        </w:tc>
      </w:tr>
      <w:tr w:rsidR="0060104C" w14:paraId="2EFF532A" w14:textId="77777777" w:rsidTr="0060104C">
        <w:trPr>
          <w:gridAfter w:val="1"/>
          <w:wAfter w:w="7" w:type="dxa"/>
        </w:trPr>
        <w:tc>
          <w:tcPr>
            <w:tcW w:w="4562" w:type="dxa"/>
            <w:vAlign w:val="bottom"/>
          </w:tcPr>
          <w:p w14:paraId="56382D33" w14:textId="77777777" w:rsidR="0060104C" w:rsidRDefault="0060104C" w:rsidP="0060104C">
            <w:pPr>
              <w:rPr>
                <w:color w:val="000000"/>
                <w:sz w:val="18"/>
                <w:szCs w:val="18"/>
                <w:lang w:val="en-GB" w:eastAsia="en-GB"/>
              </w:rPr>
            </w:pPr>
          </w:p>
        </w:tc>
        <w:tc>
          <w:tcPr>
            <w:tcW w:w="1312" w:type="dxa"/>
            <w:vAlign w:val="bottom"/>
          </w:tcPr>
          <w:p w14:paraId="442AE783" w14:textId="77777777" w:rsidR="0060104C" w:rsidRDefault="0060104C" w:rsidP="0060104C">
            <w:pPr>
              <w:jc w:val="right"/>
              <w:rPr>
                <w:color w:val="000000"/>
                <w:sz w:val="18"/>
                <w:szCs w:val="18"/>
                <w:lang w:val="en-GB" w:eastAsia="en-GB"/>
              </w:rPr>
            </w:pPr>
          </w:p>
        </w:tc>
        <w:tc>
          <w:tcPr>
            <w:tcW w:w="236" w:type="dxa"/>
            <w:vAlign w:val="bottom"/>
          </w:tcPr>
          <w:p w14:paraId="3D0076FD" w14:textId="77777777" w:rsidR="0060104C" w:rsidRDefault="0060104C" w:rsidP="0060104C">
            <w:pPr>
              <w:jc w:val="right"/>
              <w:rPr>
                <w:b/>
                <w:bCs/>
                <w:sz w:val="18"/>
                <w:szCs w:val="18"/>
                <w:lang w:val="en-GB"/>
              </w:rPr>
            </w:pPr>
          </w:p>
        </w:tc>
        <w:tc>
          <w:tcPr>
            <w:tcW w:w="1177" w:type="dxa"/>
            <w:vAlign w:val="bottom"/>
          </w:tcPr>
          <w:p w14:paraId="55E19F0D" w14:textId="77777777" w:rsidR="0060104C" w:rsidRDefault="0060104C" w:rsidP="0060104C">
            <w:pPr>
              <w:jc w:val="right"/>
              <w:rPr>
                <w:color w:val="000000"/>
                <w:sz w:val="18"/>
                <w:szCs w:val="18"/>
                <w:lang w:val="en-GB" w:eastAsia="en-GB"/>
              </w:rPr>
            </w:pPr>
          </w:p>
        </w:tc>
        <w:tc>
          <w:tcPr>
            <w:tcW w:w="250" w:type="dxa"/>
            <w:vAlign w:val="bottom"/>
          </w:tcPr>
          <w:p w14:paraId="4B9F9914" w14:textId="77777777" w:rsidR="0060104C" w:rsidRDefault="0060104C" w:rsidP="0060104C">
            <w:pPr>
              <w:jc w:val="right"/>
              <w:rPr>
                <w:b/>
                <w:bCs/>
                <w:sz w:val="18"/>
                <w:szCs w:val="18"/>
                <w:lang w:val="en-GB"/>
              </w:rPr>
            </w:pPr>
          </w:p>
        </w:tc>
        <w:tc>
          <w:tcPr>
            <w:tcW w:w="1167" w:type="dxa"/>
            <w:vAlign w:val="bottom"/>
          </w:tcPr>
          <w:p w14:paraId="44C0688F" w14:textId="77777777" w:rsidR="0060104C" w:rsidRDefault="0060104C" w:rsidP="0060104C">
            <w:pPr>
              <w:jc w:val="right"/>
              <w:rPr>
                <w:color w:val="000000"/>
                <w:sz w:val="18"/>
                <w:szCs w:val="18"/>
                <w:lang w:val="en-GB" w:eastAsia="en-GB"/>
              </w:rPr>
            </w:pPr>
          </w:p>
        </w:tc>
        <w:tc>
          <w:tcPr>
            <w:tcW w:w="245" w:type="dxa"/>
            <w:gridSpan w:val="2"/>
            <w:vAlign w:val="bottom"/>
          </w:tcPr>
          <w:p w14:paraId="24781D0D" w14:textId="77777777" w:rsidR="0060104C" w:rsidRDefault="0060104C" w:rsidP="0060104C">
            <w:pPr>
              <w:jc w:val="right"/>
              <w:rPr>
                <w:b/>
                <w:bCs/>
                <w:sz w:val="18"/>
                <w:szCs w:val="18"/>
                <w:lang w:val="en-GB"/>
              </w:rPr>
            </w:pPr>
          </w:p>
        </w:tc>
      </w:tr>
      <w:tr w:rsidR="0060104C" w14:paraId="10445A76" w14:textId="77777777" w:rsidTr="0060104C">
        <w:trPr>
          <w:gridAfter w:val="1"/>
          <w:wAfter w:w="7" w:type="dxa"/>
        </w:trPr>
        <w:tc>
          <w:tcPr>
            <w:tcW w:w="4562" w:type="dxa"/>
            <w:vAlign w:val="bottom"/>
          </w:tcPr>
          <w:p w14:paraId="14264B20" w14:textId="77777777" w:rsidR="0060104C" w:rsidRDefault="0060104C" w:rsidP="0060104C">
            <w:pPr>
              <w:rPr>
                <w:color w:val="000000"/>
                <w:sz w:val="18"/>
                <w:szCs w:val="18"/>
                <w:lang w:val="en-GB" w:eastAsia="en-GB"/>
              </w:rPr>
            </w:pPr>
            <w:r w:rsidRPr="00BD1859">
              <w:rPr>
                <w:color w:val="000000"/>
                <w:sz w:val="18"/>
                <w:szCs w:val="18"/>
                <w:lang w:val="en-GB" w:eastAsia="en-GB"/>
              </w:rPr>
              <w:t xml:space="preserve">Administration expenses </w:t>
            </w:r>
          </w:p>
        </w:tc>
        <w:tc>
          <w:tcPr>
            <w:tcW w:w="1312" w:type="dxa"/>
            <w:vAlign w:val="bottom"/>
          </w:tcPr>
          <w:p w14:paraId="1C1CCE70" w14:textId="77777777" w:rsidR="0060104C" w:rsidRDefault="0060104C" w:rsidP="0060104C">
            <w:pPr>
              <w:jc w:val="right"/>
              <w:rPr>
                <w:color w:val="000000"/>
                <w:sz w:val="18"/>
                <w:szCs w:val="18"/>
                <w:lang w:val="en-GB" w:eastAsia="en-GB"/>
              </w:rPr>
            </w:pPr>
            <w:r w:rsidRPr="00BD1859">
              <w:rPr>
                <w:color w:val="000000"/>
                <w:sz w:val="18"/>
                <w:szCs w:val="18"/>
                <w:lang w:val="en-GB" w:eastAsia="en-GB"/>
              </w:rPr>
              <w:t>(9,571)</w:t>
            </w:r>
          </w:p>
        </w:tc>
        <w:tc>
          <w:tcPr>
            <w:tcW w:w="236" w:type="dxa"/>
            <w:vAlign w:val="bottom"/>
          </w:tcPr>
          <w:p w14:paraId="182860ED" w14:textId="77777777" w:rsidR="0060104C" w:rsidRDefault="0060104C" w:rsidP="0060104C">
            <w:pPr>
              <w:jc w:val="right"/>
              <w:rPr>
                <w:b/>
                <w:bCs/>
                <w:sz w:val="18"/>
                <w:szCs w:val="18"/>
                <w:lang w:val="en-GB"/>
              </w:rPr>
            </w:pPr>
          </w:p>
        </w:tc>
        <w:tc>
          <w:tcPr>
            <w:tcW w:w="1177" w:type="dxa"/>
            <w:vAlign w:val="bottom"/>
          </w:tcPr>
          <w:p w14:paraId="601B2D73" w14:textId="77777777" w:rsidR="0060104C" w:rsidRDefault="0060104C" w:rsidP="0060104C">
            <w:pPr>
              <w:jc w:val="right"/>
              <w:rPr>
                <w:color w:val="000000"/>
                <w:sz w:val="18"/>
                <w:szCs w:val="18"/>
                <w:lang w:val="en-GB" w:eastAsia="en-GB"/>
              </w:rPr>
            </w:pPr>
            <w:r w:rsidRPr="00BD1859">
              <w:rPr>
                <w:color w:val="000000"/>
                <w:sz w:val="18"/>
                <w:szCs w:val="18"/>
                <w:lang w:val="en-GB" w:eastAsia="en-GB"/>
              </w:rPr>
              <w:t>(14,673)</w:t>
            </w:r>
          </w:p>
        </w:tc>
        <w:tc>
          <w:tcPr>
            <w:tcW w:w="250" w:type="dxa"/>
            <w:vAlign w:val="bottom"/>
          </w:tcPr>
          <w:p w14:paraId="0DAB8E50" w14:textId="77777777" w:rsidR="0060104C" w:rsidRDefault="0060104C" w:rsidP="0060104C">
            <w:pPr>
              <w:jc w:val="right"/>
              <w:rPr>
                <w:b/>
                <w:bCs/>
                <w:sz w:val="18"/>
                <w:szCs w:val="18"/>
                <w:lang w:val="en-GB"/>
              </w:rPr>
            </w:pPr>
          </w:p>
        </w:tc>
        <w:tc>
          <w:tcPr>
            <w:tcW w:w="1167" w:type="dxa"/>
            <w:vAlign w:val="bottom"/>
          </w:tcPr>
          <w:p w14:paraId="097F5E5E" w14:textId="77777777" w:rsidR="0060104C" w:rsidRDefault="0060104C" w:rsidP="0060104C">
            <w:pPr>
              <w:jc w:val="right"/>
              <w:rPr>
                <w:color w:val="000000"/>
                <w:sz w:val="18"/>
                <w:szCs w:val="18"/>
                <w:lang w:val="en-GB" w:eastAsia="en-GB"/>
              </w:rPr>
            </w:pPr>
            <w:r w:rsidRPr="00BD1859">
              <w:rPr>
                <w:color w:val="000000"/>
                <w:sz w:val="18"/>
                <w:szCs w:val="18"/>
                <w:lang w:val="en-GB" w:eastAsia="en-GB"/>
              </w:rPr>
              <w:t>(12,717)</w:t>
            </w:r>
          </w:p>
        </w:tc>
        <w:tc>
          <w:tcPr>
            <w:tcW w:w="245" w:type="dxa"/>
            <w:gridSpan w:val="2"/>
            <w:vAlign w:val="bottom"/>
          </w:tcPr>
          <w:p w14:paraId="765404AD" w14:textId="77777777" w:rsidR="0060104C" w:rsidRDefault="0060104C" w:rsidP="0060104C">
            <w:pPr>
              <w:jc w:val="right"/>
              <w:rPr>
                <w:b/>
                <w:bCs/>
                <w:sz w:val="18"/>
                <w:szCs w:val="18"/>
                <w:lang w:val="en-GB"/>
              </w:rPr>
            </w:pPr>
          </w:p>
        </w:tc>
      </w:tr>
      <w:tr w:rsidR="0060104C" w14:paraId="16947451" w14:textId="77777777" w:rsidTr="0060104C">
        <w:trPr>
          <w:gridAfter w:val="1"/>
          <w:wAfter w:w="7" w:type="dxa"/>
        </w:trPr>
        <w:tc>
          <w:tcPr>
            <w:tcW w:w="4562" w:type="dxa"/>
            <w:vAlign w:val="bottom"/>
          </w:tcPr>
          <w:p w14:paraId="294F0CDA" w14:textId="77777777" w:rsidR="0060104C" w:rsidRDefault="0060104C" w:rsidP="0060104C">
            <w:pPr>
              <w:rPr>
                <w:color w:val="000000"/>
                <w:sz w:val="18"/>
                <w:szCs w:val="18"/>
                <w:lang w:val="en-GB" w:eastAsia="en-GB"/>
              </w:rPr>
            </w:pPr>
            <w:r w:rsidRPr="00BD1859">
              <w:rPr>
                <w:color w:val="000000"/>
                <w:sz w:val="18"/>
                <w:szCs w:val="18"/>
                <w:lang w:val="en-GB" w:eastAsia="en-GB"/>
              </w:rPr>
              <w:t>Depreciation and amortisation</w:t>
            </w:r>
          </w:p>
        </w:tc>
        <w:tc>
          <w:tcPr>
            <w:tcW w:w="1312" w:type="dxa"/>
            <w:vAlign w:val="bottom"/>
          </w:tcPr>
          <w:p w14:paraId="58ACD292" w14:textId="77777777" w:rsidR="0060104C" w:rsidRDefault="0060104C" w:rsidP="0060104C">
            <w:pPr>
              <w:jc w:val="right"/>
              <w:rPr>
                <w:color w:val="000000"/>
                <w:sz w:val="18"/>
                <w:szCs w:val="18"/>
                <w:lang w:val="en-GB" w:eastAsia="en-GB"/>
              </w:rPr>
            </w:pPr>
            <w:r w:rsidRPr="00BD1859">
              <w:rPr>
                <w:color w:val="000000"/>
                <w:sz w:val="18"/>
                <w:szCs w:val="18"/>
                <w:lang w:val="en-GB" w:eastAsia="en-GB"/>
              </w:rPr>
              <w:t>(89)</w:t>
            </w:r>
          </w:p>
        </w:tc>
        <w:tc>
          <w:tcPr>
            <w:tcW w:w="236" w:type="dxa"/>
            <w:vAlign w:val="bottom"/>
          </w:tcPr>
          <w:p w14:paraId="791720E6" w14:textId="77777777" w:rsidR="0060104C" w:rsidRDefault="0060104C" w:rsidP="0060104C">
            <w:pPr>
              <w:jc w:val="right"/>
              <w:rPr>
                <w:b/>
                <w:bCs/>
                <w:sz w:val="18"/>
                <w:szCs w:val="18"/>
                <w:lang w:val="en-GB"/>
              </w:rPr>
            </w:pPr>
          </w:p>
        </w:tc>
        <w:tc>
          <w:tcPr>
            <w:tcW w:w="1177" w:type="dxa"/>
            <w:vAlign w:val="bottom"/>
          </w:tcPr>
          <w:p w14:paraId="07560D0C" w14:textId="77777777" w:rsidR="0060104C" w:rsidRDefault="0060104C" w:rsidP="0060104C">
            <w:pPr>
              <w:jc w:val="right"/>
              <w:rPr>
                <w:color w:val="000000"/>
                <w:sz w:val="18"/>
                <w:szCs w:val="18"/>
                <w:lang w:val="en-GB" w:eastAsia="en-GB"/>
              </w:rPr>
            </w:pPr>
            <w:r w:rsidRPr="00BD1859">
              <w:rPr>
                <w:color w:val="000000"/>
                <w:sz w:val="18"/>
                <w:szCs w:val="18"/>
                <w:lang w:val="en-GB" w:eastAsia="en-GB"/>
              </w:rPr>
              <w:t>(773)</w:t>
            </w:r>
          </w:p>
        </w:tc>
        <w:tc>
          <w:tcPr>
            <w:tcW w:w="250" w:type="dxa"/>
            <w:vAlign w:val="bottom"/>
          </w:tcPr>
          <w:p w14:paraId="0B3F31A5" w14:textId="77777777" w:rsidR="0060104C" w:rsidRDefault="0060104C" w:rsidP="0060104C">
            <w:pPr>
              <w:jc w:val="right"/>
              <w:rPr>
                <w:b/>
                <w:bCs/>
                <w:sz w:val="18"/>
                <w:szCs w:val="18"/>
                <w:lang w:val="en-GB"/>
              </w:rPr>
            </w:pPr>
          </w:p>
        </w:tc>
        <w:tc>
          <w:tcPr>
            <w:tcW w:w="1167" w:type="dxa"/>
            <w:vAlign w:val="bottom"/>
          </w:tcPr>
          <w:p w14:paraId="126047D5" w14:textId="77777777" w:rsidR="0060104C" w:rsidRDefault="0060104C" w:rsidP="0060104C">
            <w:pPr>
              <w:jc w:val="right"/>
              <w:rPr>
                <w:color w:val="000000"/>
                <w:sz w:val="18"/>
                <w:szCs w:val="18"/>
                <w:lang w:val="en-GB" w:eastAsia="en-GB"/>
              </w:rPr>
            </w:pPr>
            <w:r w:rsidRPr="00BD1859">
              <w:rPr>
                <w:color w:val="000000"/>
                <w:sz w:val="18"/>
                <w:szCs w:val="18"/>
                <w:lang w:val="en-GB" w:eastAsia="en-GB"/>
              </w:rPr>
              <w:t>(734)</w:t>
            </w:r>
          </w:p>
        </w:tc>
        <w:tc>
          <w:tcPr>
            <w:tcW w:w="245" w:type="dxa"/>
            <w:gridSpan w:val="2"/>
            <w:vAlign w:val="bottom"/>
          </w:tcPr>
          <w:p w14:paraId="12B07566" w14:textId="77777777" w:rsidR="0060104C" w:rsidRDefault="0060104C" w:rsidP="0060104C">
            <w:pPr>
              <w:jc w:val="right"/>
              <w:rPr>
                <w:b/>
                <w:bCs/>
                <w:sz w:val="18"/>
                <w:szCs w:val="18"/>
                <w:lang w:val="en-GB"/>
              </w:rPr>
            </w:pPr>
          </w:p>
        </w:tc>
      </w:tr>
      <w:tr w:rsidR="0060104C" w14:paraId="52FE0DE6" w14:textId="77777777" w:rsidTr="0060104C">
        <w:trPr>
          <w:gridAfter w:val="1"/>
          <w:wAfter w:w="7" w:type="dxa"/>
        </w:trPr>
        <w:tc>
          <w:tcPr>
            <w:tcW w:w="4562" w:type="dxa"/>
            <w:vAlign w:val="bottom"/>
          </w:tcPr>
          <w:p w14:paraId="583F0BFC" w14:textId="77777777" w:rsidR="0060104C" w:rsidRPr="00D62D2A" w:rsidRDefault="0060104C" w:rsidP="0060104C">
            <w:pPr>
              <w:rPr>
                <w:b/>
                <w:bCs/>
                <w:color w:val="000000"/>
                <w:sz w:val="18"/>
                <w:szCs w:val="18"/>
                <w:lang w:val="en-GB" w:eastAsia="en-GB"/>
              </w:rPr>
            </w:pPr>
            <w:r w:rsidRPr="00407604">
              <w:rPr>
                <w:b/>
                <w:color w:val="000000"/>
                <w:sz w:val="18"/>
                <w:szCs w:val="18"/>
                <w:lang w:val="en-GB" w:eastAsia="en-GB"/>
              </w:rPr>
              <w:t>IFRS Administration expenses</w:t>
            </w:r>
          </w:p>
        </w:tc>
        <w:tc>
          <w:tcPr>
            <w:tcW w:w="1312" w:type="dxa"/>
            <w:vAlign w:val="bottom"/>
          </w:tcPr>
          <w:p w14:paraId="05BBA41B" w14:textId="77777777" w:rsidR="0060104C" w:rsidRPr="00D62D2A" w:rsidRDefault="0060104C" w:rsidP="0060104C">
            <w:pPr>
              <w:jc w:val="right"/>
              <w:rPr>
                <w:b/>
                <w:bCs/>
                <w:color w:val="000000"/>
                <w:sz w:val="18"/>
                <w:szCs w:val="18"/>
                <w:lang w:val="en-GB" w:eastAsia="en-GB"/>
              </w:rPr>
            </w:pPr>
            <w:r w:rsidRPr="00407604">
              <w:rPr>
                <w:b/>
                <w:color w:val="000000"/>
                <w:sz w:val="18"/>
                <w:szCs w:val="18"/>
                <w:lang w:val="en-GB" w:eastAsia="en-GB"/>
              </w:rPr>
              <w:t>(9,660)</w:t>
            </w:r>
          </w:p>
        </w:tc>
        <w:tc>
          <w:tcPr>
            <w:tcW w:w="236" w:type="dxa"/>
            <w:vAlign w:val="bottom"/>
          </w:tcPr>
          <w:p w14:paraId="0A936652" w14:textId="77777777" w:rsidR="0060104C" w:rsidRPr="00084672" w:rsidRDefault="0060104C" w:rsidP="0060104C">
            <w:pPr>
              <w:jc w:val="right"/>
              <w:rPr>
                <w:b/>
                <w:bCs/>
                <w:sz w:val="18"/>
                <w:szCs w:val="18"/>
                <w:lang w:val="en-GB"/>
              </w:rPr>
            </w:pPr>
          </w:p>
        </w:tc>
        <w:tc>
          <w:tcPr>
            <w:tcW w:w="1177" w:type="dxa"/>
            <w:vAlign w:val="bottom"/>
          </w:tcPr>
          <w:p w14:paraId="53C90857" w14:textId="77777777" w:rsidR="0060104C" w:rsidRPr="00D62D2A" w:rsidRDefault="0060104C" w:rsidP="0060104C">
            <w:pPr>
              <w:jc w:val="right"/>
              <w:rPr>
                <w:b/>
                <w:bCs/>
                <w:color w:val="000000"/>
                <w:sz w:val="18"/>
                <w:szCs w:val="18"/>
                <w:lang w:val="en-GB" w:eastAsia="en-GB"/>
              </w:rPr>
            </w:pPr>
            <w:r w:rsidRPr="00407604">
              <w:rPr>
                <w:b/>
                <w:color w:val="000000"/>
                <w:sz w:val="18"/>
                <w:szCs w:val="18"/>
                <w:lang w:val="en-GB" w:eastAsia="en-GB"/>
              </w:rPr>
              <w:t>(15,446)</w:t>
            </w:r>
          </w:p>
        </w:tc>
        <w:tc>
          <w:tcPr>
            <w:tcW w:w="250" w:type="dxa"/>
            <w:vAlign w:val="bottom"/>
          </w:tcPr>
          <w:p w14:paraId="6251E66B" w14:textId="77777777" w:rsidR="0060104C" w:rsidRPr="00084672" w:rsidRDefault="0060104C" w:rsidP="0060104C">
            <w:pPr>
              <w:jc w:val="right"/>
              <w:rPr>
                <w:b/>
                <w:bCs/>
                <w:sz w:val="18"/>
                <w:szCs w:val="18"/>
                <w:lang w:val="en-GB"/>
              </w:rPr>
            </w:pPr>
          </w:p>
        </w:tc>
        <w:tc>
          <w:tcPr>
            <w:tcW w:w="1167" w:type="dxa"/>
            <w:vAlign w:val="bottom"/>
          </w:tcPr>
          <w:p w14:paraId="7B017786" w14:textId="77777777" w:rsidR="0060104C" w:rsidRPr="00D62D2A" w:rsidRDefault="0060104C" w:rsidP="0060104C">
            <w:pPr>
              <w:jc w:val="right"/>
              <w:rPr>
                <w:b/>
                <w:bCs/>
                <w:color w:val="000000"/>
                <w:sz w:val="18"/>
                <w:szCs w:val="18"/>
                <w:lang w:val="en-GB" w:eastAsia="en-GB"/>
              </w:rPr>
            </w:pPr>
            <w:r w:rsidRPr="00407604">
              <w:rPr>
                <w:b/>
                <w:color w:val="000000"/>
                <w:sz w:val="18"/>
                <w:szCs w:val="18"/>
                <w:lang w:val="en-GB" w:eastAsia="en-GB"/>
              </w:rPr>
              <w:t>(13,451)</w:t>
            </w:r>
          </w:p>
        </w:tc>
        <w:tc>
          <w:tcPr>
            <w:tcW w:w="245" w:type="dxa"/>
            <w:gridSpan w:val="2"/>
            <w:vAlign w:val="bottom"/>
          </w:tcPr>
          <w:p w14:paraId="02535C06" w14:textId="77777777" w:rsidR="0060104C" w:rsidRDefault="0060104C" w:rsidP="0060104C">
            <w:pPr>
              <w:jc w:val="right"/>
              <w:rPr>
                <w:b/>
                <w:bCs/>
                <w:sz w:val="18"/>
                <w:szCs w:val="18"/>
                <w:lang w:val="en-GB"/>
              </w:rPr>
            </w:pPr>
          </w:p>
        </w:tc>
      </w:tr>
      <w:tr w:rsidR="0060104C" w14:paraId="49C17139" w14:textId="77777777" w:rsidTr="0060104C">
        <w:trPr>
          <w:gridAfter w:val="1"/>
          <w:wAfter w:w="7" w:type="dxa"/>
        </w:trPr>
        <w:tc>
          <w:tcPr>
            <w:tcW w:w="4562" w:type="dxa"/>
            <w:vAlign w:val="bottom"/>
          </w:tcPr>
          <w:p w14:paraId="7768017A" w14:textId="77777777" w:rsidR="0060104C" w:rsidRDefault="0060104C" w:rsidP="0060104C">
            <w:pPr>
              <w:rPr>
                <w:color w:val="000000"/>
                <w:sz w:val="18"/>
                <w:szCs w:val="18"/>
                <w:lang w:val="en-GB" w:eastAsia="en-GB"/>
              </w:rPr>
            </w:pPr>
          </w:p>
        </w:tc>
        <w:tc>
          <w:tcPr>
            <w:tcW w:w="1312" w:type="dxa"/>
            <w:vAlign w:val="bottom"/>
          </w:tcPr>
          <w:p w14:paraId="6C0D9CC1" w14:textId="77777777" w:rsidR="0060104C" w:rsidRDefault="0060104C" w:rsidP="0060104C">
            <w:pPr>
              <w:jc w:val="right"/>
              <w:rPr>
                <w:color w:val="000000"/>
                <w:sz w:val="18"/>
                <w:szCs w:val="18"/>
                <w:lang w:val="en-GB" w:eastAsia="en-GB"/>
              </w:rPr>
            </w:pPr>
          </w:p>
        </w:tc>
        <w:tc>
          <w:tcPr>
            <w:tcW w:w="236" w:type="dxa"/>
            <w:vAlign w:val="bottom"/>
          </w:tcPr>
          <w:p w14:paraId="614386A1" w14:textId="77777777" w:rsidR="0060104C" w:rsidRDefault="0060104C" w:rsidP="0060104C">
            <w:pPr>
              <w:jc w:val="right"/>
              <w:rPr>
                <w:b/>
                <w:bCs/>
                <w:sz w:val="18"/>
                <w:szCs w:val="18"/>
                <w:lang w:val="en-GB"/>
              </w:rPr>
            </w:pPr>
          </w:p>
        </w:tc>
        <w:tc>
          <w:tcPr>
            <w:tcW w:w="1177" w:type="dxa"/>
            <w:vAlign w:val="bottom"/>
          </w:tcPr>
          <w:p w14:paraId="7690CBB1" w14:textId="77777777" w:rsidR="0060104C" w:rsidRDefault="0060104C" w:rsidP="0060104C">
            <w:pPr>
              <w:jc w:val="right"/>
              <w:rPr>
                <w:color w:val="000000"/>
                <w:sz w:val="18"/>
                <w:szCs w:val="18"/>
                <w:lang w:val="en-GB" w:eastAsia="en-GB"/>
              </w:rPr>
            </w:pPr>
          </w:p>
        </w:tc>
        <w:tc>
          <w:tcPr>
            <w:tcW w:w="250" w:type="dxa"/>
            <w:vAlign w:val="bottom"/>
          </w:tcPr>
          <w:p w14:paraId="2BE33326" w14:textId="77777777" w:rsidR="0060104C" w:rsidRDefault="0060104C" w:rsidP="0060104C">
            <w:pPr>
              <w:jc w:val="right"/>
              <w:rPr>
                <w:b/>
                <w:bCs/>
                <w:sz w:val="18"/>
                <w:szCs w:val="18"/>
                <w:lang w:val="en-GB"/>
              </w:rPr>
            </w:pPr>
          </w:p>
        </w:tc>
        <w:tc>
          <w:tcPr>
            <w:tcW w:w="1167" w:type="dxa"/>
            <w:vAlign w:val="bottom"/>
          </w:tcPr>
          <w:p w14:paraId="462DF75F" w14:textId="77777777" w:rsidR="0060104C" w:rsidRDefault="0060104C" w:rsidP="0060104C">
            <w:pPr>
              <w:jc w:val="right"/>
              <w:rPr>
                <w:color w:val="000000"/>
                <w:sz w:val="18"/>
                <w:szCs w:val="18"/>
                <w:lang w:val="en-GB" w:eastAsia="en-GB"/>
              </w:rPr>
            </w:pPr>
          </w:p>
        </w:tc>
        <w:tc>
          <w:tcPr>
            <w:tcW w:w="245" w:type="dxa"/>
            <w:gridSpan w:val="2"/>
            <w:vAlign w:val="bottom"/>
          </w:tcPr>
          <w:p w14:paraId="6C77C4AF" w14:textId="77777777" w:rsidR="0060104C" w:rsidRDefault="0060104C" w:rsidP="0060104C">
            <w:pPr>
              <w:jc w:val="right"/>
              <w:rPr>
                <w:b/>
                <w:bCs/>
                <w:sz w:val="18"/>
                <w:szCs w:val="18"/>
                <w:lang w:val="en-GB"/>
              </w:rPr>
            </w:pPr>
          </w:p>
        </w:tc>
      </w:tr>
      <w:tr w:rsidR="0060104C" w14:paraId="7440AE32" w14:textId="77777777" w:rsidTr="0060104C">
        <w:trPr>
          <w:gridAfter w:val="1"/>
          <w:wAfter w:w="7" w:type="dxa"/>
        </w:trPr>
        <w:tc>
          <w:tcPr>
            <w:tcW w:w="4562" w:type="dxa"/>
            <w:vAlign w:val="bottom"/>
          </w:tcPr>
          <w:p w14:paraId="1D217718" w14:textId="77777777" w:rsidR="0060104C" w:rsidRDefault="0060104C" w:rsidP="0060104C">
            <w:pPr>
              <w:rPr>
                <w:b/>
                <w:bCs/>
                <w:color w:val="000000"/>
                <w:sz w:val="18"/>
                <w:szCs w:val="18"/>
                <w:lang w:val="en-GB" w:eastAsia="en-GB"/>
              </w:rPr>
            </w:pPr>
            <w:r w:rsidRPr="00BD1859">
              <w:rPr>
                <w:color w:val="000000"/>
                <w:sz w:val="18"/>
                <w:szCs w:val="18"/>
                <w:lang w:val="en-GB" w:eastAsia="en-GB"/>
              </w:rPr>
              <w:t xml:space="preserve">Financial income - Own </w:t>
            </w:r>
          </w:p>
        </w:tc>
        <w:tc>
          <w:tcPr>
            <w:tcW w:w="1312" w:type="dxa"/>
            <w:vAlign w:val="bottom"/>
          </w:tcPr>
          <w:p w14:paraId="27E28FF7"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 xml:space="preserve">2,134 </w:t>
            </w:r>
          </w:p>
        </w:tc>
        <w:tc>
          <w:tcPr>
            <w:tcW w:w="236" w:type="dxa"/>
            <w:vAlign w:val="bottom"/>
          </w:tcPr>
          <w:p w14:paraId="39B9ABB5" w14:textId="77777777" w:rsidR="0060104C" w:rsidRDefault="0060104C" w:rsidP="0060104C">
            <w:pPr>
              <w:jc w:val="right"/>
              <w:rPr>
                <w:b/>
                <w:bCs/>
                <w:sz w:val="18"/>
                <w:szCs w:val="18"/>
                <w:lang w:val="en-GB"/>
              </w:rPr>
            </w:pPr>
          </w:p>
        </w:tc>
        <w:tc>
          <w:tcPr>
            <w:tcW w:w="1177" w:type="dxa"/>
            <w:vAlign w:val="bottom"/>
          </w:tcPr>
          <w:p w14:paraId="22FD0257"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 xml:space="preserve">2,480 </w:t>
            </w:r>
          </w:p>
        </w:tc>
        <w:tc>
          <w:tcPr>
            <w:tcW w:w="250" w:type="dxa"/>
            <w:vAlign w:val="bottom"/>
          </w:tcPr>
          <w:p w14:paraId="5F4F974C" w14:textId="77777777" w:rsidR="0060104C" w:rsidRDefault="0060104C" w:rsidP="0060104C">
            <w:pPr>
              <w:jc w:val="right"/>
              <w:rPr>
                <w:b/>
                <w:bCs/>
                <w:sz w:val="18"/>
                <w:szCs w:val="18"/>
                <w:lang w:val="en-GB"/>
              </w:rPr>
            </w:pPr>
          </w:p>
        </w:tc>
        <w:tc>
          <w:tcPr>
            <w:tcW w:w="1167" w:type="dxa"/>
            <w:vAlign w:val="bottom"/>
          </w:tcPr>
          <w:p w14:paraId="0B6C3AB2"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 xml:space="preserve">19 </w:t>
            </w:r>
          </w:p>
        </w:tc>
        <w:tc>
          <w:tcPr>
            <w:tcW w:w="245" w:type="dxa"/>
            <w:gridSpan w:val="2"/>
            <w:vAlign w:val="bottom"/>
          </w:tcPr>
          <w:p w14:paraId="52146A59" w14:textId="77777777" w:rsidR="0060104C" w:rsidRDefault="0060104C" w:rsidP="0060104C">
            <w:pPr>
              <w:jc w:val="right"/>
              <w:rPr>
                <w:b/>
                <w:bCs/>
                <w:sz w:val="18"/>
                <w:szCs w:val="18"/>
                <w:lang w:val="en-GB"/>
              </w:rPr>
            </w:pPr>
          </w:p>
        </w:tc>
      </w:tr>
      <w:tr w:rsidR="0060104C" w14:paraId="1E9B61E0" w14:textId="77777777" w:rsidTr="0060104C">
        <w:trPr>
          <w:gridAfter w:val="1"/>
          <w:wAfter w:w="7" w:type="dxa"/>
        </w:trPr>
        <w:tc>
          <w:tcPr>
            <w:tcW w:w="4562" w:type="dxa"/>
            <w:vAlign w:val="bottom"/>
          </w:tcPr>
          <w:p w14:paraId="7067BA82" w14:textId="77777777" w:rsidR="0060104C" w:rsidRPr="00BD1859" w:rsidRDefault="0060104C" w:rsidP="0060104C">
            <w:pPr>
              <w:rPr>
                <w:color w:val="000000"/>
                <w:sz w:val="18"/>
                <w:szCs w:val="18"/>
                <w:lang w:val="en-GB" w:eastAsia="en-GB"/>
              </w:rPr>
            </w:pPr>
            <w:r w:rsidRPr="00BD1859">
              <w:rPr>
                <w:color w:val="000000"/>
                <w:sz w:val="18"/>
                <w:szCs w:val="18"/>
                <w:lang w:val="en-GB" w:eastAsia="en-GB"/>
              </w:rPr>
              <w:t xml:space="preserve">Financial expense- Own </w:t>
            </w:r>
          </w:p>
        </w:tc>
        <w:tc>
          <w:tcPr>
            <w:tcW w:w="1312" w:type="dxa"/>
            <w:vAlign w:val="bottom"/>
          </w:tcPr>
          <w:p w14:paraId="566B014A"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(8,255)</w:t>
            </w:r>
          </w:p>
        </w:tc>
        <w:tc>
          <w:tcPr>
            <w:tcW w:w="236" w:type="dxa"/>
            <w:vAlign w:val="bottom"/>
          </w:tcPr>
          <w:p w14:paraId="621D5BA8" w14:textId="77777777" w:rsidR="0060104C" w:rsidRDefault="0060104C" w:rsidP="0060104C">
            <w:pPr>
              <w:jc w:val="right"/>
              <w:rPr>
                <w:b/>
                <w:bCs/>
                <w:sz w:val="18"/>
                <w:szCs w:val="18"/>
                <w:lang w:val="en-GB"/>
              </w:rPr>
            </w:pPr>
          </w:p>
        </w:tc>
        <w:tc>
          <w:tcPr>
            <w:tcW w:w="1177" w:type="dxa"/>
            <w:vAlign w:val="bottom"/>
          </w:tcPr>
          <w:p w14:paraId="1B522BD4"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(11,595)</w:t>
            </w:r>
          </w:p>
        </w:tc>
        <w:tc>
          <w:tcPr>
            <w:tcW w:w="250" w:type="dxa"/>
            <w:vAlign w:val="bottom"/>
          </w:tcPr>
          <w:p w14:paraId="3A6817CB" w14:textId="77777777" w:rsidR="0060104C" w:rsidRDefault="0060104C" w:rsidP="0060104C">
            <w:pPr>
              <w:jc w:val="right"/>
              <w:rPr>
                <w:b/>
                <w:bCs/>
                <w:sz w:val="18"/>
                <w:szCs w:val="18"/>
                <w:lang w:val="en-GB"/>
              </w:rPr>
            </w:pPr>
          </w:p>
        </w:tc>
        <w:tc>
          <w:tcPr>
            <w:tcW w:w="1167" w:type="dxa"/>
            <w:vAlign w:val="bottom"/>
          </w:tcPr>
          <w:p w14:paraId="46658DEE"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(7,820)</w:t>
            </w:r>
          </w:p>
        </w:tc>
        <w:tc>
          <w:tcPr>
            <w:tcW w:w="245" w:type="dxa"/>
            <w:gridSpan w:val="2"/>
            <w:vAlign w:val="bottom"/>
          </w:tcPr>
          <w:p w14:paraId="4102AC5E" w14:textId="77777777" w:rsidR="0060104C" w:rsidRDefault="0060104C" w:rsidP="0060104C">
            <w:pPr>
              <w:jc w:val="right"/>
              <w:rPr>
                <w:b/>
                <w:bCs/>
                <w:sz w:val="18"/>
                <w:szCs w:val="18"/>
                <w:lang w:val="en-GB"/>
              </w:rPr>
            </w:pPr>
          </w:p>
        </w:tc>
      </w:tr>
      <w:tr w:rsidR="0060104C" w14:paraId="2FCC1F67" w14:textId="77777777" w:rsidTr="0060104C">
        <w:trPr>
          <w:gridAfter w:val="1"/>
          <w:wAfter w:w="7" w:type="dxa"/>
        </w:trPr>
        <w:tc>
          <w:tcPr>
            <w:tcW w:w="4562" w:type="dxa"/>
            <w:vAlign w:val="bottom"/>
          </w:tcPr>
          <w:p w14:paraId="4A068C0A" w14:textId="77777777" w:rsidR="0060104C" w:rsidRPr="00BD1859" w:rsidRDefault="0060104C" w:rsidP="0060104C">
            <w:pPr>
              <w:rPr>
                <w:color w:val="000000"/>
                <w:sz w:val="18"/>
                <w:szCs w:val="18"/>
                <w:lang w:val="en-GB" w:eastAsia="en-GB"/>
              </w:rPr>
            </w:pPr>
            <w:r w:rsidRPr="00BD1859">
              <w:rPr>
                <w:color w:val="000000"/>
                <w:sz w:val="18"/>
                <w:szCs w:val="18"/>
                <w:lang w:val="en-GB" w:eastAsia="en-GB"/>
              </w:rPr>
              <w:t xml:space="preserve">Other non-current financial income </w:t>
            </w:r>
          </w:p>
        </w:tc>
        <w:tc>
          <w:tcPr>
            <w:tcW w:w="1312" w:type="dxa"/>
            <w:vAlign w:val="bottom"/>
          </w:tcPr>
          <w:p w14:paraId="78374847"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 xml:space="preserve">2,074 </w:t>
            </w:r>
          </w:p>
        </w:tc>
        <w:tc>
          <w:tcPr>
            <w:tcW w:w="236" w:type="dxa"/>
            <w:vAlign w:val="bottom"/>
          </w:tcPr>
          <w:p w14:paraId="7BDCB42A" w14:textId="77777777" w:rsidR="0060104C" w:rsidRDefault="0060104C" w:rsidP="0060104C">
            <w:pPr>
              <w:jc w:val="right"/>
              <w:rPr>
                <w:b/>
                <w:bCs/>
                <w:sz w:val="18"/>
                <w:szCs w:val="18"/>
                <w:lang w:val="en-GB"/>
              </w:rPr>
            </w:pPr>
          </w:p>
        </w:tc>
        <w:tc>
          <w:tcPr>
            <w:tcW w:w="1177" w:type="dxa"/>
            <w:vAlign w:val="bottom"/>
          </w:tcPr>
          <w:p w14:paraId="5CF8B082"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 xml:space="preserve">334 </w:t>
            </w:r>
          </w:p>
        </w:tc>
        <w:tc>
          <w:tcPr>
            <w:tcW w:w="250" w:type="dxa"/>
            <w:vAlign w:val="bottom"/>
          </w:tcPr>
          <w:p w14:paraId="4B9851CE" w14:textId="77777777" w:rsidR="0060104C" w:rsidRDefault="0060104C" w:rsidP="0060104C">
            <w:pPr>
              <w:jc w:val="right"/>
              <w:rPr>
                <w:b/>
                <w:bCs/>
                <w:sz w:val="18"/>
                <w:szCs w:val="18"/>
                <w:lang w:val="en-GB"/>
              </w:rPr>
            </w:pPr>
          </w:p>
        </w:tc>
        <w:tc>
          <w:tcPr>
            <w:tcW w:w="1167" w:type="dxa"/>
            <w:vAlign w:val="bottom"/>
          </w:tcPr>
          <w:p w14:paraId="2D8718DD"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 xml:space="preserve">447 </w:t>
            </w:r>
          </w:p>
        </w:tc>
        <w:tc>
          <w:tcPr>
            <w:tcW w:w="245" w:type="dxa"/>
            <w:gridSpan w:val="2"/>
            <w:vAlign w:val="bottom"/>
          </w:tcPr>
          <w:p w14:paraId="32D1A5A3" w14:textId="77777777" w:rsidR="0060104C" w:rsidRDefault="0060104C" w:rsidP="0060104C">
            <w:pPr>
              <w:jc w:val="right"/>
              <w:rPr>
                <w:b/>
                <w:bCs/>
                <w:sz w:val="18"/>
                <w:szCs w:val="18"/>
                <w:lang w:val="en-GB"/>
              </w:rPr>
            </w:pPr>
          </w:p>
        </w:tc>
      </w:tr>
      <w:tr w:rsidR="0060104C" w14:paraId="24110033" w14:textId="77777777" w:rsidTr="0060104C">
        <w:trPr>
          <w:gridAfter w:val="1"/>
          <w:wAfter w:w="7" w:type="dxa"/>
        </w:trPr>
        <w:tc>
          <w:tcPr>
            <w:tcW w:w="4562" w:type="dxa"/>
            <w:vAlign w:val="bottom"/>
          </w:tcPr>
          <w:p w14:paraId="44DD8D4E" w14:textId="77777777" w:rsidR="0060104C" w:rsidRPr="00BD1859" w:rsidRDefault="0060104C" w:rsidP="0060104C">
            <w:pPr>
              <w:rPr>
                <w:color w:val="000000"/>
                <w:sz w:val="18"/>
                <w:szCs w:val="18"/>
                <w:lang w:val="en-GB" w:eastAsia="en-GB"/>
              </w:rPr>
            </w:pPr>
            <w:r w:rsidRPr="00BD1859">
              <w:rPr>
                <w:color w:val="000000"/>
                <w:sz w:val="18"/>
                <w:szCs w:val="18"/>
                <w:lang w:val="en-GB" w:eastAsia="en-GB"/>
              </w:rPr>
              <w:t xml:space="preserve">Other non-current financial expenses </w:t>
            </w:r>
          </w:p>
        </w:tc>
        <w:tc>
          <w:tcPr>
            <w:tcW w:w="1312" w:type="dxa"/>
            <w:vAlign w:val="bottom"/>
          </w:tcPr>
          <w:p w14:paraId="0282CFD8"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(929)</w:t>
            </w:r>
          </w:p>
        </w:tc>
        <w:tc>
          <w:tcPr>
            <w:tcW w:w="236" w:type="dxa"/>
            <w:vAlign w:val="bottom"/>
          </w:tcPr>
          <w:p w14:paraId="6F6C3129" w14:textId="77777777" w:rsidR="0060104C" w:rsidRDefault="0060104C" w:rsidP="0060104C">
            <w:pPr>
              <w:jc w:val="right"/>
              <w:rPr>
                <w:b/>
                <w:bCs/>
                <w:sz w:val="18"/>
                <w:szCs w:val="18"/>
                <w:lang w:val="en-GB"/>
              </w:rPr>
            </w:pPr>
          </w:p>
        </w:tc>
        <w:tc>
          <w:tcPr>
            <w:tcW w:w="1177" w:type="dxa"/>
            <w:vAlign w:val="bottom"/>
          </w:tcPr>
          <w:p w14:paraId="24A6EBBB"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(8,125)</w:t>
            </w:r>
          </w:p>
        </w:tc>
        <w:tc>
          <w:tcPr>
            <w:tcW w:w="250" w:type="dxa"/>
            <w:vAlign w:val="bottom"/>
          </w:tcPr>
          <w:p w14:paraId="32AE3CD3" w14:textId="77777777" w:rsidR="0060104C" w:rsidRDefault="0060104C" w:rsidP="0060104C">
            <w:pPr>
              <w:jc w:val="right"/>
              <w:rPr>
                <w:b/>
                <w:bCs/>
                <w:sz w:val="18"/>
                <w:szCs w:val="18"/>
                <w:lang w:val="en-GB"/>
              </w:rPr>
            </w:pPr>
          </w:p>
        </w:tc>
        <w:tc>
          <w:tcPr>
            <w:tcW w:w="1167" w:type="dxa"/>
            <w:vAlign w:val="bottom"/>
          </w:tcPr>
          <w:p w14:paraId="616046F6"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(2,800)</w:t>
            </w:r>
          </w:p>
        </w:tc>
        <w:tc>
          <w:tcPr>
            <w:tcW w:w="245" w:type="dxa"/>
            <w:gridSpan w:val="2"/>
            <w:vAlign w:val="bottom"/>
          </w:tcPr>
          <w:p w14:paraId="458F432D" w14:textId="77777777" w:rsidR="0060104C" w:rsidRDefault="0060104C" w:rsidP="0060104C">
            <w:pPr>
              <w:jc w:val="right"/>
              <w:rPr>
                <w:b/>
                <w:bCs/>
                <w:sz w:val="18"/>
                <w:szCs w:val="18"/>
                <w:lang w:val="en-GB"/>
              </w:rPr>
            </w:pPr>
          </w:p>
        </w:tc>
      </w:tr>
      <w:tr w:rsidR="0060104C" w14:paraId="789175B7" w14:textId="77777777" w:rsidTr="0060104C">
        <w:trPr>
          <w:gridAfter w:val="1"/>
          <w:wAfter w:w="7" w:type="dxa"/>
        </w:trPr>
        <w:tc>
          <w:tcPr>
            <w:tcW w:w="4562" w:type="dxa"/>
            <w:vAlign w:val="bottom"/>
          </w:tcPr>
          <w:p w14:paraId="3B4158C1" w14:textId="77777777" w:rsidR="0060104C" w:rsidRPr="00407604" w:rsidRDefault="0060104C" w:rsidP="0060104C">
            <w:pPr>
              <w:rPr>
                <w:b/>
                <w:color w:val="000000"/>
                <w:sz w:val="18"/>
                <w:szCs w:val="18"/>
                <w:lang w:val="en-GB" w:eastAsia="en-GB"/>
              </w:rPr>
            </w:pPr>
            <w:r w:rsidRPr="00407604">
              <w:rPr>
                <w:b/>
                <w:color w:val="000000"/>
                <w:sz w:val="18"/>
                <w:szCs w:val="18"/>
                <w:lang w:val="en-GB" w:eastAsia="en-GB"/>
              </w:rPr>
              <w:t>IFRS Net financial result</w:t>
            </w:r>
          </w:p>
        </w:tc>
        <w:tc>
          <w:tcPr>
            <w:tcW w:w="1312" w:type="dxa"/>
            <w:vAlign w:val="bottom"/>
          </w:tcPr>
          <w:p w14:paraId="54F6AEBE" w14:textId="77777777" w:rsidR="0060104C" w:rsidRPr="00D62D2A" w:rsidRDefault="0060104C" w:rsidP="0060104C">
            <w:pPr>
              <w:jc w:val="right"/>
              <w:rPr>
                <w:b/>
                <w:bCs/>
                <w:color w:val="000000"/>
                <w:sz w:val="18"/>
                <w:szCs w:val="18"/>
                <w:lang w:val="en-GB" w:eastAsia="en-GB"/>
              </w:rPr>
            </w:pPr>
            <w:r w:rsidRPr="00407604">
              <w:rPr>
                <w:b/>
                <w:color w:val="000000"/>
                <w:sz w:val="18"/>
                <w:szCs w:val="18"/>
                <w:lang w:val="en-GB" w:eastAsia="en-GB"/>
              </w:rPr>
              <w:t>(4,976)</w:t>
            </w:r>
          </w:p>
        </w:tc>
        <w:tc>
          <w:tcPr>
            <w:tcW w:w="236" w:type="dxa"/>
            <w:vAlign w:val="bottom"/>
          </w:tcPr>
          <w:p w14:paraId="169A8592" w14:textId="77777777" w:rsidR="0060104C" w:rsidRPr="00084672" w:rsidRDefault="0060104C" w:rsidP="0060104C">
            <w:pPr>
              <w:jc w:val="right"/>
              <w:rPr>
                <w:b/>
                <w:bCs/>
                <w:sz w:val="18"/>
                <w:szCs w:val="18"/>
                <w:lang w:val="en-GB"/>
              </w:rPr>
            </w:pPr>
          </w:p>
        </w:tc>
        <w:tc>
          <w:tcPr>
            <w:tcW w:w="1177" w:type="dxa"/>
            <w:vAlign w:val="bottom"/>
          </w:tcPr>
          <w:p w14:paraId="4102DDA6" w14:textId="77777777" w:rsidR="0060104C" w:rsidRPr="00D62D2A" w:rsidRDefault="0060104C" w:rsidP="0060104C">
            <w:pPr>
              <w:jc w:val="right"/>
              <w:rPr>
                <w:b/>
                <w:bCs/>
                <w:color w:val="000000"/>
                <w:sz w:val="18"/>
                <w:szCs w:val="18"/>
                <w:lang w:val="en-GB" w:eastAsia="en-GB"/>
              </w:rPr>
            </w:pPr>
            <w:r w:rsidRPr="00407604">
              <w:rPr>
                <w:b/>
                <w:color w:val="000000"/>
                <w:sz w:val="18"/>
                <w:szCs w:val="18"/>
                <w:lang w:val="en-GB" w:eastAsia="en-GB"/>
              </w:rPr>
              <w:t>(16,906)</w:t>
            </w:r>
          </w:p>
        </w:tc>
        <w:tc>
          <w:tcPr>
            <w:tcW w:w="250" w:type="dxa"/>
            <w:vAlign w:val="bottom"/>
          </w:tcPr>
          <w:p w14:paraId="25FDF835" w14:textId="77777777" w:rsidR="0060104C" w:rsidRPr="00084672" w:rsidRDefault="0060104C" w:rsidP="0060104C">
            <w:pPr>
              <w:jc w:val="right"/>
              <w:rPr>
                <w:b/>
                <w:bCs/>
                <w:sz w:val="18"/>
                <w:szCs w:val="18"/>
                <w:lang w:val="en-GB"/>
              </w:rPr>
            </w:pPr>
          </w:p>
        </w:tc>
        <w:tc>
          <w:tcPr>
            <w:tcW w:w="1167" w:type="dxa"/>
            <w:vAlign w:val="bottom"/>
          </w:tcPr>
          <w:p w14:paraId="1B27C6FF" w14:textId="77777777" w:rsidR="0060104C" w:rsidRPr="00D62D2A" w:rsidRDefault="0060104C" w:rsidP="0060104C">
            <w:pPr>
              <w:jc w:val="right"/>
              <w:rPr>
                <w:b/>
                <w:bCs/>
                <w:color w:val="000000"/>
                <w:sz w:val="18"/>
                <w:szCs w:val="18"/>
                <w:lang w:val="en-GB" w:eastAsia="en-GB"/>
              </w:rPr>
            </w:pPr>
            <w:r w:rsidRPr="00407604">
              <w:rPr>
                <w:b/>
                <w:color w:val="000000"/>
                <w:sz w:val="18"/>
                <w:szCs w:val="18"/>
                <w:lang w:val="en-GB" w:eastAsia="en-GB"/>
              </w:rPr>
              <w:t>(10,154)</w:t>
            </w:r>
          </w:p>
        </w:tc>
        <w:tc>
          <w:tcPr>
            <w:tcW w:w="245" w:type="dxa"/>
            <w:gridSpan w:val="2"/>
            <w:vAlign w:val="bottom"/>
          </w:tcPr>
          <w:p w14:paraId="6009F1E3" w14:textId="77777777" w:rsidR="0060104C" w:rsidRDefault="0060104C" w:rsidP="0060104C">
            <w:pPr>
              <w:jc w:val="right"/>
              <w:rPr>
                <w:b/>
                <w:bCs/>
                <w:sz w:val="18"/>
                <w:szCs w:val="18"/>
                <w:lang w:val="en-GB"/>
              </w:rPr>
            </w:pPr>
          </w:p>
        </w:tc>
      </w:tr>
      <w:tr w:rsidR="0060104C" w14:paraId="20594355" w14:textId="77777777" w:rsidTr="0060104C">
        <w:trPr>
          <w:gridAfter w:val="1"/>
          <w:wAfter w:w="7" w:type="dxa"/>
        </w:trPr>
        <w:tc>
          <w:tcPr>
            <w:tcW w:w="4562" w:type="dxa"/>
            <w:vAlign w:val="bottom"/>
          </w:tcPr>
          <w:p w14:paraId="7F5DEF07" w14:textId="77777777" w:rsidR="0060104C" w:rsidRPr="00BD1859" w:rsidRDefault="0060104C" w:rsidP="0060104C">
            <w:pPr>
              <w:rPr>
                <w:color w:val="000000"/>
                <w:sz w:val="18"/>
                <w:szCs w:val="18"/>
                <w:lang w:val="en-GB" w:eastAsia="en-GB"/>
              </w:rPr>
            </w:pPr>
          </w:p>
        </w:tc>
        <w:tc>
          <w:tcPr>
            <w:tcW w:w="1312" w:type="dxa"/>
            <w:vAlign w:val="bottom"/>
          </w:tcPr>
          <w:p w14:paraId="51A7E1FE" w14:textId="77777777" w:rsidR="0060104C" w:rsidRDefault="0060104C" w:rsidP="0060104C">
            <w:pPr>
              <w:jc w:val="right"/>
              <w:rPr>
                <w:b/>
                <w:bCs/>
                <w:color w:val="000000"/>
                <w:sz w:val="18"/>
                <w:szCs w:val="18"/>
                <w:lang w:val="en-GB" w:eastAsia="en-GB"/>
              </w:rPr>
            </w:pPr>
          </w:p>
        </w:tc>
        <w:tc>
          <w:tcPr>
            <w:tcW w:w="236" w:type="dxa"/>
            <w:vAlign w:val="bottom"/>
          </w:tcPr>
          <w:p w14:paraId="3095B041" w14:textId="77777777" w:rsidR="0060104C" w:rsidRDefault="0060104C" w:rsidP="0060104C">
            <w:pPr>
              <w:jc w:val="right"/>
              <w:rPr>
                <w:b/>
                <w:bCs/>
                <w:sz w:val="18"/>
                <w:szCs w:val="18"/>
                <w:lang w:val="en-GB"/>
              </w:rPr>
            </w:pPr>
          </w:p>
        </w:tc>
        <w:tc>
          <w:tcPr>
            <w:tcW w:w="1177" w:type="dxa"/>
            <w:vAlign w:val="bottom"/>
          </w:tcPr>
          <w:p w14:paraId="7997856D" w14:textId="77777777" w:rsidR="0060104C" w:rsidRDefault="0060104C" w:rsidP="0060104C">
            <w:pPr>
              <w:jc w:val="right"/>
              <w:rPr>
                <w:b/>
                <w:bCs/>
                <w:color w:val="000000"/>
                <w:sz w:val="18"/>
                <w:szCs w:val="18"/>
                <w:lang w:val="en-GB" w:eastAsia="en-GB"/>
              </w:rPr>
            </w:pPr>
          </w:p>
        </w:tc>
        <w:tc>
          <w:tcPr>
            <w:tcW w:w="250" w:type="dxa"/>
            <w:vAlign w:val="bottom"/>
          </w:tcPr>
          <w:p w14:paraId="44E6A24E" w14:textId="77777777" w:rsidR="0060104C" w:rsidRDefault="0060104C" w:rsidP="0060104C">
            <w:pPr>
              <w:jc w:val="right"/>
              <w:rPr>
                <w:b/>
                <w:bCs/>
                <w:sz w:val="18"/>
                <w:szCs w:val="18"/>
                <w:lang w:val="en-GB"/>
              </w:rPr>
            </w:pPr>
          </w:p>
        </w:tc>
        <w:tc>
          <w:tcPr>
            <w:tcW w:w="1167" w:type="dxa"/>
            <w:vAlign w:val="bottom"/>
          </w:tcPr>
          <w:p w14:paraId="5EED5FFA" w14:textId="77777777" w:rsidR="0060104C" w:rsidRDefault="0060104C" w:rsidP="0060104C">
            <w:pPr>
              <w:jc w:val="right"/>
              <w:rPr>
                <w:b/>
                <w:bCs/>
                <w:color w:val="000000"/>
                <w:sz w:val="18"/>
                <w:szCs w:val="18"/>
                <w:lang w:val="en-GB" w:eastAsia="en-GB"/>
              </w:rPr>
            </w:pPr>
          </w:p>
        </w:tc>
        <w:tc>
          <w:tcPr>
            <w:tcW w:w="245" w:type="dxa"/>
            <w:gridSpan w:val="2"/>
            <w:vAlign w:val="bottom"/>
          </w:tcPr>
          <w:p w14:paraId="5387EB43" w14:textId="77777777" w:rsidR="0060104C" w:rsidRDefault="0060104C" w:rsidP="0060104C">
            <w:pPr>
              <w:jc w:val="right"/>
              <w:rPr>
                <w:b/>
                <w:bCs/>
                <w:sz w:val="18"/>
                <w:szCs w:val="18"/>
                <w:lang w:val="en-GB"/>
              </w:rPr>
            </w:pPr>
          </w:p>
        </w:tc>
      </w:tr>
      <w:tr w:rsidR="0060104C" w14:paraId="34949FF3" w14:textId="77777777" w:rsidTr="0060104C">
        <w:trPr>
          <w:gridAfter w:val="1"/>
          <w:wAfter w:w="7" w:type="dxa"/>
        </w:trPr>
        <w:tc>
          <w:tcPr>
            <w:tcW w:w="4562" w:type="dxa"/>
            <w:vAlign w:val="bottom"/>
          </w:tcPr>
          <w:p w14:paraId="1B78CD20" w14:textId="77777777" w:rsidR="0060104C" w:rsidRPr="00BD1859" w:rsidRDefault="0060104C" w:rsidP="0060104C">
            <w:pPr>
              <w:rPr>
                <w:color w:val="000000"/>
                <w:sz w:val="18"/>
                <w:szCs w:val="18"/>
                <w:lang w:val="en-GB" w:eastAsia="en-GB"/>
              </w:rPr>
            </w:pPr>
            <w:r w:rsidRPr="00BD1859">
              <w:rPr>
                <w:color w:val="000000"/>
                <w:sz w:val="18"/>
                <w:szCs w:val="18"/>
                <w:lang w:val="en-GB" w:eastAsia="en-GB"/>
              </w:rPr>
              <w:t xml:space="preserve">Current income taxes - Own </w:t>
            </w:r>
          </w:p>
        </w:tc>
        <w:tc>
          <w:tcPr>
            <w:tcW w:w="1312" w:type="dxa"/>
            <w:vAlign w:val="bottom"/>
          </w:tcPr>
          <w:p w14:paraId="046215C7"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(259)</w:t>
            </w:r>
          </w:p>
        </w:tc>
        <w:tc>
          <w:tcPr>
            <w:tcW w:w="236" w:type="dxa"/>
            <w:vAlign w:val="bottom"/>
          </w:tcPr>
          <w:p w14:paraId="41EA1BE8" w14:textId="77777777" w:rsidR="0060104C" w:rsidRDefault="0060104C" w:rsidP="0060104C">
            <w:pPr>
              <w:jc w:val="right"/>
              <w:rPr>
                <w:b/>
                <w:bCs/>
                <w:sz w:val="18"/>
                <w:szCs w:val="18"/>
                <w:lang w:val="en-GB"/>
              </w:rPr>
            </w:pPr>
          </w:p>
        </w:tc>
        <w:tc>
          <w:tcPr>
            <w:tcW w:w="1177" w:type="dxa"/>
            <w:vAlign w:val="bottom"/>
          </w:tcPr>
          <w:p w14:paraId="4D3D57FD"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(939)</w:t>
            </w:r>
          </w:p>
        </w:tc>
        <w:tc>
          <w:tcPr>
            <w:tcW w:w="250" w:type="dxa"/>
            <w:vAlign w:val="bottom"/>
          </w:tcPr>
          <w:p w14:paraId="45657467" w14:textId="77777777" w:rsidR="0060104C" w:rsidRDefault="0060104C" w:rsidP="0060104C">
            <w:pPr>
              <w:jc w:val="right"/>
              <w:rPr>
                <w:b/>
                <w:bCs/>
                <w:sz w:val="18"/>
                <w:szCs w:val="18"/>
                <w:lang w:val="en-GB"/>
              </w:rPr>
            </w:pPr>
          </w:p>
        </w:tc>
        <w:tc>
          <w:tcPr>
            <w:tcW w:w="1167" w:type="dxa"/>
            <w:vAlign w:val="bottom"/>
          </w:tcPr>
          <w:p w14:paraId="602F780C"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(383)</w:t>
            </w:r>
          </w:p>
        </w:tc>
        <w:tc>
          <w:tcPr>
            <w:tcW w:w="245" w:type="dxa"/>
            <w:gridSpan w:val="2"/>
            <w:vAlign w:val="bottom"/>
          </w:tcPr>
          <w:p w14:paraId="181D3C07" w14:textId="77777777" w:rsidR="0060104C" w:rsidRDefault="0060104C" w:rsidP="0060104C">
            <w:pPr>
              <w:jc w:val="right"/>
              <w:rPr>
                <w:b/>
                <w:bCs/>
                <w:sz w:val="18"/>
                <w:szCs w:val="18"/>
                <w:lang w:val="en-GB"/>
              </w:rPr>
            </w:pPr>
          </w:p>
        </w:tc>
      </w:tr>
      <w:tr w:rsidR="0060104C" w14:paraId="7F6CD0CE" w14:textId="77777777" w:rsidTr="0060104C">
        <w:trPr>
          <w:gridAfter w:val="1"/>
          <w:wAfter w:w="7" w:type="dxa"/>
        </w:trPr>
        <w:tc>
          <w:tcPr>
            <w:tcW w:w="4562" w:type="dxa"/>
            <w:vAlign w:val="bottom"/>
          </w:tcPr>
          <w:p w14:paraId="44C90B16" w14:textId="77777777" w:rsidR="0060104C" w:rsidRPr="00BD1859" w:rsidRDefault="0060104C" w:rsidP="0060104C">
            <w:pPr>
              <w:rPr>
                <w:color w:val="000000"/>
                <w:sz w:val="18"/>
                <w:szCs w:val="18"/>
                <w:lang w:val="en-GB" w:eastAsia="en-GB"/>
              </w:rPr>
            </w:pPr>
            <w:r w:rsidRPr="00BD1859">
              <w:rPr>
                <w:color w:val="000000"/>
                <w:sz w:val="18"/>
                <w:szCs w:val="18"/>
                <w:lang w:val="en-GB" w:eastAsia="en-GB"/>
              </w:rPr>
              <w:t xml:space="preserve">Deferred taxes - Own </w:t>
            </w:r>
          </w:p>
        </w:tc>
        <w:tc>
          <w:tcPr>
            <w:tcW w:w="1312" w:type="dxa"/>
            <w:vAlign w:val="bottom"/>
          </w:tcPr>
          <w:p w14:paraId="6FBB34B7"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(9,984)</w:t>
            </w:r>
          </w:p>
        </w:tc>
        <w:tc>
          <w:tcPr>
            <w:tcW w:w="236" w:type="dxa"/>
            <w:vAlign w:val="bottom"/>
          </w:tcPr>
          <w:p w14:paraId="7BE235A1" w14:textId="77777777" w:rsidR="0060104C" w:rsidRDefault="0060104C" w:rsidP="0060104C">
            <w:pPr>
              <w:jc w:val="right"/>
              <w:rPr>
                <w:b/>
                <w:bCs/>
                <w:sz w:val="18"/>
                <w:szCs w:val="18"/>
                <w:lang w:val="en-GB"/>
              </w:rPr>
            </w:pPr>
          </w:p>
        </w:tc>
        <w:tc>
          <w:tcPr>
            <w:tcW w:w="1177" w:type="dxa"/>
            <w:vAlign w:val="bottom"/>
          </w:tcPr>
          <w:p w14:paraId="30306A15"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(20,851)</w:t>
            </w:r>
          </w:p>
        </w:tc>
        <w:tc>
          <w:tcPr>
            <w:tcW w:w="250" w:type="dxa"/>
            <w:vAlign w:val="bottom"/>
          </w:tcPr>
          <w:p w14:paraId="4C628690" w14:textId="77777777" w:rsidR="0060104C" w:rsidRDefault="0060104C" w:rsidP="0060104C">
            <w:pPr>
              <w:jc w:val="right"/>
              <w:rPr>
                <w:b/>
                <w:bCs/>
                <w:sz w:val="18"/>
                <w:szCs w:val="18"/>
                <w:lang w:val="en-GB"/>
              </w:rPr>
            </w:pPr>
          </w:p>
        </w:tc>
        <w:tc>
          <w:tcPr>
            <w:tcW w:w="1167" w:type="dxa"/>
            <w:vAlign w:val="bottom"/>
          </w:tcPr>
          <w:p w14:paraId="7AD12178"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(12,146)</w:t>
            </w:r>
          </w:p>
        </w:tc>
        <w:tc>
          <w:tcPr>
            <w:tcW w:w="245" w:type="dxa"/>
            <w:gridSpan w:val="2"/>
            <w:vAlign w:val="bottom"/>
          </w:tcPr>
          <w:p w14:paraId="43FDECA8" w14:textId="77777777" w:rsidR="0060104C" w:rsidRDefault="0060104C" w:rsidP="0060104C">
            <w:pPr>
              <w:jc w:val="right"/>
              <w:rPr>
                <w:b/>
                <w:bCs/>
                <w:sz w:val="18"/>
                <w:szCs w:val="18"/>
                <w:lang w:val="en-GB"/>
              </w:rPr>
            </w:pPr>
          </w:p>
        </w:tc>
      </w:tr>
      <w:tr w:rsidR="0060104C" w14:paraId="49E37111" w14:textId="77777777" w:rsidTr="0060104C">
        <w:trPr>
          <w:gridAfter w:val="1"/>
          <w:wAfter w:w="7" w:type="dxa"/>
        </w:trPr>
        <w:tc>
          <w:tcPr>
            <w:tcW w:w="4562" w:type="dxa"/>
            <w:vAlign w:val="bottom"/>
          </w:tcPr>
          <w:p w14:paraId="0C935EA2" w14:textId="77777777" w:rsidR="0060104C" w:rsidRPr="00407604" w:rsidRDefault="0060104C" w:rsidP="0060104C">
            <w:pPr>
              <w:rPr>
                <w:b/>
                <w:color w:val="000000"/>
                <w:sz w:val="18"/>
                <w:szCs w:val="18"/>
                <w:lang w:val="en-GB" w:eastAsia="en-GB"/>
              </w:rPr>
            </w:pPr>
            <w:r w:rsidRPr="00407604">
              <w:rPr>
                <w:b/>
                <w:color w:val="000000"/>
                <w:sz w:val="18"/>
                <w:szCs w:val="18"/>
                <w:lang w:val="en-GB" w:eastAsia="en-GB"/>
              </w:rPr>
              <w:t>IFRS Taxes</w:t>
            </w:r>
          </w:p>
        </w:tc>
        <w:tc>
          <w:tcPr>
            <w:tcW w:w="1312" w:type="dxa"/>
            <w:vAlign w:val="bottom"/>
          </w:tcPr>
          <w:p w14:paraId="0CA220A1" w14:textId="77777777" w:rsidR="0060104C" w:rsidRPr="00D62D2A" w:rsidRDefault="0060104C" w:rsidP="0060104C">
            <w:pPr>
              <w:jc w:val="right"/>
              <w:rPr>
                <w:b/>
                <w:bCs/>
                <w:color w:val="000000"/>
                <w:sz w:val="18"/>
                <w:szCs w:val="18"/>
                <w:lang w:val="en-GB" w:eastAsia="en-GB"/>
              </w:rPr>
            </w:pPr>
            <w:r w:rsidRPr="00407604">
              <w:rPr>
                <w:b/>
                <w:color w:val="000000"/>
                <w:sz w:val="18"/>
                <w:szCs w:val="18"/>
                <w:lang w:val="en-GB" w:eastAsia="en-GB"/>
              </w:rPr>
              <w:t>(10,243)</w:t>
            </w:r>
          </w:p>
        </w:tc>
        <w:tc>
          <w:tcPr>
            <w:tcW w:w="236" w:type="dxa"/>
            <w:vAlign w:val="bottom"/>
          </w:tcPr>
          <w:p w14:paraId="42CA87AC" w14:textId="77777777" w:rsidR="0060104C" w:rsidRPr="00084672" w:rsidRDefault="0060104C" w:rsidP="0060104C">
            <w:pPr>
              <w:jc w:val="right"/>
              <w:rPr>
                <w:b/>
                <w:bCs/>
                <w:sz w:val="18"/>
                <w:szCs w:val="18"/>
                <w:lang w:val="en-GB"/>
              </w:rPr>
            </w:pPr>
          </w:p>
        </w:tc>
        <w:tc>
          <w:tcPr>
            <w:tcW w:w="1177" w:type="dxa"/>
            <w:vAlign w:val="bottom"/>
          </w:tcPr>
          <w:p w14:paraId="6EC39A63" w14:textId="77777777" w:rsidR="0060104C" w:rsidRPr="00D62D2A" w:rsidRDefault="0060104C" w:rsidP="0060104C">
            <w:pPr>
              <w:jc w:val="right"/>
              <w:rPr>
                <w:b/>
                <w:bCs/>
                <w:color w:val="000000"/>
                <w:sz w:val="18"/>
                <w:szCs w:val="18"/>
                <w:lang w:val="en-GB" w:eastAsia="en-GB"/>
              </w:rPr>
            </w:pPr>
            <w:r w:rsidRPr="00407604">
              <w:rPr>
                <w:b/>
                <w:color w:val="000000"/>
                <w:sz w:val="18"/>
                <w:szCs w:val="18"/>
                <w:lang w:val="en-GB" w:eastAsia="en-GB"/>
              </w:rPr>
              <w:t>(21,790)</w:t>
            </w:r>
          </w:p>
        </w:tc>
        <w:tc>
          <w:tcPr>
            <w:tcW w:w="250" w:type="dxa"/>
            <w:vAlign w:val="bottom"/>
          </w:tcPr>
          <w:p w14:paraId="6106BE0D" w14:textId="77777777" w:rsidR="0060104C" w:rsidRPr="00084672" w:rsidRDefault="0060104C" w:rsidP="0060104C">
            <w:pPr>
              <w:jc w:val="right"/>
              <w:rPr>
                <w:b/>
                <w:bCs/>
                <w:sz w:val="18"/>
                <w:szCs w:val="18"/>
                <w:lang w:val="en-GB"/>
              </w:rPr>
            </w:pPr>
          </w:p>
        </w:tc>
        <w:tc>
          <w:tcPr>
            <w:tcW w:w="1167" w:type="dxa"/>
            <w:vAlign w:val="bottom"/>
          </w:tcPr>
          <w:p w14:paraId="5AB5DCC0" w14:textId="77777777" w:rsidR="0060104C" w:rsidRPr="00D62D2A" w:rsidRDefault="0060104C" w:rsidP="0060104C">
            <w:pPr>
              <w:jc w:val="right"/>
              <w:rPr>
                <w:b/>
                <w:bCs/>
                <w:color w:val="000000"/>
                <w:sz w:val="18"/>
                <w:szCs w:val="18"/>
                <w:lang w:val="en-GB" w:eastAsia="en-GB"/>
              </w:rPr>
            </w:pPr>
            <w:r w:rsidRPr="00407604">
              <w:rPr>
                <w:b/>
                <w:color w:val="000000"/>
                <w:sz w:val="18"/>
                <w:szCs w:val="18"/>
                <w:lang w:val="en-GB" w:eastAsia="en-GB"/>
              </w:rPr>
              <w:t>(12,529)</w:t>
            </w:r>
          </w:p>
        </w:tc>
        <w:tc>
          <w:tcPr>
            <w:tcW w:w="245" w:type="dxa"/>
            <w:gridSpan w:val="2"/>
            <w:vAlign w:val="bottom"/>
          </w:tcPr>
          <w:p w14:paraId="0DE29E66" w14:textId="77777777" w:rsidR="0060104C" w:rsidRDefault="0060104C" w:rsidP="0060104C">
            <w:pPr>
              <w:jc w:val="right"/>
              <w:rPr>
                <w:b/>
                <w:bCs/>
                <w:sz w:val="18"/>
                <w:szCs w:val="18"/>
                <w:lang w:val="en-GB"/>
              </w:rPr>
            </w:pPr>
          </w:p>
        </w:tc>
      </w:tr>
      <w:tr w:rsidR="0060104C" w14:paraId="3C8F4BE8" w14:textId="77777777" w:rsidTr="0060104C">
        <w:trPr>
          <w:gridAfter w:val="1"/>
          <w:wAfter w:w="7" w:type="dxa"/>
        </w:trPr>
        <w:tc>
          <w:tcPr>
            <w:tcW w:w="4562" w:type="dxa"/>
            <w:vAlign w:val="bottom"/>
          </w:tcPr>
          <w:p w14:paraId="357573FD" w14:textId="77777777" w:rsidR="0060104C" w:rsidRPr="00BD1859" w:rsidRDefault="0060104C" w:rsidP="0060104C">
            <w:pPr>
              <w:rPr>
                <w:color w:val="000000"/>
                <w:sz w:val="18"/>
                <w:szCs w:val="18"/>
                <w:lang w:val="en-GB" w:eastAsia="en-GB"/>
              </w:rPr>
            </w:pPr>
          </w:p>
        </w:tc>
        <w:tc>
          <w:tcPr>
            <w:tcW w:w="1312" w:type="dxa"/>
            <w:vAlign w:val="bottom"/>
          </w:tcPr>
          <w:p w14:paraId="75EF9071" w14:textId="77777777" w:rsidR="0060104C" w:rsidRDefault="0060104C" w:rsidP="0060104C">
            <w:pPr>
              <w:jc w:val="right"/>
              <w:rPr>
                <w:b/>
                <w:bCs/>
                <w:color w:val="000000"/>
                <w:sz w:val="18"/>
                <w:szCs w:val="18"/>
                <w:lang w:val="en-GB" w:eastAsia="en-GB"/>
              </w:rPr>
            </w:pPr>
          </w:p>
        </w:tc>
        <w:tc>
          <w:tcPr>
            <w:tcW w:w="236" w:type="dxa"/>
            <w:vAlign w:val="bottom"/>
          </w:tcPr>
          <w:p w14:paraId="02852F99" w14:textId="77777777" w:rsidR="0060104C" w:rsidRDefault="0060104C" w:rsidP="0060104C">
            <w:pPr>
              <w:jc w:val="right"/>
              <w:rPr>
                <w:b/>
                <w:bCs/>
                <w:sz w:val="18"/>
                <w:szCs w:val="18"/>
                <w:lang w:val="en-GB"/>
              </w:rPr>
            </w:pPr>
          </w:p>
        </w:tc>
        <w:tc>
          <w:tcPr>
            <w:tcW w:w="1177" w:type="dxa"/>
            <w:vAlign w:val="bottom"/>
          </w:tcPr>
          <w:p w14:paraId="4A7FAD77" w14:textId="77777777" w:rsidR="0060104C" w:rsidRDefault="0060104C" w:rsidP="0060104C">
            <w:pPr>
              <w:jc w:val="right"/>
              <w:rPr>
                <w:b/>
                <w:bCs/>
                <w:color w:val="000000"/>
                <w:sz w:val="18"/>
                <w:szCs w:val="18"/>
                <w:lang w:val="en-GB" w:eastAsia="en-GB"/>
              </w:rPr>
            </w:pPr>
          </w:p>
        </w:tc>
        <w:tc>
          <w:tcPr>
            <w:tcW w:w="250" w:type="dxa"/>
            <w:vAlign w:val="bottom"/>
          </w:tcPr>
          <w:p w14:paraId="1F2E8082" w14:textId="77777777" w:rsidR="0060104C" w:rsidRDefault="0060104C" w:rsidP="0060104C">
            <w:pPr>
              <w:jc w:val="right"/>
              <w:rPr>
                <w:b/>
                <w:bCs/>
                <w:sz w:val="18"/>
                <w:szCs w:val="18"/>
                <w:lang w:val="en-GB"/>
              </w:rPr>
            </w:pPr>
          </w:p>
        </w:tc>
        <w:tc>
          <w:tcPr>
            <w:tcW w:w="1167" w:type="dxa"/>
            <w:vAlign w:val="bottom"/>
          </w:tcPr>
          <w:p w14:paraId="5604B046" w14:textId="77777777" w:rsidR="0060104C" w:rsidRDefault="0060104C" w:rsidP="0060104C">
            <w:pPr>
              <w:jc w:val="right"/>
              <w:rPr>
                <w:b/>
                <w:bCs/>
                <w:color w:val="000000"/>
                <w:sz w:val="18"/>
                <w:szCs w:val="18"/>
                <w:lang w:val="en-GB" w:eastAsia="en-GB"/>
              </w:rPr>
            </w:pPr>
          </w:p>
        </w:tc>
        <w:tc>
          <w:tcPr>
            <w:tcW w:w="245" w:type="dxa"/>
            <w:gridSpan w:val="2"/>
            <w:vAlign w:val="bottom"/>
          </w:tcPr>
          <w:p w14:paraId="0CEB5E5A" w14:textId="77777777" w:rsidR="0060104C" w:rsidRDefault="0060104C" w:rsidP="0060104C">
            <w:pPr>
              <w:jc w:val="right"/>
              <w:rPr>
                <w:b/>
                <w:bCs/>
                <w:sz w:val="18"/>
                <w:szCs w:val="18"/>
                <w:lang w:val="en-GB"/>
              </w:rPr>
            </w:pPr>
          </w:p>
        </w:tc>
      </w:tr>
      <w:tr w:rsidR="0060104C" w14:paraId="347A1BCC" w14:textId="77777777" w:rsidTr="0060104C">
        <w:trPr>
          <w:gridAfter w:val="1"/>
          <w:wAfter w:w="7" w:type="dxa"/>
        </w:trPr>
        <w:tc>
          <w:tcPr>
            <w:tcW w:w="4562" w:type="dxa"/>
            <w:vAlign w:val="bottom"/>
          </w:tcPr>
          <w:p w14:paraId="605FD95F" w14:textId="77777777" w:rsidR="0060104C" w:rsidRPr="00BD1859" w:rsidRDefault="0060104C" w:rsidP="0060104C">
            <w:pPr>
              <w:rPr>
                <w:color w:val="000000"/>
                <w:sz w:val="18"/>
                <w:szCs w:val="18"/>
                <w:lang w:val="en-GB" w:eastAsia="en-GB"/>
              </w:rPr>
            </w:pPr>
            <w:r w:rsidRPr="00BD1859">
              <w:rPr>
                <w:color w:val="000000"/>
                <w:sz w:val="18"/>
                <w:szCs w:val="18"/>
                <w:lang w:val="en-GB" w:eastAsia="en-GB"/>
              </w:rPr>
              <w:t xml:space="preserve">Share in result of joint venture and associates </w:t>
            </w:r>
          </w:p>
        </w:tc>
        <w:tc>
          <w:tcPr>
            <w:tcW w:w="1312" w:type="dxa"/>
            <w:vAlign w:val="bottom"/>
          </w:tcPr>
          <w:p w14:paraId="58230666"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 xml:space="preserve">6,729 </w:t>
            </w:r>
          </w:p>
        </w:tc>
        <w:tc>
          <w:tcPr>
            <w:tcW w:w="236" w:type="dxa"/>
            <w:vAlign w:val="bottom"/>
          </w:tcPr>
          <w:p w14:paraId="52B95EAE" w14:textId="77777777" w:rsidR="0060104C" w:rsidRDefault="0060104C" w:rsidP="0060104C">
            <w:pPr>
              <w:jc w:val="right"/>
              <w:rPr>
                <w:b/>
                <w:bCs/>
                <w:sz w:val="18"/>
                <w:szCs w:val="18"/>
                <w:lang w:val="en-GB"/>
              </w:rPr>
            </w:pPr>
          </w:p>
        </w:tc>
        <w:tc>
          <w:tcPr>
            <w:tcW w:w="1177" w:type="dxa"/>
            <w:vAlign w:val="bottom"/>
          </w:tcPr>
          <w:p w14:paraId="2C721B12"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 xml:space="preserve">6,938 </w:t>
            </w:r>
          </w:p>
        </w:tc>
        <w:tc>
          <w:tcPr>
            <w:tcW w:w="250" w:type="dxa"/>
            <w:vAlign w:val="bottom"/>
          </w:tcPr>
          <w:p w14:paraId="30853D8F" w14:textId="77777777" w:rsidR="0060104C" w:rsidRDefault="0060104C" w:rsidP="0060104C">
            <w:pPr>
              <w:jc w:val="right"/>
              <w:rPr>
                <w:b/>
                <w:bCs/>
                <w:sz w:val="18"/>
                <w:szCs w:val="18"/>
                <w:lang w:val="en-GB"/>
              </w:rPr>
            </w:pPr>
          </w:p>
        </w:tc>
        <w:tc>
          <w:tcPr>
            <w:tcW w:w="1167" w:type="dxa"/>
            <w:vAlign w:val="bottom"/>
          </w:tcPr>
          <w:p w14:paraId="02975D63"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 xml:space="preserve">191 </w:t>
            </w:r>
          </w:p>
        </w:tc>
        <w:tc>
          <w:tcPr>
            <w:tcW w:w="245" w:type="dxa"/>
            <w:gridSpan w:val="2"/>
            <w:vAlign w:val="bottom"/>
          </w:tcPr>
          <w:p w14:paraId="03E6488E" w14:textId="77777777" w:rsidR="0060104C" w:rsidRDefault="0060104C" w:rsidP="0060104C">
            <w:pPr>
              <w:jc w:val="right"/>
              <w:rPr>
                <w:b/>
                <w:bCs/>
                <w:sz w:val="18"/>
                <w:szCs w:val="18"/>
                <w:lang w:val="en-GB"/>
              </w:rPr>
            </w:pPr>
          </w:p>
        </w:tc>
      </w:tr>
      <w:tr w:rsidR="0060104C" w14:paraId="17671F72" w14:textId="77777777" w:rsidTr="0060104C">
        <w:trPr>
          <w:gridAfter w:val="1"/>
          <w:wAfter w:w="7" w:type="dxa"/>
        </w:trPr>
        <w:tc>
          <w:tcPr>
            <w:tcW w:w="4562" w:type="dxa"/>
            <w:vAlign w:val="bottom"/>
          </w:tcPr>
          <w:p w14:paraId="4B893206" w14:textId="77777777" w:rsidR="0060104C" w:rsidRPr="00BD1859" w:rsidRDefault="0060104C" w:rsidP="0060104C">
            <w:pPr>
              <w:rPr>
                <w:color w:val="000000"/>
                <w:sz w:val="18"/>
                <w:szCs w:val="18"/>
                <w:lang w:val="en-GB" w:eastAsia="en-GB"/>
              </w:rPr>
            </w:pPr>
            <w:r w:rsidRPr="00BD1859">
              <w:rPr>
                <w:color w:val="000000"/>
                <w:sz w:val="18"/>
                <w:szCs w:val="18"/>
                <w:lang w:val="en-GB" w:eastAsia="en-GB"/>
              </w:rPr>
              <w:t xml:space="preserve">Financial expense - JV </w:t>
            </w:r>
          </w:p>
        </w:tc>
        <w:tc>
          <w:tcPr>
            <w:tcW w:w="1312" w:type="dxa"/>
            <w:vAlign w:val="bottom"/>
          </w:tcPr>
          <w:p w14:paraId="6950E15D"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 xml:space="preserve">1,101 </w:t>
            </w:r>
          </w:p>
        </w:tc>
        <w:tc>
          <w:tcPr>
            <w:tcW w:w="236" w:type="dxa"/>
            <w:vAlign w:val="bottom"/>
          </w:tcPr>
          <w:p w14:paraId="5EE29263" w14:textId="77777777" w:rsidR="0060104C" w:rsidRDefault="0060104C" w:rsidP="0060104C">
            <w:pPr>
              <w:jc w:val="right"/>
              <w:rPr>
                <w:b/>
                <w:bCs/>
                <w:sz w:val="18"/>
                <w:szCs w:val="18"/>
                <w:lang w:val="en-GB"/>
              </w:rPr>
            </w:pPr>
          </w:p>
        </w:tc>
        <w:tc>
          <w:tcPr>
            <w:tcW w:w="1177" w:type="dxa"/>
            <w:vAlign w:val="bottom"/>
          </w:tcPr>
          <w:p w14:paraId="3516C57E"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 xml:space="preserve">100 </w:t>
            </w:r>
          </w:p>
        </w:tc>
        <w:tc>
          <w:tcPr>
            <w:tcW w:w="250" w:type="dxa"/>
            <w:vAlign w:val="bottom"/>
          </w:tcPr>
          <w:p w14:paraId="45A35155" w14:textId="77777777" w:rsidR="0060104C" w:rsidRDefault="0060104C" w:rsidP="0060104C">
            <w:pPr>
              <w:jc w:val="right"/>
              <w:rPr>
                <w:b/>
                <w:bCs/>
                <w:sz w:val="18"/>
                <w:szCs w:val="18"/>
                <w:lang w:val="en-GB"/>
              </w:rPr>
            </w:pPr>
          </w:p>
        </w:tc>
        <w:tc>
          <w:tcPr>
            <w:tcW w:w="1167" w:type="dxa"/>
            <w:vAlign w:val="bottom"/>
          </w:tcPr>
          <w:p w14:paraId="25740C90" w14:textId="77777777" w:rsidR="0060104C" w:rsidRDefault="0060104C" w:rsidP="0060104C">
            <w:pPr>
              <w:jc w:val="right"/>
              <w:rPr>
                <w:b/>
                <w:bCs/>
                <w:color w:val="000000"/>
                <w:sz w:val="18"/>
                <w:szCs w:val="18"/>
                <w:lang w:val="en-GB" w:eastAsia="en-GB"/>
              </w:rPr>
            </w:pPr>
            <w:r>
              <w:rPr>
                <w:b/>
                <w:bCs/>
                <w:color w:val="000000"/>
                <w:sz w:val="18"/>
                <w:szCs w:val="18"/>
                <w:lang w:val="en-GB" w:eastAsia="en-GB"/>
              </w:rPr>
              <w:t>-</w:t>
            </w:r>
          </w:p>
        </w:tc>
        <w:tc>
          <w:tcPr>
            <w:tcW w:w="245" w:type="dxa"/>
            <w:gridSpan w:val="2"/>
            <w:vAlign w:val="bottom"/>
          </w:tcPr>
          <w:p w14:paraId="7012AC41" w14:textId="77777777" w:rsidR="0060104C" w:rsidRDefault="0060104C" w:rsidP="0060104C">
            <w:pPr>
              <w:jc w:val="right"/>
              <w:rPr>
                <w:b/>
                <w:bCs/>
                <w:sz w:val="18"/>
                <w:szCs w:val="18"/>
                <w:lang w:val="en-GB"/>
              </w:rPr>
            </w:pPr>
          </w:p>
        </w:tc>
      </w:tr>
      <w:tr w:rsidR="0060104C" w14:paraId="673F5B33" w14:textId="77777777" w:rsidTr="0060104C">
        <w:trPr>
          <w:gridAfter w:val="1"/>
          <w:wAfter w:w="7" w:type="dxa"/>
        </w:trPr>
        <w:tc>
          <w:tcPr>
            <w:tcW w:w="4562" w:type="dxa"/>
            <w:vAlign w:val="bottom"/>
          </w:tcPr>
          <w:p w14:paraId="6A2E0631" w14:textId="77777777" w:rsidR="0060104C" w:rsidRPr="00BD1859" w:rsidRDefault="0060104C" w:rsidP="0060104C">
            <w:pPr>
              <w:rPr>
                <w:color w:val="000000"/>
                <w:sz w:val="18"/>
                <w:szCs w:val="18"/>
                <w:lang w:val="en-GB" w:eastAsia="en-GB"/>
              </w:rPr>
            </w:pPr>
            <w:r w:rsidRPr="00BD1859">
              <w:rPr>
                <w:color w:val="000000"/>
                <w:sz w:val="18"/>
                <w:szCs w:val="18"/>
                <w:lang w:val="en-GB" w:eastAsia="en-GB"/>
              </w:rPr>
              <w:t xml:space="preserve">Financial income - JV </w:t>
            </w:r>
          </w:p>
        </w:tc>
        <w:tc>
          <w:tcPr>
            <w:tcW w:w="1312" w:type="dxa"/>
            <w:vAlign w:val="bottom"/>
          </w:tcPr>
          <w:p w14:paraId="02B08555"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(2,229)</w:t>
            </w:r>
          </w:p>
        </w:tc>
        <w:tc>
          <w:tcPr>
            <w:tcW w:w="236" w:type="dxa"/>
            <w:vAlign w:val="bottom"/>
          </w:tcPr>
          <w:p w14:paraId="48F7C733" w14:textId="77777777" w:rsidR="0060104C" w:rsidRDefault="0060104C" w:rsidP="0060104C">
            <w:pPr>
              <w:jc w:val="right"/>
              <w:rPr>
                <w:b/>
                <w:bCs/>
                <w:sz w:val="18"/>
                <w:szCs w:val="18"/>
                <w:lang w:val="en-GB"/>
              </w:rPr>
            </w:pPr>
          </w:p>
        </w:tc>
        <w:tc>
          <w:tcPr>
            <w:tcW w:w="1177" w:type="dxa"/>
            <w:vAlign w:val="bottom"/>
          </w:tcPr>
          <w:p w14:paraId="64A1C7A5"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(3,423)</w:t>
            </w:r>
          </w:p>
        </w:tc>
        <w:tc>
          <w:tcPr>
            <w:tcW w:w="250" w:type="dxa"/>
            <w:vAlign w:val="bottom"/>
          </w:tcPr>
          <w:p w14:paraId="2D74E6CD" w14:textId="77777777" w:rsidR="0060104C" w:rsidRDefault="0060104C" w:rsidP="0060104C">
            <w:pPr>
              <w:jc w:val="right"/>
              <w:rPr>
                <w:b/>
                <w:bCs/>
                <w:sz w:val="18"/>
                <w:szCs w:val="18"/>
                <w:lang w:val="en-GB"/>
              </w:rPr>
            </w:pPr>
          </w:p>
        </w:tc>
        <w:tc>
          <w:tcPr>
            <w:tcW w:w="1167" w:type="dxa"/>
            <w:vAlign w:val="bottom"/>
          </w:tcPr>
          <w:p w14:paraId="78C7027D" w14:textId="77777777" w:rsidR="0060104C" w:rsidRDefault="0060104C" w:rsidP="0060104C">
            <w:pPr>
              <w:jc w:val="right"/>
              <w:rPr>
                <w:b/>
                <w:bCs/>
                <w:color w:val="000000"/>
                <w:sz w:val="18"/>
                <w:szCs w:val="18"/>
                <w:lang w:val="en-GB" w:eastAsia="en-GB"/>
              </w:rPr>
            </w:pPr>
            <w:r>
              <w:rPr>
                <w:b/>
                <w:bCs/>
                <w:color w:val="000000"/>
                <w:sz w:val="18"/>
                <w:szCs w:val="18"/>
                <w:lang w:val="en-GB" w:eastAsia="en-GB"/>
              </w:rPr>
              <w:t>-</w:t>
            </w:r>
          </w:p>
        </w:tc>
        <w:tc>
          <w:tcPr>
            <w:tcW w:w="245" w:type="dxa"/>
            <w:gridSpan w:val="2"/>
            <w:vAlign w:val="bottom"/>
          </w:tcPr>
          <w:p w14:paraId="05B76236" w14:textId="77777777" w:rsidR="0060104C" w:rsidRDefault="0060104C" w:rsidP="0060104C">
            <w:pPr>
              <w:jc w:val="right"/>
              <w:rPr>
                <w:b/>
                <w:bCs/>
                <w:sz w:val="18"/>
                <w:szCs w:val="18"/>
                <w:lang w:val="en-GB"/>
              </w:rPr>
            </w:pPr>
          </w:p>
        </w:tc>
      </w:tr>
      <w:tr w:rsidR="0060104C" w14:paraId="3436CEEF" w14:textId="77777777" w:rsidTr="0060104C">
        <w:trPr>
          <w:gridAfter w:val="1"/>
          <w:wAfter w:w="7" w:type="dxa"/>
        </w:trPr>
        <w:tc>
          <w:tcPr>
            <w:tcW w:w="4562" w:type="dxa"/>
            <w:vAlign w:val="bottom"/>
          </w:tcPr>
          <w:p w14:paraId="049AAC77" w14:textId="77777777" w:rsidR="0060104C" w:rsidRPr="00BD1859" w:rsidRDefault="0060104C" w:rsidP="0060104C">
            <w:pPr>
              <w:rPr>
                <w:color w:val="000000"/>
                <w:sz w:val="18"/>
                <w:szCs w:val="18"/>
                <w:lang w:val="en-GB" w:eastAsia="en-GB"/>
              </w:rPr>
            </w:pPr>
            <w:r w:rsidRPr="00BD1859">
              <w:rPr>
                <w:color w:val="000000"/>
                <w:sz w:val="18"/>
                <w:szCs w:val="18"/>
                <w:lang w:val="en-GB" w:eastAsia="en-GB"/>
              </w:rPr>
              <w:t xml:space="preserve">Current income taxes - JV </w:t>
            </w:r>
          </w:p>
        </w:tc>
        <w:tc>
          <w:tcPr>
            <w:tcW w:w="1312" w:type="dxa"/>
            <w:vAlign w:val="bottom"/>
          </w:tcPr>
          <w:p w14:paraId="3CD70B27"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(57)</w:t>
            </w:r>
          </w:p>
        </w:tc>
        <w:tc>
          <w:tcPr>
            <w:tcW w:w="236" w:type="dxa"/>
            <w:vAlign w:val="bottom"/>
          </w:tcPr>
          <w:p w14:paraId="20D39A4E" w14:textId="77777777" w:rsidR="0060104C" w:rsidRDefault="0060104C" w:rsidP="0060104C">
            <w:pPr>
              <w:jc w:val="right"/>
              <w:rPr>
                <w:b/>
                <w:bCs/>
                <w:sz w:val="18"/>
                <w:szCs w:val="18"/>
                <w:lang w:val="en-GB"/>
              </w:rPr>
            </w:pPr>
          </w:p>
        </w:tc>
        <w:tc>
          <w:tcPr>
            <w:tcW w:w="1177" w:type="dxa"/>
            <w:vAlign w:val="bottom"/>
          </w:tcPr>
          <w:p w14:paraId="70D37295"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(156)</w:t>
            </w:r>
          </w:p>
        </w:tc>
        <w:tc>
          <w:tcPr>
            <w:tcW w:w="250" w:type="dxa"/>
            <w:vAlign w:val="bottom"/>
          </w:tcPr>
          <w:p w14:paraId="7ADFAC92" w14:textId="77777777" w:rsidR="0060104C" w:rsidRDefault="0060104C" w:rsidP="0060104C">
            <w:pPr>
              <w:jc w:val="right"/>
              <w:rPr>
                <w:b/>
                <w:bCs/>
                <w:sz w:val="18"/>
                <w:szCs w:val="18"/>
                <w:lang w:val="en-GB"/>
              </w:rPr>
            </w:pPr>
          </w:p>
        </w:tc>
        <w:tc>
          <w:tcPr>
            <w:tcW w:w="1167" w:type="dxa"/>
            <w:vAlign w:val="bottom"/>
          </w:tcPr>
          <w:p w14:paraId="71EC5359" w14:textId="77777777" w:rsidR="0060104C" w:rsidRDefault="0060104C" w:rsidP="0060104C">
            <w:pPr>
              <w:jc w:val="right"/>
              <w:rPr>
                <w:b/>
                <w:bCs/>
                <w:color w:val="000000"/>
                <w:sz w:val="18"/>
                <w:szCs w:val="18"/>
                <w:lang w:val="en-GB" w:eastAsia="en-GB"/>
              </w:rPr>
            </w:pPr>
            <w:r>
              <w:rPr>
                <w:b/>
                <w:bCs/>
                <w:color w:val="000000"/>
                <w:sz w:val="18"/>
                <w:szCs w:val="18"/>
                <w:lang w:val="en-GB" w:eastAsia="en-GB"/>
              </w:rPr>
              <w:t>-</w:t>
            </w:r>
          </w:p>
        </w:tc>
        <w:tc>
          <w:tcPr>
            <w:tcW w:w="245" w:type="dxa"/>
            <w:gridSpan w:val="2"/>
            <w:vAlign w:val="bottom"/>
          </w:tcPr>
          <w:p w14:paraId="12467658" w14:textId="77777777" w:rsidR="0060104C" w:rsidRDefault="0060104C" w:rsidP="0060104C">
            <w:pPr>
              <w:jc w:val="right"/>
              <w:rPr>
                <w:b/>
                <w:bCs/>
                <w:sz w:val="18"/>
                <w:szCs w:val="18"/>
                <w:lang w:val="en-GB"/>
              </w:rPr>
            </w:pPr>
          </w:p>
        </w:tc>
      </w:tr>
      <w:tr w:rsidR="0060104C" w14:paraId="27A630BB" w14:textId="77777777" w:rsidTr="0060104C">
        <w:trPr>
          <w:gridAfter w:val="1"/>
          <w:wAfter w:w="7" w:type="dxa"/>
        </w:trPr>
        <w:tc>
          <w:tcPr>
            <w:tcW w:w="4562" w:type="dxa"/>
            <w:vAlign w:val="bottom"/>
          </w:tcPr>
          <w:p w14:paraId="35AD6CCF" w14:textId="77777777" w:rsidR="0060104C" w:rsidRPr="00BD1859" w:rsidRDefault="0060104C" w:rsidP="0060104C">
            <w:pPr>
              <w:rPr>
                <w:color w:val="000000"/>
                <w:sz w:val="18"/>
                <w:szCs w:val="18"/>
                <w:lang w:val="en-GB" w:eastAsia="en-GB"/>
              </w:rPr>
            </w:pPr>
            <w:r w:rsidRPr="00BD1859">
              <w:rPr>
                <w:color w:val="000000"/>
                <w:sz w:val="18"/>
                <w:szCs w:val="18"/>
                <w:lang w:val="en-GB" w:eastAsia="en-GB"/>
              </w:rPr>
              <w:t xml:space="preserve">Net valuation gains / (losses) JV (at share) </w:t>
            </w:r>
          </w:p>
        </w:tc>
        <w:tc>
          <w:tcPr>
            <w:tcW w:w="1312" w:type="dxa"/>
            <w:vAlign w:val="bottom"/>
          </w:tcPr>
          <w:p w14:paraId="59340DB3"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 xml:space="preserve">13,809 </w:t>
            </w:r>
          </w:p>
        </w:tc>
        <w:tc>
          <w:tcPr>
            <w:tcW w:w="236" w:type="dxa"/>
            <w:vAlign w:val="bottom"/>
          </w:tcPr>
          <w:p w14:paraId="3CFE7753" w14:textId="77777777" w:rsidR="0060104C" w:rsidRDefault="0060104C" w:rsidP="0060104C">
            <w:pPr>
              <w:jc w:val="right"/>
              <w:rPr>
                <w:b/>
                <w:bCs/>
                <w:sz w:val="18"/>
                <w:szCs w:val="18"/>
                <w:lang w:val="en-GB"/>
              </w:rPr>
            </w:pPr>
          </w:p>
        </w:tc>
        <w:tc>
          <w:tcPr>
            <w:tcW w:w="1177" w:type="dxa"/>
            <w:vAlign w:val="bottom"/>
          </w:tcPr>
          <w:p w14:paraId="09348931"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 xml:space="preserve">7,008 </w:t>
            </w:r>
          </w:p>
        </w:tc>
        <w:tc>
          <w:tcPr>
            <w:tcW w:w="250" w:type="dxa"/>
            <w:vAlign w:val="bottom"/>
          </w:tcPr>
          <w:p w14:paraId="3F7FCEB4" w14:textId="77777777" w:rsidR="0060104C" w:rsidRDefault="0060104C" w:rsidP="0060104C">
            <w:pPr>
              <w:jc w:val="right"/>
              <w:rPr>
                <w:b/>
                <w:bCs/>
                <w:sz w:val="18"/>
                <w:szCs w:val="18"/>
                <w:lang w:val="en-GB"/>
              </w:rPr>
            </w:pPr>
          </w:p>
        </w:tc>
        <w:tc>
          <w:tcPr>
            <w:tcW w:w="1167" w:type="dxa"/>
            <w:vAlign w:val="bottom"/>
          </w:tcPr>
          <w:p w14:paraId="2529A82F" w14:textId="77777777" w:rsidR="0060104C" w:rsidRDefault="0060104C" w:rsidP="0060104C">
            <w:pPr>
              <w:jc w:val="right"/>
              <w:rPr>
                <w:b/>
                <w:bCs/>
                <w:color w:val="000000"/>
                <w:sz w:val="18"/>
                <w:szCs w:val="18"/>
                <w:lang w:val="en-GB" w:eastAsia="en-GB"/>
              </w:rPr>
            </w:pPr>
            <w:r>
              <w:rPr>
                <w:b/>
                <w:bCs/>
                <w:color w:val="000000"/>
                <w:sz w:val="18"/>
                <w:szCs w:val="18"/>
                <w:lang w:val="en-GB" w:eastAsia="en-GB"/>
              </w:rPr>
              <w:t>-</w:t>
            </w:r>
          </w:p>
        </w:tc>
        <w:tc>
          <w:tcPr>
            <w:tcW w:w="245" w:type="dxa"/>
            <w:gridSpan w:val="2"/>
            <w:vAlign w:val="bottom"/>
          </w:tcPr>
          <w:p w14:paraId="4A25CFEA" w14:textId="77777777" w:rsidR="0060104C" w:rsidRDefault="0060104C" w:rsidP="0060104C">
            <w:pPr>
              <w:jc w:val="right"/>
              <w:rPr>
                <w:b/>
                <w:bCs/>
                <w:sz w:val="18"/>
                <w:szCs w:val="18"/>
                <w:lang w:val="en-GB"/>
              </w:rPr>
            </w:pPr>
          </w:p>
        </w:tc>
      </w:tr>
      <w:tr w:rsidR="0060104C" w14:paraId="2995D6F4" w14:textId="77777777" w:rsidTr="0060104C">
        <w:trPr>
          <w:gridAfter w:val="1"/>
          <w:wAfter w:w="7" w:type="dxa"/>
        </w:trPr>
        <w:tc>
          <w:tcPr>
            <w:tcW w:w="4562" w:type="dxa"/>
            <w:vAlign w:val="bottom"/>
          </w:tcPr>
          <w:p w14:paraId="2DA83EEA" w14:textId="77777777" w:rsidR="0060104C" w:rsidRPr="00BD1859" w:rsidRDefault="0060104C" w:rsidP="0060104C">
            <w:pPr>
              <w:rPr>
                <w:color w:val="000000"/>
                <w:sz w:val="18"/>
                <w:szCs w:val="18"/>
                <w:lang w:val="en-GB" w:eastAsia="en-GB"/>
              </w:rPr>
            </w:pPr>
            <w:r w:rsidRPr="00BD1859">
              <w:rPr>
                <w:color w:val="000000"/>
                <w:sz w:val="18"/>
                <w:szCs w:val="18"/>
                <w:lang w:val="en-GB" w:eastAsia="en-GB"/>
              </w:rPr>
              <w:t xml:space="preserve">Other non-current financial expenses JV (at share) </w:t>
            </w:r>
          </w:p>
        </w:tc>
        <w:tc>
          <w:tcPr>
            <w:tcW w:w="1312" w:type="dxa"/>
            <w:vAlign w:val="bottom"/>
          </w:tcPr>
          <w:p w14:paraId="2A826DB4"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(913)</w:t>
            </w:r>
          </w:p>
        </w:tc>
        <w:tc>
          <w:tcPr>
            <w:tcW w:w="236" w:type="dxa"/>
            <w:vAlign w:val="bottom"/>
          </w:tcPr>
          <w:p w14:paraId="68B74BEF" w14:textId="77777777" w:rsidR="0060104C" w:rsidRDefault="0060104C" w:rsidP="0060104C">
            <w:pPr>
              <w:jc w:val="right"/>
              <w:rPr>
                <w:b/>
                <w:bCs/>
                <w:sz w:val="18"/>
                <w:szCs w:val="18"/>
                <w:lang w:val="en-GB"/>
              </w:rPr>
            </w:pPr>
          </w:p>
        </w:tc>
        <w:tc>
          <w:tcPr>
            <w:tcW w:w="1177" w:type="dxa"/>
            <w:vAlign w:val="bottom"/>
          </w:tcPr>
          <w:p w14:paraId="5AE8FCD8"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(647)</w:t>
            </w:r>
          </w:p>
        </w:tc>
        <w:tc>
          <w:tcPr>
            <w:tcW w:w="250" w:type="dxa"/>
            <w:vAlign w:val="bottom"/>
          </w:tcPr>
          <w:p w14:paraId="3738CF53" w14:textId="77777777" w:rsidR="0060104C" w:rsidRDefault="0060104C" w:rsidP="0060104C">
            <w:pPr>
              <w:jc w:val="right"/>
              <w:rPr>
                <w:b/>
                <w:bCs/>
                <w:sz w:val="18"/>
                <w:szCs w:val="18"/>
                <w:lang w:val="en-GB"/>
              </w:rPr>
            </w:pPr>
          </w:p>
        </w:tc>
        <w:tc>
          <w:tcPr>
            <w:tcW w:w="1167" w:type="dxa"/>
            <w:vAlign w:val="bottom"/>
          </w:tcPr>
          <w:p w14:paraId="1976695D" w14:textId="77777777" w:rsidR="0060104C" w:rsidRDefault="0060104C" w:rsidP="0060104C">
            <w:pPr>
              <w:jc w:val="right"/>
              <w:rPr>
                <w:b/>
                <w:bCs/>
                <w:color w:val="000000"/>
                <w:sz w:val="18"/>
                <w:szCs w:val="18"/>
                <w:lang w:val="en-GB" w:eastAsia="en-GB"/>
              </w:rPr>
            </w:pPr>
            <w:r>
              <w:rPr>
                <w:b/>
                <w:bCs/>
                <w:color w:val="000000"/>
                <w:sz w:val="18"/>
                <w:szCs w:val="18"/>
                <w:lang w:val="en-GB" w:eastAsia="en-GB"/>
              </w:rPr>
              <w:t>-</w:t>
            </w:r>
          </w:p>
        </w:tc>
        <w:tc>
          <w:tcPr>
            <w:tcW w:w="245" w:type="dxa"/>
            <w:gridSpan w:val="2"/>
            <w:vAlign w:val="bottom"/>
          </w:tcPr>
          <w:p w14:paraId="6EB4CFD3" w14:textId="77777777" w:rsidR="0060104C" w:rsidRDefault="0060104C" w:rsidP="0060104C">
            <w:pPr>
              <w:jc w:val="right"/>
              <w:rPr>
                <w:b/>
                <w:bCs/>
                <w:sz w:val="18"/>
                <w:szCs w:val="18"/>
                <w:lang w:val="en-GB"/>
              </w:rPr>
            </w:pPr>
          </w:p>
        </w:tc>
      </w:tr>
      <w:tr w:rsidR="0060104C" w14:paraId="4D00C425" w14:textId="77777777" w:rsidTr="0060104C">
        <w:trPr>
          <w:gridAfter w:val="1"/>
          <w:wAfter w:w="7" w:type="dxa"/>
        </w:trPr>
        <w:tc>
          <w:tcPr>
            <w:tcW w:w="4562" w:type="dxa"/>
            <w:vAlign w:val="bottom"/>
          </w:tcPr>
          <w:p w14:paraId="74640782" w14:textId="77777777" w:rsidR="0060104C" w:rsidRPr="00BD1859" w:rsidRDefault="0060104C" w:rsidP="0060104C">
            <w:pPr>
              <w:rPr>
                <w:color w:val="000000"/>
                <w:sz w:val="18"/>
                <w:szCs w:val="18"/>
                <w:lang w:val="en-GB" w:eastAsia="en-GB"/>
              </w:rPr>
            </w:pPr>
            <w:r w:rsidRPr="00BD1859">
              <w:rPr>
                <w:color w:val="000000"/>
                <w:sz w:val="18"/>
                <w:szCs w:val="18"/>
                <w:lang w:val="en-GB" w:eastAsia="en-GB"/>
              </w:rPr>
              <w:t xml:space="preserve">Deferred taxes - JV </w:t>
            </w:r>
          </w:p>
        </w:tc>
        <w:tc>
          <w:tcPr>
            <w:tcW w:w="1312" w:type="dxa"/>
            <w:vAlign w:val="bottom"/>
          </w:tcPr>
          <w:p w14:paraId="3C810142"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(3,273)</w:t>
            </w:r>
          </w:p>
        </w:tc>
        <w:tc>
          <w:tcPr>
            <w:tcW w:w="236" w:type="dxa"/>
            <w:vAlign w:val="bottom"/>
          </w:tcPr>
          <w:p w14:paraId="3C1A24B5" w14:textId="77777777" w:rsidR="0060104C" w:rsidRDefault="0060104C" w:rsidP="0060104C">
            <w:pPr>
              <w:jc w:val="right"/>
              <w:rPr>
                <w:b/>
                <w:bCs/>
                <w:sz w:val="18"/>
                <w:szCs w:val="18"/>
                <w:lang w:val="en-GB"/>
              </w:rPr>
            </w:pPr>
          </w:p>
        </w:tc>
        <w:tc>
          <w:tcPr>
            <w:tcW w:w="1177" w:type="dxa"/>
            <w:vAlign w:val="bottom"/>
          </w:tcPr>
          <w:p w14:paraId="51FF0487" w14:textId="77777777" w:rsidR="0060104C" w:rsidRDefault="0060104C" w:rsidP="0060104C">
            <w:pPr>
              <w:jc w:val="right"/>
              <w:rPr>
                <w:b/>
                <w:bCs/>
                <w:color w:val="000000"/>
                <w:sz w:val="18"/>
                <w:szCs w:val="18"/>
                <w:lang w:val="en-GB" w:eastAsia="en-GB"/>
              </w:rPr>
            </w:pPr>
            <w:r w:rsidRPr="00BD1859">
              <w:rPr>
                <w:color w:val="000000"/>
                <w:sz w:val="18"/>
                <w:szCs w:val="18"/>
                <w:lang w:val="en-GB" w:eastAsia="en-GB"/>
              </w:rPr>
              <w:t>(1,922)</w:t>
            </w:r>
          </w:p>
        </w:tc>
        <w:tc>
          <w:tcPr>
            <w:tcW w:w="250" w:type="dxa"/>
            <w:vAlign w:val="bottom"/>
          </w:tcPr>
          <w:p w14:paraId="3F5D818A" w14:textId="77777777" w:rsidR="0060104C" w:rsidRDefault="0060104C" w:rsidP="0060104C">
            <w:pPr>
              <w:jc w:val="right"/>
              <w:rPr>
                <w:b/>
                <w:bCs/>
                <w:sz w:val="18"/>
                <w:szCs w:val="18"/>
                <w:lang w:val="en-GB"/>
              </w:rPr>
            </w:pPr>
          </w:p>
        </w:tc>
        <w:tc>
          <w:tcPr>
            <w:tcW w:w="1167" w:type="dxa"/>
            <w:vAlign w:val="bottom"/>
          </w:tcPr>
          <w:p w14:paraId="013F6474" w14:textId="77777777" w:rsidR="0060104C" w:rsidRDefault="0060104C" w:rsidP="0060104C">
            <w:pPr>
              <w:jc w:val="right"/>
              <w:rPr>
                <w:b/>
                <w:bCs/>
                <w:color w:val="000000"/>
                <w:sz w:val="18"/>
                <w:szCs w:val="18"/>
                <w:lang w:val="en-GB" w:eastAsia="en-GB"/>
              </w:rPr>
            </w:pPr>
            <w:r>
              <w:rPr>
                <w:b/>
                <w:bCs/>
                <w:color w:val="000000"/>
                <w:sz w:val="18"/>
                <w:szCs w:val="18"/>
                <w:lang w:val="en-GB" w:eastAsia="en-GB"/>
              </w:rPr>
              <w:t>-</w:t>
            </w:r>
          </w:p>
        </w:tc>
        <w:tc>
          <w:tcPr>
            <w:tcW w:w="245" w:type="dxa"/>
            <w:gridSpan w:val="2"/>
            <w:vAlign w:val="bottom"/>
          </w:tcPr>
          <w:p w14:paraId="77FD5708" w14:textId="77777777" w:rsidR="0060104C" w:rsidRDefault="0060104C" w:rsidP="0060104C">
            <w:pPr>
              <w:jc w:val="right"/>
              <w:rPr>
                <w:b/>
                <w:bCs/>
                <w:sz w:val="18"/>
                <w:szCs w:val="18"/>
                <w:lang w:val="en-GB"/>
              </w:rPr>
            </w:pPr>
          </w:p>
        </w:tc>
      </w:tr>
      <w:tr w:rsidR="0060104C" w14:paraId="1AFB7E74" w14:textId="77777777" w:rsidTr="0060104C">
        <w:trPr>
          <w:gridAfter w:val="1"/>
          <w:wAfter w:w="7" w:type="dxa"/>
        </w:trPr>
        <w:tc>
          <w:tcPr>
            <w:tcW w:w="4562" w:type="dxa"/>
            <w:vAlign w:val="bottom"/>
          </w:tcPr>
          <w:p w14:paraId="31719696" w14:textId="77777777" w:rsidR="0060104C" w:rsidRPr="00407604" w:rsidRDefault="0060104C" w:rsidP="0060104C">
            <w:pPr>
              <w:rPr>
                <w:b/>
                <w:color w:val="000000"/>
                <w:sz w:val="18"/>
                <w:szCs w:val="18"/>
                <w:lang w:val="en-GB" w:eastAsia="en-GB"/>
              </w:rPr>
            </w:pPr>
            <w:r w:rsidRPr="00407604">
              <w:rPr>
                <w:b/>
                <w:color w:val="000000"/>
                <w:sz w:val="18"/>
                <w:szCs w:val="18"/>
                <w:lang w:val="en-GB" w:eastAsia="en-GB"/>
              </w:rPr>
              <w:t>IFRS Share in result of joint ventures and associates</w:t>
            </w:r>
          </w:p>
        </w:tc>
        <w:tc>
          <w:tcPr>
            <w:tcW w:w="1312" w:type="dxa"/>
            <w:vAlign w:val="bottom"/>
          </w:tcPr>
          <w:p w14:paraId="6DAAB57B" w14:textId="77777777" w:rsidR="0060104C" w:rsidRPr="00D62D2A" w:rsidRDefault="0060104C" w:rsidP="0060104C">
            <w:pPr>
              <w:jc w:val="right"/>
              <w:rPr>
                <w:b/>
                <w:bCs/>
                <w:color w:val="000000"/>
                <w:sz w:val="18"/>
                <w:szCs w:val="18"/>
                <w:lang w:val="en-GB" w:eastAsia="en-GB"/>
              </w:rPr>
            </w:pPr>
            <w:r w:rsidRPr="00407604">
              <w:rPr>
                <w:b/>
                <w:color w:val="000000"/>
                <w:sz w:val="18"/>
                <w:szCs w:val="18"/>
                <w:lang w:val="en-GB" w:eastAsia="en-GB"/>
              </w:rPr>
              <w:t xml:space="preserve">15,167 </w:t>
            </w:r>
          </w:p>
        </w:tc>
        <w:tc>
          <w:tcPr>
            <w:tcW w:w="236" w:type="dxa"/>
            <w:vAlign w:val="bottom"/>
          </w:tcPr>
          <w:p w14:paraId="49012A57" w14:textId="77777777" w:rsidR="0060104C" w:rsidRPr="00084672" w:rsidRDefault="0060104C" w:rsidP="0060104C">
            <w:pPr>
              <w:jc w:val="right"/>
              <w:rPr>
                <w:b/>
                <w:bCs/>
                <w:sz w:val="18"/>
                <w:szCs w:val="18"/>
                <w:lang w:val="en-GB"/>
              </w:rPr>
            </w:pPr>
          </w:p>
        </w:tc>
        <w:tc>
          <w:tcPr>
            <w:tcW w:w="1177" w:type="dxa"/>
            <w:vAlign w:val="bottom"/>
          </w:tcPr>
          <w:p w14:paraId="4CC232C8" w14:textId="77777777" w:rsidR="0060104C" w:rsidRPr="00D62D2A" w:rsidRDefault="0060104C" w:rsidP="0060104C">
            <w:pPr>
              <w:jc w:val="right"/>
              <w:rPr>
                <w:b/>
                <w:bCs/>
                <w:color w:val="000000"/>
                <w:sz w:val="18"/>
                <w:szCs w:val="18"/>
                <w:lang w:val="en-GB" w:eastAsia="en-GB"/>
              </w:rPr>
            </w:pPr>
            <w:r w:rsidRPr="00407604">
              <w:rPr>
                <w:b/>
                <w:color w:val="000000"/>
                <w:sz w:val="18"/>
                <w:szCs w:val="18"/>
                <w:lang w:val="en-GB" w:eastAsia="en-GB"/>
              </w:rPr>
              <w:t xml:space="preserve">7,897 </w:t>
            </w:r>
          </w:p>
        </w:tc>
        <w:tc>
          <w:tcPr>
            <w:tcW w:w="250" w:type="dxa"/>
            <w:vAlign w:val="bottom"/>
          </w:tcPr>
          <w:p w14:paraId="51230111" w14:textId="77777777" w:rsidR="0060104C" w:rsidRPr="00084672" w:rsidRDefault="0060104C" w:rsidP="0060104C">
            <w:pPr>
              <w:jc w:val="right"/>
              <w:rPr>
                <w:b/>
                <w:bCs/>
                <w:sz w:val="18"/>
                <w:szCs w:val="18"/>
                <w:lang w:val="en-GB"/>
              </w:rPr>
            </w:pPr>
          </w:p>
        </w:tc>
        <w:tc>
          <w:tcPr>
            <w:tcW w:w="1167" w:type="dxa"/>
            <w:vAlign w:val="bottom"/>
          </w:tcPr>
          <w:p w14:paraId="46ECBDEB" w14:textId="77777777" w:rsidR="0060104C" w:rsidRPr="00D62D2A" w:rsidRDefault="0060104C" w:rsidP="0060104C">
            <w:pPr>
              <w:jc w:val="right"/>
              <w:rPr>
                <w:b/>
                <w:bCs/>
                <w:color w:val="000000"/>
                <w:sz w:val="18"/>
                <w:szCs w:val="18"/>
                <w:lang w:val="en-GB" w:eastAsia="en-GB"/>
              </w:rPr>
            </w:pPr>
            <w:r w:rsidRPr="00407604">
              <w:rPr>
                <w:b/>
                <w:color w:val="000000"/>
                <w:sz w:val="18"/>
                <w:szCs w:val="18"/>
                <w:lang w:val="en-GB" w:eastAsia="en-GB"/>
              </w:rPr>
              <w:t xml:space="preserve">191 </w:t>
            </w:r>
          </w:p>
        </w:tc>
        <w:tc>
          <w:tcPr>
            <w:tcW w:w="245" w:type="dxa"/>
            <w:gridSpan w:val="2"/>
            <w:vAlign w:val="bottom"/>
          </w:tcPr>
          <w:p w14:paraId="033ECAEC" w14:textId="77777777" w:rsidR="0060104C" w:rsidRDefault="0060104C" w:rsidP="0060104C">
            <w:pPr>
              <w:jc w:val="right"/>
              <w:rPr>
                <w:b/>
                <w:bCs/>
                <w:sz w:val="18"/>
                <w:szCs w:val="18"/>
                <w:lang w:val="en-GB"/>
              </w:rPr>
            </w:pPr>
          </w:p>
        </w:tc>
      </w:tr>
      <w:tr w:rsidR="0060104C" w14:paraId="077ADE7B" w14:textId="77777777" w:rsidTr="0060104C">
        <w:trPr>
          <w:gridAfter w:val="1"/>
          <w:wAfter w:w="7" w:type="dxa"/>
        </w:trPr>
        <w:tc>
          <w:tcPr>
            <w:tcW w:w="4562" w:type="dxa"/>
            <w:vAlign w:val="bottom"/>
          </w:tcPr>
          <w:p w14:paraId="3D2EDCE5" w14:textId="77777777" w:rsidR="0060104C" w:rsidRPr="00BD1859" w:rsidRDefault="0060104C" w:rsidP="0060104C">
            <w:pPr>
              <w:rPr>
                <w:color w:val="000000"/>
                <w:sz w:val="18"/>
                <w:szCs w:val="18"/>
                <w:lang w:val="en-GB" w:eastAsia="en-GB"/>
              </w:rPr>
            </w:pPr>
          </w:p>
        </w:tc>
        <w:tc>
          <w:tcPr>
            <w:tcW w:w="1312" w:type="dxa"/>
            <w:vAlign w:val="bottom"/>
          </w:tcPr>
          <w:p w14:paraId="49DD02E0" w14:textId="77777777" w:rsidR="0060104C" w:rsidRPr="00BD1859" w:rsidRDefault="0060104C" w:rsidP="0060104C">
            <w:pPr>
              <w:jc w:val="right"/>
              <w:rPr>
                <w:color w:val="000000"/>
                <w:sz w:val="18"/>
                <w:szCs w:val="18"/>
                <w:lang w:val="en-GB" w:eastAsia="en-GB"/>
              </w:rPr>
            </w:pPr>
          </w:p>
        </w:tc>
        <w:tc>
          <w:tcPr>
            <w:tcW w:w="236" w:type="dxa"/>
            <w:vAlign w:val="bottom"/>
          </w:tcPr>
          <w:p w14:paraId="3EC4225E" w14:textId="77777777" w:rsidR="0060104C" w:rsidRPr="00BD1859" w:rsidRDefault="0060104C" w:rsidP="0060104C">
            <w:pPr>
              <w:jc w:val="right"/>
              <w:rPr>
                <w:color w:val="000000"/>
                <w:sz w:val="18"/>
                <w:szCs w:val="18"/>
                <w:lang w:val="en-GB" w:eastAsia="en-GB"/>
              </w:rPr>
            </w:pPr>
          </w:p>
        </w:tc>
        <w:tc>
          <w:tcPr>
            <w:tcW w:w="1177" w:type="dxa"/>
            <w:vAlign w:val="bottom"/>
          </w:tcPr>
          <w:p w14:paraId="05674592" w14:textId="77777777" w:rsidR="0060104C" w:rsidRPr="00BD1859" w:rsidRDefault="0060104C" w:rsidP="0060104C">
            <w:pPr>
              <w:jc w:val="right"/>
              <w:rPr>
                <w:color w:val="000000"/>
                <w:sz w:val="18"/>
                <w:szCs w:val="18"/>
                <w:lang w:val="en-GB" w:eastAsia="en-GB"/>
              </w:rPr>
            </w:pPr>
          </w:p>
        </w:tc>
        <w:tc>
          <w:tcPr>
            <w:tcW w:w="250" w:type="dxa"/>
            <w:vAlign w:val="bottom"/>
          </w:tcPr>
          <w:p w14:paraId="65E4A836" w14:textId="77777777" w:rsidR="0060104C" w:rsidRPr="00084672" w:rsidRDefault="0060104C" w:rsidP="0060104C">
            <w:pPr>
              <w:jc w:val="right"/>
              <w:rPr>
                <w:b/>
                <w:bCs/>
                <w:sz w:val="18"/>
                <w:szCs w:val="18"/>
                <w:lang w:val="en-GB"/>
              </w:rPr>
            </w:pPr>
          </w:p>
        </w:tc>
        <w:tc>
          <w:tcPr>
            <w:tcW w:w="1167" w:type="dxa"/>
            <w:vAlign w:val="bottom"/>
          </w:tcPr>
          <w:p w14:paraId="101605F9" w14:textId="77777777" w:rsidR="0060104C" w:rsidRPr="005D3E9B" w:rsidRDefault="0060104C" w:rsidP="0060104C">
            <w:pPr>
              <w:jc w:val="right"/>
              <w:rPr>
                <w:b/>
                <w:color w:val="000000"/>
                <w:sz w:val="18"/>
                <w:szCs w:val="18"/>
                <w:lang w:val="en-GB" w:eastAsia="en-GB"/>
              </w:rPr>
            </w:pPr>
          </w:p>
        </w:tc>
        <w:tc>
          <w:tcPr>
            <w:tcW w:w="245" w:type="dxa"/>
            <w:gridSpan w:val="2"/>
            <w:vAlign w:val="bottom"/>
          </w:tcPr>
          <w:p w14:paraId="37EFD994" w14:textId="77777777" w:rsidR="0060104C" w:rsidRDefault="0060104C" w:rsidP="0060104C">
            <w:pPr>
              <w:jc w:val="right"/>
              <w:rPr>
                <w:b/>
                <w:bCs/>
                <w:sz w:val="18"/>
                <w:szCs w:val="18"/>
                <w:lang w:val="en-GB"/>
              </w:rPr>
            </w:pPr>
          </w:p>
        </w:tc>
      </w:tr>
      <w:tr w:rsidR="0060104C" w14:paraId="2467BADA" w14:textId="77777777" w:rsidTr="0060104C">
        <w:trPr>
          <w:gridAfter w:val="1"/>
          <w:wAfter w:w="7" w:type="dxa"/>
        </w:trPr>
        <w:tc>
          <w:tcPr>
            <w:tcW w:w="4562" w:type="dxa"/>
            <w:vAlign w:val="bottom"/>
          </w:tcPr>
          <w:p w14:paraId="0FB5D4C0" w14:textId="77777777" w:rsidR="0060104C" w:rsidRPr="005D3E9B" w:rsidRDefault="0060104C" w:rsidP="0060104C">
            <w:pPr>
              <w:rPr>
                <w:b/>
                <w:color w:val="000000"/>
                <w:sz w:val="18"/>
                <w:szCs w:val="18"/>
                <w:lang w:val="en-GB" w:eastAsia="en-GB"/>
              </w:rPr>
            </w:pPr>
            <w:r w:rsidRPr="00BD1859">
              <w:rPr>
                <w:color w:val="000000"/>
                <w:sz w:val="18"/>
                <w:szCs w:val="18"/>
                <w:lang w:val="en-GB" w:eastAsia="en-GB"/>
              </w:rPr>
              <w:t xml:space="preserve">Reported profit for the period </w:t>
            </w:r>
          </w:p>
        </w:tc>
        <w:tc>
          <w:tcPr>
            <w:tcW w:w="1312" w:type="dxa"/>
            <w:vAlign w:val="bottom"/>
          </w:tcPr>
          <w:p w14:paraId="4DAF88D7" w14:textId="77777777" w:rsidR="0060104C" w:rsidRPr="005D3E9B" w:rsidRDefault="0060104C" w:rsidP="0060104C">
            <w:pPr>
              <w:jc w:val="right"/>
              <w:rPr>
                <w:b/>
                <w:color w:val="000000"/>
                <w:sz w:val="18"/>
                <w:szCs w:val="18"/>
                <w:lang w:val="en-GB" w:eastAsia="en-GB"/>
              </w:rPr>
            </w:pPr>
            <w:r w:rsidRPr="00BD1859">
              <w:rPr>
                <w:color w:val="000000"/>
                <w:sz w:val="18"/>
                <w:szCs w:val="18"/>
                <w:lang w:val="en-GB" w:eastAsia="en-GB"/>
              </w:rPr>
              <w:t xml:space="preserve">62,457 </w:t>
            </w:r>
          </w:p>
        </w:tc>
        <w:tc>
          <w:tcPr>
            <w:tcW w:w="236" w:type="dxa"/>
            <w:vAlign w:val="bottom"/>
          </w:tcPr>
          <w:p w14:paraId="622177B2" w14:textId="77777777" w:rsidR="0060104C" w:rsidRPr="00084672" w:rsidRDefault="0060104C" w:rsidP="0060104C">
            <w:pPr>
              <w:jc w:val="right"/>
              <w:rPr>
                <w:b/>
                <w:bCs/>
                <w:sz w:val="18"/>
                <w:szCs w:val="18"/>
                <w:lang w:val="en-GB"/>
              </w:rPr>
            </w:pPr>
          </w:p>
        </w:tc>
        <w:tc>
          <w:tcPr>
            <w:tcW w:w="1177" w:type="dxa"/>
            <w:vAlign w:val="bottom"/>
          </w:tcPr>
          <w:p w14:paraId="38F9CE77" w14:textId="77777777" w:rsidR="0060104C" w:rsidRPr="005D3E9B" w:rsidRDefault="0060104C" w:rsidP="0060104C">
            <w:pPr>
              <w:jc w:val="right"/>
              <w:rPr>
                <w:b/>
                <w:color w:val="000000"/>
                <w:sz w:val="18"/>
                <w:szCs w:val="18"/>
                <w:lang w:val="en-GB" w:eastAsia="en-GB"/>
              </w:rPr>
            </w:pPr>
            <w:r w:rsidRPr="00BD1859">
              <w:rPr>
                <w:color w:val="000000"/>
                <w:sz w:val="18"/>
                <w:szCs w:val="18"/>
                <w:lang w:val="en-GB" w:eastAsia="en-GB"/>
              </w:rPr>
              <w:t xml:space="preserve">91,286 </w:t>
            </w:r>
          </w:p>
        </w:tc>
        <w:tc>
          <w:tcPr>
            <w:tcW w:w="250" w:type="dxa"/>
            <w:vAlign w:val="bottom"/>
          </w:tcPr>
          <w:p w14:paraId="62728D29" w14:textId="77777777" w:rsidR="0060104C" w:rsidRPr="00084672" w:rsidRDefault="0060104C" w:rsidP="0060104C">
            <w:pPr>
              <w:jc w:val="right"/>
              <w:rPr>
                <w:b/>
                <w:bCs/>
                <w:sz w:val="18"/>
                <w:szCs w:val="18"/>
                <w:lang w:val="en-GB"/>
              </w:rPr>
            </w:pPr>
          </w:p>
        </w:tc>
        <w:tc>
          <w:tcPr>
            <w:tcW w:w="1167" w:type="dxa"/>
            <w:vAlign w:val="bottom"/>
          </w:tcPr>
          <w:p w14:paraId="5F9E473E" w14:textId="77777777" w:rsidR="0060104C" w:rsidRPr="005D3E9B" w:rsidRDefault="0060104C" w:rsidP="0060104C">
            <w:pPr>
              <w:jc w:val="right"/>
              <w:rPr>
                <w:b/>
                <w:color w:val="000000"/>
                <w:sz w:val="18"/>
                <w:szCs w:val="18"/>
                <w:lang w:val="en-GB" w:eastAsia="en-GB"/>
              </w:rPr>
            </w:pPr>
            <w:r w:rsidRPr="00BD1859">
              <w:rPr>
                <w:color w:val="000000"/>
                <w:sz w:val="18"/>
                <w:szCs w:val="18"/>
                <w:lang w:val="en-GB" w:eastAsia="en-GB"/>
              </w:rPr>
              <w:t xml:space="preserve">86,561 </w:t>
            </w:r>
          </w:p>
        </w:tc>
        <w:tc>
          <w:tcPr>
            <w:tcW w:w="245" w:type="dxa"/>
            <w:gridSpan w:val="2"/>
            <w:vAlign w:val="bottom"/>
          </w:tcPr>
          <w:p w14:paraId="561FFE32" w14:textId="77777777" w:rsidR="0060104C" w:rsidRDefault="0060104C" w:rsidP="0060104C">
            <w:pPr>
              <w:jc w:val="right"/>
              <w:rPr>
                <w:b/>
                <w:bCs/>
                <w:sz w:val="18"/>
                <w:szCs w:val="18"/>
                <w:lang w:val="en-GB"/>
              </w:rPr>
            </w:pPr>
          </w:p>
        </w:tc>
      </w:tr>
      <w:tr w:rsidR="0060104C" w14:paraId="71949337" w14:textId="77777777" w:rsidTr="0060104C">
        <w:trPr>
          <w:gridAfter w:val="1"/>
          <w:wAfter w:w="7" w:type="dxa"/>
        </w:trPr>
        <w:tc>
          <w:tcPr>
            <w:tcW w:w="4562" w:type="dxa"/>
            <w:vAlign w:val="bottom"/>
          </w:tcPr>
          <w:p w14:paraId="3A780C3F" w14:textId="77777777" w:rsidR="0060104C" w:rsidRPr="00BD1859" w:rsidRDefault="0060104C" w:rsidP="0060104C">
            <w:pPr>
              <w:rPr>
                <w:color w:val="000000"/>
                <w:sz w:val="18"/>
                <w:szCs w:val="18"/>
                <w:lang w:val="en-GB" w:eastAsia="en-GB"/>
              </w:rPr>
            </w:pPr>
            <w:r w:rsidRPr="00BD1859">
              <w:rPr>
                <w:color w:val="000000"/>
                <w:sz w:val="18"/>
                <w:szCs w:val="18"/>
                <w:lang w:val="en-GB" w:eastAsia="en-GB"/>
              </w:rPr>
              <w:t>IFRS Taxes</w:t>
            </w:r>
          </w:p>
        </w:tc>
        <w:tc>
          <w:tcPr>
            <w:tcW w:w="1312" w:type="dxa"/>
            <w:vAlign w:val="bottom"/>
          </w:tcPr>
          <w:p w14:paraId="2A7A9891" w14:textId="77777777" w:rsidR="0060104C" w:rsidRPr="00BD1859" w:rsidRDefault="0060104C" w:rsidP="0060104C">
            <w:pPr>
              <w:jc w:val="right"/>
              <w:rPr>
                <w:color w:val="000000"/>
                <w:sz w:val="18"/>
                <w:szCs w:val="18"/>
                <w:lang w:val="en-GB" w:eastAsia="en-GB"/>
              </w:rPr>
            </w:pPr>
            <w:r w:rsidRPr="00BD1859">
              <w:rPr>
                <w:color w:val="000000"/>
                <w:sz w:val="18"/>
                <w:szCs w:val="18"/>
                <w:lang w:val="en-GB" w:eastAsia="en-GB"/>
              </w:rPr>
              <w:t xml:space="preserve">10,243 </w:t>
            </w:r>
          </w:p>
        </w:tc>
        <w:tc>
          <w:tcPr>
            <w:tcW w:w="236" w:type="dxa"/>
            <w:vAlign w:val="bottom"/>
          </w:tcPr>
          <w:p w14:paraId="3C3BB7AF" w14:textId="77777777" w:rsidR="0060104C" w:rsidRPr="00BD1859" w:rsidRDefault="0060104C" w:rsidP="0060104C">
            <w:pPr>
              <w:jc w:val="right"/>
              <w:rPr>
                <w:color w:val="000000"/>
                <w:sz w:val="18"/>
                <w:szCs w:val="18"/>
                <w:lang w:val="en-GB" w:eastAsia="en-GB"/>
              </w:rPr>
            </w:pPr>
          </w:p>
        </w:tc>
        <w:tc>
          <w:tcPr>
            <w:tcW w:w="1177" w:type="dxa"/>
            <w:vAlign w:val="bottom"/>
          </w:tcPr>
          <w:p w14:paraId="5A029994" w14:textId="77777777" w:rsidR="0060104C" w:rsidRPr="00BD1859" w:rsidRDefault="0060104C" w:rsidP="0060104C">
            <w:pPr>
              <w:jc w:val="right"/>
              <w:rPr>
                <w:color w:val="000000"/>
                <w:sz w:val="18"/>
                <w:szCs w:val="18"/>
                <w:lang w:val="en-GB" w:eastAsia="en-GB"/>
              </w:rPr>
            </w:pPr>
            <w:r w:rsidRPr="00BD1859">
              <w:rPr>
                <w:color w:val="000000"/>
                <w:sz w:val="18"/>
                <w:szCs w:val="18"/>
                <w:lang w:val="en-GB" w:eastAsia="en-GB"/>
              </w:rPr>
              <w:t xml:space="preserve">21,790 </w:t>
            </w:r>
          </w:p>
        </w:tc>
        <w:tc>
          <w:tcPr>
            <w:tcW w:w="250" w:type="dxa"/>
            <w:vAlign w:val="bottom"/>
          </w:tcPr>
          <w:p w14:paraId="30CA96E9" w14:textId="77777777" w:rsidR="0060104C" w:rsidRPr="00084672" w:rsidRDefault="0060104C" w:rsidP="0060104C">
            <w:pPr>
              <w:jc w:val="right"/>
              <w:rPr>
                <w:b/>
                <w:bCs/>
                <w:sz w:val="18"/>
                <w:szCs w:val="18"/>
                <w:lang w:val="en-GB"/>
              </w:rPr>
            </w:pPr>
          </w:p>
        </w:tc>
        <w:tc>
          <w:tcPr>
            <w:tcW w:w="1167" w:type="dxa"/>
            <w:vAlign w:val="bottom"/>
          </w:tcPr>
          <w:p w14:paraId="670C41CF" w14:textId="77777777" w:rsidR="0060104C" w:rsidRPr="005D3E9B" w:rsidRDefault="0060104C" w:rsidP="0060104C">
            <w:pPr>
              <w:jc w:val="right"/>
              <w:rPr>
                <w:b/>
                <w:color w:val="000000"/>
                <w:sz w:val="18"/>
                <w:szCs w:val="18"/>
                <w:lang w:val="en-GB" w:eastAsia="en-GB"/>
              </w:rPr>
            </w:pPr>
            <w:r w:rsidRPr="00BD1859">
              <w:rPr>
                <w:color w:val="000000"/>
                <w:sz w:val="18"/>
                <w:szCs w:val="18"/>
                <w:lang w:val="en-GB" w:eastAsia="en-GB"/>
              </w:rPr>
              <w:t xml:space="preserve">12,529 </w:t>
            </w:r>
          </w:p>
        </w:tc>
        <w:tc>
          <w:tcPr>
            <w:tcW w:w="245" w:type="dxa"/>
            <w:gridSpan w:val="2"/>
            <w:vAlign w:val="bottom"/>
          </w:tcPr>
          <w:p w14:paraId="5C4581E2" w14:textId="77777777" w:rsidR="0060104C" w:rsidRDefault="0060104C" w:rsidP="0060104C">
            <w:pPr>
              <w:jc w:val="right"/>
              <w:rPr>
                <w:b/>
                <w:bCs/>
                <w:sz w:val="18"/>
                <w:szCs w:val="18"/>
                <w:lang w:val="en-GB"/>
              </w:rPr>
            </w:pPr>
          </w:p>
        </w:tc>
      </w:tr>
      <w:tr w:rsidR="0060104C" w14:paraId="441325B4" w14:textId="77777777" w:rsidTr="0060104C">
        <w:trPr>
          <w:gridAfter w:val="1"/>
          <w:wAfter w:w="7" w:type="dxa"/>
        </w:trPr>
        <w:tc>
          <w:tcPr>
            <w:tcW w:w="4562" w:type="dxa"/>
            <w:vAlign w:val="bottom"/>
          </w:tcPr>
          <w:p w14:paraId="6BE09632" w14:textId="77777777" w:rsidR="0060104C" w:rsidRPr="00BD1859" w:rsidRDefault="0060104C" w:rsidP="0060104C">
            <w:pPr>
              <w:rPr>
                <w:color w:val="000000"/>
                <w:sz w:val="18"/>
                <w:szCs w:val="18"/>
                <w:lang w:val="en-GB" w:eastAsia="en-GB"/>
              </w:rPr>
            </w:pPr>
            <w:r w:rsidRPr="005D3E9B">
              <w:rPr>
                <w:color w:val="000000"/>
                <w:sz w:val="18"/>
                <w:szCs w:val="18"/>
                <w:lang w:val="en-GB" w:eastAsia="en-GB"/>
              </w:rPr>
              <w:t xml:space="preserve">IFRS Net </w:t>
            </w:r>
            <w:r>
              <w:rPr>
                <w:color w:val="000000"/>
                <w:sz w:val="18"/>
                <w:szCs w:val="18"/>
                <w:lang w:val="en-GB" w:eastAsia="en-GB"/>
              </w:rPr>
              <w:t>f</w:t>
            </w:r>
            <w:r w:rsidRPr="00BD1859">
              <w:rPr>
                <w:color w:val="000000"/>
                <w:sz w:val="18"/>
                <w:szCs w:val="18"/>
                <w:lang w:val="en-GB" w:eastAsia="en-GB"/>
              </w:rPr>
              <w:t xml:space="preserve">inancial </w:t>
            </w:r>
            <w:r>
              <w:rPr>
                <w:color w:val="000000"/>
                <w:sz w:val="18"/>
                <w:szCs w:val="18"/>
                <w:lang w:val="en-GB" w:eastAsia="en-GB"/>
              </w:rPr>
              <w:t>r</w:t>
            </w:r>
            <w:r w:rsidRPr="00BD1859">
              <w:rPr>
                <w:color w:val="000000"/>
                <w:sz w:val="18"/>
                <w:szCs w:val="18"/>
                <w:lang w:val="en-GB" w:eastAsia="en-GB"/>
              </w:rPr>
              <w:t>esult</w:t>
            </w:r>
          </w:p>
        </w:tc>
        <w:tc>
          <w:tcPr>
            <w:tcW w:w="1312" w:type="dxa"/>
            <w:vAlign w:val="bottom"/>
          </w:tcPr>
          <w:p w14:paraId="21EEE7B0" w14:textId="77777777" w:rsidR="0060104C" w:rsidRPr="00BD1859" w:rsidRDefault="0060104C" w:rsidP="0060104C">
            <w:pPr>
              <w:jc w:val="right"/>
              <w:rPr>
                <w:color w:val="000000"/>
                <w:sz w:val="18"/>
                <w:szCs w:val="18"/>
                <w:lang w:val="en-GB" w:eastAsia="en-GB"/>
              </w:rPr>
            </w:pPr>
            <w:r w:rsidRPr="00BD1859">
              <w:rPr>
                <w:color w:val="000000"/>
                <w:sz w:val="18"/>
                <w:szCs w:val="18"/>
                <w:lang w:val="en-GB" w:eastAsia="en-GB"/>
              </w:rPr>
              <w:t xml:space="preserve">4,976 </w:t>
            </w:r>
          </w:p>
        </w:tc>
        <w:tc>
          <w:tcPr>
            <w:tcW w:w="236" w:type="dxa"/>
            <w:vAlign w:val="bottom"/>
          </w:tcPr>
          <w:p w14:paraId="653B1796" w14:textId="77777777" w:rsidR="0060104C" w:rsidRPr="00BD1859" w:rsidRDefault="0060104C" w:rsidP="0060104C">
            <w:pPr>
              <w:jc w:val="right"/>
              <w:rPr>
                <w:color w:val="000000"/>
                <w:sz w:val="18"/>
                <w:szCs w:val="18"/>
                <w:lang w:val="en-GB" w:eastAsia="en-GB"/>
              </w:rPr>
            </w:pPr>
          </w:p>
        </w:tc>
        <w:tc>
          <w:tcPr>
            <w:tcW w:w="1177" w:type="dxa"/>
            <w:vAlign w:val="bottom"/>
          </w:tcPr>
          <w:p w14:paraId="2704CEBA" w14:textId="77777777" w:rsidR="0060104C" w:rsidRPr="00BD1859" w:rsidRDefault="0060104C" w:rsidP="0060104C">
            <w:pPr>
              <w:jc w:val="right"/>
              <w:rPr>
                <w:color w:val="000000"/>
                <w:sz w:val="18"/>
                <w:szCs w:val="18"/>
                <w:lang w:val="en-GB" w:eastAsia="en-GB"/>
              </w:rPr>
            </w:pPr>
            <w:r w:rsidRPr="00BD1859">
              <w:rPr>
                <w:color w:val="000000"/>
                <w:sz w:val="18"/>
                <w:szCs w:val="18"/>
                <w:lang w:val="en-GB" w:eastAsia="en-GB"/>
              </w:rPr>
              <w:t xml:space="preserve">16,906 </w:t>
            </w:r>
          </w:p>
        </w:tc>
        <w:tc>
          <w:tcPr>
            <w:tcW w:w="250" w:type="dxa"/>
            <w:vAlign w:val="bottom"/>
          </w:tcPr>
          <w:p w14:paraId="7E7B8B5C" w14:textId="77777777" w:rsidR="0060104C" w:rsidRPr="00084672" w:rsidRDefault="0060104C" w:rsidP="0060104C">
            <w:pPr>
              <w:jc w:val="right"/>
              <w:rPr>
                <w:b/>
                <w:bCs/>
                <w:sz w:val="18"/>
                <w:szCs w:val="18"/>
                <w:lang w:val="en-GB"/>
              </w:rPr>
            </w:pPr>
          </w:p>
        </w:tc>
        <w:tc>
          <w:tcPr>
            <w:tcW w:w="1167" w:type="dxa"/>
            <w:vAlign w:val="bottom"/>
          </w:tcPr>
          <w:p w14:paraId="649E47CC" w14:textId="77777777" w:rsidR="0060104C" w:rsidRPr="005D3E9B" w:rsidRDefault="0060104C" w:rsidP="0060104C">
            <w:pPr>
              <w:jc w:val="right"/>
              <w:rPr>
                <w:b/>
                <w:color w:val="000000"/>
                <w:sz w:val="18"/>
                <w:szCs w:val="18"/>
                <w:lang w:val="en-GB" w:eastAsia="en-GB"/>
              </w:rPr>
            </w:pPr>
            <w:r w:rsidRPr="00BD1859">
              <w:rPr>
                <w:color w:val="000000"/>
                <w:sz w:val="18"/>
                <w:szCs w:val="18"/>
                <w:lang w:val="en-GB" w:eastAsia="en-GB"/>
              </w:rPr>
              <w:t xml:space="preserve">10,154 </w:t>
            </w:r>
          </w:p>
        </w:tc>
        <w:tc>
          <w:tcPr>
            <w:tcW w:w="245" w:type="dxa"/>
            <w:gridSpan w:val="2"/>
            <w:vAlign w:val="bottom"/>
          </w:tcPr>
          <w:p w14:paraId="27355539" w14:textId="77777777" w:rsidR="0060104C" w:rsidRDefault="0060104C" w:rsidP="0060104C">
            <w:pPr>
              <w:jc w:val="right"/>
              <w:rPr>
                <w:b/>
                <w:bCs/>
                <w:sz w:val="18"/>
                <w:szCs w:val="18"/>
                <w:lang w:val="en-GB"/>
              </w:rPr>
            </w:pPr>
          </w:p>
        </w:tc>
      </w:tr>
      <w:tr w:rsidR="0060104C" w:rsidRPr="005D3E9B" w14:paraId="304A2165" w14:textId="77777777" w:rsidTr="0060104C">
        <w:trPr>
          <w:gridAfter w:val="1"/>
          <w:wAfter w:w="7" w:type="dxa"/>
        </w:trPr>
        <w:tc>
          <w:tcPr>
            <w:tcW w:w="4562" w:type="dxa"/>
            <w:vAlign w:val="bottom"/>
          </w:tcPr>
          <w:p w14:paraId="2D9A347F" w14:textId="77777777" w:rsidR="0060104C" w:rsidRPr="00407604" w:rsidRDefault="0060104C" w:rsidP="0060104C">
            <w:pPr>
              <w:rPr>
                <w:b/>
                <w:color w:val="000000"/>
                <w:sz w:val="18"/>
                <w:szCs w:val="18"/>
                <w:lang w:val="en-GB" w:eastAsia="en-GB"/>
              </w:rPr>
            </w:pPr>
            <w:r w:rsidRPr="00407604">
              <w:rPr>
                <w:b/>
                <w:color w:val="000000"/>
                <w:sz w:val="18"/>
                <w:szCs w:val="18"/>
                <w:lang w:val="en-GB" w:eastAsia="en-GB"/>
              </w:rPr>
              <w:t>IFRS Operating profit</w:t>
            </w:r>
          </w:p>
        </w:tc>
        <w:tc>
          <w:tcPr>
            <w:tcW w:w="1312" w:type="dxa"/>
            <w:vAlign w:val="bottom"/>
          </w:tcPr>
          <w:p w14:paraId="0FDCB844" w14:textId="77777777" w:rsidR="0060104C" w:rsidRPr="00407604" w:rsidRDefault="0060104C" w:rsidP="0060104C">
            <w:pPr>
              <w:jc w:val="right"/>
              <w:rPr>
                <w:b/>
                <w:color w:val="000000"/>
                <w:sz w:val="18"/>
                <w:szCs w:val="18"/>
                <w:lang w:val="en-GB" w:eastAsia="en-GB"/>
              </w:rPr>
            </w:pPr>
            <w:r w:rsidRPr="00407604">
              <w:rPr>
                <w:b/>
                <w:color w:val="000000"/>
                <w:sz w:val="18"/>
                <w:szCs w:val="18"/>
                <w:lang w:val="en-GB" w:eastAsia="en-GB"/>
              </w:rPr>
              <w:t xml:space="preserve">77,676 </w:t>
            </w:r>
          </w:p>
        </w:tc>
        <w:tc>
          <w:tcPr>
            <w:tcW w:w="236" w:type="dxa"/>
            <w:vAlign w:val="bottom"/>
          </w:tcPr>
          <w:p w14:paraId="2195D129" w14:textId="77777777" w:rsidR="0060104C" w:rsidRPr="00407604" w:rsidRDefault="0060104C" w:rsidP="0060104C">
            <w:pPr>
              <w:jc w:val="right"/>
              <w:rPr>
                <w:b/>
                <w:color w:val="000000"/>
                <w:sz w:val="18"/>
                <w:szCs w:val="18"/>
                <w:lang w:val="en-GB" w:eastAsia="en-GB"/>
              </w:rPr>
            </w:pPr>
          </w:p>
        </w:tc>
        <w:tc>
          <w:tcPr>
            <w:tcW w:w="1177" w:type="dxa"/>
            <w:vAlign w:val="bottom"/>
          </w:tcPr>
          <w:p w14:paraId="0B85DE2D" w14:textId="77777777" w:rsidR="0060104C" w:rsidRPr="00407604" w:rsidRDefault="0060104C" w:rsidP="0060104C">
            <w:pPr>
              <w:jc w:val="right"/>
              <w:rPr>
                <w:b/>
                <w:color w:val="000000"/>
                <w:sz w:val="18"/>
                <w:szCs w:val="18"/>
                <w:lang w:val="en-GB" w:eastAsia="en-GB"/>
              </w:rPr>
            </w:pPr>
            <w:r w:rsidRPr="00407604">
              <w:rPr>
                <w:b/>
                <w:color w:val="000000"/>
                <w:sz w:val="18"/>
                <w:szCs w:val="18"/>
                <w:lang w:val="en-GB" w:eastAsia="en-GB"/>
              </w:rPr>
              <w:t xml:space="preserve">129,982 </w:t>
            </w:r>
          </w:p>
        </w:tc>
        <w:tc>
          <w:tcPr>
            <w:tcW w:w="250" w:type="dxa"/>
            <w:vAlign w:val="bottom"/>
          </w:tcPr>
          <w:p w14:paraId="29A91461" w14:textId="77777777" w:rsidR="0060104C" w:rsidRPr="005D3E9B" w:rsidRDefault="0060104C" w:rsidP="0060104C">
            <w:pPr>
              <w:jc w:val="right"/>
              <w:rPr>
                <w:b/>
                <w:bCs/>
                <w:sz w:val="18"/>
                <w:szCs w:val="18"/>
                <w:lang w:val="en-GB"/>
              </w:rPr>
            </w:pPr>
          </w:p>
        </w:tc>
        <w:tc>
          <w:tcPr>
            <w:tcW w:w="1167" w:type="dxa"/>
            <w:vAlign w:val="bottom"/>
          </w:tcPr>
          <w:p w14:paraId="567F9146" w14:textId="77777777" w:rsidR="0060104C" w:rsidRPr="005D3E9B" w:rsidRDefault="0060104C" w:rsidP="0060104C">
            <w:pPr>
              <w:jc w:val="right"/>
              <w:rPr>
                <w:b/>
                <w:color w:val="000000"/>
                <w:sz w:val="18"/>
                <w:szCs w:val="18"/>
                <w:lang w:val="en-GB" w:eastAsia="en-GB"/>
              </w:rPr>
            </w:pPr>
            <w:r w:rsidRPr="00407604">
              <w:rPr>
                <w:b/>
                <w:color w:val="000000"/>
                <w:sz w:val="18"/>
                <w:szCs w:val="18"/>
                <w:lang w:val="en-GB" w:eastAsia="en-GB"/>
              </w:rPr>
              <w:t xml:space="preserve">109,244 </w:t>
            </w:r>
          </w:p>
        </w:tc>
        <w:tc>
          <w:tcPr>
            <w:tcW w:w="245" w:type="dxa"/>
            <w:gridSpan w:val="2"/>
            <w:vAlign w:val="bottom"/>
          </w:tcPr>
          <w:p w14:paraId="76F50191" w14:textId="77777777" w:rsidR="0060104C" w:rsidRPr="009F5B65" w:rsidRDefault="0060104C" w:rsidP="0060104C">
            <w:pPr>
              <w:jc w:val="right"/>
              <w:rPr>
                <w:b/>
                <w:bCs/>
                <w:sz w:val="18"/>
                <w:szCs w:val="18"/>
                <w:lang w:val="en-GB"/>
              </w:rPr>
            </w:pPr>
          </w:p>
        </w:tc>
      </w:tr>
    </w:tbl>
    <w:p w14:paraId="6F3BBDAC" w14:textId="77777777" w:rsidR="00C2417B" w:rsidRDefault="00C2417B" w:rsidP="000E7FC9">
      <w:pPr>
        <w:pStyle w:val="VulcanIIbody"/>
        <w:ind w:firstLine="0"/>
      </w:pPr>
    </w:p>
    <w:p w14:paraId="7DA5CBA1" w14:textId="77777777" w:rsidR="00F76607" w:rsidRDefault="001863F0">
      <w:pPr>
        <w:pStyle w:val="VulcanIISectionTitle"/>
      </w:pPr>
      <w:bookmarkStart w:id="39" w:name="_Toc493194615"/>
      <w:r>
        <w:lastRenderedPageBreak/>
        <w:t>Operating and Financial Review</w:t>
      </w:r>
      <w:bookmarkEnd w:id="39"/>
      <w:r>
        <w:t xml:space="preserve"> </w:t>
      </w:r>
    </w:p>
    <w:p w14:paraId="5C81D3A0" w14:textId="77777777" w:rsidR="00F76607" w:rsidRDefault="00F76607">
      <w:pPr>
        <w:pStyle w:val="NormalWeb"/>
        <w:keepNext/>
        <w:spacing w:before="0" w:beforeAutospacing="0" w:after="0" w:afterAutospacing="0"/>
        <w:jc w:val="center"/>
        <w:rPr>
          <w:sz w:val="18"/>
          <w:szCs w:val="18"/>
        </w:rPr>
      </w:pPr>
    </w:p>
    <w:p w14:paraId="0C0B8227" w14:textId="7A1BD004" w:rsidR="001D1FD6" w:rsidRDefault="001D1FD6" w:rsidP="001D1FD6">
      <w:pPr>
        <w:pStyle w:val="NormalWeb"/>
        <w:spacing w:before="240" w:after="0"/>
        <w:ind w:firstLine="857"/>
        <w:rPr>
          <w:bCs/>
          <w:i/>
          <w:sz w:val="18"/>
          <w:szCs w:val="18"/>
          <w:lang w:val="en-GB"/>
        </w:rPr>
      </w:pPr>
      <w:bookmarkStart w:id="40" w:name="_Toc370404770"/>
      <w:bookmarkStart w:id="41" w:name="_Toc460854367"/>
      <w:bookmarkStart w:id="42" w:name="_Toc460854363"/>
      <w:bookmarkStart w:id="43" w:name="_Toc460854346"/>
      <w:r>
        <w:rPr>
          <w:bCs/>
          <w:i/>
          <w:sz w:val="18"/>
          <w:szCs w:val="18"/>
        </w:rPr>
        <w:t>The following section should be read in conjunction with sections “Presentation of Financial and Other Information” “Selected Consolidated Financial Information”, and “Industry and Business”</w:t>
      </w:r>
      <w:r w:rsidR="00FF2ECC">
        <w:rPr>
          <w:bCs/>
          <w:i/>
          <w:sz w:val="18"/>
          <w:szCs w:val="18"/>
        </w:rPr>
        <w:t xml:space="preserve"> </w:t>
      </w:r>
      <w:r>
        <w:rPr>
          <w:bCs/>
          <w:i/>
          <w:sz w:val="18"/>
          <w:szCs w:val="18"/>
        </w:rPr>
        <w:t>included in this Prospectus. Prospective investors should read the entire document and not just rely on the summary set out below. The financial information considered in this section “Operating and Financial Review” is extracted from the Annual Financial Statements and Interim Financial Statements included elsewhere in this Prospectus.</w:t>
      </w:r>
    </w:p>
    <w:p w14:paraId="308CD72E" w14:textId="77777777" w:rsidR="001D1FD6" w:rsidRDefault="001D1FD6" w:rsidP="001D1FD6">
      <w:pPr>
        <w:pStyle w:val="NormalWeb"/>
        <w:spacing w:before="240" w:after="0"/>
        <w:ind w:firstLine="857"/>
        <w:rPr>
          <w:bCs/>
          <w:i/>
          <w:sz w:val="18"/>
          <w:szCs w:val="18"/>
          <w:lang w:val="en-GB"/>
        </w:rPr>
      </w:pPr>
      <w:r>
        <w:rPr>
          <w:bCs/>
          <w:i/>
          <w:sz w:val="18"/>
          <w:szCs w:val="18"/>
          <w:lang w:val="en-GB"/>
        </w:rPr>
        <w:t>The following discussion of the Group’s results of operations and financial conditions contains forward-looking statements. The Group’s actual results could differ materially from those that it discusses in these forward-looking statements. Factors that could cause or contribute to such differences include those discussed below and elsewhere in this Prospectus, particularly under sections “Risk Factors” and “Presentation of Financial and Other Information”.</w:t>
      </w:r>
    </w:p>
    <w:bookmarkEnd w:id="40"/>
    <w:bookmarkEnd w:id="41"/>
    <w:p w14:paraId="2627BE5A" w14:textId="77777777" w:rsidR="001D1FD6" w:rsidRDefault="001D1FD6" w:rsidP="001D1FD6">
      <w:pPr>
        <w:spacing w:after="240"/>
        <w:jc w:val="both"/>
        <w:rPr>
          <w:rFonts w:cs="Arabic Transparent"/>
          <w:b/>
          <w:color w:val="000000"/>
          <w:sz w:val="18"/>
          <w:szCs w:val="18"/>
        </w:rPr>
      </w:pPr>
      <w:r>
        <w:rPr>
          <w:rFonts w:cs="Arabic Transparent"/>
          <w:b/>
          <w:color w:val="000000"/>
          <w:sz w:val="18"/>
          <w:szCs w:val="18"/>
        </w:rPr>
        <w:t>Overview</w:t>
      </w:r>
    </w:p>
    <w:p w14:paraId="5DBE56D7" w14:textId="3B3EA5E2" w:rsidR="001D1FD6" w:rsidRDefault="001D1FD6" w:rsidP="001D1FD6">
      <w:pPr>
        <w:pStyle w:val="NormalWeb"/>
        <w:spacing w:before="240" w:after="0"/>
        <w:ind w:firstLine="857"/>
        <w:rPr>
          <w:sz w:val="18"/>
          <w:szCs w:val="18"/>
          <w:lang w:val="en-GB"/>
        </w:rPr>
      </w:pPr>
      <w:r>
        <w:rPr>
          <w:sz w:val="18"/>
          <w:szCs w:val="18"/>
          <w:lang w:val="en-GB"/>
        </w:rPr>
        <w:t>VGP is a pure-play logistics real-</w:t>
      </w:r>
      <w:r w:rsidR="00E15018">
        <w:rPr>
          <w:sz w:val="18"/>
          <w:szCs w:val="18"/>
          <w:lang w:val="en-GB"/>
        </w:rPr>
        <w:t>estate group focused on Western, Central and</w:t>
      </w:r>
      <w:r>
        <w:rPr>
          <w:sz w:val="18"/>
          <w:szCs w:val="18"/>
          <w:lang w:val="en-GB"/>
        </w:rPr>
        <w:t xml:space="preserve"> Eastern Europe, </w:t>
      </w:r>
      <w:r w:rsidR="00E15018">
        <w:rPr>
          <w:sz w:val="18"/>
          <w:szCs w:val="18"/>
          <w:lang w:val="en-GB"/>
        </w:rPr>
        <w:t xml:space="preserve">and </w:t>
      </w:r>
      <w:r>
        <w:rPr>
          <w:sz w:val="18"/>
          <w:szCs w:val="18"/>
          <w:lang w:val="en-GB"/>
        </w:rPr>
        <w:t>is specialised in the acquisition, development, and management of logistic real estate, i.e. buildings suitable for logistical purposes and light industrial activities. In March 2016, VGP entered into a 50:50 joint venture with Allianz, the objective of which is to build a platform of new grade A logistics and industrial properties with a key focus on expansion in its core German market and high growth CEE markets. The Group develops and constructs high-end logistic real estate and ancillary offices for its own account and for the account of the Joint Venture, which primarily has a hold strategy and to which certain new developments carried out by VGP are contributed. The Group focuses on strategically located plots of land in Germany, some Central European countries, Spain and the Baltic countries, suitable for development of logistic business parks of a certain size, so as to build up an extensive and well-diversified land bank on top locations. The Group has an in-house team of 126 people (as at 30 June 2017) which manages all the activities of the fully integrated business model: from the identification and acquisition of the land, to the conceptualisation and design of the project, the supervision of the construction works, the contacts with potential tenants and the facility management of its own real estate portfolio. Over the last 10 years, the Group developed more than 2.2 million m² of lettable area.</w:t>
      </w:r>
      <w:r w:rsidR="00FF2ECC">
        <w:rPr>
          <w:sz w:val="18"/>
          <w:szCs w:val="18"/>
          <w:lang w:val="en-GB"/>
        </w:rPr>
        <w:t xml:space="preserve"> </w:t>
      </w:r>
      <w:r>
        <w:rPr>
          <w:sz w:val="18"/>
          <w:szCs w:val="18"/>
          <w:lang w:val="en-GB"/>
        </w:rPr>
        <w:t>On the basis of the experience, knowledge and team developed over its history, VGP was able to develop 438,511 m² of lettable area</w:t>
      </w:r>
      <w:r w:rsidR="00F0739B">
        <w:rPr>
          <w:sz w:val="18"/>
          <w:szCs w:val="18"/>
          <w:lang w:val="en-GB"/>
        </w:rPr>
        <w:t xml:space="preserve"> (including Estonia)</w:t>
      </w:r>
      <w:r w:rsidR="00F142ED">
        <w:rPr>
          <w:sz w:val="18"/>
          <w:szCs w:val="18"/>
          <w:lang w:val="en-GB"/>
        </w:rPr>
        <w:t xml:space="preserve"> </w:t>
      </w:r>
      <w:r>
        <w:rPr>
          <w:sz w:val="18"/>
          <w:szCs w:val="18"/>
          <w:lang w:val="en-GB"/>
        </w:rPr>
        <w:t xml:space="preserve">since the start of 2016. As at 30 June 2017 a further 527,876 m² of lettable area </w:t>
      </w:r>
      <w:r w:rsidR="00E15018">
        <w:rPr>
          <w:sz w:val="18"/>
          <w:szCs w:val="18"/>
          <w:lang w:val="en-GB"/>
        </w:rPr>
        <w:t>was</w:t>
      </w:r>
      <w:r>
        <w:rPr>
          <w:sz w:val="18"/>
          <w:szCs w:val="18"/>
          <w:lang w:val="en-GB"/>
        </w:rPr>
        <w:t xml:space="preserve"> under construction</w:t>
      </w:r>
      <w:r w:rsidR="00E15018">
        <w:rPr>
          <w:sz w:val="18"/>
          <w:szCs w:val="18"/>
          <w:lang w:val="en-GB"/>
        </w:rPr>
        <w:t xml:space="preserve"> </w:t>
      </w:r>
      <w:r w:rsidR="00A01869">
        <w:rPr>
          <w:sz w:val="18"/>
          <w:szCs w:val="18"/>
          <w:lang w:val="en-GB"/>
        </w:rPr>
        <w:t>(</w:t>
      </w:r>
      <w:r w:rsidR="00E15018" w:rsidRPr="00A01869">
        <w:rPr>
          <w:sz w:val="18"/>
          <w:szCs w:val="18"/>
          <w:lang w:val="en-GB"/>
        </w:rPr>
        <w:t>including Estonia</w:t>
      </w:r>
      <w:r w:rsidR="00A01869">
        <w:rPr>
          <w:sz w:val="18"/>
          <w:szCs w:val="18"/>
          <w:lang w:val="en-GB"/>
        </w:rPr>
        <w:t xml:space="preserve"> and the developments </w:t>
      </w:r>
      <w:r w:rsidR="008D2EA7">
        <w:rPr>
          <w:sz w:val="18"/>
          <w:szCs w:val="18"/>
          <w:lang w:val="en-GB"/>
        </w:rPr>
        <w:t>of assets under construction to be offered to</w:t>
      </w:r>
      <w:r w:rsidR="00A01869">
        <w:rPr>
          <w:sz w:val="18"/>
          <w:szCs w:val="18"/>
          <w:lang w:val="en-GB"/>
        </w:rPr>
        <w:t xml:space="preserve"> the Joint Venture)</w:t>
      </w:r>
      <w:r>
        <w:rPr>
          <w:sz w:val="18"/>
          <w:szCs w:val="18"/>
          <w:lang w:val="en-GB"/>
        </w:rPr>
        <w:t>.</w:t>
      </w:r>
    </w:p>
    <w:p w14:paraId="6A164F45" w14:textId="77777777" w:rsidR="001D1FD6" w:rsidRDefault="001D1FD6" w:rsidP="001D1FD6">
      <w:pPr>
        <w:spacing w:after="240"/>
        <w:jc w:val="both"/>
        <w:rPr>
          <w:rFonts w:cs="Arabic Transparent"/>
          <w:b/>
          <w:color w:val="000000"/>
          <w:sz w:val="18"/>
          <w:szCs w:val="18"/>
          <w:lang w:val="en-GB"/>
        </w:rPr>
      </w:pPr>
      <w:r>
        <w:rPr>
          <w:rFonts w:cs="Arabic Transparent"/>
          <w:b/>
          <w:color w:val="000000"/>
          <w:sz w:val="18"/>
          <w:szCs w:val="18"/>
        </w:rPr>
        <w:t>Factors affecting results of operations</w:t>
      </w:r>
    </w:p>
    <w:p w14:paraId="74EBE9BF" w14:textId="35BC5485" w:rsidR="001D1FD6" w:rsidRDefault="001D1FD6" w:rsidP="001D1FD6">
      <w:pPr>
        <w:pStyle w:val="NormalWeb"/>
        <w:spacing w:before="240" w:after="0"/>
        <w:ind w:firstLine="857"/>
        <w:rPr>
          <w:bCs/>
          <w:sz w:val="18"/>
          <w:szCs w:val="18"/>
        </w:rPr>
      </w:pPr>
      <w:r>
        <w:rPr>
          <w:bCs/>
          <w:sz w:val="18"/>
          <w:szCs w:val="18"/>
        </w:rPr>
        <w:t>The Group’s results of operations have been, and will continue to be, affected by a number of factors, many of which are beyond the Group’s control. See also Section “</w:t>
      </w:r>
      <w:r>
        <w:rPr>
          <w:bCs/>
          <w:i/>
          <w:sz w:val="18"/>
          <w:szCs w:val="18"/>
        </w:rPr>
        <w:t>Risk Factors</w:t>
      </w:r>
      <w:r>
        <w:rPr>
          <w:bCs/>
          <w:sz w:val="18"/>
          <w:szCs w:val="18"/>
        </w:rPr>
        <w:t>”.</w:t>
      </w:r>
      <w:r w:rsidR="00FF2ECC">
        <w:rPr>
          <w:bCs/>
          <w:sz w:val="18"/>
          <w:szCs w:val="18"/>
        </w:rPr>
        <w:t xml:space="preserve"> </w:t>
      </w:r>
      <w:r>
        <w:rPr>
          <w:bCs/>
          <w:sz w:val="18"/>
          <w:szCs w:val="18"/>
        </w:rPr>
        <w:t>There are several key items that the Group believes have impacted its results of operations during the period under review and will continue to impact its results of operations in future periods.</w:t>
      </w:r>
    </w:p>
    <w:p w14:paraId="197342DE" w14:textId="77777777" w:rsidR="001D1FD6" w:rsidRDefault="001D1FD6" w:rsidP="001D1FD6">
      <w:pPr>
        <w:spacing w:after="240"/>
        <w:jc w:val="both"/>
        <w:rPr>
          <w:rFonts w:cs="Arabic Transparent"/>
          <w:b/>
          <w:i/>
          <w:color w:val="000000"/>
          <w:sz w:val="18"/>
          <w:szCs w:val="18"/>
        </w:rPr>
      </w:pPr>
      <w:r>
        <w:rPr>
          <w:rFonts w:cs="Arabic Transparent"/>
          <w:b/>
          <w:i/>
          <w:color w:val="000000"/>
          <w:sz w:val="18"/>
          <w:szCs w:val="18"/>
        </w:rPr>
        <w:t>Land and development pipeline</w:t>
      </w:r>
    </w:p>
    <w:p w14:paraId="75D90980" w14:textId="77777777" w:rsidR="001D1FD6" w:rsidRDefault="001D1FD6" w:rsidP="001D1FD6">
      <w:pPr>
        <w:spacing w:after="240"/>
        <w:ind w:firstLine="720"/>
        <w:jc w:val="both"/>
        <w:rPr>
          <w:bCs/>
          <w:sz w:val="18"/>
          <w:szCs w:val="18"/>
        </w:rPr>
      </w:pPr>
      <w:r>
        <w:rPr>
          <w:bCs/>
          <w:sz w:val="18"/>
          <w:szCs w:val="18"/>
        </w:rPr>
        <w:t xml:space="preserve">The Group purchases and develops land. The Group seeks to identify sites for development on strategic locations, such as in proximity of/with connection to highways and ring roads, in the vicinity of important towns and/or production centers, assuring the availability of a workforce for future tenants and focusing on other criteria such as direct connection to existing infrastructure. The Group generally acquires land only once planning permissions have been obtained. The Group builds its facilities to meet the Group’s building standards, which are applied consistently to all of the Group’s facilities in order to ensure the possibility of release. The facilities are constructed in close co-operation with future tenants and partly at own risk. The buildings are finished taking into account the future tenants' requirements and specifications but always in accordance with the Group’s prevailing technical and quality standards. In order to limit execution risk, VGP retains management responsibility for the construction and development process. Customer-specific requirements are paid for by the future tenants either through a one-off lump sum payment or recovered through increased rent during the initial lease period. </w:t>
      </w:r>
    </w:p>
    <w:p w14:paraId="224E5EF3" w14:textId="006230A5" w:rsidR="001D1FD6" w:rsidRDefault="001D1FD6" w:rsidP="001D1FD6">
      <w:pPr>
        <w:spacing w:after="240"/>
        <w:ind w:firstLine="720"/>
        <w:jc w:val="both"/>
        <w:rPr>
          <w:bCs/>
          <w:sz w:val="18"/>
          <w:szCs w:val="18"/>
        </w:rPr>
      </w:pPr>
      <w:r>
        <w:rPr>
          <w:bCs/>
          <w:sz w:val="18"/>
          <w:szCs w:val="18"/>
        </w:rPr>
        <w:t>The rate at which the Group starts-up and completes new constructions impacts the unrealized valuation gain on investment properties as both assets under construction and completed assets are stated at their fair value. The Group generally seeks to ensure that only a limited number of assets are developed at its own risk. The Group adjusts its rate of completion or start-up of new constructions in order to optimize the internal allocation of its own equity and to anticipate tenants' future demands in parks or regions where the Group is recording strong interests for lettable space. As at 30 June 2017 the Group ha</w:t>
      </w:r>
      <w:r w:rsidR="00E15018">
        <w:rPr>
          <w:bCs/>
          <w:sz w:val="18"/>
          <w:szCs w:val="18"/>
        </w:rPr>
        <w:t>d</w:t>
      </w:r>
      <w:r>
        <w:rPr>
          <w:bCs/>
          <w:sz w:val="18"/>
          <w:szCs w:val="18"/>
        </w:rPr>
        <w:t xml:space="preserve"> 21 buildings under construction which represent 527,876 m² of future lettable ar</w:t>
      </w:r>
      <w:r w:rsidR="00141B39">
        <w:rPr>
          <w:bCs/>
          <w:sz w:val="18"/>
          <w:szCs w:val="18"/>
        </w:rPr>
        <w:t xml:space="preserve">ea </w:t>
      </w:r>
      <w:r w:rsidR="00D3576A" w:rsidRPr="00D3576A">
        <w:rPr>
          <w:bCs/>
          <w:sz w:val="18"/>
          <w:szCs w:val="18"/>
        </w:rPr>
        <w:t>of which 73</w:t>
      </w:r>
      <w:r w:rsidR="00141B39" w:rsidRPr="00D3576A">
        <w:rPr>
          <w:bCs/>
          <w:sz w:val="18"/>
          <w:szCs w:val="18"/>
        </w:rPr>
        <w:t>% is already pre-</w:t>
      </w:r>
      <w:r w:rsidRPr="00D3576A">
        <w:rPr>
          <w:bCs/>
          <w:sz w:val="18"/>
          <w:szCs w:val="18"/>
        </w:rPr>
        <w:t>let</w:t>
      </w:r>
      <w:r w:rsidR="0060104C">
        <w:rPr>
          <w:bCs/>
          <w:sz w:val="18"/>
          <w:szCs w:val="18"/>
        </w:rPr>
        <w:t>. Of these buildings under construction 199,743 m² are to be offered to the Joint Venture when completed.</w:t>
      </w:r>
    </w:p>
    <w:p w14:paraId="339D5609" w14:textId="77777777" w:rsidR="001D1FD6" w:rsidRDefault="001D1FD6" w:rsidP="001D1FD6">
      <w:pPr>
        <w:spacing w:after="240"/>
        <w:jc w:val="both"/>
        <w:rPr>
          <w:rFonts w:cs="Arabic Transparent"/>
          <w:b/>
          <w:i/>
          <w:color w:val="000000"/>
          <w:sz w:val="18"/>
          <w:szCs w:val="18"/>
        </w:rPr>
      </w:pPr>
      <w:r>
        <w:rPr>
          <w:rFonts w:cs="Arabic Transparent"/>
          <w:b/>
          <w:i/>
          <w:color w:val="000000"/>
          <w:sz w:val="18"/>
          <w:szCs w:val="18"/>
        </w:rPr>
        <w:t>Contracted income</w:t>
      </w:r>
    </w:p>
    <w:p w14:paraId="35FA753B" w14:textId="77777777" w:rsidR="001D1FD6" w:rsidRDefault="001D1FD6" w:rsidP="001D1FD6">
      <w:pPr>
        <w:spacing w:after="240"/>
        <w:ind w:firstLine="720"/>
        <w:jc w:val="both"/>
        <w:rPr>
          <w:bCs/>
          <w:sz w:val="18"/>
          <w:szCs w:val="18"/>
        </w:rPr>
      </w:pPr>
      <w:r>
        <w:rPr>
          <w:bCs/>
          <w:sz w:val="18"/>
          <w:szCs w:val="18"/>
        </w:rPr>
        <w:t xml:space="preserve">The Group’s net rental income is based predominantly on contracts with tenants who rent space in the Group’s facilities. Lease tenures reflect customary terms in the markets in which the Group operates, usually range from five to ten years and typically include an automatic extension clause. Generally, the lessee cannot cancel the lease contract until the first break option date. The Group seeks to conclude longer-term leases, where possible from eight to ten years, though in certain jurisdictions such as Hungary and Romania market practice is for leases of five years or less. The Group will always strive at concluding institutional acceptable lease terms of </w:t>
      </w:r>
      <w:r>
        <w:rPr>
          <w:bCs/>
          <w:sz w:val="18"/>
          <w:szCs w:val="18"/>
        </w:rPr>
        <w:lastRenderedPageBreak/>
        <w:t xml:space="preserve">minimum 3 years. Shorter term leases might occasionally be entered into in case an anchor tenant has an extension option or if a tenant is waiting to enter into a new building for which a long-term lease has already been signed. </w:t>
      </w:r>
    </w:p>
    <w:p w14:paraId="647029BB" w14:textId="3023B6A5" w:rsidR="001D1FD6" w:rsidRDefault="001D1FD6" w:rsidP="001D1FD6">
      <w:pPr>
        <w:spacing w:after="240"/>
        <w:ind w:firstLine="720"/>
        <w:jc w:val="both"/>
        <w:rPr>
          <w:bCs/>
          <w:sz w:val="18"/>
          <w:szCs w:val="18"/>
        </w:rPr>
      </w:pPr>
      <w:r>
        <w:rPr>
          <w:bCs/>
          <w:sz w:val="18"/>
          <w:szCs w:val="18"/>
        </w:rPr>
        <w:t xml:space="preserve">The rents are effectively “triple net rents”, as the Group seeks to recharge all property operating costs to tenants. The VGP </w:t>
      </w:r>
      <w:r w:rsidR="00823A53">
        <w:rPr>
          <w:bCs/>
          <w:sz w:val="18"/>
          <w:szCs w:val="18"/>
        </w:rPr>
        <w:t>property management</w:t>
      </w:r>
      <w:r>
        <w:rPr>
          <w:bCs/>
          <w:sz w:val="18"/>
          <w:szCs w:val="18"/>
        </w:rPr>
        <w:t xml:space="preserve"> team assumes the responsibility of the property management services for which it receives an administration fee that ranges between 1.5% and 3.0% of the monthly rent to cover its administration expenses. Substantially all of the Group's lease contracts that</w:t>
      </w:r>
      <w:r w:rsidR="00FF2ECC">
        <w:rPr>
          <w:bCs/>
          <w:sz w:val="18"/>
          <w:szCs w:val="18"/>
        </w:rPr>
        <w:t xml:space="preserve"> </w:t>
      </w:r>
      <w:r>
        <w:rPr>
          <w:bCs/>
          <w:sz w:val="18"/>
          <w:szCs w:val="18"/>
        </w:rPr>
        <w:t>are denominated in Euros, and 95% of all lease agreements, are subject to annual indexation based on the HICP EU index or a local index as appropriate or a contractual fixed annual indexation.</w:t>
      </w:r>
    </w:p>
    <w:p w14:paraId="3DFDC7D8" w14:textId="1B0D0BF3" w:rsidR="001D1FD6" w:rsidRDefault="001D1FD6" w:rsidP="001D1FD6">
      <w:pPr>
        <w:spacing w:after="240"/>
        <w:ind w:firstLine="720"/>
        <w:jc w:val="both"/>
        <w:rPr>
          <w:bCs/>
          <w:sz w:val="18"/>
          <w:szCs w:val="18"/>
        </w:rPr>
      </w:pPr>
      <w:r>
        <w:rPr>
          <w:bCs/>
          <w:sz w:val="18"/>
          <w:szCs w:val="18"/>
        </w:rPr>
        <w:t>The Group’s net rental income depends on its ability to maintain its occupancy rates through the prompt execution of leases with new tenants and the renewal of leases with existing tenants. Due to the strategy of concentrating its facilities in high-quality locations and operating high-quality space, the average occupancy rate of the Group’s properties has been consistently high during the period</w:t>
      </w:r>
      <w:r w:rsidR="00E15018">
        <w:rPr>
          <w:bCs/>
          <w:sz w:val="18"/>
          <w:szCs w:val="18"/>
        </w:rPr>
        <w:t>s</w:t>
      </w:r>
      <w:r>
        <w:rPr>
          <w:bCs/>
          <w:sz w:val="18"/>
          <w:szCs w:val="18"/>
        </w:rPr>
        <w:t xml:space="preserve"> under review. The following table sets forth the Group’s total lettable area </w:t>
      </w:r>
      <w:r w:rsidR="00F0739B">
        <w:rPr>
          <w:bCs/>
          <w:sz w:val="18"/>
          <w:szCs w:val="18"/>
        </w:rPr>
        <w:t xml:space="preserve">(including Estonia) </w:t>
      </w:r>
      <w:r>
        <w:rPr>
          <w:bCs/>
          <w:sz w:val="18"/>
          <w:szCs w:val="18"/>
        </w:rPr>
        <w:t xml:space="preserve">and Occupancy Rates for continuing operations at the end of the </w:t>
      </w:r>
      <w:bookmarkStart w:id="44" w:name="_Hlk491180466"/>
      <w:r w:rsidR="00E15018">
        <w:rPr>
          <w:bCs/>
          <w:sz w:val="18"/>
          <w:szCs w:val="18"/>
        </w:rPr>
        <w:t>periods</w:t>
      </w:r>
      <w:r>
        <w:rPr>
          <w:bCs/>
          <w:sz w:val="18"/>
          <w:szCs w:val="18"/>
        </w:rPr>
        <w:t xml:space="preserve"> indicated. </w:t>
      </w:r>
    </w:p>
    <w:p w14:paraId="4BE88C4C" w14:textId="77777777" w:rsidR="001D1FD6" w:rsidRDefault="001D1FD6" w:rsidP="001D1FD6">
      <w:pPr>
        <w:jc w:val="both"/>
        <w:rPr>
          <w:rFonts w:asciiTheme="minorHAnsi" w:hAnsiTheme="minorHAnsi" w:cstheme="minorHAnsi"/>
          <w:b/>
          <w:bCs/>
          <w:sz w:val="18"/>
          <w:szCs w:val="18"/>
          <w:lang w:val="en-GB"/>
        </w:rPr>
      </w:pPr>
    </w:p>
    <w:tbl>
      <w:tblPr>
        <w:tblStyle w:val="TableGrid8"/>
        <w:tblW w:w="8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1119"/>
        <w:gridCol w:w="253"/>
        <w:gridCol w:w="965"/>
        <w:gridCol w:w="253"/>
        <w:gridCol w:w="982"/>
        <w:gridCol w:w="241"/>
        <w:gridCol w:w="892"/>
        <w:gridCol w:w="232"/>
        <w:gridCol w:w="955"/>
      </w:tblGrid>
      <w:tr w:rsidR="001D1FD6" w14:paraId="4C051EE2" w14:textId="77777777" w:rsidTr="001D1FD6">
        <w:tc>
          <w:tcPr>
            <w:tcW w:w="2722" w:type="dxa"/>
            <w:vAlign w:val="bottom"/>
          </w:tcPr>
          <w:p w14:paraId="5DFFFD5D" w14:textId="77777777" w:rsidR="001D1FD6" w:rsidRDefault="001D1FD6" w:rsidP="001D1FD6">
            <w:pPr>
              <w:jc w:val="both"/>
              <w:rPr>
                <w:b/>
                <w:bCs/>
                <w:sz w:val="18"/>
                <w:szCs w:val="18"/>
                <w:lang w:val="en-GB"/>
              </w:rPr>
            </w:pPr>
            <w:bookmarkStart w:id="45" w:name="_Hlk490901299"/>
          </w:p>
        </w:tc>
        <w:tc>
          <w:tcPr>
            <w:tcW w:w="2337" w:type="dxa"/>
            <w:gridSpan w:val="3"/>
            <w:tcBorders>
              <w:bottom w:val="single" w:sz="4" w:space="0" w:color="auto"/>
            </w:tcBorders>
            <w:vAlign w:val="bottom"/>
          </w:tcPr>
          <w:p w14:paraId="40A7CC8D" w14:textId="6A686EC1" w:rsidR="001D1FD6" w:rsidRDefault="001D1FD6" w:rsidP="001D1FD6">
            <w:pPr>
              <w:jc w:val="center"/>
              <w:rPr>
                <w:b/>
                <w:bCs/>
                <w:sz w:val="18"/>
                <w:szCs w:val="18"/>
                <w:lang w:val="en-GB" w:eastAsia="zh-TW"/>
              </w:rPr>
            </w:pPr>
            <w:r>
              <w:rPr>
                <w:b/>
                <w:bCs/>
                <w:sz w:val="18"/>
                <w:szCs w:val="18"/>
                <w:lang w:val="en-GB" w:eastAsia="zh-TW"/>
              </w:rPr>
              <w:t>As at 30-Jun</w:t>
            </w:r>
          </w:p>
        </w:tc>
        <w:tc>
          <w:tcPr>
            <w:tcW w:w="253" w:type="dxa"/>
            <w:vAlign w:val="bottom"/>
          </w:tcPr>
          <w:p w14:paraId="005F090E" w14:textId="77777777" w:rsidR="001D1FD6" w:rsidRDefault="001D1FD6" w:rsidP="001D1FD6">
            <w:pPr>
              <w:jc w:val="both"/>
              <w:rPr>
                <w:b/>
                <w:bCs/>
                <w:sz w:val="18"/>
                <w:szCs w:val="18"/>
                <w:lang w:val="en-GB"/>
              </w:rPr>
            </w:pPr>
          </w:p>
        </w:tc>
        <w:tc>
          <w:tcPr>
            <w:tcW w:w="3302" w:type="dxa"/>
            <w:gridSpan w:val="5"/>
            <w:tcBorders>
              <w:bottom w:val="single" w:sz="4" w:space="0" w:color="auto"/>
            </w:tcBorders>
            <w:vAlign w:val="bottom"/>
          </w:tcPr>
          <w:p w14:paraId="58EB0AAB" w14:textId="79CEA0C0" w:rsidR="001D1FD6" w:rsidRDefault="001D1FD6" w:rsidP="001D1FD6">
            <w:pPr>
              <w:jc w:val="center"/>
              <w:rPr>
                <w:b/>
                <w:bCs/>
                <w:sz w:val="18"/>
                <w:szCs w:val="18"/>
                <w:lang w:val="en-GB" w:eastAsia="zh-TW"/>
              </w:rPr>
            </w:pPr>
            <w:r>
              <w:rPr>
                <w:b/>
                <w:bCs/>
                <w:sz w:val="18"/>
                <w:szCs w:val="18"/>
                <w:lang w:val="en-GB" w:eastAsia="zh-TW"/>
              </w:rPr>
              <w:t xml:space="preserve">As at 31-Dec </w:t>
            </w:r>
          </w:p>
        </w:tc>
      </w:tr>
      <w:tr w:rsidR="001D1FD6" w14:paraId="0CDBA476" w14:textId="77777777" w:rsidTr="001D1FD6">
        <w:tc>
          <w:tcPr>
            <w:tcW w:w="2722" w:type="dxa"/>
            <w:vAlign w:val="bottom"/>
          </w:tcPr>
          <w:p w14:paraId="7B7EA761" w14:textId="77777777" w:rsidR="001D1FD6" w:rsidRDefault="001D1FD6" w:rsidP="001D1FD6">
            <w:pPr>
              <w:jc w:val="both"/>
              <w:rPr>
                <w:b/>
                <w:bCs/>
                <w:sz w:val="18"/>
                <w:szCs w:val="18"/>
                <w:lang w:val="en-GB"/>
              </w:rPr>
            </w:pPr>
          </w:p>
        </w:tc>
        <w:tc>
          <w:tcPr>
            <w:tcW w:w="1119" w:type="dxa"/>
            <w:tcBorders>
              <w:top w:val="single" w:sz="4" w:space="0" w:color="auto"/>
              <w:bottom w:val="single" w:sz="4" w:space="0" w:color="auto"/>
            </w:tcBorders>
            <w:vAlign w:val="bottom"/>
          </w:tcPr>
          <w:p w14:paraId="44E827ED" w14:textId="77777777" w:rsidR="001D1FD6" w:rsidRDefault="001D1FD6" w:rsidP="001D1FD6">
            <w:pPr>
              <w:jc w:val="right"/>
              <w:rPr>
                <w:b/>
                <w:bCs/>
                <w:sz w:val="18"/>
                <w:szCs w:val="18"/>
                <w:lang w:val="en-GB"/>
              </w:rPr>
            </w:pPr>
            <w:r>
              <w:rPr>
                <w:b/>
                <w:bCs/>
                <w:sz w:val="18"/>
                <w:szCs w:val="18"/>
                <w:lang w:val="en-GB" w:eastAsia="zh-TW"/>
              </w:rPr>
              <w:t>2017</w:t>
            </w:r>
          </w:p>
        </w:tc>
        <w:tc>
          <w:tcPr>
            <w:tcW w:w="253" w:type="dxa"/>
            <w:vAlign w:val="bottom"/>
          </w:tcPr>
          <w:p w14:paraId="19509A53" w14:textId="77777777" w:rsidR="001D1FD6" w:rsidRDefault="001D1FD6" w:rsidP="001D1FD6">
            <w:pPr>
              <w:jc w:val="right"/>
              <w:rPr>
                <w:b/>
                <w:bCs/>
                <w:sz w:val="18"/>
                <w:szCs w:val="18"/>
                <w:lang w:val="en-GB"/>
              </w:rPr>
            </w:pPr>
          </w:p>
        </w:tc>
        <w:tc>
          <w:tcPr>
            <w:tcW w:w="965" w:type="dxa"/>
            <w:tcBorders>
              <w:top w:val="single" w:sz="4" w:space="0" w:color="auto"/>
              <w:bottom w:val="single" w:sz="4" w:space="0" w:color="auto"/>
            </w:tcBorders>
            <w:vAlign w:val="bottom"/>
          </w:tcPr>
          <w:p w14:paraId="443D12DB" w14:textId="77777777" w:rsidR="001D1FD6" w:rsidRDefault="001D1FD6" w:rsidP="001D1FD6">
            <w:pPr>
              <w:jc w:val="right"/>
              <w:rPr>
                <w:b/>
                <w:bCs/>
                <w:sz w:val="18"/>
                <w:szCs w:val="18"/>
                <w:lang w:val="en-GB"/>
              </w:rPr>
            </w:pPr>
            <w:r>
              <w:rPr>
                <w:b/>
                <w:bCs/>
                <w:sz w:val="18"/>
                <w:szCs w:val="18"/>
                <w:lang w:val="en-GB"/>
              </w:rPr>
              <w:t>2016</w:t>
            </w:r>
          </w:p>
        </w:tc>
        <w:tc>
          <w:tcPr>
            <w:tcW w:w="253" w:type="dxa"/>
            <w:vAlign w:val="bottom"/>
          </w:tcPr>
          <w:p w14:paraId="760937F1" w14:textId="77777777" w:rsidR="001D1FD6" w:rsidRDefault="001D1FD6" w:rsidP="001D1FD6">
            <w:pPr>
              <w:jc w:val="right"/>
              <w:rPr>
                <w:b/>
                <w:bCs/>
                <w:sz w:val="18"/>
                <w:szCs w:val="18"/>
                <w:lang w:val="en-GB"/>
              </w:rPr>
            </w:pPr>
          </w:p>
        </w:tc>
        <w:tc>
          <w:tcPr>
            <w:tcW w:w="982" w:type="dxa"/>
            <w:tcBorders>
              <w:top w:val="single" w:sz="4" w:space="0" w:color="auto"/>
              <w:bottom w:val="single" w:sz="4" w:space="0" w:color="auto"/>
            </w:tcBorders>
            <w:vAlign w:val="bottom"/>
          </w:tcPr>
          <w:p w14:paraId="5AB41754" w14:textId="77777777" w:rsidR="001D1FD6" w:rsidRDefault="001D1FD6" w:rsidP="001D1FD6">
            <w:pPr>
              <w:jc w:val="right"/>
              <w:rPr>
                <w:b/>
                <w:bCs/>
                <w:sz w:val="18"/>
                <w:szCs w:val="18"/>
                <w:lang w:val="en-GB"/>
              </w:rPr>
            </w:pPr>
            <w:r>
              <w:rPr>
                <w:b/>
                <w:bCs/>
                <w:sz w:val="18"/>
                <w:szCs w:val="18"/>
                <w:lang w:val="en-GB"/>
              </w:rPr>
              <w:t>2016</w:t>
            </w:r>
          </w:p>
        </w:tc>
        <w:tc>
          <w:tcPr>
            <w:tcW w:w="241" w:type="dxa"/>
            <w:tcBorders>
              <w:top w:val="single" w:sz="4" w:space="0" w:color="auto"/>
            </w:tcBorders>
            <w:vAlign w:val="bottom"/>
          </w:tcPr>
          <w:p w14:paraId="49EFD83E" w14:textId="77777777" w:rsidR="001D1FD6" w:rsidRDefault="001D1FD6" w:rsidP="001D1FD6">
            <w:pPr>
              <w:jc w:val="right"/>
              <w:rPr>
                <w:b/>
                <w:bCs/>
                <w:sz w:val="18"/>
                <w:szCs w:val="18"/>
                <w:lang w:val="en-GB"/>
              </w:rPr>
            </w:pPr>
          </w:p>
        </w:tc>
        <w:tc>
          <w:tcPr>
            <w:tcW w:w="892" w:type="dxa"/>
            <w:tcBorders>
              <w:top w:val="single" w:sz="4" w:space="0" w:color="auto"/>
              <w:bottom w:val="single" w:sz="4" w:space="0" w:color="auto"/>
            </w:tcBorders>
            <w:vAlign w:val="bottom"/>
          </w:tcPr>
          <w:p w14:paraId="11479D7D" w14:textId="77777777" w:rsidR="001D1FD6" w:rsidRDefault="001D1FD6" w:rsidP="001D1FD6">
            <w:pPr>
              <w:jc w:val="right"/>
              <w:rPr>
                <w:b/>
                <w:bCs/>
                <w:sz w:val="18"/>
                <w:szCs w:val="18"/>
                <w:lang w:val="en-GB"/>
              </w:rPr>
            </w:pPr>
            <w:r>
              <w:rPr>
                <w:b/>
                <w:bCs/>
                <w:sz w:val="18"/>
                <w:szCs w:val="18"/>
                <w:lang w:val="en-GB"/>
              </w:rPr>
              <w:t>2015</w:t>
            </w:r>
          </w:p>
        </w:tc>
        <w:tc>
          <w:tcPr>
            <w:tcW w:w="232" w:type="dxa"/>
            <w:vAlign w:val="bottom"/>
          </w:tcPr>
          <w:p w14:paraId="03718B85" w14:textId="77777777" w:rsidR="001D1FD6" w:rsidRDefault="001D1FD6" w:rsidP="001D1FD6">
            <w:pPr>
              <w:jc w:val="right"/>
              <w:rPr>
                <w:b/>
                <w:bCs/>
                <w:sz w:val="18"/>
                <w:szCs w:val="18"/>
                <w:lang w:val="en-GB"/>
              </w:rPr>
            </w:pPr>
          </w:p>
        </w:tc>
        <w:tc>
          <w:tcPr>
            <w:tcW w:w="955" w:type="dxa"/>
            <w:tcBorders>
              <w:top w:val="single" w:sz="4" w:space="0" w:color="auto"/>
              <w:bottom w:val="single" w:sz="4" w:space="0" w:color="auto"/>
            </w:tcBorders>
            <w:vAlign w:val="bottom"/>
          </w:tcPr>
          <w:p w14:paraId="36022F41" w14:textId="77777777" w:rsidR="001D1FD6" w:rsidRDefault="001D1FD6" w:rsidP="001D1FD6">
            <w:pPr>
              <w:jc w:val="right"/>
              <w:rPr>
                <w:b/>
                <w:bCs/>
                <w:sz w:val="18"/>
                <w:szCs w:val="18"/>
                <w:lang w:val="en-GB"/>
              </w:rPr>
            </w:pPr>
            <w:r>
              <w:rPr>
                <w:b/>
                <w:bCs/>
                <w:sz w:val="18"/>
                <w:szCs w:val="18"/>
                <w:lang w:val="en-GB"/>
              </w:rPr>
              <w:t>2014</w:t>
            </w:r>
          </w:p>
        </w:tc>
      </w:tr>
      <w:bookmarkEnd w:id="45"/>
      <w:tr w:rsidR="001D1FD6" w14:paraId="25A468BD" w14:textId="77777777" w:rsidTr="001D1FD6">
        <w:tc>
          <w:tcPr>
            <w:tcW w:w="2722" w:type="dxa"/>
            <w:vAlign w:val="bottom"/>
          </w:tcPr>
          <w:p w14:paraId="61410028" w14:textId="77777777" w:rsidR="001D1FD6" w:rsidRDefault="001D1FD6" w:rsidP="001D1FD6">
            <w:pPr>
              <w:jc w:val="both"/>
              <w:rPr>
                <w:sz w:val="18"/>
                <w:szCs w:val="18"/>
                <w:lang w:val="en-GB" w:eastAsia="nl-NL"/>
              </w:rPr>
            </w:pPr>
            <w:r>
              <w:rPr>
                <w:b/>
                <w:bCs/>
                <w:sz w:val="18"/>
                <w:szCs w:val="18"/>
                <w:u w:val="single"/>
                <w:lang w:val="en-GB" w:eastAsia="nl-NL"/>
              </w:rPr>
              <w:t>INVESTMENT PROPERTY</w:t>
            </w:r>
          </w:p>
        </w:tc>
        <w:tc>
          <w:tcPr>
            <w:tcW w:w="1119" w:type="dxa"/>
            <w:tcBorders>
              <w:top w:val="double" w:sz="4" w:space="0" w:color="auto"/>
            </w:tcBorders>
            <w:vAlign w:val="bottom"/>
          </w:tcPr>
          <w:p w14:paraId="15AFEEB4" w14:textId="77777777" w:rsidR="001D1FD6" w:rsidRDefault="001D1FD6" w:rsidP="001D1FD6">
            <w:pPr>
              <w:jc w:val="right"/>
              <w:rPr>
                <w:sz w:val="18"/>
                <w:szCs w:val="18"/>
                <w:lang w:val="en-GB" w:eastAsia="zh-TW"/>
              </w:rPr>
            </w:pPr>
          </w:p>
        </w:tc>
        <w:tc>
          <w:tcPr>
            <w:tcW w:w="253" w:type="dxa"/>
            <w:vAlign w:val="bottom"/>
          </w:tcPr>
          <w:p w14:paraId="19651FA6" w14:textId="77777777" w:rsidR="001D1FD6" w:rsidRDefault="001D1FD6" w:rsidP="001D1FD6">
            <w:pPr>
              <w:jc w:val="right"/>
              <w:rPr>
                <w:b/>
                <w:bCs/>
                <w:sz w:val="18"/>
                <w:szCs w:val="18"/>
                <w:lang w:val="en-GB"/>
              </w:rPr>
            </w:pPr>
          </w:p>
        </w:tc>
        <w:tc>
          <w:tcPr>
            <w:tcW w:w="965" w:type="dxa"/>
            <w:tcBorders>
              <w:top w:val="double" w:sz="4" w:space="0" w:color="auto"/>
            </w:tcBorders>
            <w:vAlign w:val="bottom"/>
          </w:tcPr>
          <w:p w14:paraId="577BD5E1" w14:textId="77777777" w:rsidR="001D1FD6" w:rsidRDefault="001D1FD6" w:rsidP="001D1FD6">
            <w:pPr>
              <w:jc w:val="right"/>
              <w:rPr>
                <w:b/>
                <w:bCs/>
                <w:sz w:val="18"/>
                <w:szCs w:val="18"/>
                <w:lang w:val="en-GB"/>
              </w:rPr>
            </w:pPr>
          </w:p>
        </w:tc>
        <w:tc>
          <w:tcPr>
            <w:tcW w:w="253" w:type="dxa"/>
            <w:vAlign w:val="bottom"/>
          </w:tcPr>
          <w:p w14:paraId="44C909E1" w14:textId="77777777" w:rsidR="001D1FD6" w:rsidRDefault="001D1FD6" w:rsidP="001D1FD6">
            <w:pPr>
              <w:jc w:val="right"/>
              <w:rPr>
                <w:b/>
                <w:bCs/>
                <w:sz w:val="18"/>
                <w:szCs w:val="18"/>
                <w:lang w:val="en-GB"/>
              </w:rPr>
            </w:pPr>
          </w:p>
        </w:tc>
        <w:tc>
          <w:tcPr>
            <w:tcW w:w="982" w:type="dxa"/>
            <w:tcBorders>
              <w:top w:val="double" w:sz="4" w:space="0" w:color="auto"/>
            </w:tcBorders>
            <w:vAlign w:val="bottom"/>
          </w:tcPr>
          <w:p w14:paraId="6F8CE137" w14:textId="77777777" w:rsidR="001D1FD6" w:rsidRDefault="001D1FD6" w:rsidP="001D1FD6">
            <w:pPr>
              <w:jc w:val="right"/>
              <w:rPr>
                <w:sz w:val="18"/>
                <w:szCs w:val="18"/>
                <w:lang w:val="en-GB" w:eastAsia="zh-TW"/>
              </w:rPr>
            </w:pPr>
          </w:p>
        </w:tc>
        <w:tc>
          <w:tcPr>
            <w:tcW w:w="241" w:type="dxa"/>
            <w:vAlign w:val="bottom"/>
          </w:tcPr>
          <w:p w14:paraId="0AA8EB14" w14:textId="77777777" w:rsidR="001D1FD6" w:rsidRDefault="001D1FD6" w:rsidP="001D1FD6">
            <w:pPr>
              <w:jc w:val="right"/>
              <w:rPr>
                <w:b/>
                <w:bCs/>
                <w:sz w:val="18"/>
                <w:szCs w:val="18"/>
                <w:lang w:val="en-GB"/>
              </w:rPr>
            </w:pPr>
          </w:p>
        </w:tc>
        <w:tc>
          <w:tcPr>
            <w:tcW w:w="892" w:type="dxa"/>
            <w:tcBorders>
              <w:top w:val="double" w:sz="4" w:space="0" w:color="auto"/>
            </w:tcBorders>
            <w:vAlign w:val="bottom"/>
          </w:tcPr>
          <w:p w14:paraId="0D4F078E" w14:textId="77777777" w:rsidR="001D1FD6" w:rsidRDefault="001D1FD6" w:rsidP="001D1FD6">
            <w:pPr>
              <w:jc w:val="right"/>
              <w:rPr>
                <w:sz w:val="18"/>
                <w:szCs w:val="18"/>
                <w:lang w:val="en-GB" w:eastAsia="zh-TW"/>
              </w:rPr>
            </w:pPr>
          </w:p>
        </w:tc>
        <w:tc>
          <w:tcPr>
            <w:tcW w:w="232" w:type="dxa"/>
            <w:vAlign w:val="bottom"/>
          </w:tcPr>
          <w:p w14:paraId="2BE18949" w14:textId="77777777" w:rsidR="001D1FD6" w:rsidRDefault="001D1FD6" w:rsidP="001D1FD6">
            <w:pPr>
              <w:jc w:val="right"/>
              <w:rPr>
                <w:b/>
                <w:bCs/>
                <w:sz w:val="18"/>
                <w:szCs w:val="18"/>
                <w:lang w:val="en-GB"/>
              </w:rPr>
            </w:pPr>
          </w:p>
        </w:tc>
        <w:tc>
          <w:tcPr>
            <w:tcW w:w="955" w:type="dxa"/>
            <w:tcBorders>
              <w:top w:val="double" w:sz="4" w:space="0" w:color="auto"/>
            </w:tcBorders>
            <w:vAlign w:val="bottom"/>
          </w:tcPr>
          <w:p w14:paraId="065C7FED" w14:textId="77777777" w:rsidR="001D1FD6" w:rsidRDefault="001D1FD6" w:rsidP="001D1FD6">
            <w:pPr>
              <w:jc w:val="right"/>
              <w:rPr>
                <w:sz w:val="18"/>
                <w:szCs w:val="18"/>
                <w:lang w:val="en-GB" w:eastAsia="zh-TW"/>
              </w:rPr>
            </w:pPr>
          </w:p>
        </w:tc>
      </w:tr>
      <w:tr w:rsidR="001D1FD6" w14:paraId="7C623CC3" w14:textId="77777777" w:rsidTr="001D1FD6">
        <w:tc>
          <w:tcPr>
            <w:tcW w:w="2722" w:type="dxa"/>
            <w:vAlign w:val="bottom"/>
          </w:tcPr>
          <w:p w14:paraId="2F52D2A2" w14:textId="77777777" w:rsidR="001D1FD6" w:rsidRDefault="001D1FD6" w:rsidP="001D1FD6">
            <w:pPr>
              <w:jc w:val="both"/>
              <w:rPr>
                <w:b/>
                <w:bCs/>
                <w:sz w:val="18"/>
                <w:szCs w:val="18"/>
                <w:u w:val="single"/>
                <w:lang w:val="en-GB" w:eastAsia="nl-NL"/>
              </w:rPr>
            </w:pPr>
            <w:r>
              <w:rPr>
                <w:sz w:val="18"/>
                <w:szCs w:val="18"/>
                <w:lang w:val="en-GB" w:eastAsia="nl-NL"/>
              </w:rPr>
              <w:t>Total lettable area (m²)</w:t>
            </w:r>
          </w:p>
        </w:tc>
        <w:tc>
          <w:tcPr>
            <w:tcW w:w="1119" w:type="dxa"/>
            <w:vAlign w:val="bottom"/>
          </w:tcPr>
          <w:p w14:paraId="17675EA1" w14:textId="0FA13603" w:rsidR="001D1FD6" w:rsidRDefault="001D1FD6" w:rsidP="001D1FD6">
            <w:pPr>
              <w:jc w:val="right"/>
              <w:rPr>
                <w:sz w:val="18"/>
                <w:szCs w:val="18"/>
                <w:lang w:val="en-GB" w:eastAsia="zh-TW"/>
              </w:rPr>
            </w:pPr>
            <w:r w:rsidRPr="00D3576A">
              <w:rPr>
                <w:sz w:val="18"/>
                <w:szCs w:val="18"/>
                <w:lang w:val="en-GB"/>
              </w:rPr>
              <w:t>353,08</w:t>
            </w:r>
            <w:r w:rsidR="00D3576A" w:rsidRPr="00D3576A">
              <w:rPr>
                <w:sz w:val="18"/>
                <w:szCs w:val="18"/>
                <w:lang w:val="en-GB"/>
              </w:rPr>
              <w:t>8</w:t>
            </w:r>
            <w:r w:rsidRPr="00D3576A">
              <w:rPr>
                <w:sz w:val="18"/>
                <w:szCs w:val="18"/>
                <w:lang w:val="en-GB" w:eastAsia="nl-NL"/>
              </w:rPr>
              <w:t>¹</w:t>
            </w:r>
          </w:p>
        </w:tc>
        <w:tc>
          <w:tcPr>
            <w:tcW w:w="253" w:type="dxa"/>
            <w:vAlign w:val="bottom"/>
          </w:tcPr>
          <w:p w14:paraId="73A60ECB" w14:textId="77777777" w:rsidR="001D1FD6" w:rsidRDefault="001D1FD6" w:rsidP="001D1FD6">
            <w:pPr>
              <w:jc w:val="right"/>
              <w:rPr>
                <w:b/>
                <w:bCs/>
                <w:sz w:val="18"/>
                <w:szCs w:val="18"/>
                <w:lang w:val="en-GB"/>
              </w:rPr>
            </w:pPr>
          </w:p>
        </w:tc>
        <w:tc>
          <w:tcPr>
            <w:tcW w:w="965" w:type="dxa"/>
            <w:vAlign w:val="bottom"/>
          </w:tcPr>
          <w:p w14:paraId="44926673" w14:textId="77777777" w:rsidR="001D1FD6" w:rsidRDefault="001D1FD6" w:rsidP="001D1FD6">
            <w:pPr>
              <w:jc w:val="right"/>
              <w:rPr>
                <w:b/>
                <w:bCs/>
                <w:sz w:val="18"/>
                <w:szCs w:val="18"/>
                <w:lang w:val="en-GB"/>
              </w:rPr>
            </w:pPr>
            <w:r>
              <w:rPr>
                <w:sz w:val="18"/>
                <w:szCs w:val="18"/>
                <w:lang w:val="en-GB"/>
              </w:rPr>
              <w:t>130,321³</w:t>
            </w:r>
          </w:p>
        </w:tc>
        <w:tc>
          <w:tcPr>
            <w:tcW w:w="253" w:type="dxa"/>
            <w:vAlign w:val="bottom"/>
          </w:tcPr>
          <w:p w14:paraId="3F71286A" w14:textId="77777777" w:rsidR="001D1FD6" w:rsidRDefault="001D1FD6" w:rsidP="001D1FD6">
            <w:pPr>
              <w:jc w:val="right"/>
              <w:rPr>
                <w:b/>
                <w:bCs/>
                <w:sz w:val="18"/>
                <w:szCs w:val="18"/>
                <w:lang w:val="en-GB"/>
              </w:rPr>
            </w:pPr>
          </w:p>
        </w:tc>
        <w:tc>
          <w:tcPr>
            <w:tcW w:w="982" w:type="dxa"/>
            <w:vAlign w:val="bottom"/>
          </w:tcPr>
          <w:p w14:paraId="73282DCA" w14:textId="77777777" w:rsidR="001D1FD6" w:rsidRDefault="001D1FD6" w:rsidP="001D1FD6">
            <w:pPr>
              <w:jc w:val="right"/>
              <w:rPr>
                <w:sz w:val="18"/>
                <w:szCs w:val="18"/>
                <w:lang w:val="en-GB" w:eastAsia="zh-TW"/>
              </w:rPr>
            </w:pPr>
            <w:r>
              <w:rPr>
                <w:sz w:val="18"/>
                <w:szCs w:val="18"/>
                <w:lang w:val="nl-NL" w:eastAsia="nl-NL"/>
              </w:rPr>
              <w:t>416,158</w:t>
            </w:r>
            <w:r>
              <w:rPr>
                <w:rFonts w:ascii="Cambria Math" w:hAnsi="Cambria Math" w:cs="Cambria Math"/>
                <w:sz w:val="18"/>
                <w:szCs w:val="18"/>
                <w:lang w:val="en-GB"/>
              </w:rPr>
              <w:t>⁵</w:t>
            </w:r>
          </w:p>
        </w:tc>
        <w:tc>
          <w:tcPr>
            <w:tcW w:w="241" w:type="dxa"/>
            <w:vAlign w:val="bottom"/>
          </w:tcPr>
          <w:p w14:paraId="6771A2EE" w14:textId="77777777" w:rsidR="001D1FD6" w:rsidRDefault="001D1FD6" w:rsidP="001D1FD6">
            <w:pPr>
              <w:jc w:val="right"/>
              <w:rPr>
                <w:b/>
                <w:bCs/>
                <w:sz w:val="18"/>
                <w:szCs w:val="18"/>
                <w:lang w:val="en-GB"/>
              </w:rPr>
            </w:pPr>
          </w:p>
        </w:tc>
        <w:tc>
          <w:tcPr>
            <w:tcW w:w="892" w:type="dxa"/>
            <w:vAlign w:val="bottom"/>
          </w:tcPr>
          <w:p w14:paraId="0D846ABE" w14:textId="77777777" w:rsidR="001D1FD6" w:rsidRDefault="001D1FD6" w:rsidP="001D1FD6">
            <w:pPr>
              <w:jc w:val="right"/>
              <w:rPr>
                <w:sz w:val="18"/>
                <w:szCs w:val="18"/>
                <w:lang w:val="en-GB" w:eastAsia="zh-TW"/>
              </w:rPr>
            </w:pPr>
            <w:r>
              <w:rPr>
                <w:sz w:val="18"/>
                <w:szCs w:val="18"/>
                <w:lang w:val="nl-NL" w:eastAsia="nl-NL"/>
              </w:rPr>
              <w:t>548,838</w:t>
            </w:r>
          </w:p>
        </w:tc>
        <w:tc>
          <w:tcPr>
            <w:tcW w:w="232" w:type="dxa"/>
            <w:vAlign w:val="bottom"/>
          </w:tcPr>
          <w:p w14:paraId="2BFFAC2E" w14:textId="77777777" w:rsidR="001D1FD6" w:rsidRDefault="001D1FD6" w:rsidP="001D1FD6">
            <w:pPr>
              <w:jc w:val="right"/>
              <w:rPr>
                <w:b/>
                <w:bCs/>
                <w:sz w:val="18"/>
                <w:szCs w:val="18"/>
                <w:lang w:val="en-GB"/>
              </w:rPr>
            </w:pPr>
          </w:p>
        </w:tc>
        <w:tc>
          <w:tcPr>
            <w:tcW w:w="955" w:type="dxa"/>
            <w:vAlign w:val="bottom"/>
          </w:tcPr>
          <w:p w14:paraId="0A7D1A2F" w14:textId="77777777" w:rsidR="001D1FD6" w:rsidRDefault="001D1FD6" w:rsidP="001D1FD6">
            <w:pPr>
              <w:jc w:val="right"/>
              <w:rPr>
                <w:sz w:val="18"/>
                <w:szCs w:val="18"/>
                <w:lang w:val="en-GB" w:eastAsia="zh-TW"/>
              </w:rPr>
            </w:pPr>
            <w:r>
              <w:rPr>
                <w:sz w:val="18"/>
                <w:szCs w:val="18"/>
                <w:lang w:val="nl-NL" w:eastAsia="nl-NL"/>
              </w:rPr>
              <w:t>268,232</w:t>
            </w:r>
            <w:r>
              <w:rPr>
                <w:rFonts w:ascii="Cambria Math" w:hAnsi="Cambria Math" w:cs="Cambria Math"/>
                <w:sz w:val="18"/>
                <w:szCs w:val="18"/>
                <w:lang w:val="nl-NL" w:eastAsia="nl-NL"/>
              </w:rPr>
              <w:t>⁸</w:t>
            </w:r>
          </w:p>
        </w:tc>
      </w:tr>
      <w:tr w:rsidR="001D1FD6" w14:paraId="553C91A9" w14:textId="77777777" w:rsidTr="001D1FD6">
        <w:tc>
          <w:tcPr>
            <w:tcW w:w="2722" w:type="dxa"/>
            <w:vAlign w:val="bottom"/>
          </w:tcPr>
          <w:p w14:paraId="5FC1EDD0" w14:textId="77777777" w:rsidR="001D1FD6" w:rsidRDefault="001D1FD6" w:rsidP="001D1FD6">
            <w:pPr>
              <w:jc w:val="both"/>
              <w:rPr>
                <w:sz w:val="18"/>
                <w:szCs w:val="18"/>
                <w:lang w:val="en-GB" w:eastAsia="nl-NL"/>
              </w:rPr>
            </w:pPr>
            <w:r>
              <w:rPr>
                <w:sz w:val="18"/>
                <w:szCs w:val="18"/>
                <w:lang w:val="en-GB" w:eastAsia="nl-NL"/>
              </w:rPr>
              <w:t>Occupancy rate (%)</w:t>
            </w:r>
          </w:p>
        </w:tc>
        <w:tc>
          <w:tcPr>
            <w:tcW w:w="1119" w:type="dxa"/>
            <w:vAlign w:val="bottom"/>
          </w:tcPr>
          <w:p w14:paraId="2DCD30D6" w14:textId="77777777" w:rsidR="001D1FD6" w:rsidRDefault="001D1FD6" w:rsidP="001D1FD6">
            <w:pPr>
              <w:jc w:val="right"/>
              <w:rPr>
                <w:sz w:val="18"/>
                <w:szCs w:val="18"/>
                <w:lang w:val="en-GB" w:eastAsia="zh-TW"/>
              </w:rPr>
            </w:pPr>
            <w:r>
              <w:rPr>
                <w:sz w:val="18"/>
                <w:szCs w:val="18"/>
                <w:lang w:val="en-GB"/>
              </w:rPr>
              <w:t>100.0%²</w:t>
            </w:r>
          </w:p>
        </w:tc>
        <w:tc>
          <w:tcPr>
            <w:tcW w:w="253" w:type="dxa"/>
            <w:vAlign w:val="bottom"/>
          </w:tcPr>
          <w:p w14:paraId="33D74747" w14:textId="77777777" w:rsidR="001D1FD6" w:rsidRDefault="001D1FD6" w:rsidP="001D1FD6">
            <w:pPr>
              <w:jc w:val="right"/>
              <w:rPr>
                <w:b/>
                <w:bCs/>
                <w:sz w:val="18"/>
                <w:szCs w:val="18"/>
                <w:lang w:val="en-GB"/>
              </w:rPr>
            </w:pPr>
          </w:p>
        </w:tc>
        <w:tc>
          <w:tcPr>
            <w:tcW w:w="965" w:type="dxa"/>
            <w:vAlign w:val="bottom"/>
          </w:tcPr>
          <w:p w14:paraId="64D637D9" w14:textId="77777777" w:rsidR="001D1FD6" w:rsidRDefault="001D1FD6" w:rsidP="001D1FD6">
            <w:pPr>
              <w:jc w:val="right"/>
              <w:rPr>
                <w:b/>
                <w:bCs/>
                <w:sz w:val="18"/>
                <w:szCs w:val="18"/>
                <w:lang w:val="en-GB"/>
              </w:rPr>
            </w:pPr>
            <w:r>
              <w:rPr>
                <w:sz w:val="18"/>
                <w:szCs w:val="18"/>
                <w:lang w:val="en-GB"/>
              </w:rPr>
              <w:t>97.8%</w:t>
            </w:r>
            <w:r>
              <w:rPr>
                <w:rFonts w:ascii="Cambria Math" w:hAnsi="Cambria Math" w:cs="Cambria Math"/>
                <w:sz w:val="18"/>
                <w:szCs w:val="18"/>
                <w:lang w:val="en-GB"/>
              </w:rPr>
              <w:t>⁴</w:t>
            </w:r>
          </w:p>
        </w:tc>
        <w:tc>
          <w:tcPr>
            <w:tcW w:w="253" w:type="dxa"/>
            <w:vAlign w:val="bottom"/>
          </w:tcPr>
          <w:p w14:paraId="09295D7F" w14:textId="77777777" w:rsidR="001D1FD6" w:rsidRDefault="001D1FD6" w:rsidP="001D1FD6">
            <w:pPr>
              <w:jc w:val="right"/>
              <w:rPr>
                <w:b/>
                <w:bCs/>
                <w:sz w:val="18"/>
                <w:szCs w:val="18"/>
                <w:lang w:val="en-GB"/>
              </w:rPr>
            </w:pPr>
          </w:p>
        </w:tc>
        <w:tc>
          <w:tcPr>
            <w:tcW w:w="982" w:type="dxa"/>
            <w:vAlign w:val="bottom"/>
          </w:tcPr>
          <w:p w14:paraId="12F48690" w14:textId="77777777" w:rsidR="001D1FD6" w:rsidRDefault="001D1FD6" w:rsidP="001D1FD6">
            <w:pPr>
              <w:jc w:val="right"/>
              <w:rPr>
                <w:sz w:val="18"/>
                <w:szCs w:val="18"/>
                <w:lang w:val="en-GB" w:eastAsia="zh-TW"/>
              </w:rPr>
            </w:pPr>
            <w:r>
              <w:rPr>
                <w:sz w:val="18"/>
                <w:szCs w:val="18"/>
                <w:lang w:val="en-GB" w:eastAsia="nl-NL"/>
              </w:rPr>
              <w:t>98.8%</w:t>
            </w:r>
            <w:r>
              <w:rPr>
                <w:rFonts w:ascii="Cambria Math" w:hAnsi="Cambria Math" w:cs="Cambria Math"/>
                <w:sz w:val="18"/>
                <w:szCs w:val="18"/>
                <w:lang w:val="nl-NL" w:eastAsia="nl-NL"/>
              </w:rPr>
              <w:t>⁶</w:t>
            </w:r>
          </w:p>
        </w:tc>
        <w:tc>
          <w:tcPr>
            <w:tcW w:w="241" w:type="dxa"/>
            <w:vAlign w:val="bottom"/>
          </w:tcPr>
          <w:p w14:paraId="49DB0958" w14:textId="77777777" w:rsidR="001D1FD6" w:rsidRDefault="001D1FD6" w:rsidP="001D1FD6">
            <w:pPr>
              <w:jc w:val="right"/>
              <w:rPr>
                <w:b/>
                <w:bCs/>
                <w:sz w:val="18"/>
                <w:szCs w:val="18"/>
                <w:lang w:val="en-GB"/>
              </w:rPr>
            </w:pPr>
          </w:p>
        </w:tc>
        <w:tc>
          <w:tcPr>
            <w:tcW w:w="892" w:type="dxa"/>
            <w:vAlign w:val="bottom"/>
          </w:tcPr>
          <w:p w14:paraId="7302564C" w14:textId="77777777" w:rsidR="001D1FD6" w:rsidRDefault="001D1FD6" w:rsidP="001D1FD6">
            <w:pPr>
              <w:jc w:val="right"/>
              <w:rPr>
                <w:sz w:val="18"/>
                <w:szCs w:val="18"/>
                <w:lang w:val="en-GB" w:eastAsia="zh-TW"/>
              </w:rPr>
            </w:pPr>
            <w:r>
              <w:rPr>
                <w:sz w:val="18"/>
                <w:szCs w:val="18"/>
                <w:lang w:val="nl-NL" w:eastAsia="nl-NL"/>
              </w:rPr>
              <w:t>97.3%</w:t>
            </w:r>
          </w:p>
        </w:tc>
        <w:tc>
          <w:tcPr>
            <w:tcW w:w="232" w:type="dxa"/>
            <w:vAlign w:val="bottom"/>
          </w:tcPr>
          <w:p w14:paraId="3BB59FF0" w14:textId="77777777" w:rsidR="001D1FD6" w:rsidRDefault="001D1FD6" w:rsidP="001D1FD6">
            <w:pPr>
              <w:jc w:val="right"/>
              <w:rPr>
                <w:b/>
                <w:bCs/>
                <w:sz w:val="18"/>
                <w:szCs w:val="18"/>
                <w:lang w:val="en-GB"/>
              </w:rPr>
            </w:pPr>
          </w:p>
        </w:tc>
        <w:tc>
          <w:tcPr>
            <w:tcW w:w="955" w:type="dxa"/>
            <w:vAlign w:val="bottom"/>
          </w:tcPr>
          <w:p w14:paraId="41C59D9E" w14:textId="77777777" w:rsidR="001D1FD6" w:rsidRDefault="001D1FD6" w:rsidP="001D1FD6">
            <w:pPr>
              <w:jc w:val="right"/>
              <w:rPr>
                <w:sz w:val="18"/>
                <w:szCs w:val="18"/>
                <w:lang w:val="en-GB" w:eastAsia="zh-TW"/>
              </w:rPr>
            </w:pPr>
            <w:r>
              <w:rPr>
                <w:sz w:val="18"/>
                <w:szCs w:val="18"/>
                <w:lang w:val="nl-NL" w:eastAsia="nl-NL"/>
              </w:rPr>
              <w:t>94.0%</w:t>
            </w:r>
            <w:r>
              <w:rPr>
                <w:rFonts w:ascii="Cambria Math" w:hAnsi="Cambria Math" w:cs="Cambria Math"/>
                <w:sz w:val="18"/>
                <w:szCs w:val="18"/>
                <w:lang w:val="nl-NL" w:eastAsia="nl-NL"/>
              </w:rPr>
              <w:t>⁹</w:t>
            </w:r>
          </w:p>
        </w:tc>
      </w:tr>
    </w:tbl>
    <w:p w14:paraId="0FACE361" w14:textId="77777777" w:rsidR="001D1FD6" w:rsidRDefault="001D1FD6" w:rsidP="001D1FD6">
      <w:pPr>
        <w:jc w:val="both"/>
        <w:rPr>
          <w:b/>
          <w:bCs/>
          <w:sz w:val="18"/>
          <w:szCs w:val="18"/>
          <w:lang w:val="en-GB"/>
        </w:rPr>
      </w:pPr>
    </w:p>
    <w:bookmarkEnd w:id="44"/>
    <w:p w14:paraId="769BB1B0" w14:textId="7452796E" w:rsidR="001D1FD6" w:rsidRDefault="001D1FD6" w:rsidP="001D1FD6">
      <w:pPr>
        <w:tabs>
          <w:tab w:val="left" w:pos="232"/>
        </w:tabs>
        <w:ind w:left="195" w:hanging="195"/>
        <w:jc w:val="both"/>
        <w:rPr>
          <w:sz w:val="18"/>
          <w:szCs w:val="18"/>
          <w:lang w:val="en-GB"/>
        </w:rPr>
      </w:pPr>
      <w:r>
        <w:rPr>
          <w:sz w:val="18"/>
          <w:szCs w:val="18"/>
          <w:lang w:val="en-GB" w:eastAsia="nl-NL"/>
        </w:rPr>
        <w:t>¹</w:t>
      </w:r>
      <w:r>
        <w:rPr>
          <w:sz w:val="18"/>
          <w:szCs w:val="18"/>
          <w:lang w:val="en-GB"/>
        </w:rPr>
        <w:tab/>
        <w:t xml:space="preserve">During the first half of 2017 VGP sold 11 buildings, spread over 7 parks, to the Joint Venture. As at 30 June 2017 the Joint Venture’s property portfolio represented </w:t>
      </w:r>
      <w:r w:rsidRPr="001D1FD6">
        <w:rPr>
          <w:sz w:val="18"/>
          <w:szCs w:val="18"/>
          <w:lang w:val="en-GB"/>
        </w:rPr>
        <w:t>809,022 m² of completed buildings,</w:t>
      </w:r>
      <w:r>
        <w:rPr>
          <w:sz w:val="18"/>
          <w:szCs w:val="18"/>
          <w:lang w:val="en-GB"/>
        </w:rPr>
        <w:t xml:space="preserve"> which are under VGP’s management.</w:t>
      </w:r>
      <w:r w:rsidR="00115A39">
        <w:rPr>
          <w:sz w:val="18"/>
          <w:szCs w:val="18"/>
          <w:lang w:val="en-GB"/>
        </w:rPr>
        <w:t xml:space="preserve"> Excluding Estonia, the lettable area would be 287,463m².</w:t>
      </w:r>
    </w:p>
    <w:p w14:paraId="4DFCA8A5" w14:textId="77777777" w:rsidR="001D1FD6" w:rsidRDefault="001D1FD6" w:rsidP="001D1FD6">
      <w:pPr>
        <w:tabs>
          <w:tab w:val="left" w:pos="232"/>
        </w:tabs>
        <w:ind w:left="195" w:hanging="195"/>
        <w:jc w:val="both"/>
        <w:rPr>
          <w:sz w:val="18"/>
          <w:szCs w:val="18"/>
          <w:lang w:val="en-GB"/>
        </w:rPr>
      </w:pPr>
      <w:r>
        <w:rPr>
          <w:sz w:val="18"/>
          <w:szCs w:val="18"/>
          <w:lang w:val="en-GB"/>
        </w:rPr>
        <w:t>²</w:t>
      </w:r>
      <w:r>
        <w:rPr>
          <w:sz w:val="18"/>
          <w:szCs w:val="18"/>
          <w:lang w:val="en-GB"/>
        </w:rPr>
        <w:tab/>
        <w:t>Includes the respective Occupancy Rates of the Joint Venture as at 30 June 2017.</w:t>
      </w:r>
    </w:p>
    <w:p w14:paraId="70DE9795" w14:textId="77777777" w:rsidR="001D1FD6" w:rsidRDefault="001D1FD6" w:rsidP="001D1FD6">
      <w:pPr>
        <w:tabs>
          <w:tab w:val="left" w:pos="232"/>
        </w:tabs>
        <w:ind w:left="195" w:hanging="195"/>
        <w:jc w:val="both"/>
        <w:rPr>
          <w:sz w:val="18"/>
          <w:szCs w:val="18"/>
          <w:lang w:val="en-GB"/>
        </w:rPr>
      </w:pPr>
      <w:r>
        <w:rPr>
          <w:sz w:val="18"/>
          <w:szCs w:val="18"/>
          <w:lang w:val="en-GB"/>
        </w:rPr>
        <w:t>³</w:t>
      </w:r>
      <w:r>
        <w:rPr>
          <w:sz w:val="18"/>
          <w:szCs w:val="18"/>
          <w:lang w:val="en-GB"/>
        </w:rPr>
        <w:tab/>
        <w:t>During the first half of 2016, VGP sold 28 buildings, spread over 15 parks, to the Joint Venture. As at 30 June 2016 the Joint Venture’s property portfolio represented 508,822 m², which are under VGP’s management.</w:t>
      </w:r>
    </w:p>
    <w:p w14:paraId="266A2092" w14:textId="77777777" w:rsidR="001D1FD6" w:rsidRDefault="001D1FD6" w:rsidP="001D1FD6">
      <w:pPr>
        <w:tabs>
          <w:tab w:val="left" w:pos="232"/>
        </w:tabs>
        <w:ind w:left="195" w:hanging="195"/>
        <w:jc w:val="both"/>
        <w:rPr>
          <w:rFonts w:eastAsiaTheme="minorHAnsi"/>
          <w:iCs/>
          <w:sz w:val="18"/>
          <w:szCs w:val="18"/>
          <w:lang w:val="en-GB"/>
        </w:rPr>
      </w:pPr>
      <w:r>
        <w:rPr>
          <w:rFonts w:ascii="Cambria Math" w:hAnsi="Cambria Math" w:cs="Cambria Math"/>
          <w:sz w:val="18"/>
          <w:szCs w:val="18"/>
          <w:lang w:val="en-GB"/>
        </w:rPr>
        <w:t>⁴</w:t>
      </w:r>
      <w:r>
        <w:rPr>
          <w:sz w:val="18"/>
          <w:szCs w:val="18"/>
          <w:lang w:val="en-GB"/>
        </w:rPr>
        <w:tab/>
        <w:t xml:space="preserve">Includes the respective Occupancy Rates of the Joint Venture as at 30 June 2016. </w:t>
      </w:r>
      <w:r>
        <w:rPr>
          <w:rFonts w:eastAsiaTheme="minorHAnsi"/>
          <w:iCs/>
          <w:sz w:val="18"/>
          <w:szCs w:val="18"/>
          <w:lang w:val="en-GB"/>
        </w:rPr>
        <w:t>Excluding the Joint Venture, the Occupancy Rate would be 91.8% as at 30 June 2016.</w:t>
      </w:r>
    </w:p>
    <w:p w14:paraId="50705B2D" w14:textId="77777777" w:rsidR="001D1FD6" w:rsidRDefault="001D1FD6" w:rsidP="001D1FD6">
      <w:pPr>
        <w:tabs>
          <w:tab w:val="left" w:pos="232"/>
        </w:tabs>
        <w:ind w:left="195" w:hanging="195"/>
        <w:jc w:val="both"/>
        <w:rPr>
          <w:sz w:val="18"/>
          <w:szCs w:val="18"/>
          <w:lang w:val="en-GB"/>
        </w:rPr>
      </w:pPr>
      <w:r>
        <w:rPr>
          <w:rFonts w:ascii="Cambria Math" w:hAnsi="Cambria Math" w:cs="Cambria Math"/>
          <w:sz w:val="18"/>
          <w:szCs w:val="18"/>
          <w:lang w:val="en-GB"/>
        </w:rPr>
        <w:t>⁵</w:t>
      </w:r>
      <w:r>
        <w:rPr>
          <w:sz w:val="18"/>
          <w:szCs w:val="18"/>
          <w:lang w:val="en-GB"/>
        </w:rPr>
        <w:tab/>
        <w:t>During second half of 2016 VGP sold 5 buildings to the Joint Venture. As at 31 December 2016 the Joint Venture’s property portfolio represented 593,454 m², which are under VGP’s management.</w:t>
      </w:r>
    </w:p>
    <w:p w14:paraId="0166BAE6" w14:textId="77777777" w:rsidR="001D1FD6" w:rsidRDefault="001D1FD6" w:rsidP="001D1FD6">
      <w:pPr>
        <w:tabs>
          <w:tab w:val="left" w:pos="232"/>
        </w:tabs>
        <w:ind w:left="195" w:hanging="195"/>
        <w:jc w:val="both"/>
        <w:rPr>
          <w:sz w:val="18"/>
          <w:szCs w:val="18"/>
          <w:lang w:val="en-GB"/>
        </w:rPr>
      </w:pPr>
      <w:r>
        <w:rPr>
          <w:rFonts w:ascii="Cambria Math" w:hAnsi="Cambria Math" w:cs="Cambria Math"/>
          <w:sz w:val="18"/>
          <w:szCs w:val="18"/>
          <w:lang w:val="en-GB"/>
        </w:rPr>
        <w:t>⁶</w:t>
      </w:r>
      <w:r>
        <w:rPr>
          <w:sz w:val="18"/>
          <w:szCs w:val="18"/>
          <w:lang w:val="en-GB"/>
        </w:rPr>
        <w:tab/>
        <w:t xml:space="preserve">Includes the respective Occupancy Rates of the Joint Venture as at 31 December 2016. </w:t>
      </w:r>
      <w:r>
        <w:rPr>
          <w:rFonts w:eastAsiaTheme="minorHAnsi"/>
          <w:iCs/>
          <w:sz w:val="18"/>
          <w:szCs w:val="18"/>
          <w:lang w:val="en-GB"/>
        </w:rPr>
        <w:t>Excluding the Joint Venture, the Occupancy Rate would be 97.0% as at 31 December 2016.</w:t>
      </w:r>
    </w:p>
    <w:p w14:paraId="5D1CAC18" w14:textId="6B0BE63A" w:rsidR="001D1FD6" w:rsidRDefault="001D1FD6" w:rsidP="001D1FD6">
      <w:pPr>
        <w:tabs>
          <w:tab w:val="left" w:pos="232"/>
        </w:tabs>
        <w:ind w:left="195" w:hanging="195"/>
        <w:jc w:val="both"/>
        <w:rPr>
          <w:sz w:val="18"/>
          <w:szCs w:val="18"/>
          <w:lang w:val="en-GB"/>
        </w:rPr>
      </w:pPr>
      <w:r>
        <w:rPr>
          <w:rFonts w:ascii="Cambria Math" w:hAnsi="Cambria Math" w:cs="Cambria Math"/>
          <w:sz w:val="18"/>
          <w:szCs w:val="18"/>
          <w:lang w:val="en-GB"/>
        </w:rPr>
        <w:t>⁷</w:t>
      </w:r>
      <w:r>
        <w:rPr>
          <w:sz w:val="18"/>
          <w:szCs w:val="18"/>
          <w:lang w:val="en-GB"/>
        </w:rPr>
        <w:tab/>
        <w:t xml:space="preserve">As at 22 October 2014 the associated companies </w:t>
      </w:r>
      <w:r w:rsidR="00823A53">
        <w:rPr>
          <w:sz w:val="18"/>
          <w:szCs w:val="18"/>
          <w:lang w:val="en-GB"/>
        </w:rPr>
        <w:t xml:space="preserve">Snow Crystal </w:t>
      </w:r>
      <w:proofErr w:type="spellStart"/>
      <w:r w:rsidR="00823A53">
        <w:rPr>
          <w:sz w:val="18"/>
          <w:szCs w:val="18"/>
          <w:lang w:val="en-GB"/>
        </w:rPr>
        <w:t>S.à</w:t>
      </w:r>
      <w:proofErr w:type="spellEnd"/>
      <w:r w:rsidR="00823A53">
        <w:rPr>
          <w:sz w:val="18"/>
          <w:szCs w:val="18"/>
          <w:lang w:val="en-GB"/>
        </w:rPr>
        <w:t xml:space="preserve"> </w:t>
      </w:r>
      <w:proofErr w:type="spellStart"/>
      <w:r w:rsidR="00823A53">
        <w:rPr>
          <w:sz w:val="18"/>
          <w:szCs w:val="18"/>
          <w:lang w:val="en-GB"/>
        </w:rPr>
        <w:t>r.l</w:t>
      </w:r>
      <w:proofErr w:type="spellEnd"/>
      <w:r w:rsidR="00823A53">
        <w:rPr>
          <w:sz w:val="18"/>
          <w:szCs w:val="18"/>
          <w:lang w:val="en-GB"/>
        </w:rPr>
        <w:t xml:space="preserve">. and SUN </w:t>
      </w:r>
      <w:proofErr w:type="spellStart"/>
      <w:r w:rsidR="00823A53">
        <w:rPr>
          <w:sz w:val="18"/>
          <w:szCs w:val="18"/>
          <w:lang w:val="en-GB"/>
        </w:rPr>
        <w:t>S.à</w:t>
      </w:r>
      <w:proofErr w:type="spellEnd"/>
      <w:r w:rsidR="00823A53">
        <w:rPr>
          <w:sz w:val="18"/>
          <w:szCs w:val="18"/>
          <w:lang w:val="en-GB"/>
        </w:rPr>
        <w:t xml:space="preserve"> </w:t>
      </w:r>
      <w:proofErr w:type="spellStart"/>
      <w:r w:rsidR="00823A53">
        <w:rPr>
          <w:sz w:val="18"/>
          <w:szCs w:val="18"/>
          <w:lang w:val="en-GB"/>
        </w:rPr>
        <w:t>r.l</w:t>
      </w:r>
      <w:proofErr w:type="spellEnd"/>
      <w:r w:rsidR="00823A53">
        <w:rPr>
          <w:sz w:val="18"/>
          <w:szCs w:val="18"/>
          <w:lang w:val="en-GB"/>
        </w:rPr>
        <w:t xml:space="preserve">., in which the Group held 20%, </w:t>
      </w:r>
      <w:r>
        <w:rPr>
          <w:sz w:val="18"/>
          <w:szCs w:val="18"/>
          <w:lang w:val="en-GB"/>
        </w:rPr>
        <w:t>sold their respective property portfolios which represented 627,523 m² of lettable area which were under VGP’s management (627,527 m² of assets under management as at 31 December 2013).</w:t>
      </w:r>
    </w:p>
    <w:p w14:paraId="30030ACF" w14:textId="4FA83454" w:rsidR="001D1FD6" w:rsidRDefault="001D1FD6" w:rsidP="001D1FD6">
      <w:pPr>
        <w:tabs>
          <w:tab w:val="left" w:pos="232"/>
        </w:tabs>
        <w:ind w:left="195" w:hanging="195"/>
        <w:jc w:val="both"/>
        <w:rPr>
          <w:sz w:val="18"/>
          <w:szCs w:val="18"/>
          <w:lang w:val="en-GB"/>
        </w:rPr>
      </w:pPr>
      <w:r>
        <w:rPr>
          <w:rFonts w:ascii="Cambria Math" w:hAnsi="Cambria Math" w:cs="Cambria Math"/>
          <w:sz w:val="18"/>
          <w:szCs w:val="18"/>
          <w:lang w:val="en-GB"/>
        </w:rPr>
        <w:t>⁸</w:t>
      </w:r>
      <w:r>
        <w:rPr>
          <w:sz w:val="18"/>
          <w:szCs w:val="18"/>
          <w:lang w:val="en-GB"/>
        </w:rPr>
        <w:tab/>
        <w:t xml:space="preserve">Excludes the effects of the portfolio sold by Snow Crystal </w:t>
      </w:r>
      <w:proofErr w:type="spellStart"/>
      <w:r>
        <w:rPr>
          <w:sz w:val="18"/>
          <w:szCs w:val="18"/>
          <w:lang w:val="en-GB"/>
        </w:rPr>
        <w:t>S.à</w:t>
      </w:r>
      <w:proofErr w:type="spellEnd"/>
      <w:r>
        <w:rPr>
          <w:sz w:val="18"/>
          <w:szCs w:val="18"/>
          <w:lang w:val="en-GB"/>
        </w:rPr>
        <w:t xml:space="preserve"> </w:t>
      </w:r>
      <w:proofErr w:type="spellStart"/>
      <w:r>
        <w:rPr>
          <w:sz w:val="18"/>
          <w:szCs w:val="18"/>
          <w:lang w:val="en-GB"/>
        </w:rPr>
        <w:t>r.l</w:t>
      </w:r>
      <w:proofErr w:type="spellEnd"/>
      <w:r>
        <w:rPr>
          <w:sz w:val="18"/>
          <w:szCs w:val="18"/>
          <w:lang w:val="en-GB"/>
        </w:rPr>
        <w:t>.</w:t>
      </w:r>
      <w:r w:rsidR="00823A53">
        <w:rPr>
          <w:sz w:val="18"/>
          <w:szCs w:val="18"/>
          <w:lang w:val="en-GB"/>
        </w:rPr>
        <w:t xml:space="preserve"> and</w:t>
      </w:r>
      <w:r>
        <w:rPr>
          <w:sz w:val="18"/>
          <w:szCs w:val="18"/>
          <w:lang w:val="en-GB"/>
        </w:rPr>
        <w:t xml:space="preserve"> SUN </w:t>
      </w:r>
      <w:proofErr w:type="spellStart"/>
      <w:r>
        <w:rPr>
          <w:sz w:val="18"/>
          <w:szCs w:val="18"/>
          <w:lang w:val="en-GB"/>
        </w:rPr>
        <w:t>S.à</w:t>
      </w:r>
      <w:proofErr w:type="spellEnd"/>
      <w:r>
        <w:rPr>
          <w:sz w:val="18"/>
          <w:szCs w:val="18"/>
          <w:lang w:val="en-GB"/>
        </w:rPr>
        <w:t xml:space="preserve"> </w:t>
      </w:r>
      <w:proofErr w:type="spellStart"/>
      <w:r>
        <w:rPr>
          <w:sz w:val="18"/>
          <w:szCs w:val="18"/>
          <w:lang w:val="en-GB"/>
        </w:rPr>
        <w:t>r.l</w:t>
      </w:r>
      <w:proofErr w:type="spellEnd"/>
      <w:r>
        <w:rPr>
          <w:sz w:val="18"/>
          <w:szCs w:val="18"/>
          <w:lang w:val="en-GB"/>
        </w:rPr>
        <w:t>. in 2014. The year 2013 includes the respective Occupancy</w:t>
      </w:r>
      <w:r w:rsidR="00823A53">
        <w:rPr>
          <w:sz w:val="18"/>
          <w:szCs w:val="18"/>
          <w:lang w:val="en-GB"/>
        </w:rPr>
        <w:t xml:space="preserve"> Rates of Snow Crystal </w:t>
      </w:r>
      <w:proofErr w:type="spellStart"/>
      <w:r w:rsidR="00823A53">
        <w:rPr>
          <w:sz w:val="18"/>
          <w:szCs w:val="18"/>
          <w:lang w:val="en-GB"/>
        </w:rPr>
        <w:t>S.à</w:t>
      </w:r>
      <w:proofErr w:type="spellEnd"/>
      <w:r w:rsidR="00823A53">
        <w:rPr>
          <w:sz w:val="18"/>
          <w:szCs w:val="18"/>
          <w:lang w:val="en-GB"/>
        </w:rPr>
        <w:t xml:space="preserve"> </w:t>
      </w:r>
      <w:proofErr w:type="spellStart"/>
      <w:r w:rsidR="00823A53">
        <w:rPr>
          <w:sz w:val="18"/>
          <w:szCs w:val="18"/>
          <w:lang w:val="en-GB"/>
        </w:rPr>
        <w:t>r.l</w:t>
      </w:r>
      <w:proofErr w:type="spellEnd"/>
      <w:r w:rsidR="00823A53">
        <w:rPr>
          <w:sz w:val="18"/>
          <w:szCs w:val="18"/>
          <w:lang w:val="en-GB"/>
        </w:rPr>
        <w:t>. and</w:t>
      </w:r>
      <w:r>
        <w:rPr>
          <w:sz w:val="18"/>
          <w:szCs w:val="18"/>
          <w:lang w:val="en-GB"/>
        </w:rPr>
        <w:t xml:space="preserve"> SUN </w:t>
      </w:r>
      <w:proofErr w:type="spellStart"/>
      <w:r>
        <w:rPr>
          <w:sz w:val="18"/>
          <w:szCs w:val="18"/>
          <w:lang w:val="en-GB"/>
        </w:rPr>
        <w:t>S.à</w:t>
      </w:r>
      <w:proofErr w:type="spellEnd"/>
      <w:r>
        <w:rPr>
          <w:sz w:val="18"/>
          <w:szCs w:val="18"/>
          <w:lang w:val="en-GB"/>
        </w:rPr>
        <w:t xml:space="preserve"> </w:t>
      </w:r>
      <w:proofErr w:type="spellStart"/>
      <w:r>
        <w:rPr>
          <w:sz w:val="18"/>
          <w:szCs w:val="18"/>
          <w:lang w:val="en-GB"/>
        </w:rPr>
        <w:t>r.l</w:t>
      </w:r>
      <w:proofErr w:type="spellEnd"/>
      <w:r>
        <w:rPr>
          <w:sz w:val="18"/>
          <w:szCs w:val="18"/>
          <w:lang w:val="en-GB"/>
        </w:rPr>
        <w:t xml:space="preserve">. </w:t>
      </w:r>
      <w:r>
        <w:rPr>
          <w:rFonts w:eastAsiaTheme="minorHAnsi"/>
          <w:iCs/>
          <w:sz w:val="18"/>
          <w:szCs w:val="18"/>
          <w:lang w:val="en-GB"/>
        </w:rPr>
        <w:t>Ex</w:t>
      </w:r>
      <w:r w:rsidR="00823A53">
        <w:rPr>
          <w:rFonts w:eastAsiaTheme="minorHAnsi"/>
          <w:iCs/>
          <w:sz w:val="18"/>
          <w:szCs w:val="18"/>
          <w:lang w:val="en-GB"/>
        </w:rPr>
        <w:t xml:space="preserve">cluding Snow Crystal </w:t>
      </w:r>
      <w:proofErr w:type="spellStart"/>
      <w:r w:rsidR="00823A53">
        <w:rPr>
          <w:rFonts w:eastAsiaTheme="minorHAnsi"/>
          <w:iCs/>
          <w:sz w:val="18"/>
          <w:szCs w:val="18"/>
          <w:lang w:val="en-GB"/>
        </w:rPr>
        <w:t>S.à</w:t>
      </w:r>
      <w:proofErr w:type="spellEnd"/>
      <w:r w:rsidR="00823A53">
        <w:rPr>
          <w:rFonts w:eastAsiaTheme="minorHAnsi"/>
          <w:iCs/>
          <w:sz w:val="18"/>
          <w:szCs w:val="18"/>
          <w:lang w:val="en-GB"/>
        </w:rPr>
        <w:t xml:space="preserve"> </w:t>
      </w:r>
      <w:proofErr w:type="spellStart"/>
      <w:r w:rsidR="00823A53">
        <w:rPr>
          <w:rFonts w:eastAsiaTheme="minorHAnsi"/>
          <w:iCs/>
          <w:sz w:val="18"/>
          <w:szCs w:val="18"/>
          <w:lang w:val="en-GB"/>
        </w:rPr>
        <w:t>r.l</w:t>
      </w:r>
      <w:proofErr w:type="spellEnd"/>
      <w:r w:rsidR="00823A53">
        <w:rPr>
          <w:rFonts w:eastAsiaTheme="minorHAnsi"/>
          <w:iCs/>
          <w:sz w:val="18"/>
          <w:szCs w:val="18"/>
          <w:lang w:val="en-GB"/>
        </w:rPr>
        <w:t>. and</w:t>
      </w:r>
      <w:r>
        <w:rPr>
          <w:rFonts w:eastAsiaTheme="minorHAnsi"/>
          <w:iCs/>
          <w:sz w:val="18"/>
          <w:szCs w:val="18"/>
          <w:lang w:val="en-GB"/>
        </w:rPr>
        <w:t xml:space="preserve"> SUN </w:t>
      </w:r>
      <w:proofErr w:type="spellStart"/>
      <w:r>
        <w:rPr>
          <w:rFonts w:eastAsiaTheme="minorHAnsi"/>
          <w:iCs/>
          <w:sz w:val="18"/>
          <w:szCs w:val="18"/>
          <w:lang w:val="en-GB"/>
        </w:rPr>
        <w:t>S.à</w:t>
      </w:r>
      <w:proofErr w:type="spellEnd"/>
      <w:r>
        <w:rPr>
          <w:rFonts w:eastAsiaTheme="minorHAnsi"/>
          <w:iCs/>
          <w:sz w:val="18"/>
          <w:szCs w:val="18"/>
          <w:lang w:val="en-GB"/>
        </w:rPr>
        <w:t xml:space="preserve"> </w:t>
      </w:r>
      <w:proofErr w:type="spellStart"/>
      <w:r>
        <w:rPr>
          <w:rFonts w:eastAsiaTheme="minorHAnsi"/>
          <w:iCs/>
          <w:sz w:val="18"/>
          <w:szCs w:val="18"/>
          <w:lang w:val="en-GB"/>
        </w:rPr>
        <w:t>r.l</w:t>
      </w:r>
      <w:proofErr w:type="spellEnd"/>
      <w:r>
        <w:rPr>
          <w:rFonts w:eastAsiaTheme="minorHAnsi"/>
          <w:iCs/>
          <w:sz w:val="18"/>
          <w:szCs w:val="18"/>
          <w:lang w:val="en-GB"/>
        </w:rPr>
        <w:t>., the Occupancy Rate would be 96.9% as at 31 December 2013.</w:t>
      </w:r>
    </w:p>
    <w:p w14:paraId="7FC27053" w14:textId="77777777" w:rsidR="001D1FD6" w:rsidRDefault="001D1FD6" w:rsidP="001D1FD6">
      <w:pPr>
        <w:spacing w:after="240"/>
        <w:ind w:firstLine="720"/>
        <w:jc w:val="both"/>
        <w:rPr>
          <w:bCs/>
          <w:sz w:val="18"/>
          <w:szCs w:val="18"/>
        </w:rPr>
      </w:pPr>
    </w:p>
    <w:p w14:paraId="615C2B25" w14:textId="20D3C567" w:rsidR="001D1FD6" w:rsidRDefault="001D1FD6" w:rsidP="001D1FD6">
      <w:pPr>
        <w:spacing w:after="240"/>
        <w:ind w:firstLine="720"/>
        <w:jc w:val="both"/>
        <w:rPr>
          <w:bCs/>
          <w:sz w:val="18"/>
          <w:szCs w:val="18"/>
        </w:rPr>
      </w:pPr>
      <w:r>
        <w:rPr>
          <w:bCs/>
          <w:sz w:val="18"/>
          <w:szCs w:val="18"/>
        </w:rPr>
        <w:t xml:space="preserve">The following table sets forth the share of the Group's future lease income on an </w:t>
      </w:r>
      <w:proofErr w:type="spellStart"/>
      <w:r>
        <w:rPr>
          <w:bCs/>
          <w:sz w:val="18"/>
          <w:szCs w:val="18"/>
        </w:rPr>
        <w:t>annualised</w:t>
      </w:r>
      <w:proofErr w:type="spellEnd"/>
      <w:r>
        <w:rPr>
          <w:bCs/>
          <w:sz w:val="18"/>
          <w:szCs w:val="18"/>
        </w:rPr>
        <w:t xml:space="preserve"> basis by remaining maturity as of 30 June 2017 and 31 December 2016</w:t>
      </w:r>
      <w:r w:rsidR="00F0739B">
        <w:rPr>
          <w:bCs/>
          <w:sz w:val="18"/>
          <w:szCs w:val="18"/>
        </w:rPr>
        <w:t>:</w:t>
      </w:r>
    </w:p>
    <w:tbl>
      <w:tblPr>
        <w:tblW w:w="9470" w:type="dxa"/>
        <w:tblLayout w:type="fixed"/>
        <w:tblCellMar>
          <w:left w:w="0" w:type="dxa"/>
          <w:right w:w="0" w:type="dxa"/>
        </w:tblCellMar>
        <w:tblLook w:val="04A0" w:firstRow="1" w:lastRow="0" w:firstColumn="1" w:lastColumn="0" w:noHBand="0" w:noVBand="1"/>
      </w:tblPr>
      <w:tblGrid>
        <w:gridCol w:w="3780"/>
        <w:gridCol w:w="1530"/>
        <w:gridCol w:w="1260"/>
        <w:gridCol w:w="55"/>
        <w:gridCol w:w="1205"/>
        <w:gridCol w:w="1620"/>
        <w:gridCol w:w="20"/>
      </w:tblGrid>
      <w:tr w:rsidR="001D1FD6" w:rsidRPr="001D1FD6" w14:paraId="2C34CB55" w14:textId="77777777" w:rsidTr="001D1FD6">
        <w:trPr>
          <w:trHeight w:val="223"/>
        </w:trPr>
        <w:tc>
          <w:tcPr>
            <w:tcW w:w="3780" w:type="dxa"/>
            <w:vAlign w:val="center"/>
          </w:tcPr>
          <w:p w14:paraId="27F0022F" w14:textId="77777777" w:rsidR="001D1FD6" w:rsidRPr="001D1FD6" w:rsidRDefault="001D1FD6" w:rsidP="001D1FD6">
            <w:pPr>
              <w:jc w:val="center"/>
              <w:rPr>
                <w:rFonts w:eastAsia="PMingLiU"/>
                <w:b/>
                <w:bCs/>
                <w:sz w:val="18"/>
                <w:szCs w:val="18"/>
                <w:lang w:val="en-GB" w:eastAsia="zh-TW"/>
              </w:rPr>
            </w:pPr>
          </w:p>
        </w:tc>
        <w:tc>
          <w:tcPr>
            <w:tcW w:w="2790" w:type="dxa"/>
            <w:gridSpan w:val="2"/>
            <w:vAlign w:val="center"/>
          </w:tcPr>
          <w:p w14:paraId="3D909373" w14:textId="5558DD18" w:rsidR="001D1FD6" w:rsidRPr="001D1FD6" w:rsidRDefault="001D1FD6" w:rsidP="001D1FD6">
            <w:pPr>
              <w:jc w:val="center"/>
              <w:rPr>
                <w:rFonts w:eastAsia="PMingLiU"/>
                <w:b/>
                <w:bCs/>
                <w:sz w:val="18"/>
                <w:szCs w:val="18"/>
                <w:lang w:val="en-GB" w:eastAsia="zh-TW"/>
              </w:rPr>
            </w:pPr>
            <w:r w:rsidRPr="001D1FD6">
              <w:rPr>
                <w:rFonts w:eastAsia="PMingLiU"/>
                <w:b/>
                <w:bCs/>
                <w:sz w:val="18"/>
                <w:szCs w:val="18"/>
                <w:lang w:val="en-GB" w:eastAsia="zh-TW"/>
              </w:rPr>
              <w:t>As at 30-Jun</w:t>
            </w:r>
          </w:p>
        </w:tc>
        <w:tc>
          <w:tcPr>
            <w:tcW w:w="2900" w:type="dxa"/>
            <w:gridSpan w:val="4"/>
            <w:vAlign w:val="center"/>
          </w:tcPr>
          <w:p w14:paraId="6E757C77" w14:textId="7510BA55" w:rsidR="001D1FD6" w:rsidRPr="001D1FD6" w:rsidRDefault="001D1FD6" w:rsidP="001D1FD6">
            <w:pPr>
              <w:jc w:val="center"/>
              <w:rPr>
                <w:rFonts w:eastAsia="PMingLiU"/>
                <w:b/>
                <w:bCs/>
                <w:sz w:val="18"/>
                <w:szCs w:val="18"/>
                <w:lang w:val="en-GB" w:eastAsia="zh-TW"/>
              </w:rPr>
            </w:pPr>
            <w:r w:rsidRPr="001D1FD6">
              <w:rPr>
                <w:rFonts w:eastAsia="PMingLiU"/>
                <w:b/>
                <w:bCs/>
                <w:sz w:val="18"/>
                <w:szCs w:val="18"/>
                <w:lang w:val="en-GB" w:eastAsia="zh-TW"/>
              </w:rPr>
              <w:t>As at 31-Dec</w:t>
            </w:r>
          </w:p>
        </w:tc>
      </w:tr>
      <w:tr w:rsidR="001D1FD6" w14:paraId="0FADEBB9" w14:textId="77777777" w:rsidTr="001D1FD6">
        <w:trPr>
          <w:trHeight w:val="282"/>
        </w:trPr>
        <w:tc>
          <w:tcPr>
            <w:tcW w:w="3780" w:type="dxa"/>
            <w:vAlign w:val="center"/>
          </w:tcPr>
          <w:p w14:paraId="1CA0FA8A" w14:textId="77777777" w:rsidR="001D1FD6" w:rsidRDefault="001D1FD6" w:rsidP="001D1FD6">
            <w:pPr>
              <w:keepNext/>
              <w:keepLines/>
              <w:tabs>
                <w:tab w:val="right" w:leader="dot" w:pos="4403"/>
              </w:tabs>
              <w:spacing w:before="60" w:after="47" w:line="176" w:lineRule="exact"/>
              <w:ind w:left="29"/>
              <w:jc w:val="both"/>
              <w:textAlignment w:val="baseline"/>
              <w:rPr>
                <w:rFonts w:eastAsia="Verdana" w:cs="Arabic Transparent"/>
                <w:i/>
                <w:color w:val="000000"/>
                <w:sz w:val="18"/>
                <w:szCs w:val="18"/>
                <w:lang w:val="en-GB"/>
              </w:rPr>
            </w:pPr>
          </w:p>
        </w:tc>
        <w:tc>
          <w:tcPr>
            <w:tcW w:w="2845" w:type="dxa"/>
            <w:gridSpan w:val="3"/>
          </w:tcPr>
          <w:p w14:paraId="66B83987" w14:textId="77777777" w:rsidR="001D1FD6" w:rsidRDefault="001D1FD6" w:rsidP="001D1FD6">
            <w:pPr>
              <w:keepNext/>
              <w:keepLines/>
              <w:spacing w:before="56" w:after="41" w:line="176" w:lineRule="exact"/>
              <w:jc w:val="center"/>
              <w:textAlignment w:val="baseline"/>
              <w:rPr>
                <w:rFonts w:eastAsia="Verdana" w:cs="Arabic Transparent"/>
                <w:b/>
                <w:color w:val="000000"/>
                <w:sz w:val="18"/>
                <w:szCs w:val="18"/>
                <w:lang w:val="en-GB"/>
              </w:rPr>
            </w:pPr>
            <w:r>
              <w:rPr>
                <w:rFonts w:eastAsia="Verdana" w:cs="Arabic Transparent"/>
                <w:b/>
                <w:color w:val="000000"/>
                <w:sz w:val="18"/>
                <w:szCs w:val="18"/>
                <w:lang w:val="en-GB"/>
              </w:rPr>
              <w:t>2017</w:t>
            </w:r>
          </w:p>
        </w:tc>
        <w:tc>
          <w:tcPr>
            <w:tcW w:w="2845" w:type="dxa"/>
            <w:gridSpan w:val="3"/>
          </w:tcPr>
          <w:p w14:paraId="4483CF21" w14:textId="77777777" w:rsidR="001D1FD6" w:rsidRDefault="001D1FD6" w:rsidP="001D1FD6">
            <w:pPr>
              <w:keepNext/>
              <w:keepLines/>
              <w:spacing w:before="56" w:after="41" w:line="176" w:lineRule="exact"/>
              <w:jc w:val="center"/>
              <w:textAlignment w:val="baseline"/>
              <w:rPr>
                <w:rFonts w:eastAsia="Verdana" w:cs="Arabic Transparent"/>
                <w:b/>
                <w:color w:val="000000"/>
                <w:sz w:val="18"/>
                <w:szCs w:val="18"/>
                <w:lang w:val="en-GB"/>
              </w:rPr>
            </w:pPr>
            <w:r>
              <w:rPr>
                <w:rFonts w:eastAsia="Verdana" w:cs="Arabic Transparent"/>
                <w:b/>
                <w:color w:val="000000"/>
                <w:sz w:val="18"/>
                <w:szCs w:val="18"/>
                <w:lang w:val="en-GB"/>
              </w:rPr>
              <w:t>2016</w:t>
            </w:r>
          </w:p>
        </w:tc>
      </w:tr>
      <w:tr w:rsidR="001D1FD6" w14:paraId="4D55C3A3" w14:textId="77777777" w:rsidTr="001D1FD6">
        <w:trPr>
          <w:trHeight w:val="370"/>
        </w:trPr>
        <w:tc>
          <w:tcPr>
            <w:tcW w:w="3780" w:type="dxa"/>
            <w:vAlign w:val="center"/>
          </w:tcPr>
          <w:p w14:paraId="1E38DDAB" w14:textId="77777777" w:rsidR="001D1FD6" w:rsidRDefault="001D1FD6" w:rsidP="001D1FD6">
            <w:pPr>
              <w:keepNext/>
              <w:keepLines/>
              <w:tabs>
                <w:tab w:val="right" w:leader="dot" w:pos="4403"/>
              </w:tabs>
              <w:spacing w:before="60" w:after="47" w:line="176" w:lineRule="exact"/>
              <w:ind w:left="29"/>
              <w:jc w:val="both"/>
              <w:textAlignment w:val="baseline"/>
              <w:rPr>
                <w:rFonts w:eastAsia="Verdana" w:cs="Arabic Transparent"/>
                <w:i/>
                <w:color w:val="000000"/>
                <w:sz w:val="18"/>
                <w:szCs w:val="18"/>
                <w:lang w:val="en-GB"/>
              </w:rPr>
            </w:pPr>
          </w:p>
        </w:tc>
        <w:tc>
          <w:tcPr>
            <w:tcW w:w="1530" w:type="dxa"/>
          </w:tcPr>
          <w:p w14:paraId="069CAB36" w14:textId="77777777" w:rsidR="001D1FD6" w:rsidRDefault="001D1FD6" w:rsidP="001D1FD6">
            <w:pPr>
              <w:keepNext/>
              <w:keepLines/>
              <w:spacing w:before="56" w:after="41" w:line="176" w:lineRule="exact"/>
              <w:jc w:val="center"/>
              <w:textAlignment w:val="baseline"/>
              <w:rPr>
                <w:rFonts w:eastAsia="Verdana" w:cs="Arabic Transparent"/>
                <w:i/>
                <w:color w:val="000000"/>
                <w:sz w:val="18"/>
                <w:szCs w:val="18"/>
                <w:lang w:val="en-GB"/>
              </w:rPr>
            </w:pPr>
            <w:r>
              <w:rPr>
                <w:rFonts w:eastAsia="Verdana" w:cs="Arabic Transparent"/>
                <w:i/>
                <w:color w:val="000000"/>
                <w:sz w:val="18"/>
                <w:szCs w:val="18"/>
                <w:lang w:val="en-GB"/>
              </w:rPr>
              <w:t xml:space="preserve">(in thousands of </w:t>
            </w:r>
            <w:r>
              <w:rPr>
                <w:rFonts w:eastAsia="Verdana" w:cs="Arabic Transparent"/>
                <w:color w:val="000000"/>
                <w:sz w:val="18"/>
                <w:szCs w:val="18"/>
                <w:lang w:val="en-GB"/>
              </w:rPr>
              <w:t>€)</w:t>
            </w:r>
          </w:p>
        </w:tc>
        <w:tc>
          <w:tcPr>
            <w:tcW w:w="1315" w:type="dxa"/>
            <w:gridSpan w:val="2"/>
          </w:tcPr>
          <w:p w14:paraId="4360F209" w14:textId="77777777" w:rsidR="001D1FD6" w:rsidRDefault="001D1FD6" w:rsidP="001D1FD6">
            <w:pPr>
              <w:keepNext/>
              <w:keepLines/>
              <w:spacing w:before="56" w:after="41" w:line="176" w:lineRule="exact"/>
              <w:jc w:val="center"/>
              <w:textAlignment w:val="baseline"/>
              <w:rPr>
                <w:rFonts w:eastAsia="Verdana" w:cs="Arabic Transparent"/>
                <w:i/>
                <w:color w:val="000000"/>
                <w:sz w:val="18"/>
                <w:szCs w:val="18"/>
                <w:lang w:val="en-GB"/>
              </w:rPr>
            </w:pPr>
            <w:r>
              <w:rPr>
                <w:rFonts w:eastAsia="Verdana" w:cs="Arabic Transparent"/>
                <w:i/>
                <w:color w:val="000000"/>
                <w:sz w:val="18"/>
                <w:szCs w:val="18"/>
                <w:lang w:val="en-GB"/>
              </w:rPr>
              <w:t>%</w:t>
            </w:r>
          </w:p>
        </w:tc>
        <w:tc>
          <w:tcPr>
            <w:tcW w:w="1205" w:type="dxa"/>
          </w:tcPr>
          <w:p w14:paraId="79321EAE" w14:textId="77777777" w:rsidR="001D1FD6" w:rsidRDefault="001D1FD6" w:rsidP="001D1FD6">
            <w:pPr>
              <w:keepNext/>
              <w:keepLines/>
              <w:spacing w:before="56" w:after="41" w:line="176" w:lineRule="exact"/>
              <w:jc w:val="center"/>
              <w:textAlignment w:val="baseline"/>
              <w:rPr>
                <w:rFonts w:eastAsia="Verdana" w:cs="Arabic Transparent"/>
                <w:i/>
                <w:color w:val="000000"/>
                <w:sz w:val="18"/>
                <w:szCs w:val="18"/>
                <w:lang w:val="en-GB"/>
              </w:rPr>
            </w:pPr>
            <w:r>
              <w:rPr>
                <w:rFonts w:eastAsia="Verdana" w:cs="Arabic Transparent"/>
                <w:i/>
                <w:color w:val="000000"/>
                <w:sz w:val="18"/>
                <w:szCs w:val="18"/>
                <w:lang w:val="en-GB"/>
              </w:rPr>
              <w:t xml:space="preserve">(in thousands of </w:t>
            </w:r>
            <w:r>
              <w:rPr>
                <w:rFonts w:eastAsia="Verdana" w:cs="Arabic Transparent"/>
                <w:color w:val="000000"/>
                <w:sz w:val="18"/>
                <w:szCs w:val="18"/>
                <w:lang w:val="en-GB"/>
              </w:rPr>
              <w:t>€)</w:t>
            </w:r>
          </w:p>
        </w:tc>
        <w:tc>
          <w:tcPr>
            <w:tcW w:w="1640" w:type="dxa"/>
            <w:gridSpan w:val="2"/>
          </w:tcPr>
          <w:p w14:paraId="12CFEA22" w14:textId="77777777" w:rsidR="001D1FD6" w:rsidRDefault="001D1FD6" w:rsidP="001D1FD6">
            <w:pPr>
              <w:keepNext/>
              <w:keepLines/>
              <w:spacing w:before="56" w:after="41" w:line="176" w:lineRule="exact"/>
              <w:jc w:val="center"/>
              <w:textAlignment w:val="baseline"/>
              <w:rPr>
                <w:rFonts w:eastAsia="Verdana" w:cs="Arabic Transparent"/>
                <w:i/>
                <w:color w:val="000000"/>
                <w:sz w:val="18"/>
                <w:szCs w:val="18"/>
                <w:lang w:val="en-GB"/>
              </w:rPr>
            </w:pPr>
            <w:r>
              <w:rPr>
                <w:rFonts w:eastAsia="Verdana" w:cs="Arabic Transparent"/>
                <w:i/>
                <w:color w:val="000000"/>
                <w:sz w:val="18"/>
                <w:szCs w:val="18"/>
                <w:lang w:val="en-GB"/>
              </w:rPr>
              <w:t>%</w:t>
            </w:r>
          </w:p>
        </w:tc>
      </w:tr>
      <w:tr w:rsidR="001D1FD6" w14:paraId="6FDA9D25" w14:textId="77777777" w:rsidTr="001D1FD6">
        <w:trPr>
          <w:gridAfter w:val="1"/>
          <w:wAfter w:w="20" w:type="dxa"/>
          <w:trHeight w:val="370"/>
        </w:trPr>
        <w:tc>
          <w:tcPr>
            <w:tcW w:w="3780" w:type="dxa"/>
            <w:vAlign w:val="center"/>
          </w:tcPr>
          <w:p w14:paraId="6E3F2146" w14:textId="77777777" w:rsidR="001D1FD6" w:rsidRDefault="001D1FD6" w:rsidP="001D1FD6">
            <w:pPr>
              <w:tabs>
                <w:tab w:val="right" w:leader="dot" w:pos="5940"/>
              </w:tabs>
              <w:spacing w:before="60" w:after="47" w:line="176" w:lineRule="exact"/>
              <w:ind w:left="29"/>
              <w:jc w:val="both"/>
              <w:textAlignment w:val="baseline"/>
              <w:rPr>
                <w:rFonts w:eastAsia="Verdana" w:cs="Arabic Transparent"/>
                <w:color w:val="000000"/>
                <w:sz w:val="18"/>
                <w:szCs w:val="18"/>
                <w:lang w:val="en-GB"/>
              </w:rPr>
            </w:pPr>
            <w:r>
              <w:rPr>
                <w:rFonts w:eastAsia="Verdana" w:cs="Arabic Transparent"/>
                <w:color w:val="000000"/>
                <w:sz w:val="18"/>
                <w:szCs w:val="18"/>
                <w:lang w:val="en-GB"/>
              </w:rPr>
              <w:t>Less than one year</w:t>
            </w:r>
            <w:r>
              <w:rPr>
                <w:rFonts w:eastAsia="Verdana" w:cs="Arabic Transparent"/>
                <w:color w:val="000000"/>
                <w:sz w:val="18"/>
                <w:szCs w:val="18"/>
                <w:lang w:val="en-GB"/>
              </w:rPr>
              <w:tab/>
            </w:r>
          </w:p>
        </w:tc>
        <w:tc>
          <w:tcPr>
            <w:tcW w:w="1530" w:type="dxa"/>
            <w:vAlign w:val="center"/>
          </w:tcPr>
          <w:p w14:paraId="06EC6B33" w14:textId="77777777" w:rsidR="001D1FD6" w:rsidRDefault="001D1FD6" w:rsidP="001D1FD6">
            <w:pPr>
              <w:spacing w:before="59" w:after="38" w:line="176" w:lineRule="exact"/>
              <w:ind w:right="9"/>
              <w:jc w:val="center"/>
              <w:textAlignment w:val="baseline"/>
              <w:rPr>
                <w:rFonts w:eastAsia="Verdana" w:cs="Arabic Transparent"/>
                <w:color w:val="000000"/>
                <w:sz w:val="18"/>
                <w:szCs w:val="18"/>
                <w:lang w:val="en-GB"/>
              </w:rPr>
            </w:pPr>
            <w:r>
              <w:rPr>
                <w:rFonts w:eastAsia="Verdana" w:cs="Arabic Transparent"/>
                <w:color w:val="000000"/>
                <w:sz w:val="18"/>
                <w:szCs w:val="18"/>
                <w:lang w:val="en-GB"/>
              </w:rPr>
              <w:t>26,582</w:t>
            </w:r>
          </w:p>
        </w:tc>
        <w:tc>
          <w:tcPr>
            <w:tcW w:w="1260" w:type="dxa"/>
          </w:tcPr>
          <w:p w14:paraId="36D9453E" w14:textId="77777777" w:rsidR="001D1FD6" w:rsidRDefault="001D1FD6" w:rsidP="001D1FD6">
            <w:pPr>
              <w:spacing w:before="56" w:after="41" w:line="176" w:lineRule="exact"/>
              <w:jc w:val="center"/>
              <w:textAlignment w:val="baseline"/>
              <w:rPr>
                <w:rFonts w:eastAsia="Verdana" w:cs="Arabic Transparent"/>
                <w:color w:val="000000"/>
                <w:sz w:val="18"/>
                <w:szCs w:val="18"/>
                <w:lang w:val="en-GB"/>
              </w:rPr>
            </w:pPr>
            <w:r>
              <w:rPr>
                <w:rFonts w:eastAsia="Verdana" w:cs="Arabic Transparent"/>
                <w:color w:val="000000"/>
                <w:sz w:val="18"/>
                <w:szCs w:val="18"/>
                <w:lang w:val="en-GB"/>
              </w:rPr>
              <w:t>7%</w:t>
            </w:r>
          </w:p>
        </w:tc>
        <w:tc>
          <w:tcPr>
            <w:tcW w:w="1260" w:type="dxa"/>
            <w:gridSpan w:val="2"/>
            <w:vAlign w:val="center"/>
          </w:tcPr>
          <w:p w14:paraId="48421A77" w14:textId="77777777" w:rsidR="001D1FD6" w:rsidRDefault="001D1FD6" w:rsidP="001D1FD6">
            <w:pPr>
              <w:spacing w:before="56" w:after="41" w:line="176" w:lineRule="exact"/>
              <w:jc w:val="right"/>
              <w:textAlignment w:val="baseline"/>
              <w:rPr>
                <w:rFonts w:eastAsia="Verdana" w:cs="Arabic Transparent"/>
                <w:color w:val="000000"/>
                <w:sz w:val="18"/>
                <w:szCs w:val="18"/>
                <w:lang w:val="en-GB"/>
              </w:rPr>
            </w:pPr>
            <w:r>
              <w:rPr>
                <w:rFonts w:eastAsia="Verdana" w:cs="Arabic Transparent"/>
                <w:color w:val="000000"/>
                <w:sz w:val="18"/>
                <w:szCs w:val="18"/>
                <w:lang w:val="en-GB"/>
              </w:rPr>
              <w:t>25,340</w:t>
            </w:r>
          </w:p>
        </w:tc>
        <w:tc>
          <w:tcPr>
            <w:tcW w:w="1620" w:type="dxa"/>
          </w:tcPr>
          <w:p w14:paraId="2AFE10E3" w14:textId="77777777" w:rsidR="001D1FD6" w:rsidRDefault="001D1FD6" w:rsidP="001D1FD6">
            <w:pPr>
              <w:spacing w:before="56" w:after="41" w:line="176" w:lineRule="exact"/>
              <w:jc w:val="center"/>
              <w:textAlignment w:val="baseline"/>
              <w:rPr>
                <w:rFonts w:eastAsia="Verdana" w:cs="Arabic Transparent"/>
                <w:color w:val="000000"/>
                <w:sz w:val="18"/>
                <w:szCs w:val="18"/>
                <w:lang w:val="en-GB"/>
              </w:rPr>
            </w:pPr>
            <w:r>
              <w:rPr>
                <w:rFonts w:eastAsia="Verdana" w:cs="Arabic Transparent"/>
                <w:color w:val="000000"/>
                <w:sz w:val="18"/>
                <w:szCs w:val="18"/>
                <w:lang w:val="en-GB"/>
              </w:rPr>
              <w:t>7%</w:t>
            </w:r>
          </w:p>
        </w:tc>
      </w:tr>
      <w:tr w:rsidR="001D1FD6" w14:paraId="696461DC" w14:textId="77777777" w:rsidTr="001D1FD6">
        <w:trPr>
          <w:gridAfter w:val="1"/>
          <w:wAfter w:w="20" w:type="dxa"/>
          <w:trHeight w:hRule="exact" w:val="278"/>
        </w:trPr>
        <w:tc>
          <w:tcPr>
            <w:tcW w:w="3780" w:type="dxa"/>
            <w:vAlign w:val="center"/>
          </w:tcPr>
          <w:p w14:paraId="30CB75A0" w14:textId="77777777" w:rsidR="001D1FD6" w:rsidRDefault="001D1FD6" w:rsidP="001D1FD6">
            <w:pPr>
              <w:tabs>
                <w:tab w:val="right" w:leader="dot" w:pos="5940"/>
              </w:tabs>
              <w:spacing w:before="54" w:after="38" w:line="176" w:lineRule="exact"/>
              <w:ind w:left="29"/>
              <w:jc w:val="both"/>
              <w:textAlignment w:val="baseline"/>
              <w:rPr>
                <w:rFonts w:eastAsia="Verdana" w:cs="Arabic Transparent"/>
                <w:color w:val="000000"/>
                <w:sz w:val="18"/>
                <w:szCs w:val="18"/>
                <w:lang w:val="en-GB"/>
              </w:rPr>
            </w:pPr>
            <w:r>
              <w:rPr>
                <w:rFonts w:eastAsia="Verdana" w:cs="Arabic Transparent"/>
                <w:color w:val="000000"/>
                <w:sz w:val="18"/>
                <w:szCs w:val="18"/>
                <w:lang w:val="en-GB"/>
              </w:rPr>
              <w:t>Between one and five years</w:t>
            </w:r>
            <w:r>
              <w:rPr>
                <w:rFonts w:eastAsia="Verdana" w:cs="Arabic Transparent"/>
                <w:color w:val="000000"/>
                <w:sz w:val="18"/>
                <w:szCs w:val="18"/>
                <w:lang w:val="en-GB"/>
              </w:rPr>
              <w:tab/>
            </w:r>
          </w:p>
        </w:tc>
        <w:tc>
          <w:tcPr>
            <w:tcW w:w="1530" w:type="dxa"/>
            <w:vAlign w:val="center"/>
          </w:tcPr>
          <w:p w14:paraId="086C453C" w14:textId="77777777" w:rsidR="001D1FD6" w:rsidRDefault="001D1FD6" w:rsidP="001D1FD6">
            <w:pPr>
              <w:spacing w:before="59" w:after="38" w:line="176" w:lineRule="exact"/>
              <w:ind w:right="9"/>
              <w:jc w:val="center"/>
              <w:textAlignment w:val="baseline"/>
              <w:rPr>
                <w:rFonts w:eastAsia="Verdana" w:cs="Arabic Transparent"/>
                <w:color w:val="000000"/>
                <w:sz w:val="18"/>
                <w:szCs w:val="18"/>
                <w:lang w:val="en-GB"/>
              </w:rPr>
            </w:pPr>
            <w:r>
              <w:rPr>
                <w:rFonts w:eastAsia="Verdana" w:cs="Arabic Transparent"/>
                <w:color w:val="000000"/>
                <w:sz w:val="18"/>
                <w:szCs w:val="18"/>
                <w:lang w:val="en-GB"/>
              </w:rPr>
              <w:t>98,658</w:t>
            </w:r>
          </w:p>
        </w:tc>
        <w:tc>
          <w:tcPr>
            <w:tcW w:w="1260" w:type="dxa"/>
          </w:tcPr>
          <w:p w14:paraId="3CA8B490" w14:textId="77777777" w:rsidR="001D1FD6" w:rsidRDefault="001D1FD6" w:rsidP="001D1FD6">
            <w:pPr>
              <w:spacing w:before="56" w:after="41" w:line="176" w:lineRule="exact"/>
              <w:jc w:val="center"/>
              <w:textAlignment w:val="baseline"/>
              <w:rPr>
                <w:rFonts w:eastAsia="Verdana" w:cs="Arabic Transparent"/>
                <w:color w:val="000000"/>
                <w:sz w:val="18"/>
                <w:szCs w:val="18"/>
                <w:lang w:val="en-GB"/>
              </w:rPr>
            </w:pPr>
            <w:r>
              <w:rPr>
                <w:rFonts w:eastAsia="Verdana" w:cs="Arabic Transparent"/>
                <w:color w:val="000000"/>
                <w:sz w:val="18"/>
                <w:szCs w:val="18"/>
                <w:lang w:val="en-GB"/>
              </w:rPr>
              <w:t>26%</w:t>
            </w:r>
          </w:p>
        </w:tc>
        <w:tc>
          <w:tcPr>
            <w:tcW w:w="1260" w:type="dxa"/>
            <w:gridSpan w:val="2"/>
            <w:vAlign w:val="center"/>
          </w:tcPr>
          <w:p w14:paraId="2F23C0C5" w14:textId="77777777" w:rsidR="001D1FD6" w:rsidRDefault="001D1FD6" w:rsidP="001D1FD6">
            <w:pPr>
              <w:spacing w:before="56" w:after="41" w:line="176" w:lineRule="exact"/>
              <w:jc w:val="right"/>
              <w:textAlignment w:val="baseline"/>
              <w:rPr>
                <w:rFonts w:eastAsia="Verdana" w:cs="Arabic Transparent"/>
                <w:color w:val="000000"/>
                <w:sz w:val="18"/>
                <w:szCs w:val="18"/>
                <w:lang w:val="en-GB"/>
              </w:rPr>
            </w:pPr>
            <w:r>
              <w:rPr>
                <w:rFonts w:eastAsia="Verdana" w:cs="Arabic Transparent"/>
                <w:color w:val="000000"/>
                <w:sz w:val="18"/>
                <w:szCs w:val="18"/>
                <w:lang w:val="en-GB"/>
              </w:rPr>
              <w:t>94,376</w:t>
            </w:r>
          </w:p>
        </w:tc>
        <w:tc>
          <w:tcPr>
            <w:tcW w:w="1620" w:type="dxa"/>
          </w:tcPr>
          <w:p w14:paraId="09A711D9" w14:textId="77777777" w:rsidR="001D1FD6" w:rsidRDefault="001D1FD6" w:rsidP="001D1FD6">
            <w:pPr>
              <w:spacing w:before="56" w:after="41" w:line="176" w:lineRule="exact"/>
              <w:jc w:val="center"/>
              <w:textAlignment w:val="baseline"/>
              <w:rPr>
                <w:rFonts w:eastAsia="Verdana" w:cs="Arabic Transparent"/>
                <w:color w:val="000000"/>
                <w:sz w:val="18"/>
                <w:szCs w:val="18"/>
                <w:lang w:val="en-GB"/>
              </w:rPr>
            </w:pPr>
            <w:r>
              <w:rPr>
                <w:rFonts w:eastAsia="Verdana" w:cs="Arabic Transparent"/>
                <w:color w:val="000000"/>
                <w:sz w:val="18"/>
                <w:szCs w:val="18"/>
                <w:lang w:val="en-GB"/>
              </w:rPr>
              <w:t>26%</w:t>
            </w:r>
          </w:p>
        </w:tc>
      </w:tr>
      <w:tr w:rsidR="001D1FD6" w14:paraId="014475BB" w14:textId="77777777" w:rsidTr="001D1FD6">
        <w:trPr>
          <w:gridAfter w:val="1"/>
          <w:wAfter w:w="20" w:type="dxa"/>
          <w:trHeight w:hRule="exact" w:val="279"/>
        </w:trPr>
        <w:tc>
          <w:tcPr>
            <w:tcW w:w="3780" w:type="dxa"/>
            <w:vAlign w:val="center"/>
          </w:tcPr>
          <w:p w14:paraId="4B0B1F52" w14:textId="77777777" w:rsidR="001D1FD6" w:rsidRDefault="001D1FD6" w:rsidP="001D1FD6">
            <w:pPr>
              <w:tabs>
                <w:tab w:val="right" w:leader="dot" w:pos="5940"/>
              </w:tabs>
              <w:spacing w:before="54" w:after="38" w:line="176" w:lineRule="exact"/>
              <w:ind w:left="29"/>
              <w:jc w:val="both"/>
              <w:textAlignment w:val="baseline"/>
              <w:rPr>
                <w:rFonts w:eastAsia="Verdana" w:cs="Arabic Transparent"/>
                <w:b/>
                <w:color w:val="000000"/>
                <w:sz w:val="18"/>
                <w:szCs w:val="18"/>
                <w:lang w:val="en-GB"/>
              </w:rPr>
            </w:pPr>
            <w:r>
              <w:rPr>
                <w:rFonts w:eastAsia="Verdana" w:cs="Arabic Transparent"/>
                <w:color w:val="000000"/>
                <w:sz w:val="18"/>
                <w:szCs w:val="18"/>
                <w:lang w:val="en-GB"/>
              </w:rPr>
              <w:t>More than five years</w:t>
            </w:r>
            <w:r>
              <w:rPr>
                <w:rFonts w:eastAsia="Verdana" w:cs="Arabic Transparent"/>
                <w:color w:val="000000"/>
                <w:sz w:val="18"/>
                <w:szCs w:val="18"/>
                <w:lang w:val="en-GB"/>
              </w:rPr>
              <w:tab/>
            </w:r>
          </w:p>
        </w:tc>
        <w:tc>
          <w:tcPr>
            <w:tcW w:w="1530" w:type="dxa"/>
            <w:vAlign w:val="center"/>
          </w:tcPr>
          <w:p w14:paraId="04BD63EF" w14:textId="77777777" w:rsidR="001D1FD6" w:rsidRDefault="001D1FD6" w:rsidP="001D1FD6">
            <w:pPr>
              <w:spacing w:before="59" w:after="38" w:line="176" w:lineRule="exact"/>
              <w:ind w:right="9"/>
              <w:jc w:val="center"/>
              <w:textAlignment w:val="baseline"/>
              <w:rPr>
                <w:rFonts w:eastAsia="Verdana" w:cs="Arabic Transparent"/>
                <w:color w:val="000000"/>
                <w:sz w:val="18"/>
                <w:szCs w:val="18"/>
                <w:lang w:val="en-GB"/>
              </w:rPr>
            </w:pPr>
            <w:r>
              <w:rPr>
                <w:rFonts w:eastAsia="Verdana" w:cs="Arabic Transparent"/>
                <w:color w:val="000000"/>
                <w:sz w:val="18"/>
                <w:szCs w:val="18"/>
                <w:lang w:val="en-GB"/>
              </w:rPr>
              <w:t>251,905</w:t>
            </w:r>
          </w:p>
        </w:tc>
        <w:tc>
          <w:tcPr>
            <w:tcW w:w="1260" w:type="dxa"/>
          </w:tcPr>
          <w:p w14:paraId="70AF84D0" w14:textId="77777777" w:rsidR="001D1FD6" w:rsidRDefault="001D1FD6" w:rsidP="001D1FD6">
            <w:pPr>
              <w:spacing w:before="56" w:after="41" w:line="176" w:lineRule="exact"/>
              <w:jc w:val="center"/>
              <w:textAlignment w:val="baseline"/>
              <w:rPr>
                <w:rFonts w:eastAsia="Verdana" w:cs="Arabic Transparent"/>
                <w:color w:val="000000"/>
                <w:sz w:val="18"/>
                <w:szCs w:val="18"/>
                <w:lang w:val="en-GB"/>
              </w:rPr>
            </w:pPr>
            <w:r>
              <w:rPr>
                <w:rFonts w:eastAsia="Verdana" w:cs="Arabic Transparent"/>
                <w:color w:val="000000"/>
                <w:sz w:val="18"/>
                <w:szCs w:val="18"/>
                <w:lang w:val="en-GB"/>
              </w:rPr>
              <w:t>67%</w:t>
            </w:r>
          </w:p>
        </w:tc>
        <w:tc>
          <w:tcPr>
            <w:tcW w:w="1260" w:type="dxa"/>
            <w:gridSpan w:val="2"/>
            <w:vAlign w:val="center"/>
          </w:tcPr>
          <w:p w14:paraId="18871A39" w14:textId="77777777" w:rsidR="001D1FD6" w:rsidRDefault="001D1FD6" w:rsidP="001D1FD6">
            <w:pPr>
              <w:spacing w:before="56" w:after="41" w:line="176" w:lineRule="exact"/>
              <w:jc w:val="right"/>
              <w:textAlignment w:val="baseline"/>
              <w:rPr>
                <w:rFonts w:eastAsia="Verdana" w:cs="Arabic Transparent"/>
                <w:b/>
                <w:color w:val="000000"/>
                <w:sz w:val="18"/>
                <w:szCs w:val="18"/>
                <w:lang w:val="en-GB"/>
              </w:rPr>
            </w:pPr>
            <w:r>
              <w:rPr>
                <w:rFonts w:eastAsia="Verdana" w:cs="Arabic Transparent"/>
                <w:color w:val="000000"/>
                <w:sz w:val="18"/>
                <w:szCs w:val="18"/>
                <w:lang w:val="en-GB"/>
              </w:rPr>
              <w:t>242,916</w:t>
            </w:r>
          </w:p>
        </w:tc>
        <w:tc>
          <w:tcPr>
            <w:tcW w:w="1620" w:type="dxa"/>
          </w:tcPr>
          <w:p w14:paraId="1205BD86" w14:textId="77777777" w:rsidR="001D1FD6" w:rsidRDefault="001D1FD6" w:rsidP="001D1FD6">
            <w:pPr>
              <w:spacing w:before="56" w:after="41" w:line="176" w:lineRule="exact"/>
              <w:jc w:val="center"/>
              <w:textAlignment w:val="baseline"/>
              <w:rPr>
                <w:rFonts w:eastAsia="Verdana" w:cs="Arabic Transparent"/>
                <w:color w:val="000000"/>
                <w:sz w:val="18"/>
                <w:szCs w:val="18"/>
                <w:lang w:val="en-GB"/>
              </w:rPr>
            </w:pPr>
            <w:r>
              <w:rPr>
                <w:rFonts w:eastAsia="Verdana" w:cs="Arabic Transparent"/>
                <w:color w:val="000000"/>
                <w:sz w:val="18"/>
                <w:szCs w:val="18"/>
                <w:lang w:val="en-GB"/>
              </w:rPr>
              <w:t>67%</w:t>
            </w:r>
          </w:p>
        </w:tc>
      </w:tr>
      <w:tr w:rsidR="001D1FD6" w14:paraId="5DC84D98" w14:textId="77777777" w:rsidTr="001D1FD6">
        <w:trPr>
          <w:gridAfter w:val="1"/>
          <w:wAfter w:w="20" w:type="dxa"/>
          <w:trHeight w:hRule="exact" w:val="279"/>
        </w:trPr>
        <w:tc>
          <w:tcPr>
            <w:tcW w:w="3780" w:type="dxa"/>
            <w:vAlign w:val="center"/>
          </w:tcPr>
          <w:p w14:paraId="3A653551" w14:textId="77777777" w:rsidR="001D1FD6" w:rsidRDefault="001D1FD6" w:rsidP="001D1FD6">
            <w:pPr>
              <w:tabs>
                <w:tab w:val="right" w:leader="dot" w:pos="5940"/>
              </w:tabs>
              <w:spacing w:before="54" w:after="38" w:line="176" w:lineRule="exact"/>
              <w:ind w:left="29"/>
              <w:jc w:val="both"/>
              <w:textAlignment w:val="baseline"/>
              <w:rPr>
                <w:rFonts w:eastAsia="Verdana" w:cs="Arabic Transparent"/>
                <w:b/>
                <w:color w:val="000000"/>
                <w:sz w:val="18"/>
                <w:szCs w:val="18"/>
                <w:lang w:val="en-GB"/>
              </w:rPr>
            </w:pPr>
            <w:r>
              <w:rPr>
                <w:rFonts w:eastAsia="Verdana" w:cs="Arabic Transparent"/>
                <w:b/>
                <w:color w:val="000000"/>
                <w:sz w:val="18"/>
                <w:szCs w:val="18"/>
                <w:lang w:val="en-GB"/>
              </w:rPr>
              <w:t>Total</w:t>
            </w:r>
          </w:p>
        </w:tc>
        <w:tc>
          <w:tcPr>
            <w:tcW w:w="1530" w:type="dxa"/>
            <w:vAlign w:val="center"/>
          </w:tcPr>
          <w:p w14:paraId="57BB289C" w14:textId="77777777" w:rsidR="001D1FD6" w:rsidRDefault="001D1FD6" w:rsidP="001D1FD6">
            <w:pPr>
              <w:spacing w:before="59" w:after="38" w:line="176" w:lineRule="exact"/>
              <w:ind w:right="9"/>
              <w:jc w:val="center"/>
              <w:textAlignment w:val="baseline"/>
              <w:rPr>
                <w:rFonts w:eastAsia="Verdana" w:cs="Arabic Transparent"/>
                <w:b/>
                <w:color w:val="000000"/>
                <w:sz w:val="18"/>
                <w:szCs w:val="18"/>
                <w:lang w:val="en-GB"/>
              </w:rPr>
            </w:pPr>
            <w:r>
              <w:rPr>
                <w:rFonts w:eastAsia="Verdana" w:cs="Arabic Transparent"/>
                <w:b/>
                <w:color w:val="000000"/>
                <w:sz w:val="18"/>
                <w:szCs w:val="18"/>
                <w:lang w:val="en-GB"/>
              </w:rPr>
              <w:t>377,145</w:t>
            </w:r>
          </w:p>
        </w:tc>
        <w:tc>
          <w:tcPr>
            <w:tcW w:w="1260" w:type="dxa"/>
          </w:tcPr>
          <w:p w14:paraId="4211D937" w14:textId="77777777" w:rsidR="001D1FD6" w:rsidRDefault="001D1FD6" w:rsidP="001D1FD6">
            <w:pPr>
              <w:spacing w:before="56" w:after="41" w:line="176" w:lineRule="exact"/>
              <w:jc w:val="center"/>
              <w:textAlignment w:val="baseline"/>
              <w:rPr>
                <w:rFonts w:eastAsia="Verdana" w:cs="Arabic Transparent"/>
                <w:b/>
                <w:color w:val="000000"/>
                <w:sz w:val="18"/>
                <w:szCs w:val="18"/>
                <w:lang w:val="en-GB"/>
              </w:rPr>
            </w:pPr>
            <w:r>
              <w:rPr>
                <w:rFonts w:eastAsia="Verdana" w:cs="Arabic Transparent"/>
                <w:b/>
                <w:color w:val="000000"/>
                <w:sz w:val="18"/>
                <w:szCs w:val="18"/>
                <w:lang w:val="en-GB"/>
              </w:rPr>
              <w:t>100%</w:t>
            </w:r>
          </w:p>
        </w:tc>
        <w:tc>
          <w:tcPr>
            <w:tcW w:w="1260" w:type="dxa"/>
            <w:gridSpan w:val="2"/>
            <w:vAlign w:val="center"/>
          </w:tcPr>
          <w:p w14:paraId="41C6E613" w14:textId="77777777" w:rsidR="001D1FD6" w:rsidRDefault="001D1FD6" w:rsidP="001D1FD6">
            <w:pPr>
              <w:spacing w:before="56" w:after="41" w:line="176" w:lineRule="exact"/>
              <w:jc w:val="right"/>
              <w:textAlignment w:val="baseline"/>
              <w:rPr>
                <w:rFonts w:eastAsia="Verdana" w:cs="Arabic Transparent"/>
                <w:b/>
                <w:color w:val="000000"/>
                <w:sz w:val="18"/>
                <w:szCs w:val="18"/>
                <w:lang w:val="en-GB"/>
              </w:rPr>
            </w:pPr>
            <w:r>
              <w:rPr>
                <w:rFonts w:eastAsia="Verdana" w:cs="Arabic Transparent"/>
                <w:b/>
                <w:color w:val="000000"/>
                <w:sz w:val="18"/>
                <w:szCs w:val="18"/>
                <w:lang w:val="en-GB"/>
              </w:rPr>
              <w:t>362,632</w:t>
            </w:r>
          </w:p>
        </w:tc>
        <w:tc>
          <w:tcPr>
            <w:tcW w:w="1620" w:type="dxa"/>
          </w:tcPr>
          <w:p w14:paraId="0675519B" w14:textId="77777777" w:rsidR="001D1FD6" w:rsidRDefault="001D1FD6" w:rsidP="001D1FD6">
            <w:pPr>
              <w:spacing w:before="56" w:after="41" w:line="176" w:lineRule="exact"/>
              <w:jc w:val="center"/>
              <w:textAlignment w:val="baseline"/>
              <w:rPr>
                <w:rFonts w:eastAsia="Verdana" w:cs="Arabic Transparent"/>
                <w:b/>
                <w:color w:val="000000"/>
                <w:sz w:val="18"/>
                <w:szCs w:val="18"/>
                <w:lang w:val="en-GB"/>
              </w:rPr>
            </w:pPr>
            <w:r>
              <w:rPr>
                <w:rFonts w:eastAsia="Verdana" w:cs="Arabic Transparent"/>
                <w:b/>
                <w:color w:val="000000"/>
                <w:sz w:val="18"/>
                <w:szCs w:val="18"/>
                <w:lang w:val="en-GB"/>
              </w:rPr>
              <w:t>100%</w:t>
            </w:r>
          </w:p>
        </w:tc>
      </w:tr>
    </w:tbl>
    <w:p w14:paraId="6855B973" w14:textId="77777777" w:rsidR="001D1FD6" w:rsidRDefault="001D1FD6" w:rsidP="001D1FD6">
      <w:pPr>
        <w:jc w:val="both"/>
        <w:rPr>
          <w:rFonts w:cs="Arabic Transparent"/>
          <w:sz w:val="18"/>
          <w:szCs w:val="18"/>
        </w:rPr>
      </w:pPr>
    </w:p>
    <w:p w14:paraId="3BB86CEF" w14:textId="77777777" w:rsidR="001D1FD6" w:rsidRDefault="001D1FD6" w:rsidP="001D1FD6">
      <w:pPr>
        <w:spacing w:after="240"/>
        <w:jc w:val="both"/>
        <w:rPr>
          <w:rFonts w:cs="Arabic Transparent"/>
          <w:color w:val="000000"/>
          <w:sz w:val="18"/>
          <w:szCs w:val="18"/>
        </w:rPr>
      </w:pPr>
      <w:r>
        <w:rPr>
          <w:rFonts w:cs="Arabic Transparent"/>
          <w:b/>
          <w:i/>
          <w:color w:val="000000"/>
          <w:sz w:val="18"/>
          <w:szCs w:val="18"/>
        </w:rPr>
        <w:t>Portfolio valuation</w:t>
      </w:r>
    </w:p>
    <w:p w14:paraId="2D37E5D7" w14:textId="77777777" w:rsidR="001D1FD6" w:rsidRDefault="001D1FD6" w:rsidP="001D1FD6">
      <w:pPr>
        <w:spacing w:after="240"/>
        <w:jc w:val="both"/>
        <w:rPr>
          <w:rFonts w:cs="Arabic Transparent"/>
          <w:i/>
          <w:color w:val="000000"/>
          <w:sz w:val="18"/>
          <w:szCs w:val="18"/>
        </w:rPr>
      </w:pPr>
      <w:r>
        <w:rPr>
          <w:rFonts w:cs="Arabic Transparent"/>
          <w:i/>
          <w:color w:val="000000"/>
          <w:sz w:val="18"/>
          <w:szCs w:val="18"/>
        </w:rPr>
        <w:t>Group portfolio</w:t>
      </w:r>
    </w:p>
    <w:p w14:paraId="54793ADA" w14:textId="17953402" w:rsidR="001D1FD6" w:rsidRDefault="001D1FD6" w:rsidP="001D1FD6">
      <w:pPr>
        <w:spacing w:after="240"/>
        <w:ind w:firstLine="720"/>
        <w:jc w:val="both"/>
        <w:rPr>
          <w:bCs/>
          <w:sz w:val="18"/>
          <w:szCs w:val="18"/>
        </w:rPr>
      </w:pPr>
      <w:r>
        <w:rPr>
          <w:bCs/>
          <w:sz w:val="18"/>
          <w:szCs w:val="18"/>
        </w:rPr>
        <w:t>The Group’s investment property is initially carried at cost plus transaction cost.</w:t>
      </w:r>
      <w:r w:rsidR="00FF2ECC">
        <w:rPr>
          <w:bCs/>
          <w:sz w:val="18"/>
          <w:szCs w:val="18"/>
        </w:rPr>
        <w:t xml:space="preserve"> </w:t>
      </w:r>
      <w:r>
        <w:rPr>
          <w:bCs/>
          <w:sz w:val="18"/>
          <w:szCs w:val="18"/>
        </w:rPr>
        <w:t xml:space="preserve">It is subsequently measured at fair value and is valued at least once per year. In view of the rapid growth of the portfolio the Group has in recent years opted to perform the valuations twice per year i.e. as at 30 June and 31 December. Valuations are performed by independent external property appraisers. The Group ordinarily uses Jones Lang LaSalle as the Group’s valuator. From time to time, at the discretion of the Company, a small part of the portfolio may be valued by another external independent valuator, as was for example </w:t>
      </w:r>
      <w:r w:rsidR="00F142ED">
        <w:rPr>
          <w:bCs/>
          <w:sz w:val="18"/>
          <w:szCs w:val="18"/>
        </w:rPr>
        <w:t>in the case of</w:t>
      </w:r>
      <w:r>
        <w:rPr>
          <w:bCs/>
          <w:sz w:val="18"/>
          <w:szCs w:val="18"/>
        </w:rPr>
        <w:t xml:space="preserve"> Spain in December 2016. For the 30 June 2017 valuations, all valuations were carried out by Jones Lang LaSalle. As a result, the value of the Group’s assets depends on developments in the local real estate market in each of the Group’s countries of operations, and is subject to change. Gains and losses </w:t>
      </w:r>
      <w:r>
        <w:rPr>
          <w:bCs/>
          <w:sz w:val="18"/>
          <w:szCs w:val="18"/>
        </w:rPr>
        <w:lastRenderedPageBreak/>
        <w:t>from changes in fair value are recognized in the Group’s income statement as valuation results and are also a component of the Group’s indirect result.</w:t>
      </w:r>
    </w:p>
    <w:p w14:paraId="49D39D8E" w14:textId="77777777" w:rsidR="001D1FD6" w:rsidRDefault="001D1FD6" w:rsidP="001D1FD6">
      <w:pPr>
        <w:spacing w:after="240"/>
        <w:ind w:firstLine="720"/>
        <w:jc w:val="both"/>
        <w:rPr>
          <w:bCs/>
          <w:sz w:val="18"/>
          <w:szCs w:val="18"/>
        </w:rPr>
      </w:pPr>
      <w:r>
        <w:rPr>
          <w:bCs/>
          <w:sz w:val="18"/>
          <w:szCs w:val="18"/>
        </w:rPr>
        <w:t>The Group's valuation contracts are typically entered into for a term of one year and the fees of the property experts are fixed for the term of their appointment and are not related to the value of the properties for which a valuation is made. The Group’s own investment properties and the Joint Venture’s investment properties were most recently valued at 30 June 2017 by Jones Lang LaSalle. The valuations are prepared in accordance with the RICS Valuation - Professional Standards (incorporating the International Valuation Standards) Global edition January 2014 (same approach as for the previous period end valuations). The basis of valuation is the market value of the property, as at the date of valuation, defined by the RICS as: “</w:t>
      </w:r>
      <w:r>
        <w:rPr>
          <w:bCs/>
          <w:i/>
          <w:sz w:val="18"/>
          <w:szCs w:val="18"/>
        </w:rPr>
        <w:t>The estimated amount for which an asset or liability should exchange on the valuation date between a willing buyer and a willing seller in an arm’s length transaction after proper marketing and where the parties had each acted knowledgeably, prudently and without compulsion.</w:t>
      </w:r>
      <w:r>
        <w:rPr>
          <w:bCs/>
          <w:sz w:val="18"/>
          <w:szCs w:val="18"/>
        </w:rPr>
        <w:t>”</w:t>
      </w:r>
    </w:p>
    <w:p w14:paraId="3FD1A27C" w14:textId="51D2ED46" w:rsidR="00115A39" w:rsidRDefault="001D1FD6" w:rsidP="001D1FD6">
      <w:pPr>
        <w:spacing w:after="240"/>
        <w:ind w:firstLine="720"/>
        <w:jc w:val="both"/>
        <w:rPr>
          <w:bCs/>
          <w:sz w:val="18"/>
          <w:szCs w:val="18"/>
        </w:rPr>
      </w:pPr>
      <w:r>
        <w:rPr>
          <w:bCs/>
          <w:sz w:val="18"/>
          <w:szCs w:val="18"/>
        </w:rPr>
        <w:t xml:space="preserve">The valuations of properties are prepared by considering the aggregate of the net annual rents receivable from the properties, and where relevant, associated costs. A yield which reflects the risks inherent in the net cash flows is then applied to the net annual rentals to arrive at the property valuation. </w:t>
      </w:r>
      <w:r w:rsidRPr="00A01869">
        <w:rPr>
          <w:bCs/>
          <w:sz w:val="18"/>
          <w:szCs w:val="18"/>
        </w:rPr>
        <w:t xml:space="preserve">In view of the nature of the portfolio and the basis of valuation Jones Lang LaSalle adopted the income approach, discounted cash flow technique, </w:t>
      </w:r>
      <w:proofErr w:type="spellStart"/>
      <w:r w:rsidRPr="00A01869">
        <w:rPr>
          <w:bCs/>
          <w:sz w:val="18"/>
          <w:szCs w:val="18"/>
        </w:rPr>
        <w:t>analysed</w:t>
      </w:r>
      <w:proofErr w:type="spellEnd"/>
      <w:r w:rsidRPr="00A01869">
        <w:rPr>
          <w:bCs/>
          <w:sz w:val="18"/>
          <w:szCs w:val="18"/>
        </w:rPr>
        <w:t xml:space="preserve"> over a 10-year period for each property</w:t>
      </w:r>
      <w:r w:rsidR="00A01869" w:rsidRPr="00A01869">
        <w:rPr>
          <w:bCs/>
          <w:sz w:val="18"/>
          <w:szCs w:val="18"/>
        </w:rPr>
        <w:t xml:space="preserve"> (except for the properties in Spain</w:t>
      </w:r>
      <w:r w:rsidR="00115A39">
        <w:rPr>
          <w:bCs/>
          <w:sz w:val="18"/>
          <w:szCs w:val="18"/>
        </w:rPr>
        <w:t xml:space="preserve"> due to the length of the lease at VGP Park Mango and the initial phases of development of VGP Park San Fernando de Henares</w:t>
      </w:r>
      <w:r w:rsidR="00A01869" w:rsidRPr="00A01869">
        <w:rPr>
          <w:bCs/>
          <w:sz w:val="18"/>
          <w:szCs w:val="18"/>
        </w:rPr>
        <w:t>)</w:t>
      </w:r>
      <w:r w:rsidRPr="00A01869">
        <w:rPr>
          <w:bCs/>
          <w:sz w:val="18"/>
          <w:szCs w:val="18"/>
        </w:rPr>
        <w:t xml:space="preserve">. </w:t>
      </w:r>
    </w:p>
    <w:p w14:paraId="56501AB0" w14:textId="4521E16B" w:rsidR="001D1FD6" w:rsidRDefault="001D1FD6" w:rsidP="001D1FD6">
      <w:pPr>
        <w:spacing w:after="240"/>
        <w:ind w:firstLine="720"/>
        <w:jc w:val="both"/>
        <w:rPr>
          <w:bCs/>
          <w:sz w:val="18"/>
          <w:szCs w:val="18"/>
        </w:rPr>
      </w:pPr>
      <w:r w:rsidRPr="00A01869">
        <w:rPr>
          <w:bCs/>
          <w:sz w:val="18"/>
          <w:szCs w:val="18"/>
        </w:rPr>
        <w:t>The cash flow assumes a ten-year hold period with the exit value calculated on the estimated rental value (ERV).</w:t>
      </w:r>
      <w:r>
        <w:rPr>
          <w:bCs/>
          <w:sz w:val="18"/>
          <w:szCs w:val="18"/>
        </w:rPr>
        <w:t xml:space="preserve"> The exit value is calculated based on the exit yield, which is the valuator’s estimation of the possible yield in the tenth year, and the cash flow is based on the rents receivable under existing lease agreements until their expiry date and the expected rental value for the period remaining in the ten-year period, as applicable, taking into account estimated void periods (3-12 months for currently occupied industrial and office premises) following expiration of the initial lease, less a general deduction of 0.5%-2.25% from the gross income to cover potential capital expenditure on the portfolio.</w:t>
      </w:r>
    </w:p>
    <w:p w14:paraId="5A1CC46D" w14:textId="38A7F9FB" w:rsidR="001D1FD6" w:rsidRDefault="001D1FD6" w:rsidP="001D1FD6">
      <w:pPr>
        <w:spacing w:after="240"/>
        <w:ind w:firstLine="720"/>
        <w:jc w:val="both"/>
        <w:rPr>
          <w:bCs/>
          <w:sz w:val="18"/>
          <w:szCs w:val="18"/>
        </w:rPr>
      </w:pPr>
      <w:r>
        <w:rPr>
          <w:bCs/>
          <w:sz w:val="18"/>
          <w:szCs w:val="18"/>
        </w:rPr>
        <w:t>Property that is being constructed or developed for future use as investment property is also stated at fair market value, and investment properties under construction are also valued by an independent valuation expert. For the properties under construction the valuation expert has used the same approach as applicable for the completed properties but deducting the remaining construction costs from the calculated market value, whereby “remaining construction costs” means overall pending development cost, which include all hard costs, soft costs, financing costs and developer profit.</w:t>
      </w:r>
      <w:r w:rsidR="00FF2ECC">
        <w:rPr>
          <w:bCs/>
          <w:sz w:val="18"/>
          <w:szCs w:val="18"/>
        </w:rPr>
        <w:t xml:space="preserve"> </w:t>
      </w:r>
      <w:r>
        <w:rPr>
          <w:bCs/>
          <w:sz w:val="18"/>
          <w:szCs w:val="18"/>
        </w:rPr>
        <w:t xml:space="preserve">Developer profit takes into account the level of risk connected with individual property and is mainly dependent on development stage and pre-letting status). Land held for development is valued using the valuation sales comparison approach. The sales comparison approach produces a value indication by comparing the subject property to similar properties and applying adjustments to reflect advantages and disadvantages to the subject property. This is most appropriate when a number of similar properties have recently been sold or are currently for sale in the market. For the 30 June 2017 and 31 December 2016 valuations Jones Lang LaSalle was retained as external independent valuation expert, except for Spain where the valuation as at 31 December 2016 was made by the property expert valuator </w:t>
      </w:r>
      <w:proofErr w:type="spellStart"/>
      <w:r>
        <w:rPr>
          <w:bCs/>
          <w:sz w:val="18"/>
          <w:szCs w:val="18"/>
        </w:rPr>
        <w:t>Gesvalt</w:t>
      </w:r>
      <w:proofErr w:type="spellEnd"/>
      <w:r>
        <w:rPr>
          <w:bCs/>
          <w:sz w:val="18"/>
          <w:szCs w:val="18"/>
        </w:rPr>
        <w:t>.</w:t>
      </w:r>
    </w:p>
    <w:p w14:paraId="1CA8786B" w14:textId="1C2A0D80" w:rsidR="001D1FD6" w:rsidRDefault="001D1FD6" w:rsidP="001D1FD6">
      <w:pPr>
        <w:spacing w:after="240"/>
        <w:ind w:firstLine="720"/>
        <w:jc w:val="both"/>
        <w:rPr>
          <w:bCs/>
          <w:sz w:val="18"/>
          <w:szCs w:val="18"/>
        </w:rPr>
      </w:pPr>
      <w:r>
        <w:rPr>
          <w:bCs/>
          <w:sz w:val="18"/>
          <w:szCs w:val="18"/>
        </w:rPr>
        <w:t>For the 30 June 2017 valuations Jones Lang LaSalle used the net present value (“NPV”) valuation and initial yield approach for valuing the Spanish property portfolio. The NPV approach has been only used for the Mango building in VGP Park Mango (Barcelona). The NPV approach is similar to the DCF approach in that it calculates the present value by discounting future cash flows with a certain rate. The internal rate of return is calculated so that the sum of discounted positive and negative cash flows is equal to zero. When calculating the value of the Mango building the value of the property was estimated at the end of the 30-year lease.</w:t>
      </w:r>
    </w:p>
    <w:p w14:paraId="06206D27" w14:textId="1B6AC7A4" w:rsidR="001D1FD6" w:rsidRDefault="001D1FD6" w:rsidP="001D1FD6">
      <w:pPr>
        <w:spacing w:after="240"/>
        <w:ind w:firstLine="720"/>
        <w:jc w:val="both"/>
        <w:rPr>
          <w:bCs/>
          <w:sz w:val="18"/>
          <w:szCs w:val="18"/>
        </w:rPr>
      </w:pPr>
      <w:r>
        <w:rPr>
          <w:bCs/>
          <w:sz w:val="18"/>
          <w:szCs w:val="18"/>
        </w:rPr>
        <w:t xml:space="preserve">The initial yield approach ("IYA") was utilized for the building under construction in VGP Park San Fernando de Henares (Madrid). IYA calculates the gross market value by applying a </w:t>
      </w:r>
      <w:proofErr w:type="spellStart"/>
      <w:r>
        <w:rPr>
          <w:bCs/>
          <w:sz w:val="18"/>
          <w:szCs w:val="18"/>
        </w:rPr>
        <w:t>capitalisation</w:t>
      </w:r>
      <w:proofErr w:type="spellEnd"/>
      <w:r>
        <w:rPr>
          <w:bCs/>
          <w:sz w:val="18"/>
          <w:szCs w:val="18"/>
        </w:rPr>
        <w:t xml:space="preserve"> rate (initial yield) to the net rental income as of the valuation date, and </w:t>
      </w:r>
      <w:proofErr w:type="spellStart"/>
      <w:r>
        <w:rPr>
          <w:bCs/>
          <w:sz w:val="18"/>
          <w:szCs w:val="18"/>
        </w:rPr>
        <w:t>capitalising</w:t>
      </w:r>
      <w:proofErr w:type="spellEnd"/>
      <w:r>
        <w:rPr>
          <w:bCs/>
          <w:sz w:val="18"/>
          <w:szCs w:val="18"/>
        </w:rPr>
        <w:t xml:space="preserve"> the income into perpetuity. When calculating the value of the property it is assumed that the building is completed as of the valuation date and subject to a 10-year lease, with the remaining construction costs deducted from the market value.</w:t>
      </w:r>
    </w:p>
    <w:p w14:paraId="25082133" w14:textId="77777777" w:rsidR="001D1FD6" w:rsidRDefault="001D1FD6" w:rsidP="001D1FD6">
      <w:pPr>
        <w:spacing w:after="240"/>
        <w:ind w:firstLine="720"/>
        <w:jc w:val="both"/>
        <w:rPr>
          <w:bCs/>
          <w:sz w:val="18"/>
          <w:szCs w:val="18"/>
        </w:rPr>
      </w:pPr>
      <w:r>
        <w:rPr>
          <w:bCs/>
          <w:sz w:val="18"/>
          <w:szCs w:val="18"/>
        </w:rPr>
        <w:t xml:space="preserve">The valuations made are reviewed internally by the CEO, CFO and Financial Controller and discussed with the independent valuator as appropriate. The CFO and CEO report on the outcome of the valuation processes and results to the audit committee and take any comments or decision in consideration when performing the subsequent valuations. </w:t>
      </w:r>
    </w:p>
    <w:p w14:paraId="43EE6590" w14:textId="66E3CD67" w:rsidR="001D1FD6" w:rsidRDefault="001D1FD6" w:rsidP="001D1FD6">
      <w:pPr>
        <w:spacing w:after="240"/>
        <w:jc w:val="both"/>
        <w:rPr>
          <w:bCs/>
          <w:sz w:val="18"/>
          <w:szCs w:val="18"/>
        </w:rPr>
      </w:pPr>
      <w:r>
        <w:rPr>
          <w:bCs/>
          <w:sz w:val="18"/>
          <w:szCs w:val="18"/>
        </w:rPr>
        <w:t xml:space="preserve">The following tables set forth the value of the Group’s </w:t>
      </w:r>
      <w:r w:rsidR="00F0739B">
        <w:rPr>
          <w:bCs/>
          <w:sz w:val="18"/>
          <w:szCs w:val="18"/>
        </w:rPr>
        <w:t xml:space="preserve">own </w:t>
      </w:r>
      <w:r w:rsidR="00AF1A25">
        <w:rPr>
          <w:bCs/>
          <w:sz w:val="18"/>
          <w:szCs w:val="18"/>
        </w:rPr>
        <w:t>p</w:t>
      </w:r>
      <w:r>
        <w:rPr>
          <w:bCs/>
          <w:sz w:val="18"/>
          <w:szCs w:val="18"/>
        </w:rPr>
        <w:t>ortfolio value as at the dates indicated:</w:t>
      </w:r>
    </w:p>
    <w:tbl>
      <w:tblPr>
        <w:tblW w:w="4869" w:type="pct"/>
        <w:tblLayout w:type="fixed"/>
        <w:tblCellMar>
          <w:left w:w="115" w:type="dxa"/>
          <w:right w:w="115" w:type="dxa"/>
        </w:tblCellMar>
        <w:tblLook w:val="04A0" w:firstRow="1" w:lastRow="0" w:firstColumn="1" w:lastColumn="0" w:noHBand="0" w:noVBand="1"/>
      </w:tblPr>
      <w:tblGrid>
        <w:gridCol w:w="2598"/>
        <w:gridCol w:w="1380"/>
        <w:gridCol w:w="1381"/>
        <w:gridCol w:w="1379"/>
        <w:gridCol w:w="1380"/>
        <w:gridCol w:w="1379"/>
      </w:tblGrid>
      <w:tr w:rsidR="001D1FD6" w14:paraId="2999078E" w14:textId="77777777" w:rsidTr="001D1FD6">
        <w:trPr>
          <w:cantSplit/>
        </w:trPr>
        <w:tc>
          <w:tcPr>
            <w:tcW w:w="2662" w:type="dxa"/>
          </w:tcPr>
          <w:p w14:paraId="2BBB1C75" w14:textId="77777777" w:rsidR="001D1FD6" w:rsidRDefault="001D1FD6" w:rsidP="001D1FD6">
            <w:pPr>
              <w:jc w:val="both"/>
              <w:rPr>
                <w:sz w:val="18"/>
                <w:szCs w:val="18"/>
                <w:lang w:val="en-GB"/>
              </w:rPr>
            </w:pPr>
          </w:p>
        </w:tc>
        <w:tc>
          <w:tcPr>
            <w:tcW w:w="1411" w:type="dxa"/>
          </w:tcPr>
          <w:p w14:paraId="443F717F" w14:textId="77777777" w:rsidR="001D1FD6" w:rsidRDefault="001D1FD6" w:rsidP="001D1FD6">
            <w:pPr>
              <w:jc w:val="center"/>
              <w:rPr>
                <w:b/>
                <w:sz w:val="18"/>
                <w:szCs w:val="18"/>
              </w:rPr>
            </w:pPr>
          </w:p>
        </w:tc>
        <w:tc>
          <w:tcPr>
            <w:tcW w:w="1412" w:type="dxa"/>
          </w:tcPr>
          <w:p w14:paraId="50F1E96E" w14:textId="77777777" w:rsidR="001D1FD6" w:rsidRDefault="001D1FD6" w:rsidP="001D1FD6">
            <w:pPr>
              <w:jc w:val="center"/>
              <w:rPr>
                <w:b/>
                <w:sz w:val="18"/>
                <w:szCs w:val="18"/>
              </w:rPr>
            </w:pPr>
          </w:p>
        </w:tc>
        <w:tc>
          <w:tcPr>
            <w:tcW w:w="1410" w:type="dxa"/>
          </w:tcPr>
          <w:p w14:paraId="6B95080F" w14:textId="77777777" w:rsidR="001D1FD6" w:rsidRDefault="001D1FD6" w:rsidP="001D1FD6">
            <w:pPr>
              <w:jc w:val="center"/>
              <w:rPr>
                <w:b/>
                <w:sz w:val="18"/>
                <w:szCs w:val="18"/>
              </w:rPr>
            </w:pPr>
          </w:p>
        </w:tc>
        <w:tc>
          <w:tcPr>
            <w:tcW w:w="2821" w:type="dxa"/>
            <w:gridSpan w:val="2"/>
          </w:tcPr>
          <w:p w14:paraId="4F632541" w14:textId="77777777" w:rsidR="001D1FD6" w:rsidRDefault="001D1FD6" w:rsidP="001D1FD6">
            <w:pPr>
              <w:pBdr>
                <w:bottom w:val="single" w:sz="2" w:space="1" w:color="auto"/>
              </w:pBdr>
              <w:jc w:val="center"/>
              <w:rPr>
                <w:b/>
                <w:sz w:val="18"/>
                <w:szCs w:val="18"/>
              </w:rPr>
            </w:pPr>
            <w:r>
              <w:rPr>
                <w:b/>
                <w:sz w:val="18"/>
                <w:szCs w:val="18"/>
              </w:rPr>
              <w:t>Portfolio Value</w:t>
            </w:r>
          </w:p>
        </w:tc>
      </w:tr>
      <w:tr w:rsidR="001D1FD6" w14:paraId="10DD9E7E" w14:textId="77777777" w:rsidTr="001D1FD6">
        <w:trPr>
          <w:cantSplit/>
        </w:trPr>
        <w:tc>
          <w:tcPr>
            <w:tcW w:w="2409" w:type="dxa"/>
            <w:vMerge w:val="restart"/>
          </w:tcPr>
          <w:p w14:paraId="6EC39D5D" w14:textId="77777777" w:rsidR="001D1FD6" w:rsidRDefault="001D1FD6" w:rsidP="001D1FD6">
            <w:pPr>
              <w:jc w:val="both"/>
              <w:rPr>
                <w:i/>
                <w:sz w:val="18"/>
                <w:szCs w:val="18"/>
                <w:lang w:val="en-GB"/>
              </w:rPr>
            </w:pPr>
            <w:r>
              <w:rPr>
                <w:i/>
                <w:sz w:val="18"/>
                <w:szCs w:val="18"/>
                <w:lang w:val="en-GB"/>
              </w:rPr>
              <w:t>As at 30 June 2017</w:t>
            </w:r>
          </w:p>
        </w:tc>
        <w:tc>
          <w:tcPr>
            <w:tcW w:w="1276" w:type="dxa"/>
          </w:tcPr>
          <w:p w14:paraId="6178DD43" w14:textId="77777777" w:rsidR="001D1FD6" w:rsidRDefault="001D1FD6" w:rsidP="001D1FD6">
            <w:pPr>
              <w:pBdr>
                <w:bottom w:val="single" w:sz="2" w:space="1" w:color="auto"/>
              </w:pBdr>
              <w:jc w:val="center"/>
              <w:rPr>
                <w:b/>
                <w:sz w:val="18"/>
                <w:szCs w:val="18"/>
              </w:rPr>
            </w:pPr>
          </w:p>
          <w:p w14:paraId="19D02589" w14:textId="77777777" w:rsidR="004338CB" w:rsidRDefault="001D1FD6" w:rsidP="001D1FD6">
            <w:pPr>
              <w:pBdr>
                <w:bottom w:val="single" w:sz="2" w:space="1" w:color="auto"/>
              </w:pBdr>
              <w:jc w:val="center"/>
              <w:rPr>
                <w:b/>
                <w:sz w:val="18"/>
                <w:szCs w:val="18"/>
              </w:rPr>
            </w:pPr>
            <w:r>
              <w:rPr>
                <w:b/>
                <w:sz w:val="18"/>
                <w:szCs w:val="18"/>
              </w:rPr>
              <w:t>Completed</w:t>
            </w:r>
          </w:p>
          <w:p w14:paraId="74CD4381" w14:textId="2A1EAEEB" w:rsidR="001D1FD6" w:rsidRPr="00D8552C" w:rsidRDefault="004338CB" w:rsidP="00D8552C">
            <w:pPr>
              <w:pBdr>
                <w:bottom w:val="single" w:sz="2" w:space="1" w:color="auto"/>
              </w:pBdr>
              <w:jc w:val="center"/>
              <w:rPr>
                <w:i/>
                <w:sz w:val="18"/>
                <w:szCs w:val="18"/>
              </w:rPr>
            </w:pPr>
            <w:r w:rsidRPr="00D8552C">
              <w:rPr>
                <w:i/>
                <w:sz w:val="18"/>
                <w:szCs w:val="18"/>
              </w:rPr>
              <w:t xml:space="preserve">(in </w:t>
            </w:r>
            <w:r w:rsidR="00D8552C" w:rsidRPr="00D8552C">
              <w:rPr>
                <w:i/>
                <w:sz w:val="18"/>
                <w:szCs w:val="18"/>
              </w:rPr>
              <w:t>thousands of €)</w:t>
            </w:r>
            <w:r w:rsidR="001D1FD6" w:rsidRPr="00D8552C">
              <w:rPr>
                <w:i/>
                <w:sz w:val="18"/>
                <w:szCs w:val="18"/>
              </w:rPr>
              <w:t xml:space="preserve"> </w:t>
            </w:r>
          </w:p>
        </w:tc>
        <w:tc>
          <w:tcPr>
            <w:tcW w:w="1277" w:type="dxa"/>
          </w:tcPr>
          <w:p w14:paraId="01A3A8D9" w14:textId="77777777" w:rsidR="001D1FD6" w:rsidRDefault="001D1FD6" w:rsidP="001D1FD6">
            <w:pPr>
              <w:pBdr>
                <w:bottom w:val="single" w:sz="2" w:space="1" w:color="auto"/>
              </w:pBdr>
              <w:jc w:val="both"/>
              <w:rPr>
                <w:b/>
                <w:sz w:val="18"/>
                <w:szCs w:val="18"/>
              </w:rPr>
            </w:pPr>
            <w:r>
              <w:rPr>
                <w:b/>
                <w:sz w:val="18"/>
                <w:szCs w:val="18"/>
              </w:rPr>
              <w:t>Under Construction</w:t>
            </w:r>
          </w:p>
          <w:p w14:paraId="7E913F68" w14:textId="260D2A92" w:rsidR="001D1FD6" w:rsidRPr="00D8552C" w:rsidRDefault="001D1FD6" w:rsidP="00D8552C">
            <w:pPr>
              <w:pBdr>
                <w:bottom w:val="single" w:sz="2" w:space="1" w:color="auto"/>
              </w:pBdr>
              <w:jc w:val="both"/>
              <w:rPr>
                <w:i/>
                <w:sz w:val="18"/>
                <w:szCs w:val="18"/>
              </w:rPr>
            </w:pPr>
            <w:r w:rsidRPr="00D8552C">
              <w:rPr>
                <w:i/>
                <w:sz w:val="18"/>
                <w:szCs w:val="18"/>
              </w:rPr>
              <w:t xml:space="preserve">(in </w:t>
            </w:r>
            <w:r w:rsidR="00D8552C" w:rsidRPr="00D8552C">
              <w:rPr>
                <w:i/>
                <w:sz w:val="18"/>
                <w:szCs w:val="18"/>
                <w:lang w:val="en-GB"/>
              </w:rPr>
              <w:t>thousands of €</w:t>
            </w:r>
            <w:r w:rsidRPr="00D8552C">
              <w:rPr>
                <w:i/>
                <w:sz w:val="18"/>
                <w:szCs w:val="18"/>
                <w:lang w:val="en-GB"/>
              </w:rPr>
              <w:t>)</w:t>
            </w:r>
          </w:p>
        </w:tc>
        <w:tc>
          <w:tcPr>
            <w:tcW w:w="1275" w:type="dxa"/>
          </w:tcPr>
          <w:p w14:paraId="284EECE8" w14:textId="77777777" w:rsidR="001D1FD6" w:rsidRDefault="001D1FD6" w:rsidP="001D1FD6">
            <w:pPr>
              <w:pBdr>
                <w:bottom w:val="single" w:sz="2" w:space="1" w:color="auto"/>
              </w:pBdr>
              <w:jc w:val="center"/>
              <w:rPr>
                <w:b/>
                <w:sz w:val="18"/>
                <w:szCs w:val="18"/>
              </w:rPr>
            </w:pPr>
            <w:r>
              <w:rPr>
                <w:b/>
                <w:sz w:val="18"/>
                <w:szCs w:val="18"/>
              </w:rPr>
              <w:t>Development Land</w:t>
            </w:r>
          </w:p>
          <w:p w14:paraId="253A69ED" w14:textId="5AB1146C" w:rsidR="004338CB" w:rsidRPr="00D8552C" w:rsidRDefault="004338CB" w:rsidP="00D8552C">
            <w:pPr>
              <w:pBdr>
                <w:bottom w:val="single" w:sz="2" w:space="1" w:color="auto"/>
              </w:pBdr>
              <w:jc w:val="center"/>
              <w:rPr>
                <w:i/>
                <w:sz w:val="18"/>
                <w:szCs w:val="18"/>
              </w:rPr>
            </w:pPr>
            <w:r w:rsidRPr="00D8552C">
              <w:rPr>
                <w:i/>
                <w:sz w:val="18"/>
                <w:szCs w:val="18"/>
              </w:rPr>
              <w:t>(</w:t>
            </w:r>
            <w:r w:rsidR="00D8552C" w:rsidRPr="00D8552C">
              <w:rPr>
                <w:i/>
                <w:sz w:val="18"/>
                <w:szCs w:val="18"/>
              </w:rPr>
              <w:t>in thousands of €)</w:t>
            </w:r>
          </w:p>
        </w:tc>
        <w:tc>
          <w:tcPr>
            <w:tcW w:w="1276" w:type="dxa"/>
          </w:tcPr>
          <w:p w14:paraId="59576DC8" w14:textId="14E527FC" w:rsidR="001D1FD6" w:rsidRDefault="004338CB" w:rsidP="001D1FD6">
            <w:pPr>
              <w:pBdr>
                <w:bottom w:val="single" w:sz="2" w:space="1" w:color="auto"/>
              </w:pBdr>
              <w:jc w:val="center"/>
              <w:rPr>
                <w:i/>
                <w:sz w:val="18"/>
                <w:szCs w:val="18"/>
              </w:rPr>
            </w:pPr>
            <w:r>
              <w:rPr>
                <w:sz w:val="18"/>
                <w:szCs w:val="18"/>
              </w:rPr>
              <w:t>(</w:t>
            </w:r>
            <w:r>
              <w:rPr>
                <w:i/>
                <w:sz w:val="18"/>
                <w:szCs w:val="18"/>
              </w:rPr>
              <w:t>in thousands of €)</w:t>
            </w:r>
          </w:p>
          <w:p w14:paraId="363BAB64" w14:textId="77777777" w:rsidR="00D8552C" w:rsidRDefault="00D8552C" w:rsidP="001D1FD6">
            <w:pPr>
              <w:pBdr>
                <w:bottom w:val="single" w:sz="2" w:space="1" w:color="auto"/>
              </w:pBdr>
              <w:jc w:val="center"/>
              <w:rPr>
                <w:i/>
                <w:sz w:val="18"/>
                <w:szCs w:val="18"/>
              </w:rPr>
            </w:pPr>
          </w:p>
          <w:p w14:paraId="4CFE72C0" w14:textId="464828F1" w:rsidR="005622A5" w:rsidRDefault="005622A5" w:rsidP="001D1FD6">
            <w:pPr>
              <w:pBdr>
                <w:bottom w:val="single" w:sz="2" w:space="1" w:color="auto"/>
              </w:pBdr>
              <w:jc w:val="center"/>
              <w:rPr>
                <w:b/>
                <w:sz w:val="18"/>
                <w:szCs w:val="18"/>
              </w:rPr>
            </w:pPr>
          </w:p>
        </w:tc>
        <w:tc>
          <w:tcPr>
            <w:tcW w:w="1275" w:type="dxa"/>
          </w:tcPr>
          <w:p w14:paraId="58851ECB" w14:textId="77777777" w:rsidR="001D1FD6" w:rsidRDefault="001D1FD6" w:rsidP="001D1FD6">
            <w:pPr>
              <w:pBdr>
                <w:bottom w:val="single" w:sz="2" w:space="1" w:color="auto"/>
              </w:pBdr>
              <w:jc w:val="center"/>
              <w:rPr>
                <w:b/>
                <w:sz w:val="18"/>
                <w:szCs w:val="18"/>
                <w:lang w:val="en-GB"/>
              </w:rPr>
            </w:pPr>
          </w:p>
          <w:p w14:paraId="1DBE51F3" w14:textId="36A04D77" w:rsidR="001D1FD6" w:rsidRDefault="001D1FD6" w:rsidP="001D1FD6">
            <w:pPr>
              <w:pBdr>
                <w:bottom w:val="single" w:sz="2" w:space="1" w:color="auto"/>
              </w:pBdr>
              <w:jc w:val="center"/>
              <w:rPr>
                <w:b/>
                <w:sz w:val="18"/>
                <w:szCs w:val="18"/>
                <w:lang w:val="en-GB"/>
              </w:rPr>
            </w:pPr>
            <w:r>
              <w:rPr>
                <w:b/>
                <w:sz w:val="18"/>
                <w:szCs w:val="18"/>
                <w:lang w:val="en-GB"/>
              </w:rPr>
              <w:t>%</w:t>
            </w:r>
          </w:p>
          <w:p w14:paraId="3EC895F0" w14:textId="77777777" w:rsidR="00D8552C" w:rsidRDefault="00D8552C" w:rsidP="001D1FD6">
            <w:pPr>
              <w:pBdr>
                <w:bottom w:val="single" w:sz="2" w:space="1" w:color="auto"/>
              </w:pBdr>
              <w:jc w:val="center"/>
              <w:rPr>
                <w:b/>
                <w:sz w:val="18"/>
                <w:szCs w:val="18"/>
                <w:lang w:val="en-GB"/>
              </w:rPr>
            </w:pPr>
          </w:p>
          <w:p w14:paraId="05FB32EF" w14:textId="3BF76A85" w:rsidR="005622A5" w:rsidRDefault="005622A5" w:rsidP="001D1FD6">
            <w:pPr>
              <w:pBdr>
                <w:bottom w:val="single" w:sz="2" w:space="1" w:color="auto"/>
              </w:pBdr>
              <w:jc w:val="center"/>
              <w:rPr>
                <w:b/>
                <w:sz w:val="18"/>
                <w:szCs w:val="18"/>
                <w:lang w:val="en-GB"/>
              </w:rPr>
            </w:pPr>
          </w:p>
        </w:tc>
      </w:tr>
      <w:tr w:rsidR="001D1FD6" w14:paraId="427DB5F3" w14:textId="77777777" w:rsidTr="001D1FD6">
        <w:trPr>
          <w:cantSplit/>
        </w:trPr>
        <w:tc>
          <w:tcPr>
            <w:tcW w:w="2409" w:type="dxa"/>
            <w:vMerge/>
          </w:tcPr>
          <w:p w14:paraId="21160CEF" w14:textId="77777777" w:rsidR="001D1FD6" w:rsidRDefault="001D1FD6" w:rsidP="001D1FD6">
            <w:pPr>
              <w:jc w:val="both"/>
              <w:rPr>
                <w:sz w:val="18"/>
                <w:szCs w:val="18"/>
                <w:lang w:val="en-GB"/>
              </w:rPr>
            </w:pPr>
          </w:p>
        </w:tc>
        <w:tc>
          <w:tcPr>
            <w:tcW w:w="1276" w:type="dxa"/>
          </w:tcPr>
          <w:p w14:paraId="65FAF966" w14:textId="77777777" w:rsidR="001D1FD6" w:rsidRDefault="001D1FD6" w:rsidP="001D1FD6">
            <w:pPr>
              <w:jc w:val="center"/>
              <w:rPr>
                <w:sz w:val="18"/>
                <w:szCs w:val="18"/>
                <w:lang w:val="en-GB"/>
              </w:rPr>
            </w:pPr>
          </w:p>
        </w:tc>
        <w:tc>
          <w:tcPr>
            <w:tcW w:w="1277" w:type="dxa"/>
          </w:tcPr>
          <w:p w14:paraId="683EB051" w14:textId="77777777" w:rsidR="001D1FD6" w:rsidRDefault="001D1FD6" w:rsidP="001D1FD6">
            <w:pPr>
              <w:jc w:val="center"/>
              <w:rPr>
                <w:sz w:val="18"/>
                <w:szCs w:val="18"/>
              </w:rPr>
            </w:pPr>
          </w:p>
        </w:tc>
        <w:tc>
          <w:tcPr>
            <w:tcW w:w="1275" w:type="dxa"/>
          </w:tcPr>
          <w:p w14:paraId="47FF13B4" w14:textId="77777777" w:rsidR="001D1FD6" w:rsidRDefault="001D1FD6" w:rsidP="001D1FD6">
            <w:pPr>
              <w:jc w:val="center"/>
              <w:rPr>
                <w:sz w:val="18"/>
                <w:szCs w:val="18"/>
                <w:lang w:val="en-GB"/>
              </w:rPr>
            </w:pPr>
          </w:p>
        </w:tc>
        <w:tc>
          <w:tcPr>
            <w:tcW w:w="1276" w:type="dxa"/>
          </w:tcPr>
          <w:p w14:paraId="1FA3B908" w14:textId="77777777" w:rsidR="001D1FD6" w:rsidRDefault="001D1FD6" w:rsidP="001D1FD6">
            <w:pPr>
              <w:jc w:val="center"/>
              <w:rPr>
                <w:sz w:val="18"/>
                <w:szCs w:val="18"/>
                <w:lang w:val="en-GB"/>
              </w:rPr>
            </w:pPr>
          </w:p>
        </w:tc>
        <w:tc>
          <w:tcPr>
            <w:tcW w:w="1275" w:type="dxa"/>
          </w:tcPr>
          <w:p w14:paraId="66FE3D2C" w14:textId="77777777" w:rsidR="001D1FD6" w:rsidRDefault="001D1FD6" w:rsidP="001D1FD6">
            <w:pPr>
              <w:jc w:val="center"/>
              <w:rPr>
                <w:sz w:val="18"/>
                <w:szCs w:val="18"/>
                <w:lang w:val="en-GB"/>
              </w:rPr>
            </w:pPr>
          </w:p>
        </w:tc>
      </w:tr>
      <w:tr w:rsidR="001D1FD6" w14:paraId="5D7E0568" w14:textId="77777777" w:rsidTr="001D1FD6">
        <w:trPr>
          <w:cantSplit/>
        </w:trPr>
        <w:tc>
          <w:tcPr>
            <w:tcW w:w="2409" w:type="dxa"/>
          </w:tcPr>
          <w:p w14:paraId="6BB9F382" w14:textId="77777777" w:rsidR="001D1FD6" w:rsidRDefault="001D1FD6" w:rsidP="001D1FD6">
            <w:pPr>
              <w:jc w:val="both"/>
              <w:rPr>
                <w:sz w:val="18"/>
                <w:szCs w:val="18"/>
                <w:lang w:val="en-GB"/>
              </w:rPr>
            </w:pPr>
          </w:p>
        </w:tc>
        <w:tc>
          <w:tcPr>
            <w:tcW w:w="5644" w:type="dxa"/>
            <w:gridSpan w:val="4"/>
            <w:vAlign w:val="center"/>
          </w:tcPr>
          <w:p w14:paraId="57BF9FF6" w14:textId="2D2E4804" w:rsidR="001D1FD6" w:rsidRDefault="001D1FD6" w:rsidP="001D1FD6">
            <w:pPr>
              <w:jc w:val="right"/>
              <w:rPr>
                <w:bCs/>
                <w:color w:val="000000"/>
                <w:sz w:val="18"/>
                <w:szCs w:val="18"/>
                <w:lang w:eastAsia="en-GB"/>
              </w:rPr>
            </w:pPr>
          </w:p>
        </w:tc>
        <w:tc>
          <w:tcPr>
            <w:tcW w:w="1275" w:type="dxa"/>
            <w:vAlign w:val="center"/>
          </w:tcPr>
          <w:p w14:paraId="6D688332" w14:textId="77777777" w:rsidR="001D1FD6" w:rsidRDefault="001D1FD6" w:rsidP="001D1FD6">
            <w:pPr>
              <w:jc w:val="center"/>
              <w:rPr>
                <w:color w:val="000000"/>
                <w:sz w:val="18"/>
                <w:szCs w:val="18"/>
                <w:lang w:eastAsia="en-GB"/>
              </w:rPr>
            </w:pPr>
          </w:p>
        </w:tc>
      </w:tr>
      <w:tr w:rsidR="001D1FD6" w14:paraId="2CFE8FCE" w14:textId="77777777" w:rsidTr="001D1FD6">
        <w:trPr>
          <w:cantSplit/>
        </w:trPr>
        <w:tc>
          <w:tcPr>
            <w:tcW w:w="2662" w:type="dxa"/>
          </w:tcPr>
          <w:p w14:paraId="46A24484" w14:textId="77777777" w:rsidR="001D1FD6" w:rsidRDefault="001D1FD6" w:rsidP="001D1FD6">
            <w:pPr>
              <w:jc w:val="both"/>
              <w:rPr>
                <w:sz w:val="18"/>
                <w:szCs w:val="18"/>
                <w:lang w:val="en-GB"/>
              </w:rPr>
            </w:pPr>
            <w:r>
              <w:rPr>
                <w:sz w:val="18"/>
                <w:szCs w:val="18"/>
                <w:lang w:val="en-GB"/>
              </w:rPr>
              <w:t>Czech Republic</w:t>
            </w:r>
          </w:p>
        </w:tc>
        <w:tc>
          <w:tcPr>
            <w:tcW w:w="1411" w:type="dxa"/>
            <w:vAlign w:val="center"/>
          </w:tcPr>
          <w:p w14:paraId="5A2B5EB5" w14:textId="77777777" w:rsidR="001D1FD6" w:rsidRDefault="001D1FD6" w:rsidP="001D1FD6">
            <w:pPr>
              <w:jc w:val="right"/>
              <w:rPr>
                <w:color w:val="000000"/>
                <w:sz w:val="18"/>
                <w:szCs w:val="18"/>
                <w:lang w:val="en-GB" w:eastAsia="en-GB"/>
              </w:rPr>
            </w:pPr>
            <w:r>
              <w:rPr>
                <w:color w:val="000000"/>
                <w:sz w:val="18"/>
                <w:szCs w:val="18"/>
                <w:lang w:val="en-GB" w:eastAsia="en-GB"/>
              </w:rPr>
              <w:t xml:space="preserve">12,000 </w:t>
            </w:r>
          </w:p>
        </w:tc>
        <w:tc>
          <w:tcPr>
            <w:tcW w:w="1412" w:type="dxa"/>
            <w:vAlign w:val="center"/>
          </w:tcPr>
          <w:p w14:paraId="4CDD2F07" w14:textId="77777777" w:rsidR="001D1FD6" w:rsidRDefault="001D1FD6" w:rsidP="001D1FD6">
            <w:pPr>
              <w:jc w:val="right"/>
              <w:rPr>
                <w:color w:val="000000"/>
                <w:sz w:val="18"/>
                <w:szCs w:val="18"/>
                <w:lang w:val="en-GB" w:eastAsia="en-GB"/>
              </w:rPr>
            </w:pPr>
            <w:r>
              <w:rPr>
                <w:color w:val="000000"/>
                <w:sz w:val="18"/>
                <w:szCs w:val="18"/>
                <w:lang w:val="en-GB" w:eastAsia="en-GB"/>
              </w:rPr>
              <w:t xml:space="preserve">69,730 </w:t>
            </w:r>
          </w:p>
        </w:tc>
        <w:tc>
          <w:tcPr>
            <w:tcW w:w="1410" w:type="dxa"/>
            <w:vAlign w:val="center"/>
          </w:tcPr>
          <w:p w14:paraId="5C620140" w14:textId="77777777" w:rsidR="001D1FD6" w:rsidRDefault="001D1FD6" w:rsidP="001D1FD6">
            <w:pPr>
              <w:jc w:val="right"/>
              <w:rPr>
                <w:color w:val="000000"/>
                <w:sz w:val="18"/>
                <w:szCs w:val="18"/>
                <w:lang w:val="en-GB" w:eastAsia="en-GB"/>
              </w:rPr>
            </w:pPr>
            <w:r>
              <w:rPr>
                <w:color w:val="000000"/>
                <w:sz w:val="18"/>
                <w:szCs w:val="18"/>
                <w:lang w:val="en-GB" w:eastAsia="en-GB"/>
              </w:rPr>
              <w:t xml:space="preserve">16,920 </w:t>
            </w:r>
          </w:p>
        </w:tc>
        <w:tc>
          <w:tcPr>
            <w:tcW w:w="1411" w:type="dxa"/>
            <w:vAlign w:val="center"/>
          </w:tcPr>
          <w:p w14:paraId="36D6C8B2" w14:textId="77777777" w:rsidR="001D1FD6" w:rsidRDefault="001D1FD6" w:rsidP="001D1FD6">
            <w:pPr>
              <w:jc w:val="right"/>
              <w:rPr>
                <w:bCs/>
                <w:color w:val="000000"/>
                <w:sz w:val="18"/>
                <w:szCs w:val="18"/>
                <w:lang w:val="en-GB" w:eastAsia="en-GB"/>
              </w:rPr>
            </w:pPr>
            <w:r>
              <w:rPr>
                <w:bCs/>
                <w:color w:val="000000"/>
                <w:sz w:val="18"/>
                <w:szCs w:val="18"/>
                <w:lang w:eastAsia="en-GB"/>
              </w:rPr>
              <w:t xml:space="preserve">98,650 </w:t>
            </w:r>
          </w:p>
        </w:tc>
        <w:tc>
          <w:tcPr>
            <w:tcW w:w="1410" w:type="dxa"/>
            <w:vAlign w:val="center"/>
          </w:tcPr>
          <w:p w14:paraId="68DE2356" w14:textId="77777777" w:rsidR="001D1FD6" w:rsidRDefault="001D1FD6" w:rsidP="001D1FD6">
            <w:pPr>
              <w:jc w:val="center"/>
              <w:rPr>
                <w:color w:val="000000"/>
                <w:sz w:val="18"/>
                <w:szCs w:val="18"/>
                <w:lang w:val="en-GB" w:eastAsia="en-GB"/>
              </w:rPr>
            </w:pPr>
            <w:r>
              <w:rPr>
                <w:color w:val="000000"/>
                <w:sz w:val="18"/>
                <w:szCs w:val="18"/>
                <w:lang w:eastAsia="en-GB"/>
              </w:rPr>
              <w:t>17.9%</w:t>
            </w:r>
          </w:p>
        </w:tc>
      </w:tr>
      <w:tr w:rsidR="001D1FD6" w14:paraId="69A925F8" w14:textId="77777777" w:rsidTr="001D1FD6">
        <w:trPr>
          <w:cantSplit/>
        </w:trPr>
        <w:tc>
          <w:tcPr>
            <w:tcW w:w="2662" w:type="dxa"/>
            <w:vAlign w:val="bottom"/>
          </w:tcPr>
          <w:p w14:paraId="3CDFAB73" w14:textId="77777777" w:rsidR="001D1FD6" w:rsidRDefault="001D1FD6" w:rsidP="001D1FD6">
            <w:pPr>
              <w:rPr>
                <w:sz w:val="18"/>
                <w:szCs w:val="18"/>
                <w:lang w:val="en-GB"/>
              </w:rPr>
            </w:pPr>
            <w:r>
              <w:rPr>
                <w:sz w:val="18"/>
                <w:szCs w:val="18"/>
                <w:lang w:val="en-GB"/>
              </w:rPr>
              <w:t>Germany</w:t>
            </w:r>
          </w:p>
        </w:tc>
        <w:tc>
          <w:tcPr>
            <w:tcW w:w="1411" w:type="dxa"/>
            <w:vAlign w:val="center"/>
          </w:tcPr>
          <w:p w14:paraId="6BC13DE8" w14:textId="77777777" w:rsidR="001D1FD6" w:rsidRDefault="001D1FD6" w:rsidP="001D1FD6">
            <w:pPr>
              <w:jc w:val="right"/>
              <w:rPr>
                <w:color w:val="000000"/>
                <w:sz w:val="18"/>
                <w:szCs w:val="18"/>
                <w:lang w:val="en-GB" w:eastAsia="en-GB"/>
              </w:rPr>
            </w:pPr>
            <w:r>
              <w:rPr>
                <w:color w:val="000000"/>
                <w:sz w:val="18"/>
                <w:szCs w:val="18"/>
                <w:lang w:val="en-GB" w:eastAsia="en-GB"/>
              </w:rPr>
              <w:t xml:space="preserve">0 </w:t>
            </w:r>
          </w:p>
        </w:tc>
        <w:tc>
          <w:tcPr>
            <w:tcW w:w="1412" w:type="dxa"/>
            <w:vAlign w:val="center"/>
          </w:tcPr>
          <w:p w14:paraId="6F70D308" w14:textId="77777777" w:rsidR="001D1FD6" w:rsidRDefault="001D1FD6" w:rsidP="001D1FD6">
            <w:pPr>
              <w:jc w:val="right"/>
              <w:rPr>
                <w:color w:val="000000"/>
                <w:sz w:val="18"/>
                <w:szCs w:val="18"/>
                <w:lang w:val="en-GB" w:eastAsia="en-GB"/>
              </w:rPr>
            </w:pPr>
            <w:r>
              <w:rPr>
                <w:color w:val="000000"/>
                <w:sz w:val="18"/>
                <w:szCs w:val="18"/>
                <w:lang w:val="en-GB" w:eastAsia="en-GB"/>
              </w:rPr>
              <w:t xml:space="preserve">95,690 </w:t>
            </w:r>
          </w:p>
        </w:tc>
        <w:tc>
          <w:tcPr>
            <w:tcW w:w="1410" w:type="dxa"/>
            <w:vAlign w:val="center"/>
          </w:tcPr>
          <w:p w14:paraId="565CCD85" w14:textId="77777777" w:rsidR="001D1FD6" w:rsidRDefault="001D1FD6" w:rsidP="001D1FD6">
            <w:pPr>
              <w:jc w:val="right"/>
              <w:rPr>
                <w:color w:val="000000"/>
                <w:sz w:val="18"/>
                <w:szCs w:val="18"/>
                <w:lang w:val="en-GB" w:eastAsia="en-GB"/>
              </w:rPr>
            </w:pPr>
            <w:r>
              <w:rPr>
                <w:color w:val="000000"/>
                <w:sz w:val="18"/>
                <w:szCs w:val="18"/>
                <w:lang w:val="en-GB" w:eastAsia="en-GB"/>
              </w:rPr>
              <w:t xml:space="preserve">51,934 </w:t>
            </w:r>
          </w:p>
        </w:tc>
        <w:tc>
          <w:tcPr>
            <w:tcW w:w="1411" w:type="dxa"/>
            <w:vAlign w:val="center"/>
          </w:tcPr>
          <w:p w14:paraId="41454BA5" w14:textId="77777777" w:rsidR="001D1FD6" w:rsidRDefault="001D1FD6" w:rsidP="001D1FD6">
            <w:pPr>
              <w:jc w:val="right"/>
              <w:rPr>
                <w:bCs/>
                <w:color w:val="000000"/>
                <w:sz w:val="18"/>
                <w:szCs w:val="18"/>
                <w:lang w:val="en-GB" w:eastAsia="en-GB"/>
              </w:rPr>
            </w:pPr>
            <w:r>
              <w:rPr>
                <w:bCs/>
                <w:color w:val="000000"/>
                <w:sz w:val="18"/>
                <w:szCs w:val="18"/>
                <w:lang w:eastAsia="en-GB"/>
              </w:rPr>
              <w:t xml:space="preserve">147,624 </w:t>
            </w:r>
          </w:p>
        </w:tc>
        <w:tc>
          <w:tcPr>
            <w:tcW w:w="1410" w:type="dxa"/>
            <w:vAlign w:val="center"/>
          </w:tcPr>
          <w:p w14:paraId="1A73DB1A" w14:textId="77777777" w:rsidR="001D1FD6" w:rsidRDefault="001D1FD6" w:rsidP="001D1FD6">
            <w:pPr>
              <w:jc w:val="center"/>
              <w:rPr>
                <w:color w:val="000000"/>
                <w:sz w:val="18"/>
                <w:szCs w:val="18"/>
                <w:lang w:val="en-GB" w:eastAsia="en-GB"/>
              </w:rPr>
            </w:pPr>
            <w:r>
              <w:rPr>
                <w:color w:val="000000"/>
                <w:sz w:val="18"/>
                <w:szCs w:val="18"/>
                <w:lang w:eastAsia="en-GB"/>
              </w:rPr>
              <w:t>26.8%</w:t>
            </w:r>
          </w:p>
        </w:tc>
      </w:tr>
      <w:tr w:rsidR="001D1FD6" w14:paraId="5A8AB7C3" w14:textId="77777777" w:rsidTr="001D1FD6">
        <w:trPr>
          <w:cantSplit/>
        </w:trPr>
        <w:tc>
          <w:tcPr>
            <w:tcW w:w="2662" w:type="dxa"/>
            <w:vAlign w:val="bottom"/>
          </w:tcPr>
          <w:p w14:paraId="19229DC5" w14:textId="77777777" w:rsidR="001D1FD6" w:rsidRDefault="001D1FD6" w:rsidP="001D1FD6">
            <w:pPr>
              <w:rPr>
                <w:sz w:val="18"/>
                <w:szCs w:val="18"/>
                <w:lang w:val="en-GB"/>
              </w:rPr>
            </w:pPr>
            <w:r>
              <w:rPr>
                <w:sz w:val="18"/>
                <w:szCs w:val="18"/>
                <w:lang w:val="en-GB"/>
              </w:rPr>
              <w:t>Spain</w:t>
            </w:r>
          </w:p>
        </w:tc>
        <w:tc>
          <w:tcPr>
            <w:tcW w:w="1411" w:type="dxa"/>
            <w:vAlign w:val="center"/>
          </w:tcPr>
          <w:p w14:paraId="600B6003" w14:textId="77777777" w:rsidR="001D1FD6" w:rsidRDefault="001D1FD6" w:rsidP="001D1FD6">
            <w:pPr>
              <w:jc w:val="right"/>
              <w:rPr>
                <w:color w:val="000000"/>
                <w:sz w:val="18"/>
                <w:szCs w:val="18"/>
                <w:lang w:val="en-GB" w:eastAsia="en-GB"/>
              </w:rPr>
            </w:pPr>
            <w:r>
              <w:rPr>
                <w:color w:val="000000"/>
                <w:sz w:val="18"/>
                <w:szCs w:val="18"/>
                <w:lang w:val="en-GB" w:eastAsia="en-GB"/>
              </w:rPr>
              <w:t xml:space="preserve">126,240 </w:t>
            </w:r>
          </w:p>
        </w:tc>
        <w:tc>
          <w:tcPr>
            <w:tcW w:w="1412" w:type="dxa"/>
            <w:vAlign w:val="center"/>
          </w:tcPr>
          <w:p w14:paraId="2F6F3DF0" w14:textId="77777777" w:rsidR="001D1FD6" w:rsidRDefault="001D1FD6" w:rsidP="001D1FD6">
            <w:pPr>
              <w:jc w:val="right"/>
              <w:rPr>
                <w:color w:val="000000"/>
                <w:sz w:val="18"/>
                <w:szCs w:val="18"/>
                <w:lang w:val="en-GB" w:eastAsia="en-GB"/>
              </w:rPr>
            </w:pPr>
            <w:r>
              <w:rPr>
                <w:color w:val="000000"/>
                <w:sz w:val="18"/>
                <w:szCs w:val="18"/>
                <w:lang w:val="en-GB" w:eastAsia="en-GB"/>
              </w:rPr>
              <w:t xml:space="preserve">14,050 </w:t>
            </w:r>
          </w:p>
        </w:tc>
        <w:tc>
          <w:tcPr>
            <w:tcW w:w="1410" w:type="dxa"/>
            <w:vAlign w:val="center"/>
          </w:tcPr>
          <w:p w14:paraId="59A7FAC6" w14:textId="77777777" w:rsidR="001D1FD6" w:rsidRDefault="001D1FD6" w:rsidP="001D1FD6">
            <w:pPr>
              <w:jc w:val="right"/>
              <w:rPr>
                <w:color w:val="000000"/>
                <w:sz w:val="18"/>
                <w:szCs w:val="18"/>
                <w:lang w:val="en-GB" w:eastAsia="en-GB"/>
              </w:rPr>
            </w:pPr>
            <w:r>
              <w:rPr>
                <w:color w:val="000000"/>
                <w:sz w:val="18"/>
                <w:szCs w:val="18"/>
                <w:lang w:val="en-GB" w:eastAsia="en-GB"/>
              </w:rPr>
              <w:t xml:space="preserve">65,236 </w:t>
            </w:r>
          </w:p>
        </w:tc>
        <w:tc>
          <w:tcPr>
            <w:tcW w:w="1411" w:type="dxa"/>
            <w:vAlign w:val="center"/>
          </w:tcPr>
          <w:p w14:paraId="1C4C6EED" w14:textId="77777777" w:rsidR="001D1FD6" w:rsidRDefault="001D1FD6" w:rsidP="001D1FD6">
            <w:pPr>
              <w:jc w:val="right"/>
              <w:rPr>
                <w:bCs/>
                <w:color w:val="000000"/>
                <w:sz w:val="18"/>
                <w:szCs w:val="18"/>
                <w:lang w:val="en-GB" w:eastAsia="en-GB"/>
              </w:rPr>
            </w:pPr>
            <w:r>
              <w:rPr>
                <w:bCs/>
                <w:color w:val="000000"/>
                <w:sz w:val="18"/>
                <w:szCs w:val="18"/>
                <w:lang w:eastAsia="en-GB"/>
              </w:rPr>
              <w:t xml:space="preserve">205,526 </w:t>
            </w:r>
          </w:p>
        </w:tc>
        <w:tc>
          <w:tcPr>
            <w:tcW w:w="1410" w:type="dxa"/>
            <w:vAlign w:val="center"/>
          </w:tcPr>
          <w:p w14:paraId="3B482A47" w14:textId="77777777" w:rsidR="001D1FD6" w:rsidRDefault="001D1FD6" w:rsidP="001D1FD6">
            <w:pPr>
              <w:jc w:val="center"/>
              <w:rPr>
                <w:color w:val="000000"/>
                <w:sz w:val="18"/>
                <w:szCs w:val="18"/>
                <w:lang w:val="en-GB" w:eastAsia="en-GB"/>
              </w:rPr>
            </w:pPr>
            <w:r>
              <w:rPr>
                <w:color w:val="000000"/>
                <w:sz w:val="18"/>
                <w:szCs w:val="18"/>
                <w:lang w:eastAsia="en-GB"/>
              </w:rPr>
              <w:t>37.3%</w:t>
            </w:r>
          </w:p>
        </w:tc>
      </w:tr>
      <w:tr w:rsidR="001D1FD6" w14:paraId="1206F6C6" w14:textId="77777777" w:rsidTr="001D1FD6">
        <w:trPr>
          <w:cantSplit/>
        </w:trPr>
        <w:tc>
          <w:tcPr>
            <w:tcW w:w="2662" w:type="dxa"/>
            <w:vAlign w:val="bottom"/>
          </w:tcPr>
          <w:p w14:paraId="16B8A91B" w14:textId="77777777" w:rsidR="001D1FD6" w:rsidRDefault="001D1FD6" w:rsidP="001D1FD6">
            <w:pPr>
              <w:rPr>
                <w:bCs/>
                <w:sz w:val="18"/>
                <w:szCs w:val="18"/>
                <w:lang w:val="en-GB"/>
              </w:rPr>
            </w:pPr>
            <w:r>
              <w:rPr>
                <w:bCs/>
                <w:sz w:val="18"/>
                <w:szCs w:val="18"/>
                <w:lang w:val="en-GB"/>
              </w:rPr>
              <w:t>Other countries</w:t>
            </w:r>
          </w:p>
        </w:tc>
        <w:tc>
          <w:tcPr>
            <w:tcW w:w="1411" w:type="dxa"/>
            <w:vAlign w:val="center"/>
          </w:tcPr>
          <w:p w14:paraId="453C2E8D" w14:textId="77777777" w:rsidR="001D1FD6" w:rsidRDefault="001D1FD6" w:rsidP="001D1FD6">
            <w:pPr>
              <w:jc w:val="right"/>
              <w:rPr>
                <w:color w:val="000000"/>
                <w:sz w:val="18"/>
                <w:szCs w:val="18"/>
                <w:u w:val="single"/>
                <w:lang w:val="en-GB" w:eastAsia="en-GB"/>
              </w:rPr>
            </w:pPr>
            <w:r>
              <w:rPr>
                <w:color w:val="000000"/>
                <w:sz w:val="18"/>
                <w:szCs w:val="18"/>
                <w:u w:val="single"/>
                <w:lang w:val="en-GB" w:eastAsia="en-GB"/>
              </w:rPr>
              <w:t xml:space="preserve">83,202 </w:t>
            </w:r>
          </w:p>
        </w:tc>
        <w:tc>
          <w:tcPr>
            <w:tcW w:w="1412" w:type="dxa"/>
            <w:vAlign w:val="center"/>
          </w:tcPr>
          <w:p w14:paraId="30D2A47A" w14:textId="77777777" w:rsidR="001D1FD6" w:rsidRDefault="001D1FD6" w:rsidP="001D1FD6">
            <w:pPr>
              <w:jc w:val="right"/>
              <w:rPr>
                <w:color w:val="000000"/>
                <w:sz w:val="18"/>
                <w:szCs w:val="18"/>
                <w:u w:val="single"/>
                <w:lang w:val="en-GB" w:eastAsia="en-GB"/>
              </w:rPr>
            </w:pPr>
            <w:r>
              <w:rPr>
                <w:color w:val="000000"/>
                <w:sz w:val="18"/>
                <w:szCs w:val="18"/>
                <w:u w:val="single"/>
                <w:lang w:val="en-GB" w:eastAsia="en-GB"/>
              </w:rPr>
              <w:t xml:space="preserve">11,233 </w:t>
            </w:r>
          </w:p>
        </w:tc>
        <w:tc>
          <w:tcPr>
            <w:tcW w:w="1410" w:type="dxa"/>
            <w:vAlign w:val="center"/>
          </w:tcPr>
          <w:p w14:paraId="1BFC9A37" w14:textId="77777777" w:rsidR="001D1FD6" w:rsidRDefault="001D1FD6" w:rsidP="001D1FD6">
            <w:pPr>
              <w:jc w:val="right"/>
              <w:rPr>
                <w:color w:val="000000"/>
                <w:sz w:val="18"/>
                <w:szCs w:val="18"/>
                <w:u w:val="single"/>
                <w:lang w:val="en-GB" w:eastAsia="en-GB"/>
              </w:rPr>
            </w:pPr>
            <w:r>
              <w:rPr>
                <w:color w:val="000000"/>
                <w:sz w:val="18"/>
                <w:szCs w:val="18"/>
                <w:u w:val="single"/>
                <w:lang w:val="en-GB" w:eastAsia="en-GB"/>
              </w:rPr>
              <w:t xml:space="preserve">4,086 </w:t>
            </w:r>
          </w:p>
        </w:tc>
        <w:tc>
          <w:tcPr>
            <w:tcW w:w="1411" w:type="dxa"/>
            <w:vAlign w:val="center"/>
          </w:tcPr>
          <w:p w14:paraId="44B4E4CE" w14:textId="77777777" w:rsidR="001D1FD6" w:rsidRDefault="001D1FD6" w:rsidP="001D1FD6">
            <w:pPr>
              <w:jc w:val="right"/>
              <w:rPr>
                <w:bCs/>
                <w:color w:val="000000"/>
                <w:sz w:val="18"/>
                <w:szCs w:val="18"/>
                <w:u w:val="single"/>
                <w:lang w:val="en-GB" w:eastAsia="en-GB"/>
              </w:rPr>
            </w:pPr>
            <w:r>
              <w:rPr>
                <w:bCs/>
                <w:color w:val="000000"/>
                <w:sz w:val="18"/>
                <w:szCs w:val="18"/>
                <w:u w:val="single"/>
                <w:lang w:eastAsia="en-GB"/>
              </w:rPr>
              <w:t xml:space="preserve">98,521 </w:t>
            </w:r>
          </w:p>
        </w:tc>
        <w:tc>
          <w:tcPr>
            <w:tcW w:w="1410" w:type="dxa"/>
            <w:vAlign w:val="center"/>
          </w:tcPr>
          <w:p w14:paraId="6ABA8ED8" w14:textId="77777777" w:rsidR="001D1FD6" w:rsidRDefault="001D1FD6" w:rsidP="001D1FD6">
            <w:pPr>
              <w:jc w:val="center"/>
              <w:rPr>
                <w:color w:val="000000"/>
                <w:sz w:val="18"/>
                <w:szCs w:val="18"/>
                <w:u w:val="single"/>
                <w:lang w:val="en-GB" w:eastAsia="en-GB"/>
              </w:rPr>
            </w:pPr>
            <w:r>
              <w:rPr>
                <w:color w:val="000000"/>
                <w:sz w:val="18"/>
                <w:szCs w:val="18"/>
                <w:u w:val="single"/>
                <w:lang w:eastAsia="en-GB"/>
              </w:rPr>
              <w:t>17.9%</w:t>
            </w:r>
          </w:p>
        </w:tc>
      </w:tr>
      <w:tr w:rsidR="001D1FD6" w14:paraId="11BA3D5E" w14:textId="77777777" w:rsidTr="001D1FD6">
        <w:trPr>
          <w:cantSplit/>
        </w:trPr>
        <w:tc>
          <w:tcPr>
            <w:tcW w:w="2662" w:type="dxa"/>
            <w:vAlign w:val="bottom"/>
          </w:tcPr>
          <w:p w14:paraId="3035B889" w14:textId="04DA137F" w:rsidR="001D1FD6" w:rsidRDefault="001D1FD6" w:rsidP="001D1FD6">
            <w:pPr>
              <w:rPr>
                <w:b/>
                <w:sz w:val="18"/>
                <w:szCs w:val="18"/>
                <w:lang w:val="en-GB"/>
              </w:rPr>
            </w:pPr>
            <w:r>
              <w:rPr>
                <w:b/>
                <w:sz w:val="18"/>
                <w:szCs w:val="18"/>
                <w:lang w:val="en-GB"/>
              </w:rPr>
              <w:t>Total Portfolio (</w:t>
            </w:r>
            <w:r w:rsidR="00D3576A">
              <w:rPr>
                <w:b/>
                <w:sz w:val="18"/>
                <w:szCs w:val="18"/>
                <w:lang w:val="en-GB"/>
              </w:rPr>
              <w:t>including</w:t>
            </w:r>
            <w:r>
              <w:rPr>
                <w:b/>
                <w:sz w:val="18"/>
                <w:szCs w:val="18"/>
                <w:lang w:val="en-GB"/>
              </w:rPr>
              <w:t xml:space="preserve"> Estonia)</w:t>
            </w:r>
            <w:r w:rsidR="00D443EA">
              <w:rPr>
                <w:b/>
                <w:sz w:val="18"/>
                <w:szCs w:val="18"/>
                <w:lang w:val="en-GB"/>
              </w:rPr>
              <w:t xml:space="preserve"> (1)</w:t>
            </w:r>
          </w:p>
        </w:tc>
        <w:tc>
          <w:tcPr>
            <w:tcW w:w="1411" w:type="dxa"/>
            <w:vAlign w:val="center"/>
          </w:tcPr>
          <w:p w14:paraId="17F538DD" w14:textId="77777777" w:rsidR="001D1FD6" w:rsidRPr="00F479F2" w:rsidRDefault="001D1FD6" w:rsidP="001D1FD6">
            <w:pPr>
              <w:jc w:val="right"/>
              <w:rPr>
                <w:b/>
                <w:bCs/>
                <w:color w:val="000000"/>
                <w:sz w:val="18"/>
                <w:szCs w:val="18"/>
                <w:u w:val="double"/>
                <w:lang w:val="en-GB" w:eastAsia="en-GB"/>
              </w:rPr>
            </w:pPr>
            <w:r w:rsidRPr="00F479F2">
              <w:rPr>
                <w:b/>
                <w:bCs/>
                <w:color w:val="000000"/>
                <w:sz w:val="18"/>
                <w:szCs w:val="18"/>
                <w:u w:val="double"/>
                <w:lang w:val="en-GB" w:eastAsia="en-GB"/>
              </w:rPr>
              <w:t xml:space="preserve">221,442 </w:t>
            </w:r>
          </w:p>
        </w:tc>
        <w:tc>
          <w:tcPr>
            <w:tcW w:w="1412" w:type="dxa"/>
            <w:vAlign w:val="center"/>
          </w:tcPr>
          <w:p w14:paraId="359328A3" w14:textId="77777777" w:rsidR="001D1FD6" w:rsidRPr="00F479F2" w:rsidRDefault="001D1FD6" w:rsidP="001D1FD6">
            <w:pPr>
              <w:jc w:val="right"/>
              <w:rPr>
                <w:b/>
                <w:bCs/>
                <w:color w:val="000000"/>
                <w:sz w:val="18"/>
                <w:szCs w:val="18"/>
                <w:u w:val="double"/>
                <w:lang w:val="en-GB" w:eastAsia="en-GB"/>
              </w:rPr>
            </w:pPr>
            <w:r w:rsidRPr="00F479F2">
              <w:rPr>
                <w:b/>
                <w:bCs/>
                <w:color w:val="000000"/>
                <w:sz w:val="18"/>
                <w:szCs w:val="18"/>
                <w:u w:val="double"/>
                <w:lang w:val="en-GB" w:eastAsia="en-GB"/>
              </w:rPr>
              <w:t xml:space="preserve">190,703 </w:t>
            </w:r>
          </w:p>
        </w:tc>
        <w:tc>
          <w:tcPr>
            <w:tcW w:w="1410" w:type="dxa"/>
            <w:vAlign w:val="center"/>
          </w:tcPr>
          <w:p w14:paraId="698AD173" w14:textId="77777777" w:rsidR="001D1FD6" w:rsidRPr="00F479F2" w:rsidRDefault="001D1FD6" w:rsidP="001D1FD6">
            <w:pPr>
              <w:jc w:val="right"/>
              <w:rPr>
                <w:b/>
                <w:bCs/>
                <w:color w:val="000000"/>
                <w:sz w:val="18"/>
                <w:szCs w:val="18"/>
                <w:u w:val="double"/>
                <w:lang w:val="en-GB" w:eastAsia="en-GB"/>
              </w:rPr>
            </w:pPr>
            <w:r w:rsidRPr="00F479F2">
              <w:rPr>
                <w:b/>
                <w:bCs/>
                <w:color w:val="000000"/>
                <w:sz w:val="18"/>
                <w:szCs w:val="18"/>
                <w:u w:val="double"/>
                <w:lang w:val="en-GB" w:eastAsia="en-GB"/>
              </w:rPr>
              <w:t xml:space="preserve">138,176 </w:t>
            </w:r>
          </w:p>
        </w:tc>
        <w:tc>
          <w:tcPr>
            <w:tcW w:w="1411" w:type="dxa"/>
            <w:vAlign w:val="center"/>
          </w:tcPr>
          <w:p w14:paraId="0D92199F" w14:textId="77777777" w:rsidR="001D1FD6" w:rsidRPr="00F479F2" w:rsidRDefault="001D1FD6" w:rsidP="001D1FD6">
            <w:pPr>
              <w:jc w:val="right"/>
              <w:rPr>
                <w:b/>
                <w:bCs/>
                <w:color w:val="000000"/>
                <w:sz w:val="18"/>
                <w:szCs w:val="18"/>
                <w:u w:val="double"/>
                <w:lang w:val="en-GB" w:eastAsia="en-GB"/>
              </w:rPr>
            </w:pPr>
            <w:r w:rsidRPr="00F479F2">
              <w:rPr>
                <w:b/>
                <w:bCs/>
                <w:color w:val="000000"/>
                <w:sz w:val="18"/>
                <w:szCs w:val="18"/>
                <w:u w:val="double"/>
                <w:lang w:eastAsia="en-GB"/>
              </w:rPr>
              <w:t xml:space="preserve">550,321 </w:t>
            </w:r>
          </w:p>
        </w:tc>
        <w:tc>
          <w:tcPr>
            <w:tcW w:w="1410" w:type="dxa"/>
            <w:vAlign w:val="center"/>
          </w:tcPr>
          <w:p w14:paraId="38EDB15E" w14:textId="77777777" w:rsidR="001D1FD6" w:rsidRDefault="001D1FD6" w:rsidP="001D1FD6">
            <w:pPr>
              <w:jc w:val="center"/>
              <w:rPr>
                <w:b/>
                <w:color w:val="000000"/>
                <w:sz w:val="18"/>
                <w:szCs w:val="18"/>
                <w:u w:val="double"/>
                <w:lang w:val="en-GB" w:eastAsia="en-GB"/>
              </w:rPr>
            </w:pPr>
            <w:r>
              <w:rPr>
                <w:b/>
                <w:color w:val="000000"/>
                <w:sz w:val="18"/>
                <w:szCs w:val="18"/>
                <w:u w:val="double"/>
                <w:lang w:eastAsia="en-GB"/>
              </w:rPr>
              <w:t>100.0%</w:t>
            </w:r>
          </w:p>
        </w:tc>
      </w:tr>
      <w:tr w:rsidR="001D1FD6" w:rsidRPr="008B73C6" w14:paraId="41DA81A5" w14:textId="77777777" w:rsidTr="001D1FD6">
        <w:trPr>
          <w:cantSplit/>
        </w:trPr>
        <w:tc>
          <w:tcPr>
            <w:tcW w:w="2662" w:type="dxa"/>
            <w:vAlign w:val="bottom"/>
          </w:tcPr>
          <w:p w14:paraId="30D0E6F0" w14:textId="3124FA29" w:rsidR="001D1FD6" w:rsidRDefault="001D1FD6" w:rsidP="00F142ED">
            <w:pPr>
              <w:rPr>
                <w:b/>
                <w:sz w:val="18"/>
                <w:szCs w:val="18"/>
                <w:lang w:val="en-GB"/>
              </w:rPr>
            </w:pPr>
            <w:r>
              <w:rPr>
                <w:b/>
                <w:sz w:val="18"/>
                <w:szCs w:val="18"/>
                <w:lang w:val="en-GB"/>
              </w:rPr>
              <w:lastRenderedPageBreak/>
              <w:t>Estoni</w:t>
            </w:r>
            <w:r w:rsidR="00F142ED">
              <w:rPr>
                <w:b/>
                <w:sz w:val="18"/>
                <w:szCs w:val="18"/>
                <w:lang w:val="en-GB"/>
              </w:rPr>
              <w:t>a</w:t>
            </w:r>
            <w:r w:rsidR="00F142ED">
              <w:rPr>
                <w:rStyle w:val="FootnoteReference"/>
                <w:b/>
                <w:sz w:val="18"/>
                <w:szCs w:val="18"/>
                <w:lang w:val="en-GB"/>
              </w:rPr>
              <w:footnoteReference w:id="4"/>
            </w:r>
            <w:r w:rsidR="00D443EA">
              <w:rPr>
                <w:b/>
                <w:sz w:val="18"/>
                <w:szCs w:val="18"/>
                <w:lang w:val="en-GB"/>
              </w:rPr>
              <w:t xml:space="preserve"> (2)</w:t>
            </w:r>
          </w:p>
        </w:tc>
        <w:tc>
          <w:tcPr>
            <w:tcW w:w="1411" w:type="dxa"/>
            <w:vAlign w:val="center"/>
          </w:tcPr>
          <w:p w14:paraId="593849F8" w14:textId="046B6E44" w:rsidR="001D1FD6" w:rsidRPr="009E2376" w:rsidRDefault="001D1FD6" w:rsidP="001D1FD6">
            <w:pPr>
              <w:jc w:val="right"/>
              <w:rPr>
                <w:b/>
                <w:bCs/>
                <w:color w:val="000000"/>
                <w:sz w:val="18"/>
                <w:szCs w:val="18"/>
                <w:u w:val="double"/>
                <w:lang w:val="en-GB" w:eastAsia="en-GB"/>
              </w:rPr>
            </w:pPr>
            <w:r w:rsidRPr="009E2376">
              <w:rPr>
                <w:b/>
                <w:bCs/>
                <w:color w:val="000000"/>
                <w:sz w:val="18"/>
                <w:szCs w:val="18"/>
                <w:u w:val="double"/>
                <w:lang w:val="en-GB" w:eastAsia="en-GB"/>
              </w:rPr>
              <w:t>45,602</w:t>
            </w:r>
          </w:p>
        </w:tc>
        <w:tc>
          <w:tcPr>
            <w:tcW w:w="1412" w:type="dxa"/>
            <w:vAlign w:val="center"/>
          </w:tcPr>
          <w:p w14:paraId="5F7AA58E" w14:textId="2BFE3D6D" w:rsidR="001D1FD6" w:rsidRPr="009E2376" w:rsidRDefault="001D1FD6" w:rsidP="001D1FD6">
            <w:pPr>
              <w:jc w:val="right"/>
              <w:rPr>
                <w:b/>
                <w:bCs/>
                <w:color w:val="000000"/>
                <w:sz w:val="18"/>
                <w:szCs w:val="18"/>
                <w:u w:val="double"/>
                <w:lang w:val="en-GB" w:eastAsia="en-GB"/>
              </w:rPr>
            </w:pPr>
            <w:r w:rsidRPr="009E2376">
              <w:rPr>
                <w:b/>
                <w:bCs/>
                <w:color w:val="000000"/>
                <w:sz w:val="18"/>
                <w:szCs w:val="18"/>
                <w:u w:val="double"/>
                <w:lang w:val="en-GB" w:eastAsia="en-GB"/>
              </w:rPr>
              <w:t>4,533</w:t>
            </w:r>
          </w:p>
        </w:tc>
        <w:tc>
          <w:tcPr>
            <w:tcW w:w="1410" w:type="dxa"/>
            <w:vAlign w:val="center"/>
          </w:tcPr>
          <w:p w14:paraId="7F2E1917" w14:textId="77777777" w:rsidR="001D1FD6" w:rsidRPr="009E2376" w:rsidRDefault="001D1FD6" w:rsidP="001D1FD6">
            <w:pPr>
              <w:jc w:val="right"/>
              <w:rPr>
                <w:b/>
                <w:bCs/>
                <w:color w:val="000000"/>
                <w:sz w:val="18"/>
                <w:szCs w:val="18"/>
                <w:u w:val="double"/>
                <w:lang w:val="en-GB" w:eastAsia="en-GB"/>
              </w:rPr>
            </w:pPr>
          </w:p>
        </w:tc>
        <w:tc>
          <w:tcPr>
            <w:tcW w:w="1411" w:type="dxa"/>
            <w:vAlign w:val="center"/>
          </w:tcPr>
          <w:p w14:paraId="268585C3" w14:textId="00A088FE" w:rsidR="001D1FD6" w:rsidRPr="009E2376" w:rsidRDefault="001D1FD6" w:rsidP="001D1FD6">
            <w:pPr>
              <w:jc w:val="right"/>
              <w:rPr>
                <w:b/>
                <w:bCs/>
                <w:color w:val="000000"/>
                <w:sz w:val="18"/>
                <w:szCs w:val="18"/>
                <w:u w:val="double"/>
                <w:lang w:eastAsia="en-GB"/>
              </w:rPr>
            </w:pPr>
            <w:r w:rsidRPr="009E2376">
              <w:rPr>
                <w:b/>
                <w:bCs/>
                <w:color w:val="000000"/>
                <w:sz w:val="18"/>
                <w:szCs w:val="18"/>
                <w:u w:val="double"/>
                <w:lang w:eastAsia="en-GB"/>
              </w:rPr>
              <w:t>50,135</w:t>
            </w:r>
          </w:p>
        </w:tc>
        <w:tc>
          <w:tcPr>
            <w:tcW w:w="1410" w:type="dxa"/>
            <w:vAlign w:val="center"/>
          </w:tcPr>
          <w:p w14:paraId="6B694DCC" w14:textId="77777777" w:rsidR="001D1FD6" w:rsidRPr="008B73C6" w:rsidRDefault="001D1FD6" w:rsidP="001D1FD6">
            <w:pPr>
              <w:jc w:val="center"/>
              <w:rPr>
                <w:color w:val="000000"/>
                <w:sz w:val="18"/>
                <w:szCs w:val="18"/>
                <w:u w:val="double"/>
                <w:lang w:eastAsia="en-GB"/>
              </w:rPr>
            </w:pPr>
          </w:p>
        </w:tc>
      </w:tr>
      <w:tr w:rsidR="001D1FD6" w14:paraId="5A6056EF" w14:textId="77777777" w:rsidTr="001D1FD6">
        <w:trPr>
          <w:cantSplit/>
        </w:trPr>
        <w:tc>
          <w:tcPr>
            <w:tcW w:w="2662" w:type="dxa"/>
            <w:vAlign w:val="bottom"/>
          </w:tcPr>
          <w:p w14:paraId="76AC7E90" w14:textId="16572046" w:rsidR="001D1FD6" w:rsidRDefault="001D1FD6" w:rsidP="001D1FD6">
            <w:pPr>
              <w:rPr>
                <w:b/>
                <w:sz w:val="18"/>
                <w:szCs w:val="18"/>
                <w:lang w:val="en-GB"/>
              </w:rPr>
            </w:pPr>
            <w:r>
              <w:rPr>
                <w:b/>
                <w:sz w:val="18"/>
                <w:szCs w:val="18"/>
                <w:lang w:val="en-GB"/>
              </w:rPr>
              <w:t>Total Portfolio (</w:t>
            </w:r>
            <w:r w:rsidR="00D3576A">
              <w:rPr>
                <w:b/>
                <w:sz w:val="18"/>
                <w:szCs w:val="18"/>
                <w:lang w:val="en-GB"/>
              </w:rPr>
              <w:t>excluding</w:t>
            </w:r>
            <w:r>
              <w:rPr>
                <w:b/>
                <w:sz w:val="18"/>
                <w:szCs w:val="18"/>
                <w:lang w:val="en-GB"/>
              </w:rPr>
              <w:t xml:space="preserve"> Estonia)</w:t>
            </w:r>
            <w:r w:rsidR="00D443EA">
              <w:rPr>
                <w:b/>
                <w:sz w:val="18"/>
                <w:szCs w:val="18"/>
                <w:lang w:val="en-GB"/>
              </w:rPr>
              <w:t xml:space="preserve"> ((1) – (2))</w:t>
            </w:r>
          </w:p>
        </w:tc>
        <w:tc>
          <w:tcPr>
            <w:tcW w:w="1411" w:type="dxa"/>
            <w:vAlign w:val="center"/>
          </w:tcPr>
          <w:p w14:paraId="52806288" w14:textId="40C878B4" w:rsidR="001D1FD6" w:rsidRPr="00F479F2" w:rsidRDefault="00D3576A" w:rsidP="001D1FD6">
            <w:pPr>
              <w:jc w:val="right"/>
              <w:rPr>
                <w:b/>
                <w:bCs/>
                <w:color w:val="000000"/>
                <w:sz w:val="18"/>
                <w:szCs w:val="18"/>
                <w:u w:val="double"/>
                <w:lang w:val="en-GB" w:eastAsia="en-GB"/>
              </w:rPr>
            </w:pPr>
            <w:r w:rsidRPr="00F479F2">
              <w:rPr>
                <w:b/>
                <w:bCs/>
                <w:color w:val="000000"/>
                <w:sz w:val="18"/>
                <w:szCs w:val="18"/>
                <w:u w:val="double"/>
                <w:lang w:val="en-GB" w:eastAsia="en-GB"/>
              </w:rPr>
              <w:t>175,840</w:t>
            </w:r>
          </w:p>
        </w:tc>
        <w:tc>
          <w:tcPr>
            <w:tcW w:w="1412" w:type="dxa"/>
            <w:vAlign w:val="center"/>
          </w:tcPr>
          <w:p w14:paraId="2250DDF0" w14:textId="6DD2EA77" w:rsidR="001D1FD6" w:rsidRPr="00F479F2" w:rsidRDefault="00D3576A" w:rsidP="001D1FD6">
            <w:pPr>
              <w:jc w:val="right"/>
              <w:rPr>
                <w:b/>
                <w:bCs/>
                <w:color w:val="000000"/>
                <w:sz w:val="18"/>
                <w:szCs w:val="18"/>
                <w:u w:val="double"/>
                <w:lang w:val="en-GB" w:eastAsia="en-GB"/>
              </w:rPr>
            </w:pPr>
            <w:r w:rsidRPr="00F479F2">
              <w:rPr>
                <w:b/>
                <w:bCs/>
                <w:color w:val="000000"/>
                <w:sz w:val="18"/>
                <w:szCs w:val="18"/>
                <w:u w:val="double"/>
                <w:lang w:val="en-GB" w:eastAsia="en-GB"/>
              </w:rPr>
              <w:t>186,170</w:t>
            </w:r>
          </w:p>
        </w:tc>
        <w:tc>
          <w:tcPr>
            <w:tcW w:w="1410" w:type="dxa"/>
            <w:vAlign w:val="center"/>
          </w:tcPr>
          <w:p w14:paraId="135F148F" w14:textId="77777777" w:rsidR="001D1FD6" w:rsidRPr="00F479F2" w:rsidRDefault="001D1FD6" w:rsidP="001D1FD6">
            <w:pPr>
              <w:jc w:val="right"/>
              <w:rPr>
                <w:b/>
                <w:bCs/>
                <w:color w:val="000000"/>
                <w:sz w:val="18"/>
                <w:szCs w:val="18"/>
                <w:u w:val="double"/>
                <w:lang w:val="en-GB" w:eastAsia="en-GB"/>
              </w:rPr>
            </w:pPr>
            <w:r w:rsidRPr="00F479F2">
              <w:rPr>
                <w:b/>
                <w:bCs/>
                <w:color w:val="000000"/>
                <w:sz w:val="18"/>
                <w:szCs w:val="18"/>
                <w:u w:val="double"/>
                <w:lang w:val="en-GB" w:eastAsia="en-GB"/>
              </w:rPr>
              <w:t>138,176</w:t>
            </w:r>
          </w:p>
        </w:tc>
        <w:tc>
          <w:tcPr>
            <w:tcW w:w="1411" w:type="dxa"/>
            <w:vAlign w:val="center"/>
          </w:tcPr>
          <w:p w14:paraId="41A479A8" w14:textId="5EDD5F98" w:rsidR="001D1FD6" w:rsidRPr="00F479F2" w:rsidRDefault="00F479F2" w:rsidP="001D1FD6">
            <w:pPr>
              <w:jc w:val="right"/>
              <w:rPr>
                <w:b/>
                <w:bCs/>
                <w:color w:val="000000"/>
                <w:sz w:val="18"/>
                <w:szCs w:val="18"/>
                <w:u w:val="double"/>
                <w:lang w:eastAsia="en-GB"/>
              </w:rPr>
            </w:pPr>
            <w:r w:rsidRPr="00F479F2">
              <w:rPr>
                <w:b/>
                <w:bCs/>
                <w:color w:val="000000"/>
                <w:sz w:val="18"/>
                <w:szCs w:val="18"/>
                <w:u w:val="double"/>
                <w:lang w:eastAsia="en-GB"/>
              </w:rPr>
              <w:t>500,186</w:t>
            </w:r>
          </w:p>
        </w:tc>
        <w:tc>
          <w:tcPr>
            <w:tcW w:w="1410" w:type="dxa"/>
            <w:vAlign w:val="center"/>
          </w:tcPr>
          <w:p w14:paraId="5DDBF55A" w14:textId="77777777" w:rsidR="001D1FD6" w:rsidRDefault="001D1FD6" w:rsidP="001D1FD6">
            <w:pPr>
              <w:jc w:val="center"/>
              <w:rPr>
                <w:b/>
                <w:color w:val="000000"/>
                <w:sz w:val="18"/>
                <w:szCs w:val="18"/>
                <w:u w:val="double"/>
                <w:lang w:eastAsia="en-GB"/>
              </w:rPr>
            </w:pPr>
          </w:p>
        </w:tc>
      </w:tr>
    </w:tbl>
    <w:p w14:paraId="761D1D50" w14:textId="77777777" w:rsidR="001D1FD6" w:rsidRDefault="001D1FD6" w:rsidP="001D1FD6">
      <w:pPr>
        <w:spacing w:after="240"/>
        <w:jc w:val="both"/>
        <w:rPr>
          <w:rFonts w:cs="Arabic Transparent"/>
          <w:color w:val="000000"/>
          <w:sz w:val="18"/>
          <w:szCs w:val="18"/>
        </w:rPr>
      </w:pPr>
    </w:p>
    <w:tbl>
      <w:tblPr>
        <w:tblW w:w="4947" w:type="pct"/>
        <w:tblLayout w:type="fixed"/>
        <w:tblCellMar>
          <w:left w:w="115" w:type="dxa"/>
          <w:right w:w="115" w:type="dxa"/>
        </w:tblCellMar>
        <w:tblLook w:val="04A0" w:firstRow="1" w:lastRow="0" w:firstColumn="1" w:lastColumn="0" w:noHBand="0" w:noVBand="1"/>
      </w:tblPr>
      <w:tblGrid>
        <w:gridCol w:w="2755"/>
        <w:gridCol w:w="1380"/>
        <w:gridCol w:w="1380"/>
        <w:gridCol w:w="1378"/>
        <w:gridCol w:w="1379"/>
        <w:gridCol w:w="1378"/>
      </w:tblGrid>
      <w:tr w:rsidR="001D1FD6" w14:paraId="51373B33" w14:textId="77777777" w:rsidTr="001D1FD6">
        <w:trPr>
          <w:cantSplit/>
        </w:trPr>
        <w:tc>
          <w:tcPr>
            <w:tcW w:w="2822" w:type="dxa"/>
          </w:tcPr>
          <w:p w14:paraId="55FA77A7" w14:textId="77777777" w:rsidR="001D1FD6" w:rsidRDefault="001D1FD6" w:rsidP="001D1FD6">
            <w:pPr>
              <w:keepNext/>
              <w:jc w:val="both"/>
              <w:rPr>
                <w:sz w:val="18"/>
                <w:szCs w:val="18"/>
                <w:lang w:val="en-GB"/>
              </w:rPr>
            </w:pPr>
          </w:p>
        </w:tc>
        <w:tc>
          <w:tcPr>
            <w:tcW w:w="1410" w:type="dxa"/>
          </w:tcPr>
          <w:p w14:paraId="04CD2999" w14:textId="77777777" w:rsidR="001D1FD6" w:rsidRDefault="001D1FD6" w:rsidP="001D1FD6">
            <w:pPr>
              <w:keepNext/>
              <w:jc w:val="center"/>
              <w:rPr>
                <w:b/>
                <w:sz w:val="18"/>
                <w:szCs w:val="18"/>
              </w:rPr>
            </w:pPr>
          </w:p>
        </w:tc>
        <w:tc>
          <w:tcPr>
            <w:tcW w:w="1411" w:type="dxa"/>
          </w:tcPr>
          <w:p w14:paraId="4DC18396" w14:textId="77777777" w:rsidR="001D1FD6" w:rsidRDefault="001D1FD6" w:rsidP="001D1FD6">
            <w:pPr>
              <w:keepNext/>
              <w:jc w:val="center"/>
              <w:rPr>
                <w:b/>
                <w:sz w:val="18"/>
                <w:szCs w:val="18"/>
              </w:rPr>
            </w:pPr>
          </w:p>
        </w:tc>
        <w:tc>
          <w:tcPr>
            <w:tcW w:w="1409" w:type="dxa"/>
          </w:tcPr>
          <w:p w14:paraId="13E1E364" w14:textId="77777777" w:rsidR="001D1FD6" w:rsidRDefault="001D1FD6" w:rsidP="001D1FD6">
            <w:pPr>
              <w:keepNext/>
              <w:jc w:val="center"/>
              <w:rPr>
                <w:b/>
                <w:sz w:val="18"/>
                <w:szCs w:val="18"/>
              </w:rPr>
            </w:pPr>
          </w:p>
        </w:tc>
        <w:tc>
          <w:tcPr>
            <w:tcW w:w="2819" w:type="dxa"/>
            <w:gridSpan w:val="2"/>
          </w:tcPr>
          <w:p w14:paraId="5BDD3B42" w14:textId="77777777" w:rsidR="001D1FD6" w:rsidRDefault="001D1FD6" w:rsidP="001D1FD6">
            <w:pPr>
              <w:keepNext/>
              <w:pBdr>
                <w:bottom w:val="single" w:sz="2" w:space="1" w:color="auto"/>
              </w:pBdr>
              <w:jc w:val="center"/>
              <w:rPr>
                <w:b/>
                <w:sz w:val="18"/>
                <w:szCs w:val="18"/>
              </w:rPr>
            </w:pPr>
            <w:r>
              <w:rPr>
                <w:b/>
                <w:sz w:val="18"/>
                <w:szCs w:val="18"/>
              </w:rPr>
              <w:t>Portfolio Value</w:t>
            </w:r>
          </w:p>
        </w:tc>
      </w:tr>
      <w:tr w:rsidR="001D1FD6" w14:paraId="7569D0BC" w14:textId="77777777" w:rsidTr="001D1FD6">
        <w:trPr>
          <w:cantSplit/>
        </w:trPr>
        <w:tc>
          <w:tcPr>
            <w:tcW w:w="2552" w:type="dxa"/>
            <w:vMerge w:val="restart"/>
          </w:tcPr>
          <w:p w14:paraId="4EE706C4" w14:textId="77777777" w:rsidR="001D1FD6" w:rsidRDefault="001D1FD6" w:rsidP="001D1FD6">
            <w:pPr>
              <w:keepNext/>
              <w:jc w:val="both"/>
              <w:rPr>
                <w:i/>
                <w:sz w:val="18"/>
                <w:szCs w:val="18"/>
                <w:lang w:val="en-GB"/>
              </w:rPr>
            </w:pPr>
            <w:r>
              <w:rPr>
                <w:i/>
                <w:sz w:val="18"/>
                <w:szCs w:val="18"/>
                <w:lang w:val="en-GB"/>
              </w:rPr>
              <w:t>As at 31 December 2016</w:t>
            </w:r>
          </w:p>
        </w:tc>
        <w:tc>
          <w:tcPr>
            <w:tcW w:w="1276" w:type="dxa"/>
          </w:tcPr>
          <w:p w14:paraId="0FFB74FB" w14:textId="77777777" w:rsidR="001D1FD6" w:rsidRDefault="001D1FD6" w:rsidP="001D1FD6">
            <w:pPr>
              <w:keepNext/>
              <w:pBdr>
                <w:bottom w:val="single" w:sz="2" w:space="1" w:color="auto"/>
              </w:pBdr>
              <w:jc w:val="center"/>
              <w:rPr>
                <w:b/>
                <w:sz w:val="18"/>
                <w:szCs w:val="18"/>
              </w:rPr>
            </w:pPr>
          </w:p>
          <w:p w14:paraId="1E99C5B5" w14:textId="77777777" w:rsidR="001D1FD6" w:rsidRDefault="001D1FD6" w:rsidP="001D1FD6">
            <w:pPr>
              <w:keepNext/>
              <w:pBdr>
                <w:bottom w:val="single" w:sz="2" w:space="1" w:color="auto"/>
              </w:pBdr>
              <w:jc w:val="center"/>
              <w:rPr>
                <w:b/>
                <w:sz w:val="18"/>
                <w:szCs w:val="18"/>
              </w:rPr>
            </w:pPr>
            <w:r>
              <w:rPr>
                <w:b/>
                <w:sz w:val="18"/>
                <w:szCs w:val="18"/>
              </w:rPr>
              <w:t>Completed</w:t>
            </w:r>
          </w:p>
          <w:p w14:paraId="3CC38A9D" w14:textId="2E9B0582" w:rsidR="002020ED" w:rsidRPr="00D8552C" w:rsidRDefault="002020ED" w:rsidP="00D8552C">
            <w:pPr>
              <w:keepNext/>
              <w:pBdr>
                <w:bottom w:val="single" w:sz="2" w:space="1" w:color="auto"/>
              </w:pBdr>
              <w:jc w:val="center"/>
              <w:rPr>
                <w:i/>
                <w:sz w:val="18"/>
                <w:szCs w:val="18"/>
              </w:rPr>
            </w:pPr>
            <w:r w:rsidRPr="00D8552C">
              <w:rPr>
                <w:i/>
                <w:sz w:val="18"/>
                <w:szCs w:val="18"/>
              </w:rPr>
              <w:t xml:space="preserve">(in </w:t>
            </w:r>
            <w:r w:rsidR="00D8552C" w:rsidRPr="00D8552C">
              <w:rPr>
                <w:i/>
                <w:sz w:val="18"/>
                <w:szCs w:val="18"/>
              </w:rPr>
              <w:t xml:space="preserve">thousands of € </w:t>
            </w:r>
            <w:r w:rsidRPr="00D8552C">
              <w:rPr>
                <w:i/>
                <w:sz w:val="18"/>
                <w:szCs w:val="18"/>
              </w:rPr>
              <w:t>)</w:t>
            </w:r>
          </w:p>
        </w:tc>
        <w:tc>
          <w:tcPr>
            <w:tcW w:w="1277" w:type="dxa"/>
          </w:tcPr>
          <w:p w14:paraId="34A9832D" w14:textId="77777777" w:rsidR="001D1FD6" w:rsidRDefault="001D1FD6" w:rsidP="001D1FD6">
            <w:pPr>
              <w:keepNext/>
              <w:pBdr>
                <w:bottom w:val="single" w:sz="2" w:space="1" w:color="auto"/>
              </w:pBdr>
              <w:jc w:val="both"/>
              <w:rPr>
                <w:b/>
                <w:sz w:val="18"/>
                <w:szCs w:val="18"/>
              </w:rPr>
            </w:pPr>
            <w:r>
              <w:rPr>
                <w:b/>
                <w:sz w:val="18"/>
                <w:szCs w:val="18"/>
              </w:rPr>
              <w:t>Under Construction</w:t>
            </w:r>
          </w:p>
          <w:p w14:paraId="661A1C87" w14:textId="32B3E790" w:rsidR="001D1FD6" w:rsidRPr="00D8552C" w:rsidRDefault="001D1FD6" w:rsidP="001D1FD6">
            <w:pPr>
              <w:keepNext/>
              <w:pBdr>
                <w:bottom w:val="single" w:sz="2" w:space="1" w:color="auto"/>
              </w:pBdr>
              <w:jc w:val="both"/>
              <w:rPr>
                <w:i/>
                <w:sz w:val="18"/>
                <w:szCs w:val="18"/>
              </w:rPr>
            </w:pPr>
            <w:r w:rsidRPr="00D8552C">
              <w:rPr>
                <w:i/>
                <w:sz w:val="18"/>
                <w:szCs w:val="18"/>
              </w:rPr>
              <w:t xml:space="preserve">(in </w:t>
            </w:r>
            <w:r w:rsidR="00D8552C" w:rsidRPr="00D8552C">
              <w:rPr>
                <w:i/>
                <w:sz w:val="18"/>
                <w:szCs w:val="18"/>
                <w:lang w:val="en-GB"/>
              </w:rPr>
              <w:t>thousands of €)</w:t>
            </w:r>
          </w:p>
        </w:tc>
        <w:tc>
          <w:tcPr>
            <w:tcW w:w="1275" w:type="dxa"/>
          </w:tcPr>
          <w:p w14:paraId="47AC1ABC" w14:textId="77777777" w:rsidR="001D1FD6" w:rsidRDefault="001D1FD6" w:rsidP="001D1FD6">
            <w:pPr>
              <w:keepNext/>
              <w:pBdr>
                <w:bottom w:val="single" w:sz="2" w:space="1" w:color="auto"/>
              </w:pBdr>
              <w:jc w:val="center"/>
              <w:rPr>
                <w:b/>
                <w:sz w:val="18"/>
                <w:szCs w:val="18"/>
              </w:rPr>
            </w:pPr>
            <w:r>
              <w:rPr>
                <w:b/>
                <w:sz w:val="18"/>
                <w:szCs w:val="18"/>
              </w:rPr>
              <w:t>Development Land</w:t>
            </w:r>
          </w:p>
          <w:p w14:paraId="12C55651" w14:textId="5B526F51" w:rsidR="002020ED" w:rsidRPr="00D8552C" w:rsidRDefault="00D8552C" w:rsidP="001D1FD6">
            <w:pPr>
              <w:keepNext/>
              <w:pBdr>
                <w:bottom w:val="single" w:sz="2" w:space="1" w:color="auto"/>
              </w:pBdr>
              <w:jc w:val="center"/>
              <w:rPr>
                <w:i/>
                <w:sz w:val="18"/>
                <w:szCs w:val="18"/>
              </w:rPr>
            </w:pPr>
            <w:r w:rsidRPr="00D8552C">
              <w:rPr>
                <w:i/>
                <w:sz w:val="18"/>
                <w:szCs w:val="18"/>
              </w:rPr>
              <w:t>(in thousands of €</w:t>
            </w:r>
            <w:r w:rsidR="002020ED" w:rsidRPr="00D8552C">
              <w:rPr>
                <w:i/>
                <w:sz w:val="18"/>
                <w:szCs w:val="18"/>
              </w:rPr>
              <w:t>)</w:t>
            </w:r>
          </w:p>
        </w:tc>
        <w:tc>
          <w:tcPr>
            <w:tcW w:w="1276" w:type="dxa"/>
          </w:tcPr>
          <w:p w14:paraId="6E4DCBCF" w14:textId="0B752428" w:rsidR="001D1FD6" w:rsidRDefault="002020ED" w:rsidP="001D1FD6">
            <w:pPr>
              <w:keepNext/>
              <w:pBdr>
                <w:bottom w:val="single" w:sz="2" w:space="1" w:color="auto"/>
              </w:pBdr>
              <w:jc w:val="center"/>
              <w:rPr>
                <w:b/>
                <w:i/>
                <w:sz w:val="18"/>
                <w:szCs w:val="18"/>
              </w:rPr>
            </w:pPr>
            <w:r>
              <w:rPr>
                <w:sz w:val="18"/>
                <w:szCs w:val="18"/>
              </w:rPr>
              <w:t>(</w:t>
            </w:r>
            <w:r>
              <w:rPr>
                <w:i/>
                <w:sz w:val="18"/>
                <w:szCs w:val="18"/>
              </w:rPr>
              <w:t>in thousands of €</w:t>
            </w:r>
            <w:r>
              <w:rPr>
                <w:b/>
                <w:i/>
                <w:sz w:val="18"/>
                <w:szCs w:val="18"/>
              </w:rPr>
              <w:t>)</w:t>
            </w:r>
          </w:p>
          <w:p w14:paraId="27F8CCAD" w14:textId="77777777" w:rsidR="00D8552C" w:rsidRDefault="00D8552C" w:rsidP="001D1FD6">
            <w:pPr>
              <w:keepNext/>
              <w:pBdr>
                <w:bottom w:val="single" w:sz="2" w:space="1" w:color="auto"/>
              </w:pBdr>
              <w:jc w:val="center"/>
              <w:rPr>
                <w:b/>
                <w:i/>
                <w:sz w:val="18"/>
                <w:szCs w:val="18"/>
              </w:rPr>
            </w:pPr>
          </w:p>
          <w:p w14:paraId="378D0AC9" w14:textId="4273C4B2" w:rsidR="000E7FC9" w:rsidRDefault="000E7FC9" w:rsidP="001D1FD6">
            <w:pPr>
              <w:keepNext/>
              <w:pBdr>
                <w:bottom w:val="single" w:sz="2" w:space="1" w:color="auto"/>
              </w:pBdr>
              <w:jc w:val="center"/>
              <w:rPr>
                <w:b/>
                <w:sz w:val="18"/>
                <w:szCs w:val="18"/>
              </w:rPr>
            </w:pPr>
          </w:p>
        </w:tc>
        <w:tc>
          <w:tcPr>
            <w:tcW w:w="1275" w:type="dxa"/>
          </w:tcPr>
          <w:p w14:paraId="38E3A50D" w14:textId="77777777" w:rsidR="001D1FD6" w:rsidRDefault="001D1FD6" w:rsidP="001D1FD6">
            <w:pPr>
              <w:keepNext/>
              <w:pBdr>
                <w:bottom w:val="single" w:sz="2" w:space="1" w:color="auto"/>
              </w:pBdr>
              <w:jc w:val="center"/>
              <w:rPr>
                <w:b/>
                <w:sz w:val="18"/>
                <w:szCs w:val="18"/>
                <w:lang w:val="en-GB"/>
              </w:rPr>
            </w:pPr>
          </w:p>
          <w:p w14:paraId="3648EE15" w14:textId="2B5BC737" w:rsidR="001D1FD6" w:rsidRDefault="001D1FD6" w:rsidP="001D1FD6">
            <w:pPr>
              <w:keepNext/>
              <w:pBdr>
                <w:bottom w:val="single" w:sz="2" w:space="1" w:color="auto"/>
              </w:pBdr>
              <w:jc w:val="center"/>
              <w:rPr>
                <w:b/>
                <w:sz w:val="18"/>
                <w:szCs w:val="18"/>
                <w:lang w:val="en-GB"/>
              </w:rPr>
            </w:pPr>
            <w:r>
              <w:rPr>
                <w:b/>
                <w:sz w:val="18"/>
                <w:szCs w:val="18"/>
                <w:lang w:val="en-GB"/>
              </w:rPr>
              <w:t>%</w:t>
            </w:r>
          </w:p>
          <w:p w14:paraId="7AF646DE" w14:textId="77777777" w:rsidR="00D8552C" w:rsidRDefault="00D8552C" w:rsidP="001D1FD6">
            <w:pPr>
              <w:keepNext/>
              <w:pBdr>
                <w:bottom w:val="single" w:sz="2" w:space="1" w:color="auto"/>
              </w:pBdr>
              <w:jc w:val="center"/>
              <w:rPr>
                <w:b/>
                <w:sz w:val="18"/>
                <w:szCs w:val="18"/>
                <w:lang w:val="en-GB"/>
              </w:rPr>
            </w:pPr>
          </w:p>
          <w:p w14:paraId="103FAA02" w14:textId="5B0DAA3E" w:rsidR="000E7FC9" w:rsidRDefault="000E7FC9" w:rsidP="001D1FD6">
            <w:pPr>
              <w:keepNext/>
              <w:pBdr>
                <w:bottom w:val="single" w:sz="2" w:space="1" w:color="auto"/>
              </w:pBdr>
              <w:jc w:val="center"/>
              <w:rPr>
                <w:b/>
                <w:sz w:val="18"/>
                <w:szCs w:val="18"/>
                <w:lang w:val="en-GB"/>
              </w:rPr>
            </w:pPr>
          </w:p>
        </w:tc>
      </w:tr>
      <w:tr w:rsidR="001D1FD6" w14:paraId="4F34DC9B" w14:textId="77777777" w:rsidTr="001D1FD6">
        <w:trPr>
          <w:cantSplit/>
        </w:trPr>
        <w:tc>
          <w:tcPr>
            <w:tcW w:w="2552" w:type="dxa"/>
            <w:vMerge/>
          </w:tcPr>
          <w:p w14:paraId="7779BD78" w14:textId="77777777" w:rsidR="001D1FD6" w:rsidRDefault="001D1FD6" w:rsidP="001D1FD6">
            <w:pPr>
              <w:keepNext/>
              <w:jc w:val="both"/>
              <w:rPr>
                <w:sz w:val="18"/>
                <w:szCs w:val="18"/>
                <w:lang w:val="en-GB"/>
              </w:rPr>
            </w:pPr>
          </w:p>
        </w:tc>
        <w:tc>
          <w:tcPr>
            <w:tcW w:w="5640" w:type="dxa"/>
            <w:gridSpan w:val="4"/>
          </w:tcPr>
          <w:p w14:paraId="1466AA7E" w14:textId="58CA15BB" w:rsidR="001D1FD6" w:rsidRDefault="001D1FD6" w:rsidP="001D1FD6">
            <w:pPr>
              <w:keepNext/>
              <w:jc w:val="center"/>
              <w:rPr>
                <w:sz w:val="18"/>
                <w:szCs w:val="18"/>
                <w:lang w:val="en-GB"/>
              </w:rPr>
            </w:pPr>
          </w:p>
        </w:tc>
        <w:tc>
          <w:tcPr>
            <w:tcW w:w="1275" w:type="dxa"/>
          </w:tcPr>
          <w:p w14:paraId="41A76E07" w14:textId="77777777" w:rsidR="001D1FD6" w:rsidRDefault="001D1FD6" w:rsidP="001D1FD6">
            <w:pPr>
              <w:keepNext/>
              <w:jc w:val="center"/>
              <w:rPr>
                <w:sz w:val="18"/>
                <w:szCs w:val="18"/>
                <w:lang w:val="en-GB"/>
              </w:rPr>
            </w:pPr>
          </w:p>
        </w:tc>
      </w:tr>
      <w:tr w:rsidR="001D1FD6" w14:paraId="4A0459FF" w14:textId="77777777" w:rsidTr="001D1FD6">
        <w:trPr>
          <w:cantSplit/>
        </w:trPr>
        <w:tc>
          <w:tcPr>
            <w:tcW w:w="2822" w:type="dxa"/>
          </w:tcPr>
          <w:p w14:paraId="3A000CE3" w14:textId="77777777" w:rsidR="001D1FD6" w:rsidRDefault="001D1FD6" w:rsidP="001D1FD6">
            <w:pPr>
              <w:keepNext/>
              <w:jc w:val="both"/>
              <w:rPr>
                <w:sz w:val="18"/>
                <w:szCs w:val="18"/>
                <w:lang w:val="en-GB"/>
              </w:rPr>
            </w:pPr>
            <w:r>
              <w:rPr>
                <w:sz w:val="18"/>
                <w:szCs w:val="18"/>
                <w:lang w:val="en-GB"/>
              </w:rPr>
              <w:t>Czech Republic</w:t>
            </w:r>
          </w:p>
        </w:tc>
        <w:tc>
          <w:tcPr>
            <w:tcW w:w="1410" w:type="dxa"/>
            <w:vAlign w:val="center"/>
          </w:tcPr>
          <w:p w14:paraId="2EFB2D7E" w14:textId="77777777" w:rsidR="001D1FD6" w:rsidRDefault="001D1FD6" w:rsidP="001D1FD6">
            <w:pPr>
              <w:keepNext/>
              <w:jc w:val="right"/>
              <w:rPr>
                <w:color w:val="000000"/>
                <w:sz w:val="18"/>
                <w:szCs w:val="18"/>
                <w:lang w:val="en-GB" w:eastAsia="en-GB"/>
              </w:rPr>
            </w:pPr>
            <w:r>
              <w:rPr>
                <w:color w:val="000000"/>
                <w:sz w:val="18"/>
                <w:szCs w:val="18"/>
                <w:lang w:val="en-GB" w:eastAsia="en-GB"/>
              </w:rPr>
              <w:t xml:space="preserve">30,080 </w:t>
            </w:r>
          </w:p>
        </w:tc>
        <w:tc>
          <w:tcPr>
            <w:tcW w:w="1411" w:type="dxa"/>
            <w:vAlign w:val="center"/>
          </w:tcPr>
          <w:p w14:paraId="750D0A1F" w14:textId="77777777" w:rsidR="001D1FD6" w:rsidRDefault="001D1FD6" w:rsidP="001D1FD6">
            <w:pPr>
              <w:keepNext/>
              <w:jc w:val="right"/>
              <w:rPr>
                <w:color w:val="000000"/>
                <w:sz w:val="18"/>
                <w:szCs w:val="18"/>
                <w:lang w:val="en-GB" w:eastAsia="en-GB"/>
              </w:rPr>
            </w:pPr>
            <w:r>
              <w:rPr>
                <w:color w:val="000000"/>
                <w:sz w:val="18"/>
                <w:szCs w:val="18"/>
                <w:lang w:val="en-GB" w:eastAsia="en-GB"/>
              </w:rPr>
              <w:t xml:space="preserve">25,620 </w:t>
            </w:r>
          </w:p>
        </w:tc>
        <w:tc>
          <w:tcPr>
            <w:tcW w:w="1409" w:type="dxa"/>
            <w:vAlign w:val="center"/>
          </w:tcPr>
          <w:p w14:paraId="104A2ED1" w14:textId="77777777" w:rsidR="001D1FD6" w:rsidRDefault="001D1FD6" w:rsidP="001D1FD6">
            <w:pPr>
              <w:keepNext/>
              <w:jc w:val="right"/>
              <w:rPr>
                <w:color w:val="000000"/>
                <w:sz w:val="18"/>
                <w:szCs w:val="18"/>
                <w:lang w:val="en-GB" w:eastAsia="en-GB"/>
              </w:rPr>
            </w:pPr>
            <w:r>
              <w:rPr>
                <w:color w:val="000000"/>
                <w:sz w:val="18"/>
                <w:szCs w:val="18"/>
                <w:lang w:val="en-GB" w:eastAsia="en-GB"/>
              </w:rPr>
              <w:t xml:space="preserve">34,316 </w:t>
            </w:r>
          </w:p>
        </w:tc>
        <w:tc>
          <w:tcPr>
            <w:tcW w:w="1410" w:type="dxa"/>
            <w:vAlign w:val="center"/>
          </w:tcPr>
          <w:p w14:paraId="08F2BC9B" w14:textId="77777777" w:rsidR="001D1FD6" w:rsidRDefault="001D1FD6" w:rsidP="001D1FD6">
            <w:pPr>
              <w:keepNext/>
              <w:jc w:val="right"/>
              <w:rPr>
                <w:bCs/>
                <w:color w:val="000000"/>
                <w:sz w:val="18"/>
                <w:szCs w:val="18"/>
                <w:lang w:val="en-GB" w:eastAsia="en-GB"/>
              </w:rPr>
            </w:pPr>
            <w:r>
              <w:rPr>
                <w:bCs/>
                <w:color w:val="000000"/>
                <w:sz w:val="18"/>
                <w:szCs w:val="18"/>
                <w:lang w:eastAsia="en-GB"/>
              </w:rPr>
              <w:t xml:space="preserve">90,016 </w:t>
            </w:r>
          </w:p>
        </w:tc>
        <w:tc>
          <w:tcPr>
            <w:tcW w:w="1409" w:type="dxa"/>
            <w:vAlign w:val="center"/>
          </w:tcPr>
          <w:p w14:paraId="633A2E05" w14:textId="77777777" w:rsidR="001D1FD6" w:rsidRDefault="001D1FD6" w:rsidP="001D1FD6">
            <w:pPr>
              <w:keepNext/>
              <w:jc w:val="center"/>
              <w:rPr>
                <w:color w:val="000000"/>
                <w:sz w:val="18"/>
                <w:szCs w:val="18"/>
                <w:lang w:val="en-GB" w:eastAsia="en-GB"/>
              </w:rPr>
            </w:pPr>
            <w:r>
              <w:rPr>
                <w:color w:val="000000"/>
                <w:sz w:val="18"/>
                <w:szCs w:val="18"/>
                <w:lang w:eastAsia="en-GB"/>
              </w:rPr>
              <w:t>16.4%</w:t>
            </w:r>
          </w:p>
        </w:tc>
      </w:tr>
      <w:tr w:rsidR="001D1FD6" w14:paraId="61992F77" w14:textId="77777777" w:rsidTr="001D1FD6">
        <w:trPr>
          <w:cantSplit/>
        </w:trPr>
        <w:tc>
          <w:tcPr>
            <w:tcW w:w="2822" w:type="dxa"/>
            <w:vAlign w:val="bottom"/>
          </w:tcPr>
          <w:p w14:paraId="23FD5FDC" w14:textId="77777777" w:rsidR="001D1FD6" w:rsidRDefault="001D1FD6" w:rsidP="001D1FD6">
            <w:pPr>
              <w:rPr>
                <w:sz w:val="18"/>
                <w:szCs w:val="18"/>
                <w:lang w:val="en-GB"/>
              </w:rPr>
            </w:pPr>
            <w:r>
              <w:rPr>
                <w:sz w:val="18"/>
                <w:szCs w:val="18"/>
                <w:lang w:val="en-GB"/>
              </w:rPr>
              <w:t>Germany</w:t>
            </w:r>
          </w:p>
        </w:tc>
        <w:tc>
          <w:tcPr>
            <w:tcW w:w="1410" w:type="dxa"/>
            <w:vAlign w:val="center"/>
          </w:tcPr>
          <w:p w14:paraId="4A5334B1" w14:textId="77777777" w:rsidR="001D1FD6" w:rsidRDefault="001D1FD6" w:rsidP="001D1FD6">
            <w:pPr>
              <w:jc w:val="right"/>
              <w:rPr>
                <w:color w:val="000000"/>
                <w:sz w:val="18"/>
                <w:szCs w:val="18"/>
                <w:lang w:val="en-GB" w:eastAsia="en-GB"/>
              </w:rPr>
            </w:pPr>
            <w:r>
              <w:rPr>
                <w:color w:val="000000"/>
                <w:sz w:val="18"/>
                <w:szCs w:val="18"/>
                <w:lang w:val="en-GB" w:eastAsia="en-GB"/>
              </w:rPr>
              <w:t xml:space="preserve">30,360 </w:t>
            </w:r>
          </w:p>
        </w:tc>
        <w:tc>
          <w:tcPr>
            <w:tcW w:w="1411" w:type="dxa"/>
            <w:vAlign w:val="center"/>
          </w:tcPr>
          <w:p w14:paraId="751945DC" w14:textId="77777777" w:rsidR="001D1FD6" w:rsidRDefault="001D1FD6" w:rsidP="001D1FD6">
            <w:pPr>
              <w:jc w:val="right"/>
              <w:rPr>
                <w:color w:val="000000"/>
                <w:sz w:val="18"/>
                <w:szCs w:val="18"/>
                <w:lang w:val="en-GB" w:eastAsia="en-GB"/>
              </w:rPr>
            </w:pPr>
            <w:r>
              <w:rPr>
                <w:color w:val="000000"/>
                <w:sz w:val="18"/>
                <w:szCs w:val="18"/>
                <w:lang w:val="en-GB" w:eastAsia="en-GB"/>
              </w:rPr>
              <w:t xml:space="preserve">93,169 </w:t>
            </w:r>
          </w:p>
        </w:tc>
        <w:tc>
          <w:tcPr>
            <w:tcW w:w="1409" w:type="dxa"/>
            <w:vAlign w:val="center"/>
          </w:tcPr>
          <w:p w14:paraId="659A07C6" w14:textId="77777777" w:rsidR="001D1FD6" w:rsidRDefault="001D1FD6" w:rsidP="001D1FD6">
            <w:pPr>
              <w:jc w:val="right"/>
              <w:rPr>
                <w:color w:val="000000"/>
                <w:sz w:val="18"/>
                <w:szCs w:val="18"/>
                <w:lang w:val="en-GB" w:eastAsia="en-GB"/>
              </w:rPr>
            </w:pPr>
            <w:r>
              <w:rPr>
                <w:color w:val="000000"/>
                <w:sz w:val="18"/>
                <w:szCs w:val="18"/>
                <w:lang w:val="en-GB" w:eastAsia="en-GB"/>
              </w:rPr>
              <w:t xml:space="preserve">50,475 </w:t>
            </w:r>
          </w:p>
        </w:tc>
        <w:tc>
          <w:tcPr>
            <w:tcW w:w="1410" w:type="dxa"/>
            <w:vAlign w:val="center"/>
          </w:tcPr>
          <w:p w14:paraId="612924B3" w14:textId="77777777" w:rsidR="001D1FD6" w:rsidRDefault="001D1FD6" w:rsidP="001D1FD6">
            <w:pPr>
              <w:jc w:val="right"/>
              <w:rPr>
                <w:bCs/>
                <w:color w:val="000000"/>
                <w:sz w:val="18"/>
                <w:szCs w:val="18"/>
                <w:lang w:val="en-GB" w:eastAsia="en-GB"/>
              </w:rPr>
            </w:pPr>
            <w:r>
              <w:rPr>
                <w:bCs/>
                <w:color w:val="000000"/>
                <w:sz w:val="18"/>
                <w:szCs w:val="18"/>
                <w:lang w:eastAsia="en-GB"/>
              </w:rPr>
              <w:t xml:space="preserve">174,004 </w:t>
            </w:r>
          </w:p>
        </w:tc>
        <w:tc>
          <w:tcPr>
            <w:tcW w:w="1409" w:type="dxa"/>
            <w:vAlign w:val="center"/>
          </w:tcPr>
          <w:p w14:paraId="0271C4D7" w14:textId="77777777" w:rsidR="001D1FD6" w:rsidRDefault="001D1FD6" w:rsidP="001D1FD6">
            <w:pPr>
              <w:jc w:val="center"/>
              <w:rPr>
                <w:color w:val="000000"/>
                <w:sz w:val="18"/>
                <w:szCs w:val="18"/>
                <w:lang w:val="en-GB" w:eastAsia="en-GB"/>
              </w:rPr>
            </w:pPr>
            <w:r>
              <w:rPr>
                <w:color w:val="000000"/>
                <w:sz w:val="18"/>
                <w:szCs w:val="18"/>
                <w:lang w:eastAsia="en-GB"/>
              </w:rPr>
              <w:t>31.6%</w:t>
            </w:r>
          </w:p>
        </w:tc>
      </w:tr>
      <w:tr w:rsidR="001D1FD6" w14:paraId="3F5C2F9B" w14:textId="77777777" w:rsidTr="001D1FD6">
        <w:trPr>
          <w:cantSplit/>
        </w:trPr>
        <w:tc>
          <w:tcPr>
            <w:tcW w:w="2822" w:type="dxa"/>
            <w:vAlign w:val="bottom"/>
          </w:tcPr>
          <w:p w14:paraId="4CBECD63" w14:textId="77777777" w:rsidR="001D1FD6" w:rsidRDefault="001D1FD6" w:rsidP="001D1FD6">
            <w:pPr>
              <w:rPr>
                <w:sz w:val="18"/>
                <w:szCs w:val="18"/>
                <w:lang w:val="en-GB"/>
              </w:rPr>
            </w:pPr>
            <w:r>
              <w:rPr>
                <w:sz w:val="18"/>
                <w:szCs w:val="18"/>
                <w:lang w:val="en-GB"/>
              </w:rPr>
              <w:t>Spain</w:t>
            </w:r>
          </w:p>
        </w:tc>
        <w:tc>
          <w:tcPr>
            <w:tcW w:w="1410" w:type="dxa"/>
            <w:vAlign w:val="center"/>
          </w:tcPr>
          <w:p w14:paraId="4EDA21AF" w14:textId="77777777" w:rsidR="001D1FD6" w:rsidRDefault="001D1FD6" w:rsidP="001D1FD6">
            <w:pPr>
              <w:jc w:val="right"/>
              <w:rPr>
                <w:color w:val="000000"/>
                <w:sz w:val="18"/>
                <w:szCs w:val="18"/>
                <w:lang w:val="en-GB" w:eastAsia="en-GB"/>
              </w:rPr>
            </w:pPr>
            <w:r>
              <w:rPr>
                <w:color w:val="000000"/>
                <w:sz w:val="18"/>
                <w:szCs w:val="18"/>
                <w:lang w:val="en-GB" w:eastAsia="en-GB"/>
              </w:rPr>
              <w:t xml:space="preserve">126,173 </w:t>
            </w:r>
          </w:p>
        </w:tc>
        <w:tc>
          <w:tcPr>
            <w:tcW w:w="1411" w:type="dxa"/>
            <w:vAlign w:val="center"/>
          </w:tcPr>
          <w:p w14:paraId="214B24CC" w14:textId="77777777" w:rsidR="001D1FD6" w:rsidRDefault="001D1FD6" w:rsidP="001D1FD6">
            <w:pPr>
              <w:jc w:val="right"/>
              <w:rPr>
                <w:color w:val="000000"/>
                <w:sz w:val="18"/>
                <w:szCs w:val="18"/>
                <w:lang w:val="en-GB" w:eastAsia="en-GB"/>
              </w:rPr>
            </w:pPr>
            <w:r>
              <w:rPr>
                <w:color w:val="000000"/>
                <w:sz w:val="18"/>
                <w:szCs w:val="18"/>
                <w:lang w:val="en-GB" w:eastAsia="en-GB"/>
              </w:rPr>
              <w:t xml:space="preserve">0 </w:t>
            </w:r>
          </w:p>
        </w:tc>
        <w:tc>
          <w:tcPr>
            <w:tcW w:w="1409" w:type="dxa"/>
            <w:vAlign w:val="center"/>
          </w:tcPr>
          <w:p w14:paraId="5ACF6100" w14:textId="77777777" w:rsidR="001D1FD6" w:rsidRDefault="001D1FD6" w:rsidP="001D1FD6">
            <w:pPr>
              <w:jc w:val="right"/>
              <w:rPr>
                <w:color w:val="000000"/>
                <w:sz w:val="18"/>
                <w:szCs w:val="18"/>
                <w:lang w:val="en-GB" w:eastAsia="en-GB"/>
              </w:rPr>
            </w:pPr>
            <w:r>
              <w:rPr>
                <w:color w:val="000000"/>
                <w:sz w:val="18"/>
                <w:szCs w:val="18"/>
                <w:lang w:val="en-GB" w:eastAsia="en-GB"/>
              </w:rPr>
              <w:t xml:space="preserve">69,670 </w:t>
            </w:r>
          </w:p>
        </w:tc>
        <w:tc>
          <w:tcPr>
            <w:tcW w:w="1410" w:type="dxa"/>
            <w:vAlign w:val="center"/>
          </w:tcPr>
          <w:p w14:paraId="60C9345C" w14:textId="77777777" w:rsidR="001D1FD6" w:rsidRDefault="001D1FD6" w:rsidP="001D1FD6">
            <w:pPr>
              <w:jc w:val="right"/>
              <w:rPr>
                <w:bCs/>
                <w:color w:val="000000"/>
                <w:sz w:val="18"/>
                <w:szCs w:val="18"/>
                <w:lang w:val="en-GB" w:eastAsia="en-GB"/>
              </w:rPr>
            </w:pPr>
            <w:r>
              <w:rPr>
                <w:bCs/>
                <w:color w:val="000000"/>
                <w:sz w:val="18"/>
                <w:szCs w:val="18"/>
                <w:lang w:eastAsia="en-GB"/>
              </w:rPr>
              <w:t xml:space="preserve">195,843 </w:t>
            </w:r>
          </w:p>
        </w:tc>
        <w:tc>
          <w:tcPr>
            <w:tcW w:w="1409" w:type="dxa"/>
            <w:vAlign w:val="center"/>
          </w:tcPr>
          <w:p w14:paraId="21EA94D3" w14:textId="77777777" w:rsidR="001D1FD6" w:rsidRDefault="001D1FD6" w:rsidP="001D1FD6">
            <w:pPr>
              <w:jc w:val="center"/>
              <w:rPr>
                <w:color w:val="000000"/>
                <w:sz w:val="18"/>
                <w:szCs w:val="18"/>
                <w:lang w:val="en-GB" w:eastAsia="en-GB"/>
              </w:rPr>
            </w:pPr>
            <w:r>
              <w:rPr>
                <w:color w:val="000000"/>
                <w:sz w:val="18"/>
                <w:szCs w:val="18"/>
                <w:lang w:eastAsia="en-GB"/>
              </w:rPr>
              <w:t>35.6%</w:t>
            </w:r>
          </w:p>
        </w:tc>
      </w:tr>
      <w:tr w:rsidR="001D1FD6" w14:paraId="01A3D6F9" w14:textId="77777777" w:rsidTr="001D1FD6">
        <w:trPr>
          <w:cantSplit/>
        </w:trPr>
        <w:tc>
          <w:tcPr>
            <w:tcW w:w="2822" w:type="dxa"/>
            <w:vAlign w:val="bottom"/>
          </w:tcPr>
          <w:p w14:paraId="4E9B15B0" w14:textId="1CB0E4FE" w:rsidR="001D1FD6" w:rsidRDefault="001D1FD6" w:rsidP="00AF1A25">
            <w:pPr>
              <w:rPr>
                <w:bCs/>
                <w:sz w:val="18"/>
                <w:szCs w:val="18"/>
                <w:lang w:val="en-GB"/>
              </w:rPr>
            </w:pPr>
            <w:r>
              <w:rPr>
                <w:bCs/>
                <w:sz w:val="18"/>
                <w:szCs w:val="18"/>
                <w:lang w:val="en-GB"/>
              </w:rPr>
              <w:t>Other countries</w:t>
            </w:r>
            <w:r w:rsidR="00AF1A25">
              <w:rPr>
                <w:bCs/>
                <w:sz w:val="18"/>
                <w:szCs w:val="18"/>
                <w:lang w:val="en-GB"/>
              </w:rPr>
              <w:t xml:space="preserve"> (Estonia included)</w:t>
            </w:r>
          </w:p>
        </w:tc>
        <w:tc>
          <w:tcPr>
            <w:tcW w:w="1410" w:type="dxa"/>
            <w:vAlign w:val="center"/>
          </w:tcPr>
          <w:p w14:paraId="2E9BEC9C" w14:textId="77777777" w:rsidR="001D1FD6" w:rsidRDefault="001D1FD6" w:rsidP="001D1FD6">
            <w:pPr>
              <w:jc w:val="right"/>
              <w:rPr>
                <w:color w:val="000000"/>
                <w:sz w:val="18"/>
                <w:szCs w:val="18"/>
                <w:u w:val="single"/>
                <w:lang w:val="en-GB" w:eastAsia="en-GB"/>
              </w:rPr>
            </w:pPr>
            <w:r>
              <w:rPr>
                <w:color w:val="000000"/>
                <w:sz w:val="18"/>
                <w:szCs w:val="18"/>
                <w:u w:val="single"/>
                <w:lang w:val="en-GB" w:eastAsia="en-GB"/>
              </w:rPr>
              <w:t xml:space="preserve">79,200 </w:t>
            </w:r>
          </w:p>
        </w:tc>
        <w:tc>
          <w:tcPr>
            <w:tcW w:w="1411" w:type="dxa"/>
            <w:vAlign w:val="center"/>
          </w:tcPr>
          <w:p w14:paraId="2ED0F730" w14:textId="77777777" w:rsidR="001D1FD6" w:rsidRDefault="001D1FD6" w:rsidP="001D1FD6">
            <w:pPr>
              <w:jc w:val="right"/>
              <w:rPr>
                <w:color w:val="000000"/>
                <w:sz w:val="18"/>
                <w:szCs w:val="18"/>
                <w:u w:val="single"/>
                <w:lang w:val="en-GB" w:eastAsia="en-GB"/>
              </w:rPr>
            </w:pPr>
            <w:r>
              <w:rPr>
                <w:color w:val="000000"/>
                <w:sz w:val="18"/>
                <w:szCs w:val="18"/>
                <w:u w:val="single"/>
                <w:lang w:val="en-GB" w:eastAsia="en-GB"/>
              </w:rPr>
              <w:t xml:space="preserve">7,200 </w:t>
            </w:r>
          </w:p>
        </w:tc>
        <w:tc>
          <w:tcPr>
            <w:tcW w:w="1409" w:type="dxa"/>
            <w:vAlign w:val="center"/>
          </w:tcPr>
          <w:p w14:paraId="21A7B01A" w14:textId="77777777" w:rsidR="001D1FD6" w:rsidRDefault="001D1FD6" w:rsidP="001D1FD6">
            <w:pPr>
              <w:jc w:val="right"/>
              <w:rPr>
                <w:color w:val="000000"/>
                <w:sz w:val="18"/>
                <w:szCs w:val="18"/>
                <w:u w:val="single"/>
                <w:lang w:val="en-GB" w:eastAsia="en-GB"/>
              </w:rPr>
            </w:pPr>
            <w:r>
              <w:rPr>
                <w:color w:val="000000"/>
                <w:sz w:val="18"/>
                <w:szCs w:val="18"/>
                <w:u w:val="single"/>
                <w:lang w:val="en-GB" w:eastAsia="en-GB"/>
              </w:rPr>
              <w:t xml:space="preserve">3,999 </w:t>
            </w:r>
          </w:p>
        </w:tc>
        <w:tc>
          <w:tcPr>
            <w:tcW w:w="1410" w:type="dxa"/>
            <w:vAlign w:val="center"/>
          </w:tcPr>
          <w:p w14:paraId="391B89BF" w14:textId="77777777" w:rsidR="001D1FD6" w:rsidRDefault="001D1FD6" w:rsidP="001D1FD6">
            <w:pPr>
              <w:jc w:val="right"/>
              <w:rPr>
                <w:bCs/>
                <w:color w:val="000000"/>
                <w:sz w:val="18"/>
                <w:szCs w:val="18"/>
                <w:u w:val="single"/>
                <w:lang w:val="en-GB" w:eastAsia="en-GB"/>
              </w:rPr>
            </w:pPr>
            <w:r>
              <w:rPr>
                <w:bCs/>
                <w:color w:val="000000"/>
                <w:sz w:val="18"/>
                <w:szCs w:val="18"/>
                <w:u w:val="single"/>
                <w:lang w:eastAsia="en-GB"/>
              </w:rPr>
              <w:t xml:space="preserve">90,399 </w:t>
            </w:r>
          </w:p>
        </w:tc>
        <w:tc>
          <w:tcPr>
            <w:tcW w:w="1409" w:type="dxa"/>
            <w:vAlign w:val="center"/>
          </w:tcPr>
          <w:p w14:paraId="708035FB" w14:textId="77777777" w:rsidR="001D1FD6" w:rsidRDefault="001D1FD6" w:rsidP="001D1FD6">
            <w:pPr>
              <w:jc w:val="center"/>
              <w:rPr>
                <w:color w:val="000000"/>
                <w:sz w:val="18"/>
                <w:szCs w:val="18"/>
                <w:u w:val="single"/>
                <w:lang w:val="en-GB" w:eastAsia="en-GB"/>
              </w:rPr>
            </w:pPr>
            <w:r>
              <w:rPr>
                <w:color w:val="000000"/>
                <w:sz w:val="18"/>
                <w:szCs w:val="18"/>
                <w:u w:val="single"/>
                <w:lang w:eastAsia="en-GB"/>
              </w:rPr>
              <w:t>16.4%</w:t>
            </w:r>
          </w:p>
        </w:tc>
      </w:tr>
      <w:tr w:rsidR="001D1FD6" w14:paraId="658107E2" w14:textId="77777777" w:rsidTr="001D1FD6">
        <w:trPr>
          <w:cantSplit/>
        </w:trPr>
        <w:tc>
          <w:tcPr>
            <w:tcW w:w="2822" w:type="dxa"/>
            <w:vAlign w:val="bottom"/>
          </w:tcPr>
          <w:p w14:paraId="057ABA72" w14:textId="77777777" w:rsidR="001D1FD6" w:rsidRDefault="001D1FD6" w:rsidP="001D1FD6">
            <w:pPr>
              <w:rPr>
                <w:b/>
                <w:sz w:val="18"/>
                <w:szCs w:val="18"/>
                <w:lang w:val="en-GB"/>
              </w:rPr>
            </w:pPr>
            <w:r>
              <w:rPr>
                <w:b/>
                <w:sz w:val="18"/>
                <w:szCs w:val="18"/>
                <w:lang w:val="en-GB"/>
              </w:rPr>
              <w:t>Total Portfolio</w:t>
            </w:r>
          </w:p>
        </w:tc>
        <w:tc>
          <w:tcPr>
            <w:tcW w:w="1410" w:type="dxa"/>
            <w:vAlign w:val="center"/>
          </w:tcPr>
          <w:p w14:paraId="504F4C6E" w14:textId="77777777" w:rsidR="001D1FD6" w:rsidRDefault="001D1FD6" w:rsidP="001D1FD6">
            <w:pPr>
              <w:jc w:val="right"/>
              <w:rPr>
                <w:b/>
                <w:bCs/>
                <w:color w:val="000000"/>
                <w:sz w:val="18"/>
                <w:szCs w:val="18"/>
                <w:u w:val="double"/>
                <w:lang w:val="en-GB" w:eastAsia="en-GB"/>
              </w:rPr>
            </w:pPr>
            <w:r>
              <w:rPr>
                <w:b/>
                <w:bCs/>
                <w:color w:val="000000"/>
                <w:sz w:val="18"/>
                <w:szCs w:val="18"/>
                <w:u w:val="double"/>
                <w:lang w:val="en-GB" w:eastAsia="en-GB"/>
              </w:rPr>
              <w:t xml:space="preserve">265,813 </w:t>
            </w:r>
          </w:p>
        </w:tc>
        <w:tc>
          <w:tcPr>
            <w:tcW w:w="1411" w:type="dxa"/>
            <w:vAlign w:val="center"/>
          </w:tcPr>
          <w:p w14:paraId="0D33F2F6" w14:textId="77777777" w:rsidR="001D1FD6" w:rsidRDefault="001D1FD6" w:rsidP="001D1FD6">
            <w:pPr>
              <w:jc w:val="right"/>
              <w:rPr>
                <w:b/>
                <w:bCs/>
                <w:color w:val="000000"/>
                <w:sz w:val="18"/>
                <w:szCs w:val="18"/>
                <w:u w:val="double"/>
                <w:lang w:val="en-GB" w:eastAsia="en-GB"/>
              </w:rPr>
            </w:pPr>
            <w:r>
              <w:rPr>
                <w:b/>
                <w:bCs/>
                <w:color w:val="000000"/>
                <w:sz w:val="18"/>
                <w:szCs w:val="18"/>
                <w:u w:val="double"/>
                <w:lang w:val="en-GB" w:eastAsia="en-GB"/>
              </w:rPr>
              <w:t xml:space="preserve">125,989 </w:t>
            </w:r>
          </w:p>
        </w:tc>
        <w:tc>
          <w:tcPr>
            <w:tcW w:w="1409" w:type="dxa"/>
            <w:vAlign w:val="center"/>
          </w:tcPr>
          <w:p w14:paraId="1CFC772D" w14:textId="77777777" w:rsidR="001D1FD6" w:rsidRDefault="001D1FD6" w:rsidP="001D1FD6">
            <w:pPr>
              <w:jc w:val="right"/>
              <w:rPr>
                <w:b/>
                <w:bCs/>
                <w:color w:val="000000"/>
                <w:sz w:val="18"/>
                <w:szCs w:val="18"/>
                <w:u w:val="double"/>
                <w:lang w:val="en-GB" w:eastAsia="en-GB"/>
              </w:rPr>
            </w:pPr>
            <w:r>
              <w:rPr>
                <w:b/>
                <w:bCs/>
                <w:color w:val="000000"/>
                <w:sz w:val="18"/>
                <w:szCs w:val="18"/>
                <w:u w:val="double"/>
                <w:lang w:val="en-GB" w:eastAsia="en-GB"/>
              </w:rPr>
              <w:t xml:space="preserve">158,460 </w:t>
            </w:r>
          </w:p>
        </w:tc>
        <w:tc>
          <w:tcPr>
            <w:tcW w:w="1410" w:type="dxa"/>
            <w:vAlign w:val="center"/>
          </w:tcPr>
          <w:p w14:paraId="1C74A87B" w14:textId="77777777" w:rsidR="001D1FD6" w:rsidRDefault="001D1FD6" w:rsidP="001D1FD6">
            <w:pPr>
              <w:jc w:val="right"/>
              <w:rPr>
                <w:b/>
                <w:bCs/>
                <w:color w:val="000000"/>
                <w:sz w:val="18"/>
                <w:szCs w:val="18"/>
                <w:u w:val="double"/>
                <w:lang w:val="en-GB" w:eastAsia="en-GB"/>
              </w:rPr>
            </w:pPr>
            <w:r>
              <w:rPr>
                <w:b/>
                <w:bCs/>
                <w:color w:val="000000"/>
                <w:sz w:val="18"/>
                <w:szCs w:val="18"/>
                <w:u w:val="double"/>
                <w:lang w:eastAsia="en-GB"/>
              </w:rPr>
              <w:t xml:space="preserve">550,262 </w:t>
            </w:r>
          </w:p>
        </w:tc>
        <w:tc>
          <w:tcPr>
            <w:tcW w:w="1409" w:type="dxa"/>
            <w:vAlign w:val="center"/>
          </w:tcPr>
          <w:p w14:paraId="427033D3" w14:textId="77777777" w:rsidR="001D1FD6" w:rsidRDefault="001D1FD6" w:rsidP="001D1FD6">
            <w:pPr>
              <w:jc w:val="center"/>
              <w:rPr>
                <w:b/>
                <w:color w:val="000000"/>
                <w:sz w:val="18"/>
                <w:szCs w:val="18"/>
                <w:u w:val="double"/>
                <w:lang w:val="en-GB" w:eastAsia="en-GB"/>
              </w:rPr>
            </w:pPr>
            <w:r>
              <w:rPr>
                <w:b/>
                <w:color w:val="000000"/>
                <w:sz w:val="18"/>
                <w:szCs w:val="18"/>
                <w:u w:val="double"/>
                <w:lang w:eastAsia="en-GB"/>
              </w:rPr>
              <w:t>100.0%</w:t>
            </w:r>
          </w:p>
        </w:tc>
      </w:tr>
    </w:tbl>
    <w:p w14:paraId="221847F7" w14:textId="77777777" w:rsidR="001D1FD6" w:rsidRDefault="001D1FD6" w:rsidP="001D1FD6">
      <w:pPr>
        <w:spacing w:after="240"/>
        <w:jc w:val="both"/>
        <w:rPr>
          <w:rFonts w:cs="Arabic Transparent"/>
          <w:color w:val="000000"/>
          <w:sz w:val="18"/>
          <w:szCs w:val="18"/>
        </w:rPr>
      </w:pPr>
    </w:p>
    <w:p w14:paraId="188D808F" w14:textId="77777777" w:rsidR="001D1FD6" w:rsidRDefault="001D1FD6" w:rsidP="001D1FD6">
      <w:pPr>
        <w:spacing w:after="240"/>
        <w:ind w:firstLine="720"/>
        <w:jc w:val="both"/>
        <w:rPr>
          <w:bCs/>
          <w:sz w:val="18"/>
          <w:szCs w:val="18"/>
        </w:rPr>
      </w:pPr>
      <w:r>
        <w:rPr>
          <w:bCs/>
          <w:sz w:val="18"/>
          <w:szCs w:val="18"/>
        </w:rPr>
        <w:t>The following table sets forth the net valuation results for the Group’s Portfolio as at the dates indicated:</w:t>
      </w:r>
      <w:bookmarkStart w:id="46" w:name="_Hlk491183718"/>
      <w:r>
        <w:rPr>
          <w:bCs/>
          <w:sz w:val="18"/>
          <w:szCs w:val="18"/>
        </w:rPr>
        <w:t xml:space="preserve"> </w:t>
      </w:r>
    </w:p>
    <w:tbl>
      <w:tblPr>
        <w:tblStyle w:val="TableGrid8"/>
        <w:tblW w:w="43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34"/>
        <w:gridCol w:w="1817"/>
        <w:gridCol w:w="1058"/>
        <w:gridCol w:w="1059"/>
        <w:gridCol w:w="1259"/>
      </w:tblGrid>
      <w:tr w:rsidR="001D1FD6" w14:paraId="4038AC21" w14:textId="77777777" w:rsidTr="00D52B9E">
        <w:trPr>
          <w:trHeight w:val="315"/>
        </w:trPr>
        <w:tc>
          <w:tcPr>
            <w:tcW w:w="3234" w:type="dxa"/>
          </w:tcPr>
          <w:p w14:paraId="0789BFC6" w14:textId="532100D9" w:rsidR="001D1FD6" w:rsidRDefault="001D1FD6" w:rsidP="001D1FD6">
            <w:pPr>
              <w:rPr>
                <w:rFonts w:cs="Arabic Transparent"/>
                <w:sz w:val="18"/>
                <w:szCs w:val="18"/>
              </w:rPr>
            </w:pPr>
          </w:p>
        </w:tc>
        <w:tc>
          <w:tcPr>
            <w:tcW w:w="1817" w:type="dxa"/>
          </w:tcPr>
          <w:p w14:paraId="4D8777D0" w14:textId="77777777" w:rsidR="001D1FD6" w:rsidRDefault="001D1FD6" w:rsidP="001D1FD6">
            <w:pPr>
              <w:pBdr>
                <w:bottom w:val="single" w:sz="2" w:space="1" w:color="000000"/>
              </w:pBdr>
              <w:jc w:val="center"/>
              <w:rPr>
                <w:rFonts w:cs="Arabic Transparent"/>
                <w:b/>
                <w:sz w:val="18"/>
                <w:szCs w:val="18"/>
              </w:rPr>
            </w:pPr>
            <w:r>
              <w:rPr>
                <w:rFonts w:cs="Arabic Transparent"/>
                <w:b/>
                <w:sz w:val="18"/>
                <w:szCs w:val="18"/>
              </w:rPr>
              <w:t>As at 30</w:t>
            </w:r>
            <w:r w:rsidR="00C57B27">
              <w:rPr>
                <w:rFonts w:cs="Arabic Transparent"/>
                <w:b/>
                <w:sz w:val="18"/>
                <w:szCs w:val="18"/>
              </w:rPr>
              <w:t>-</w:t>
            </w:r>
            <w:r>
              <w:rPr>
                <w:rFonts w:cs="Arabic Transparent"/>
                <w:b/>
                <w:sz w:val="18"/>
                <w:szCs w:val="18"/>
              </w:rPr>
              <w:t>Jun</w:t>
            </w:r>
          </w:p>
          <w:p w14:paraId="4A8ECFE4" w14:textId="3F5F7E92" w:rsidR="005622A5" w:rsidRDefault="005622A5" w:rsidP="001D1FD6">
            <w:pPr>
              <w:pBdr>
                <w:bottom w:val="single" w:sz="2" w:space="1" w:color="000000"/>
              </w:pBdr>
              <w:jc w:val="center"/>
              <w:rPr>
                <w:rFonts w:cs="Arabic Transparent"/>
                <w:b/>
                <w:sz w:val="18"/>
                <w:szCs w:val="18"/>
              </w:rPr>
            </w:pPr>
          </w:p>
        </w:tc>
        <w:tc>
          <w:tcPr>
            <w:tcW w:w="3376" w:type="dxa"/>
            <w:gridSpan w:val="3"/>
          </w:tcPr>
          <w:p w14:paraId="76460B07" w14:textId="77777777" w:rsidR="001D1FD6" w:rsidRDefault="00C57B27" w:rsidP="00A5572A">
            <w:pPr>
              <w:pBdr>
                <w:bottom w:val="single" w:sz="2" w:space="1" w:color="000000"/>
              </w:pBdr>
              <w:jc w:val="center"/>
              <w:rPr>
                <w:rFonts w:cs="Arabic Transparent"/>
                <w:b/>
                <w:sz w:val="18"/>
                <w:szCs w:val="18"/>
              </w:rPr>
            </w:pPr>
            <w:r>
              <w:rPr>
                <w:rFonts w:cs="Arabic Transparent"/>
                <w:b/>
                <w:sz w:val="18"/>
                <w:szCs w:val="18"/>
              </w:rPr>
              <w:t>As at 31-Dec</w:t>
            </w:r>
          </w:p>
          <w:p w14:paraId="628C6CD9" w14:textId="003E6F72" w:rsidR="00A5572A" w:rsidRDefault="00A5572A" w:rsidP="00A5572A">
            <w:pPr>
              <w:pBdr>
                <w:bottom w:val="single" w:sz="2" w:space="1" w:color="000000"/>
              </w:pBdr>
              <w:rPr>
                <w:rFonts w:cs="Arabic Transparent"/>
                <w:b/>
                <w:sz w:val="18"/>
                <w:szCs w:val="18"/>
              </w:rPr>
            </w:pPr>
          </w:p>
        </w:tc>
      </w:tr>
      <w:tr w:rsidR="001D1FD6" w14:paraId="6044C707" w14:textId="77777777" w:rsidTr="00D52B9E">
        <w:tc>
          <w:tcPr>
            <w:tcW w:w="3234" w:type="dxa"/>
          </w:tcPr>
          <w:p w14:paraId="59304C06" w14:textId="77777777" w:rsidR="001D1FD6" w:rsidRDefault="001D1FD6" w:rsidP="001D1FD6">
            <w:pPr>
              <w:jc w:val="center"/>
              <w:rPr>
                <w:rFonts w:cs="Arabic Transparent"/>
                <w:sz w:val="18"/>
                <w:szCs w:val="18"/>
              </w:rPr>
            </w:pPr>
          </w:p>
        </w:tc>
        <w:tc>
          <w:tcPr>
            <w:tcW w:w="1817" w:type="dxa"/>
            <w:vAlign w:val="bottom"/>
          </w:tcPr>
          <w:p w14:paraId="2CE15A72" w14:textId="77777777" w:rsidR="001D1FD6" w:rsidRDefault="001D1FD6" w:rsidP="001D1FD6">
            <w:pPr>
              <w:pBdr>
                <w:bottom w:val="single" w:sz="2" w:space="1" w:color="000000"/>
              </w:pBdr>
              <w:jc w:val="center"/>
              <w:rPr>
                <w:rFonts w:cs="Arabic Transparent"/>
                <w:b/>
                <w:sz w:val="18"/>
                <w:szCs w:val="18"/>
              </w:rPr>
            </w:pPr>
            <w:r>
              <w:rPr>
                <w:rFonts w:cs="Arabic Transparent"/>
                <w:b/>
                <w:sz w:val="18"/>
                <w:szCs w:val="18"/>
              </w:rPr>
              <w:t>2017</w:t>
            </w:r>
          </w:p>
        </w:tc>
        <w:tc>
          <w:tcPr>
            <w:tcW w:w="1058" w:type="dxa"/>
            <w:vAlign w:val="bottom"/>
          </w:tcPr>
          <w:p w14:paraId="5C57A034" w14:textId="77777777" w:rsidR="001D1FD6" w:rsidRDefault="001D1FD6" w:rsidP="001D1FD6">
            <w:pPr>
              <w:pBdr>
                <w:bottom w:val="single" w:sz="2" w:space="1" w:color="000000"/>
              </w:pBdr>
              <w:jc w:val="center"/>
              <w:rPr>
                <w:rFonts w:cs="Arabic Transparent"/>
                <w:b/>
                <w:sz w:val="18"/>
                <w:szCs w:val="18"/>
              </w:rPr>
            </w:pPr>
            <w:r>
              <w:rPr>
                <w:rFonts w:cs="Arabic Transparent"/>
                <w:b/>
                <w:sz w:val="18"/>
                <w:szCs w:val="18"/>
              </w:rPr>
              <w:t>2016</w:t>
            </w:r>
          </w:p>
        </w:tc>
        <w:tc>
          <w:tcPr>
            <w:tcW w:w="1059" w:type="dxa"/>
            <w:vAlign w:val="bottom"/>
          </w:tcPr>
          <w:p w14:paraId="28A9CE19" w14:textId="77777777" w:rsidR="001D1FD6" w:rsidRDefault="001D1FD6" w:rsidP="001D1FD6">
            <w:pPr>
              <w:pBdr>
                <w:bottom w:val="single" w:sz="2" w:space="1" w:color="000000"/>
              </w:pBdr>
              <w:jc w:val="center"/>
              <w:rPr>
                <w:rFonts w:cs="Arabic Transparent"/>
                <w:b/>
                <w:sz w:val="18"/>
                <w:szCs w:val="18"/>
              </w:rPr>
            </w:pPr>
            <w:r>
              <w:rPr>
                <w:rFonts w:cs="Arabic Transparent"/>
                <w:b/>
                <w:sz w:val="18"/>
                <w:szCs w:val="18"/>
              </w:rPr>
              <w:t>2015</w:t>
            </w:r>
          </w:p>
        </w:tc>
        <w:tc>
          <w:tcPr>
            <w:tcW w:w="1259" w:type="dxa"/>
            <w:vAlign w:val="bottom"/>
          </w:tcPr>
          <w:p w14:paraId="15545B71" w14:textId="77777777" w:rsidR="001D1FD6" w:rsidRDefault="001D1FD6" w:rsidP="001D1FD6">
            <w:pPr>
              <w:pBdr>
                <w:bottom w:val="single" w:sz="2" w:space="1" w:color="000000"/>
              </w:pBdr>
              <w:jc w:val="center"/>
              <w:rPr>
                <w:rFonts w:cs="Arabic Transparent"/>
                <w:b/>
                <w:sz w:val="18"/>
                <w:szCs w:val="18"/>
              </w:rPr>
            </w:pPr>
            <w:r>
              <w:rPr>
                <w:rFonts w:cs="Arabic Transparent"/>
                <w:b/>
                <w:sz w:val="18"/>
                <w:szCs w:val="18"/>
              </w:rPr>
              <w:t>2014</w:t>
            </w:r>
          </w:p>
        </w:tc>
      </w:tr>
      <w:tr w:rsidR="00D52B9E" w14:paraId="01886831" w14:textId="77777777" w:rsidTr="000F2F68">
        <w:tc>
          <w:tcPr>
            <w:tcW w:w="3234" w:type="dxa"/>
          </w:tcPr>
          <w:p w14:paraId="668801D0" w14:textId="77777777" w:rsidR="00D52B9E" w:rsidRDefault="00D52B9E" w:rsidP="001D1FD6">
            <w:pPr>
              <w:tabs>
                <w:tab w:val="left" w:leader="dot" w:pos="2880"/>
              </w:tabs>
              <w:rPr>
                <w:rFonts w:cs="Arabic Transparent"/>
                <w:sz w:val="18"/>
                <w:szCs w:val="18"/>
              </w:rPr>
            </w:pPr>
          </w:p>
        </w:tc>
        <w:tc>
          <w:tcPr>
            <w:tcW w:w="5193" w:type="dxa"/>
            <w:gridSpan w:val="4"/>
            <w:vAlign w:val="bottom"/>
          </w:tcPr>
          <w:p w14:paraId="501CF24E" w14:textId="342A6989" w:rsidR="00D52B9E" w:rsidRDefault="00D52B9E" w:rsidP="00D52B9E">
            <w:pPr>
              <w:tabs>
                <w:tab w:val="decimal" w:pos="704"/>
              </w:tabs>
              <w:jc w:val="center"/>
              <w:rPr>
                <w:rFonts w:cs="Arabic Transparent"/>
                <w:sz w:val="18"/>
                <w:szCs w:val="18"/>
              </w:rPr>
            </w:pPr>
            <w:r>
              <w:rPr>
                <w:sz w:val="18"/>
                <w:szCs w:val="18"/>
              </w:rPr>
              <w:t>(</w:t>
            </w:r>
            <w:r>
              <w:rPr>
                <w:i/>
                <w:sz w:val="18"/>
                <w:szCs w:val="18"/>
              </w:rPr>
              <w:t>in thousands of €)</w:t>
            </w:r>
          </w:p>
        </w:tc>
      </w:tr>
      <w:tr w:rsidR="001D1FD6" w14:paraId="738FC706" w14:textId="77777777" w:rsidTr="00D52B9E">
        <w:tc>
          <w:tcPr>
            <w:tcW w:w="3234" w:type="dxa"/>
          </w:tcPr>
          <w:p w14:paraId="6911C8B6" w14:textId="77777777" w:rsidR="001D1FD6" w:rsidRDefault="001D1FD6" w:rsidP="001D1FD6">
            <w:pPr>
              <w:tabs>
                <w:tab w:val="left" w:leader="dot" w:pos="2880"/>
              </w:tabs>
              <w:rPr>
                <w:rFonts w:cs="Arabic Transparent"/>
                <w:sz w:val="18"/>
                <w:szCs w:val="18"/>
              </w:rPr>
            </w:pPr>
            <w:r>
              <w:rPr>
                <w:rFonts w:cs="Arabic Transparent"/>
                <w:sz w:val="18"/>
                <w:szCs w:val="18"/>
              </w:rPr>
              <w:t>Czech Republic</w:t>
            </w:r>
          </w:p>
        </w:tc>
        <w:tc>
          <w:tcPr>
            <w:tcW w:w="1817" w:type="dxa"/>
            <w:vAlign w:val="bottom"/>
          </w:tcPr>
          <w:p w14:paraId="6A4DCEB3" w14:textId="77777777" w:rsidR="001D1FD6" w:rsidRDefault="001D1FD6" w:rsidP="001D1FD6">
            <w:pPr>
              <w:tabs>
                <w:tab w:val="decimal" w:pos="704"/>
              </w:tabs>
              <w:jc w:val="right"/>
              <w:rPr>
                <w:rFonts w:cs="Arabic Transparent"/>
                <w:sz w:val="18"/>
                <w:szCs w:val="18"/>
              </w:rPr>
            </w:pPr>
            <w:r>
              <w:rPr>
                <w:rFonts w:cs="Arabic Transparent"/>
                <w:sz w:val="18"/>
                <w:szCs w:val="18"/>
              </w:rPr>
              <w:t>25,925</w:t>
            </w:r>
          </w:p>
        </w:tc>
        <w:tc>
          <w:tcPr>
            <w:tcW w:w="1058" w:type="dxa"/>
            <w:vAlign w:val="bottom"/>
          </w:tcPr>
          <w:p w14:paraId="45FF9380" w14:textId="77777777" w:rsidR="001D1FD6" w:rsidRDefault="001D1FD6" w:rsidP="001D1FD6">
            <w:pPr>
              <w:tabs>
                <w:tab w:val="decimal" w:pos="704"/>
              </w:tabs>
              <w:jc w:val="right"/>
              <w:rPr>
                <w:rFonts w:cs="Arabic Transparent"/>
                <w:sz w:val="18"/>
                <w:szCs w:val="18"/>
              </w:rPr>
            </w:pPr>
            <w:r>
              <w:rPr>
                <w:rFonts w:cs="Arabic Transparent"/>
                <w:sz w:val="18"/>
                <w:szCs w:val="18"/>
              </w:rPr>
              <w:t>21,879</w:t>
            </w:r>
          </w:p>
        </w:tc>
        <w:tc>
          <w:tcPr>
            <w:tcW w:w="1059" w:type="dxa"/>
            <w:vAlign w:val="bottom"/>
          </w:tcPr>
          <w:p w14:paraId="78CA739B" w14:textId="77777777" w:rsidR="001D1FD6" w:rsidRDefault="001D1FD6" w:rsidP="001D1FD6">
            <w:pPr>
              <w:tabs>
                <w:tab w:val="decimal" w:pos="704"/>
              </w:tabs>
              <w:jc w:val="right"/>
              <w:rPr>
                <w:rFonts w:cs="Arabic Transparent"/>
                <w:sz w:val="18"/>
                <w:szCs w:val="18"/>
              </w:rPr>
            </w:pPr>
            <w:r>
              <w:rPr>
                <w:rFonts w:cs="Arabic Transparent"/>
                <w:sz w:val="18"/>
                <w:szCs w:val="18"/>
              </w:rPr>
              <w:t>25,052</w:t>
            </w:r>
          </w:p>
        </w:tc>
        <w:tc>
          <w:tcPr>
            <w:tcW w:w="1259" w:type="dxa"/>
            <w:vAlign w:val="bottom"/>
          </w:tcPr>
          <w:p w14:paraId="09C206E9" w14:textId="77777777" w:rsidR="001D1FD6" w:rsidRDefault="001D1FD6" w:rsidP="001D1FD6">
            <w:pPr>
              <w:tabs>
                <w:tab w:val="decimal" w:pos="704"/>
              </w:tabs>
              <w:jc w:val="right"/>
              <w:rPr>
                <w:rFonts w:cs="Arabic Transparent"/>
                <w:sz w:val="18"/>
                <w:szCs w:val="18"/>
              </w:rPr>
            </w:pPr>
            <w:r>
              <w:rPr>
                <w:rFonts w:cs="Arabic Transparent"/>
                <w:sz w:val="18"/>
                <w:szCs w:val="18"/>
              </w:rPr>
              <w:t>11,028</w:t>
            </w:r>
          </w:p>
        </w:tc>
      </w:tr>
      <w:tr w:rsidR="001D1FD6" w14:paraId="69DD1BB5" w14:textId="77777777" w:rsidTr="00D52B9E">
        <w:tc>
          <w:tcPr>
            <w:tcW w:w="3234" w:type="dxa"/>
          </w:tcPr>
          <w:p w14:paraId="6DD31BBA" w14:textId="77777777" w:rsidR="001D1FD6" w:rsidRDefault="001D1FD6" w:rsidP="001D1FD6">
            <w:pPr>
              <w:tabs>
                <w:tab w:val="left" w:leader="dot" w:pos="2880"/>
              </w:tabs>
              <w:rPr>
                <w:rFonts w:cs="Arabic Transparent"/>
                <w:sz w:val="18"/>
                <w:szCs w:val="18"/>
              </w:rPr>
            </w:pPr>
            <w:r>
              <w:rPr>
                <w:rFonts w:cs="Arabic Transparent"/>
                <w:sz w:val="18"/>
                <w:szCs w:val="18"/>
              </w:rPr>
              <w:t>Germany</w:t>
            </w:r>
          </w:p>
        </w:tc>
        <w:tc>
          <w:tcPr>
            <w:tcW w:w="1817" w:type="dxa"/>
            <w:vAlign w:val="bottom"/>
          </w:tcPr>
          <w:p w14:paraId="56DB93CC" w14:textId="77777777" w:rsidR="001D1FD6" w:rsidRDefault="001D1FD6" w:rsidP="001D1FD6">
            <w:pPr>
              <w:tabs>
                <w:tab w:val="decimal" w:pos="704"/>
              </w:tabs>
              <w:jc w:val="right"/>
              <w:rPr>
                <w:rFonts w:cs="Arabic Transparent"/>
                <w:sz w:val="18"/>
                <w:szCs w:val="18"/>
              </w:rPr>
            </w:pPr>
            <w:r>
              <w:rPr>
                <w:rFonts w:cs="Arabic Transparent"/>
                <w:sz w:val="18"/>
                <w:szCs w:val="18"/>
              </w:rPr>
              <w:t>19,141</w:t>
            </w:r>
          </w:p>
        </w:tc>
        <w:tc>
          <w:tcPr>
            <w:tcW w:w="1058" w:type="dxa"/>
            <w:vAlign w:val="bottom"/>
          </w:tcPr>
          <w:p w14:paraId="40C1E23C" w14:textId="77777777" w:rsidR="001D1FD6" w:rsidRDefault="001D1FD6" w:rsidP="001D1FD6">
            <w:pPr>
              <w:tabs>
                <w:tab w:val="decimal" w:pos="704"/>
              </w:tabs>
              <w:jc w:val="right"/>
              <w:rPr>
                <w:rFonts w:cs="Arabic Transparent"/>
                <w:sz w:val="18"/>
                <w:szCs w:val="18"/>
              </w:rPr>
            </w:pPr>
            <w:r>
              <w:rPr>
                <w:rFonts w:cs="Arabic Transparent"/>
                <w:sz w:val="18"/>
                <w:szCs w:val="18"/>
              </w:rPr>
              <w:t>87,133</w:t>
            </w:r>
          </w:p>
        </w:tc>
        <w:tc>
          <w:tcPr>
            <w:tcW w:w="1059" w:type="dxa"/>
            <w:vAlign w:val="bottom"/>
          </w:tcPr>
          <w:p w14:paraId="6910EB91" w14:textId="77777777" w:rsidR="001D1FD6" w:rsidRDefault="001D1FD6" w:rsidP="001D1FD6">
            <w:pPr>
              <w:tabs>
                <w:tab w:val="decimal" w:pos="704"/>
              </w:tabs>
              <w:jc w:val="right"/>
              <w:rPr>
                <w:rFonts w:cs="Arabic Transparent"/>
                <w:sz w:val="18"/>
                <w:szCs w:val="18"/>
              </w:rPr>
            </w:pPr>
            <w:r>
              <w:rPr>
                <w:rFonts w:cs="Arabic Transparent"/>
                <w:sz w:val="18"/>
                <w:szCs w:val="18"/>
              </w:rPr>
              <w:t>58,453</w:t>
            </w:r>
          </w:p>
        </w:tc>
        <w:tc>
          <w:tcPr>
            <w:tcW w:w="1259" w:type="dxa"/>
            <w:vAlign w:val="bottom"/>
          </w:tcPr>
          <w:p w14:paraId="4929F65D" w14:textId="77777777" w:rsidR="001D1FD6" w:rsidRDefault="001D1FD6" w:rsidP="001D1FD6">
            <w:pPr>
              <w:tabs>
                <w:tab w:val="decimal" w:pos="704"/>
              </w:tabs>
              <w:jc w:val="right"/>
              <w:rPr>
                <w:rFonts w:cs="Arabic Transparent"/>
                <w:sz w:val="18"/>
                <w:szCs w:val="18"/>
              </w:rPr>
            </w:pPr>
            <w:r>
              <w:rPr>
                <w:rFonts w:cs="Arabic Transparent"/>
                <w:sz w:val="18"/>
                <w:szCs w:val="18"/>
              </w:rPr>
              <w:t>28,914</w:t>
            </w:r>
          </w:p>
        </w:tc>
      </w:tr>
      <w:tr w:rsidR="001D1FD6" w14:paraId="4520F834" w14:textId="77777777" w:rsidTr="00D52B9E">
        <w:tc>
          <w:tcPr>
            <w:tcW w:w="3234" w:type="dxa"/>
          </w:tcPr>
          <w:p w14:paraId="627CEB5C" w14:textId="77777777" w:rsidR="001D1FD6" w:rsidRDefault="001D1FD6" w:rsidP="001D1FD6">
            <w:pPr>
              <w:tabs>
                <w:tab w:val="left" w:leader="dot" w:pos="2880"/>
              </w:tabs>
              <w:rPr>
                <w:rFonts w:cs="Arabic Transparent"/>
                <w:sz w:val="18"/>
                <w:szCs w:val="18"/>
              </w:rPr>
            </w:pPr>
            <w:r>
              <w:rPr>
                <w:rFonts w:cs="Arabic Transparent"/>
                <w:sz w:val="18"/>
                <w:szCs w:val="18"/>
              </w:rPr>
              <w:t>Spain</w:t>
            </w:r>
          </w:p>
        </w:tc>
        <w:tc>
          <w:tcPr>
            <w:tcW w:w="1817" w:type="dxa"/>
            <w:vAlign w:val="bottom"/>
          </w:tcPr>
          <w:p w14:paraId="6D5E04E2" w14:textId="77777777" w:rsidR="001D1FD6" w:rsidRDefault="001D1FD6" w:rsidP="001D1FD6">
            <w:pPr>
              <w:tabs>
                <w:tab w:val="decimal" w:pos="704"/>
              </w:tabs>
              <w:jc w:val="right"/>
              <w:rPr>
                <w:rFonts w:cs="Arabic Transparent"/>
                <w:sz w:val="18"/>
                <w:szCs w:val="18"/>
              </w:rPr>
            </w:pPr>
            <w:r>
              <w:rPr>
                <w:rFonts w:cs="Arabic Transparent"/>
                <w:sz w:val="18"/>
                <w:szCs w:val="18"/>
              </w:rPr>
              <w:t>9,196</w:t>
            </w:r>
          </w:p>
        </w:tc>
        <w:tc>
          <w:tcPr>
            <w:tcW w:w="1058" w:type="dxa"/>
            <w:vAlign w:val="bottom"/>
          </w:tcPr>
          <w:p w14:paraId="4AEE317C" w14:textId="77777777" w:rsidR="001D1FD6" w:rsidRDefault="001D1FD6" w:rsidP="001D1FD6">
            <w:pPr>
              <w:tabs>
                <w:tab w:val="decimal" w:pos="704"/>
              </w:tabs>
              <w:jc w:val="right"/>
              <w:rPr>
                <w:rFonts w:cs="Arabic Transparent"/>
                <w:sz w:val="18"/>
                <w:szCs w:val="18"/>
              </w:rPr>
            </w:pPr>
          </w:p>
        </w:tc>
        <w:tc>
          <w:tcPr>
            <w:tcW w:w="1059" w:type="dxa"/>
            <w:vAlign w:val="bottom"/>
          </w:tcPr>
          <w:p w14:paraId="2EED44BB" w14:textId="77777777" w:rsidR="001D1FD6" w:rsidRDefault="001D1FD6" w:rsidP="001D1FD6">
            <w:pPr>
              <w:tabs>
                <w:tab w:val="decimal" w:pos="704"/>
              </w:tabs>
              <w:jc w:val="right"/>
              <w:rPr>
                <w:rFonts w:cs="Arabic Transparent"/>
                <w:sz w:val="18"/>
                <w:szCs w:val="18"/>
              </w:rPr>
            </w:pPr>
          </w:p>
        </w:tc>
        <w:tc>
          <w:tcPr>
            <w:tcW w:w="1259" w:type="dxa"/>
            <w:vAlign w:val="bottom"/>
          </w:tcPr>
          <w:p w14:paraId="5F7275E0" w14:textId="77777777" w:rsidR="001D1FD6" w:rsidRDefault="001D1FD6" w:rsidP="001D1FD6">
            <w:pPr>
              <w:tabs>
                <w:tab w:val="decimal" w:pos="704"/>
              </w:tabs>
              <w:jc w:val="right"/>
              <w:rPr>
                <w:rFonts w:cs="Arabic Transparent"/>
                <w:sz w:val="18"/>
                <w:szCs w:val="18"/>
              </w:rPr>
            </w:pPr>
          </w:p>
        </w:tc>
      </w:tr>
      <w:tr w:rsidR="001D1FD6" w14:paraId="2581E255" w14:textId="77777777" w:rsidTr="00D52B9E">
        <w:tc>
          <w:tcPr>
            <w:tcW w:w="3234" w:type="dxa"/>
          </w:tcPr>
          <w:p w14:paraId="1CDEB6F6" w14:textId="0CAF70C1" w:rsidR="001D1FD6" w:rsidRDefault="001D1FD6" w:rsidP="001D1FD6">
            <w:pPr>
              <w:tabs>
                <w:tab w:val="left" w:leader="dot" w:pos="2880"/>
              </w:tabs>
              <w:rPr>
                <w:rFonts w:cs="Arabic Transparent"/>
                <w:sz w:val="18"/>
                <w:szCs w:val="18"/>
              </w:rPr>
            </w:pPr>
            <w:r>
              <w:rPr>
                <w:rFonts w:cs="Arabic Transparent"/>
                <w:sz w:val="18"/>
                <w:szCs w:val="18"/>
              </w:rPr>
              <w:t xml:space="preserve">Other </w:t>
            </w:r>
            <w:r w:rsidRPr="00A01869">
              <w:rPr>
                <w:rFonts w:cs="Arabic Transparent"/>
                <w:sz w:val="18"/>
                <w:szCs w:val="18"/>
              </w:rPr>
              <w:t>countries</w:t>
            </w:r>
            <w:r w:rsidR="00A01869">
              <w:rPr>
                <w:rFonts w:cs="Arabic Transparent"/>
                <w:sz w:val="18"/>
                <w:szCs w:val="18"/>
              </w:rPr>
              <w:t xml:space="preserve"> (including Estonia)</w:t>
            </w:r>
          </w:p>
        </w:tc>
        <w:tc>
          <w:tcPr>
            <w:tcW w:w="1817" w:type="dxa"/>
            <w:vAlign w:val="bottom"/>
          </w:tcPr>
          <w:p w14:paraId="271DCD91" w14:textId="77777777" w:rsidR="001D1FD6" w:rsidRDefault="001D1FD6" w:rsidP="001D1FD6">
            <w:pPr>
              <w:tabs>
                <w:tab w:val="decimal" w:pos="704"/>
              </w:tabs>
              <w:jc w:val="right"/>
              <w:rPr>
                <w:rFonts w:cs="Arabic Transparent"/>
                <w:sz w:val="18"/>
                <w:szCs w:val="18"/>
              </w:rPr>
            </w:pPr>
            <w:r>
              <w:rPr>
                <w:rFonts w:cs="Arabic Transparent"/>
                <w:sz w:val="18"/>
                <w:szCs w:val="18"/>
              </w:rPr>
              <w:t>5,602</w:t>
            </w:r>
          </w:p>
        </w:tc>
        <w:tc>
          <w:tcPr>
            <w:tcW w:w="1058" w:type="dxa"/>
            <w:vAlign w:val="bottom"/>
          </w:tcPr>
          <w:p w14:paraId="3D63F11E" w14:textId="77777777" w:rsidR="001D1FD6" w:rsidRDefault="001D1FD6" w:rsidP="001D1FD6">
            <w:pPr>
              <w:tabs>
                <w:tab w:val="decimal" w:pos="704"/>
              </w:tabs>
              <w:jc w:val="right"/>
              <w:rPr>
                <w:rFonts w:cs="Arabic Transparent"/>
                <w:sz w:val="18"/>
                <w:szCs w:val="18"/>
              </w:rPr>
            </w:pPr>
            <w:r>
              <w:rPr>
                <w:rFonts w:cs="Arabic Transparent"/>
                <w:sz w:val="18"/>
                <w:szCs w:val="18"/>
              </w:rPr>
              <w:t>9,888</w:t>
            </w:r>
          </w:p>
        </w:tc>
        <w:tc>
          <w:tcPr>
            <w:tcW w:w="1059" w:type="dxa"/>
            <w:vAlign w:val="bottom"/>
          </w:tcPr>
          <w:p w14:paraId="3E25E3A4" w14:textId="77777777" w:rsidR="001D1FD6" w:rsidRDefault="001D1FD6" w:rsidP="001D1FD6">
            <w:pPr>
              <w:tabs>
                <w:tab w:val="decimal" w:pos="704"/>
              </w:tabs>
              <w:jc w:val="right"/>
              <w:rPr>
                <w:rFonts w:cs="Arabic Transparent"/>
                <w:sz w:val="18"/>
                <w:szCs w:val="18"/>
              </w:rPr>
            </w:pPr>
            <w:r>
              <w:rPr>
                <w:rFonts w:cs="Arabic Transparent"/>
                <w:sz w:val="18"/>
                <w:szCs w:val="18"/>
              </w:rPr>
              <w:t>20,476</w:t>
            </w:r>
          </w:p>
        </w:tc>
        <w:tc>
          <w:tcPr>
            <w:tcW w:w="1259" w:type="dxa"/>
            <w:vAlign w:val="bottom"/>
          </w:tcPr>
          <w:p w14:paraId="4E9AD8F4" w14:textId="77777777" w:rsidR="001D1FD6" w:rsidRDefault="001D1FD6" w:rsidP="001D1FD6">
            <w:pPr>
              <w:tabs>
                <w:tab w:val="decimal" w:pos="704"/>
              </w:tabs>
              <w:jc w:val="right"/>
              <w:rPr>
                <w:rFonts w:cs="Arabic Transparent"/>
                <w:sz w:val="18"/>
                <w:szCs w:val="18"/>
              </w:rPr>
            </w:pPr>
            <w:r>
              <w:rPr>
                <w:rFonts w:cs="Arabic Transparent"/>
                <w:sz w:val="18"/>
                <w:szCs w:val="18"/>
              </w:rPr>
              <w:t>13,978</w:t>
            </w:r>
          </w:p>
        </w:tc>
      </w:tr>
      <w:tr w:rsidR="001D1FD6" w14:paraId="53B49262" w14:textId="77777777" w:rsidTr="00D52B9E">
        <w:tc>
          <w:tcPr>
            <w:tcW w:w="3234" w:type="dxa"/>
          </w:tcPr>
          <w:p w14:paraId="02D49A9E" w14:textId="77777777" w:rsidR="001D1FD6" w:rsidRDefault="001D1FD6" w:rsidP="001D1FD6">
            <w:pPr>
              <w:tabs>
                <w:tab w:val="left" w:leader="dot" w:pos="2880"/>
              </w:tabs>
              <w:rPr>
                <w:rFonts w:cs="Arabic Transparent"/>
                <w:b/>
                <w:sz w:val="18"/>
                <w:szCs w:val="18"/>
              </w:rPr>
            </w:pPr>
            <w:r>
              <w:rPr>
                <w:rFonts w:cs="Arabic Transparent"/>
                <w:b/>
                <w:sz w:val="18"/>
                <w:szCs w:val="18"/>
              </w:rPr>
              <w:t>Total net valuation gain / (losses)</w:t>
            </w:r>
          </w:p>
        </w:tc>
        <w:tc>
          <w:tcPr>
            <w:tcW w:w="1817" w:type="dxa"/>
            <w:vAlign w:val="bottom"/>
          </w:tcPr>
          <w:p w14:paraId="313C5AAB" w14:textId="77777777" w:rsidR="001D1FD6" w:rsidRDefault="001D1FD6" w:rsidP="001D1FD6">
            <w:pPr>
              <w:pBdr>
                <w:bottom w:val="double" w:sz="4" w:space="1" w:color="auto"/>
              </w:pBdr>
              <w:tabs>
                <w:tab w:val="decimal" w:pos="704"/>
              </w:tabs>
              <w:jc w:val="right"/>
              <w:rPr>
                <w:rFonts w:cs="Arabic Transparent"/>
                <w:b/>
                <w:sz w:val="18"/>
                <w:szCs w:val="18"/>
              </w:rPr>
            </w:pPr>
            <w:r>
              <w:rPr>
                <w:rFonts w:cs="Arabic Transparent"/>
                <w:b/>
                <w:sz w:val="18"/>
                <w:szCs w:val="18"/>
              </w:rPr>
              <w:t>59,864</w:t>
            </w:r>
          </w:p>
        </w:tc>
        <w:tc>
          <w:tcPr>
            <w:tcW w:w="1058" w:type="dxa"/>
            <w:vAlign w:val="bottom"/>
          </w:tcPr>
          <w:p w14:paraId="736F1F99" w14:textId="77777777" w:rsidR="001D1FD6" w:rsidRDefault="001D1FD6" w:rsidP="001D1FD6">
            <w:pPr>
              <w:pBdr>
                <w:bottom w:val="double" w:sz="4" w:space="1" w:color="auto"/>
              </w:pBdr>
              <w:tabs>
                <w:tab w:val="decimal" w:pos="704"/>
              </w:tabs>
              <w:jc w:val="right"/>
              <w:rPr>
                <w:rFonts w:cs="Arabic Transparent"/>
                <w:b/>
                <w:sz w:val="18"/>
                <w:szCs w:val="18"/>
              </w:rPr>
            </w:pPr>
            <w:r>
              <w:rPr>
                <w:rFonts w:cs="Arabic Transparent"/>
                <w:b/>
                <w:sz w:val="18"/>
                <w:szCs w:val="18"/>
              </w:rPr>
              <w:t>118,900</w:t>
            </w:r>
          </w:p>
        </w:tc>
        <w:tc>
          <w:tcPr>
            <w:tcW w:w="1059" w:type="dxa"/>
            <w:vAlign w:val="bottom"/>
          </w:tcPr>
          <w:p w14:paraId="091C1A62" w14:textId="77777777" w:rsidR="001D1FD6" w:rsidRDefault="001D1FD6" w:rsidP="001D1FD6">
            <w:pPr>
              <w:pBdr>
                <w:bottom w:val="double" w:sz="4" w:space="1" w:color="auto"/>
              </w:pBdr>
              <w:tabs>
                <w:tab w:val="decimal" w:pos="704"/>
              </w:tabs>
              <w:jc w:val="right"/>
              <w:rPr>
                <w:rFonts w:cs="Arabic Transparent"/>
                <w:b/>
                <w:sz w:val="18"/>
                <w:szCs w:val="18"/>
              </w:rPr>
            </w:pPr>
            <w:r>
              <w:rPr>
                <w:rFonts w:cs="Arabic Transparent"/>
                <w:b/>
                <w:sz w:val="18"/>
                <w:szCs w:val="18"/>
              </w:rPr>
              <w:t>103,981</w:t>
            </w:r>
          </w:p>
        </w:tc>
        <w:tc>
          <w:tcPr>
            <w:tcW w:w="1259" w:type="dxa"/>
            <w:vAlign w:val="bottom"/>
          </w:tcPr>
          <w:p w14:paraId="162CE75D" w14:textId="77777777" w:rsidR="001D1FD6" w:rsidRDefault="001D1FD6" w:rsidP="001D1FD6">
            <w:pPr>
              <w:pBdr>
                <w:bottom w:val="double" w:sz="4" w:space="1" w:color="auto"/>
              </w:pBdr>
              <w:tabs>
                <w:tab w:val="decimal" w:pos="704"/>
              </w:tabs>
              <w:jc w:val="right"/>
              <w:rPr>
                <w:rFonts w:cs="Arabic Transparent"/>
                <w:b/>
                <w:sz w:val="18"/>
                <w:szCs w:val="18"/>
              </w:rPr>
            </w:pPr>
            <w:r>
              <w:rPr>
                <w:rFonts w:cs="Arabic Transparent"/>
                <w:b/>
                <w:sz w:val="18"/>
                <w:szCs w:val="18"/>
              </w:rPr>
              <w:t>53,920</w:t>
            </w:r>
          </w:p>
        </w:tc>
      </w:tr>
      <w:bookmarkEnd w:id="46"/>
    </w:tbl>
    <w:p w14:paraId="51608AE6" w14:textId="77777777" w:rsidR="001D1FD6" w:rsidRDefault="001D1FD6" w:rsidP="001D1FD6">
      <w:pPr>
        <w:spacing w:after="240"/>
        <w:ind w:left="360" w:hanging="360"/>
        <w:jc w:val="both"/>
        <w:rPr>
          <w:rFonts w:cs="Arabic Transparent"/>
          <w:sz w:val="18"/>
          <w:szCs w:val="18"/>
          <w:lang w:val="en-GB"/>
        </w:rPr>
      </w:pPr>
    </w:p>
    <w:p w14:paraId="7FBD7676" w14:textId="2C6A8D1C" w:rsidR="001D1FD6" w:rsidRDefault="001D1FD6" w:rsidP="001D1FD6">
      <w:pPr>
        <w:spacing w:after="240"/>
        <w:ind w:firstLine="720"/>
        <w:jc w:val="both"/>
        <w:rPr>
          <w:bCs/>
          <w:sz w:val="18"/>
          <w:szCs w:val="18"/>
        </w:rPr>
      </w:pPr>
      <w:r>
        <w:rPr>
          <w:bCs/>
          <w:sz w:val="18"/>
          <w:szCs w:val="18"/>
        </w:rPr>
        <w:t>The Group’s property portfolio, excluding development land, has been valued by a valuation expert at 30 June 2017 based on a weighted average yield of 6.48% (compared to 6.49% as at 31 December 2016) applied to the contractual rents increased by the estimated rental value on unlet space. A 0.10% variation of this market rate would give rise to a variation of the total Group’s portfolio value of €</w:t>
      </w:r>
      <w:r w:rsidR="00C92AC8">
        <w:rPr>
          <w:bCs/>
          <w:sz w:val="18"/>
          <w:szCs w:val="18"/>
        </w:rPr>
        <w:t xml:space="preserve"> </w:t>
      </w:r>
      <w:r>
        <w:rPr>
          <w:bCs/>
          <w:sz w:val="18"/>
          <w:szCs w:val="18"/>
        </w:rPr>
        <w:t>6.5 million and €</w:t>
      </w:r>
      <w:r w:rsidR="00C92AC8">
        <w:rPr>
          <w:bCs/>
          <w:sz w:val="18"/>
          <w:szCs w:val="18"/>
        </w:rPr>
        <w:t xml:space="preserve"> </w:t>
      </w:r>
      <w:r>
        <w:rPr>
          <w:bCs/>
          <w:sz w:val="18"/>
          <w:szCs w:val="18"/>
        </w:rPr>
        <w:t>6.9 million for the period</w:t>
      </w:r>
      <w:r w:rsidR="002020ED">
        <w:rPr>
          <w:bCs/>
          <w:sz w:val="18"/>
          <w:szCs w:val="18"/>
        </w:rPr>
        <w:t>s</w:t>
      </w:r>
      <w:r>
        <w:rPr>
          <w:bCs/>
          <w:sz w:val="18"/>
          <w:szCs w:val="18"/>
        </w:rPr>
        <w:t xml:space="preserve"> ended 30 June 2017 and 31 December 2016 respectively.</w:t>
      </w:r>
    </w:p>
    <w:p w14:paraId="22769610" w14:textId="0C3F3455" w:rsidR="001D1FD6" w:rsidRDefault="001D1FD6" w:rsidP="001D1FD6">
      <w:pPr>
        <w:spacing w:after="240"/>
        <w:ind w:firstLine="720"/>
        <w:jc w:val="both"/>
        <w:rPr>
          <w:bCs/>
          <w:sz w:val="18"/>
          <w:szCs w:val="18"/>
        </w:rPr>
      </w:pPr>
      <w:r>
        <w:rPr>
          <w:bCs/>
          <w:sz w:val="18"/>
          <w:szCs w:val="18"/>
        </w:rPr>
        <w:t>In addition, the sensitivity of the fair value of the portfolio can be estimated as follows: the effect of a rise (fall) of 1% in rental income results in a rise (fall) in the fair value of the portfolio of approximately €</w:t>
      </w:r>
      <w:r w:rsidR="00C92AC8">
        <w:rPr>
          <w:bCs/>
          <w:sz w:val="18"/>
          <w:szCs w:val="18"/>
        </w:rPr>
        <w:t xml:space="preserve"> </w:t>
      </w:r>
      <w:r>
        <w:rPr>
          <w:bCs/>
          <w:sz w:val="18"/>
          <w:szCs w:val="18"/>
        </w:rPr>
        <w:t>4.3 million and €</w:t>
      </w:r>
      <w:r w:rsidR="00C92AC8">
        <w:rPr>
          <w:bCs/>
          <w:sz w:val="18"/>
          <w:szCs w:val="18"/>
        </w:rPr>
        <w:t xml:space="preserve"> </w:t>
      </w:r>
      <w:r>
        <w:rPr>
          <w:bCs/>
          <w:sz w:val="18"/>
          <w:szCs w:val="18"/>
        </w:rPr>
        <w:t>4.6 million (all variables remaining constant) for the period ended 30 June 2017 and the year ended 31 December 2016, respectively. The effect of a rise (fall) in the weighted average yield of 25 basis points results in a fall (rise) in the fair value of the portfolio of approximately €</w:t>
      </w:r>
      <w:r w:rsidR="00C92AC8">
        <w:rPr>
          <w:bCs/>
          <w:sz w:val="18"/>
          <w:szCs w:val="18"/>
        </w:rPr>
        <w:t xml:space="preserve"> </w:t>
      </w:r>
      <w:r>
        <w:rPr>
          <w:bCs/>
          <w:sz w:val="18"/>
          <w:szCs w:val="18"/>
        </w:rPr>
        <w:t>15.9 million and 16.9 million (all variables remaining constant) for the periods ended 30 June 2017 and 31 December 2016, respectively.</w:t>
      </w:r>
    </w:p>
    <w:p w14:paraId="3A67ADC4" w14:textId="77777777" w:rsidR="001D1FD6" w:rsidRDefault="001D1FD6" w:rsidP="001D1FD6">
      <w:pPr>
        <w:spacing w:after="240"/>
        <w:jc w:val="both"/>
        <w:rPr>
          <w:rFonts w:cs="Arabic Transparent"/>
          <w:b/>
          <w:i/>
          <w:color w:val="000000"/>
          <w:spacing w:val="-6"/>
          <w:sz w:val="18"/>
          <w:szCs w:val="18"/>
        </w:rPr>
      </w:pPr>
      <w:r>
        <w:rPr>
          <w:rFonts w:cs="Arabic Transparent"/>
          <w:b/>
          <w:i/>
          <w:color w:val="000000"/>
          <w:spacing w:val="-6"/>
          <w:sz w:val="18"/>
          <w:szCs w:val="18"/>
        </w:rPr>
        <w:t>Joint Venture with Allianz</w:t>
      </w:r>
      <w:r>
        <w:rPr>
          <w:sz w:val="18"/>
          <w:szCs w:val="18"/>
        </w:rPr>
        <w:t xml:space="preserve"> </w:t>
      </w:r>
    </w:p>
    <w:p w14:paraId="36821CC2" w14:textId="295E6A91" w:rsidR="001D1FD6" w:rsidRDefault="001D1FD6" w:rsidP="001D1FD6">
      <w:pPr>
        <w:spacing w:after="240"/>
        <w:ind w:firstLine="720"/>
        <w:jc w:val="both"/>
        <w:rPr>
          <w:bCs/>
          <w:sz w:val="18"/>
          <w:szCs w:val="18"/>
        </w:rPr>
      </w:pPr>
      <w:r>
        <w:rPr>
          <w:bCs/>
          <w:sz w:val="18"/>
          <w:szCs w:val="18"/>
        </w:rPr>
        <w:t>In March 2016, the Group entered into the Joint Venture with Allianz, in order to strengthen the Group's balance sheet and to give the Group additional financial flexibility by enabling the Group to redeploy its invested equity in order to support its strong growth plans, while limiting the need for new equity or additional debt.</w:t>
      </w:r>
      <w:r w:rsidR="00FF2ECC">
        <w:rPr>
          <w:bCs/>
          <w:sz w:val="18"/>
          <w:szCs w:val="18"/>
        </w:rPr>
        <w:t xml:space="preserve"> </w:t>
      </w:r>
      <w:r>
        <w:rPr>
          <w:bCs/>
          <w:sz w:val="18"/>
          <w:szCs w:val="18"/>
        </w:rPr>
        <w:t>Pursuant to the Joint Venture agreement, the Group sells income-generating assets to the Joint Venture at market price. The Group provides certain services to the Joint Venture, including asset and property management services as well as development advisory; the Group receives in this respect fees from the Joint Venture. These services are provided at arm’s length and do not give VGP any control over the Joint Venture or any of its subsidiaries, or any unilateral material decision making rights. Significant transactions and decisions within the Joint Venture require full approval by the board of directors or shareholders of the Joint Venture, in accordance with the terms of the Joint Venture Agreement.</w:t>
      </w:r>
      <w:r w:rsidR="00FF2ECC">
        <w:rPr>
          <w:bCs/>
          <w:sz w:val="18"/>
          <w:szCs w:val="18"/>
        </w:rPr>
        <w:t xml:space="preserve"> </w:t>
      </w:r>
      <w:r>
        <w:rPr>
          <w:bCs/>
          <w:sz w:val="18"/>
          <w:szCs w:val="18"/>
        </w:rPr>
        <w:t>See section “</w:t>
      </w:r>
      <w:r>
        <w:rPr>
          <w:bCs/>
          <w:i/>
          <w:sz w:val="18"/>
          <w:szCs w:val="18"/>
        </w:rPr>
        <w:t>Business – the Joint Venture with Allianz – Joint Venture Agreement (JVA)</w:t>
      </w:r>
      <w:r>
        <w:rPr>
          <w:bCs/>
          <w:sz w:val="18"/>
          <w:szCs w:val="18"/>
        </w:rPr>
        <w:t>”.</w:t>
      </w:r>
    </w:p>
    <w:p w14:paraId="38960F2D" w14:textId="1BC7757D" w:rsidR="001D1FD6" w:rsidRDefault="001D1FD6" w:rsidP="001D1FD6">
      <w:pPr>
        <w:spacing w:after="240"/>
        <w:ind w:firstLine="720"/>
        <w:jc w:val="both"/>
        <w:rPr>
          <w:bCs/>
          <w:sz w:val="18"/>
          <w:szCs w:val="18"/>
        </w:rPr>
      </w:pPr>
      <w:r>
        <w:rPr>
          <w:bCs/>
          <w:sz w:val="18"/>
          <w:szCs w:val="18"/>
        </w:rPr>
        <w:t>The Joint Venture operates through VGP European Logistics, as a holding company for the Joint Venture. The Company holds a 50% interest in VGP European Logistics, with the remaining 50% held by Allianz.</w:t>
      </w:r>
      <w:r w:rsidR="00FF2ECC">
        <w:rPr>
          <w:bCs/>
          <w:sz w:val="18"/>
          <w:szCs w:val="18"/>
        </w:rPr>
        <w:t xml:space="preserve"> </w:t>
      </w:r>
      <w:r>
        <w:rPr>
          <w:bCs/>
          <w:sz w:val="18"/>
          <w:szCs w:val="18"/>
        </w:rPr>
        <w:t xml:space="preserve">The Company also holds a </w:t>
      </w:r>
      <w:r w:rsidR="002020ED">
        <w:rPr>
          <w:bCs/>
          <w:sz w:val="18"/>
          <w:szCs w:val="18"/>
        </w:rPr>
        <w:t xml:space="preserve">direct </w:t>
      </w:r>
      <w:r>
        <w:rPr>
          <w:bCs/>
          <w:sz w:val="18"/>
          <w:szCs w:val="18"/>
        </w:rPr>
        <w:t xml:space="preserve">5.1% interest in </w:t>
      </w:r>
      <w:r w:rsidR="003C4D88">
        <w:rPr>
          <w:bCs/>
          <w:sz w:val="18"/>
          <w:szCs w:val="18"/>
        </w:rPr>
        <w:t xml:space="preserve">certain German subsidiaries of the Joint Venture (i.e., </w:t>
      </w:r>
      <w:r>
        <w:rPr>
          <w:bCs/>
          <w:sz w:val="18"/>
          <w:szCs w:val="18"/>
        </w:rPr>
        <w:t>the holding companies for the German assets</w:t>
      </w:r>
      <w:r w:rsidR="003C4D88">
        <w:rPr>
          <w:bCs/>
          <w:sz w:val="18"/>
          <w:szCs w:val="18"/>
        </w:rPr>
        <w:t>)</w:t>
      </w:r>
      <w:r>
        <w:rPr>
          <w:bCs/>
          <w:sz w:val="18"/>
          <w:szCs w:val="18"/>
        </w:rPr>
        <w:t xml:space="preserve">, </w:t>
      </w:r>
      <w:r w:rsidR="003C4D88">
        <w:rPr>
          <w:bCs/>
          <w:sz w:val="18"/>
          <w:szCs w:val="18"/>
        </w:rPr>
        <w:t xml:space="preserve">with </w:t>
      </w:r>
      <w:r>
        <w:rPr>
          <w:bCs/>
          <w:sz w:val="18"/>
          <w:szCs w:val="18"/>
        </w:rPr>
        <w:t>the remaining 94.9% held by the Joint Venture. The Group has made shareholder loans available to the Joint Venture, in the aggregate amount of €</w:t>
      </w:r>
      <w:r w:rsidR="00C92AC8">
        <w:rPr>
          <w:bCs/>
          <w:sz w:val="18"/>
          <w:szCs w:val="18"/>
        </w:rPr>
        <w:t xml:space="preserve"> </w:t>
      </w:r>
      <w:r>
        <w:rPr>
          <w:bCs/>
          <w:sz w:val="18"/>
          <w:szCs w:val="18"/>
        </w:rPr>
        <w:t>105.6 million and €</w:t>
      </w:r>
      <w:r w:rsidR="00C92AC8">
        <w:rPr>
          <w:bCs/>
          <w:sz w:val="18"/>
          <w:szCs w:val="18"/>
        </w:rPr>
        <w:t xml:space="preserve"> </w:t>
      </w:r>
      <w:r>
        <w:rPr>
          <w:bCs/>
          <w:sz w:val="18"/>
          <w:szCs w:val="18"/>
        </w:rPr>
        <w:t>89.9 million as at 30 June 2017 and 31 December 2016, respectively. These amounts are accounted for as ‘</w:t>
      </w:r>
      <w:r>
        <w:rPr>
          <w:bCs/>
          <w:i/>
          <w:sz w:val="18"/>
          <w:szCs w:val="18"/>
        </w:rPr>
        <w:t>Other non-current receivables</w:t>
      </w:r>
      <w:r>
        <w:rPr>
          <w:bCs/>
          <w:sz w:val="18"/>
          <w:szCs w:val="18"/>
        </w:rPr>
        <w:t>’ for € 16.2 million and € 8.3 million as at 30 June 2017 and 31 December 2016, respectively. The remaining balance related to the financing of developments and constructions amounting to € 89.4 million and € 81.6 million as at 30 June 2017 and 31 December 2016 are classified under ‘</w:t>
      </w:r>
      <w:r>
        <w:rPr>
          <w:bCs/>
          <w:i/>
          <w:sz w:val="18"/>
          <w:szCs w:val="18"/>
        </w:rPr>
        <w:t>Disposal group held for sale</w:t>
      </w:r>
      <w:r>
        <w:rPr>
          <w:bCs/>
          <w:sz w:val="18"/>
          <w:szCs w:val="18"/>
        </w:rPr>
        <w:t>’.</w:t>
      </w:r>
      <w:r w:rsidR="00FF2ECC">
        <w:rPr>
          <w:bCs/>
          <w:sz w:val="18"/>
          <w:szCs w:val="18"/>
        </w:rPr>
        <w:t xml:space="preserve"> </w:t>
      </w:r>
      <w:r>
        <w:rPr>
          <w:bCs/>
          <w:sz w:val="18"/>
          <w:szCs w:val="18"/>
        </w:rPr>
        <w:t>The Group does not have any direct liability for the Joint Venture’s bank financing arrangements.</w:t>
      </w:r>
    </w:p>
    <w:p w14:paraId="6FD0FCDF" w14:textId="5E1CC97D" w:rsidR="001D1FD6" w:rsidRDefault="001D1FD6" w:rsidP="001D1FD6">
      <w:pPr>
        <w:spacing w:after="240"/>
        <w:ind w:firstLine="720"/>
        <w:jc w:val="both"/>
        <w:rPr>
          <w:bCs/>
          <w:sz w:val="18"/>
          <w:szCs w:val="18"/>
        </w:rPr>
      </w:pPr>
      <w:r>
        <w:rPr>
          <w:bCs/>
          <w:sz w:val="18"/>
          <w:szCs w:val="18"/>
        </w:rPr>
        <w:lastRenderedPageBreak/>
        <w:t>The First JV Closing occurred in May 2016, comprising 15 parks with 28 buildings, and the Second JV Closing, comprising five buildings occurred at the end of October 2016. At the end of May 2017 the Third JV Closing occurred, comprising 11 buildings</w:t>
      </w:r>
      <w:r w:rsidR="00D52B9E">
        <w:rPr>
          <w:bCs/>
          <w:sz w:val="18"/>
          <w:szCs w:val="18"/>
        </w:rPr>
        <w:t>.</w:t>
      </w:r>
      <w:r>
        <w:rPr>
          <w:bCs/>
          <w:sz w:val="18"/>
          <w:szCs w:val="18"/>
        </w:rPr>
        <w:t xml:space="preserve"> These transactions have in aggregate resulted in net cash inflow to the Group of €</w:t>
      </w:r>
      <w:r w:rsidR="00C92AC8">
        <w:rPr>
          <w:bCs/>
          <w:sz w:val="18"/>
          <w:szCs w:val="18"/>
        </w:rPr>
        <w:t xml:space="preserve"> </w:t>
      </w:r>
      <w:r>
        <w:rPr>
          <w:bCs/>
          <w:sz w:val="18"/>
          <w:szCs w:val="18"/>
        </w:rPr>
        <w:t xml:space="preserve">236.1 million in 2016, and a </w:t>
      </w:r>
      <w:r w:rsidR="00D52B9E">
        <w:rPr>
          <w:bCs/>
          <w:sz w:val="18"/>
          <w:szCs w:val="18"/>
        </w:rPr>
        <w:t>further €</w:t>
      </w:r>
      <w:r w:rsidR="00C92AC8">
        <w:rPr>
          <w:bCs/>
          <w:sz w:val="18"/>
          <w:szCs w:val="18"/>
        </w:rPr>
        <w:t xml:space="preserve"> </w:t>
      </w:r>
      <w:r w:rsidR="00D52B9E">
        <w:rPr>
          <w:bCs/>
          <w:sz w:val="18"/>
          <w:szCs w:val="18"/>
        </w:rPr>
        <w:t>121.8 million in 2017.</w:t>
      </w:r>
      <w:r>
        <w:rPr>
          <w:bCs/>
          <w:sz w:val="18"/>
          <w:szCs w:val="18"/>
        </w:rPr>
        <w:t xml:space="preserve"> The Group expects to have a fourth closing </w:t>
      </w:r>
      <w:r w:rsidR="003C4D88">
        <w:rPr>
          <w:bCs/>
          <w:sz w:val="18"/>
          <w:szCs w:val="18"/>
        </w:rPr>
        <w:t xml:space="preserve">with the Joint Venture </w:t>
      </w:r>
      <w:r>
        <w:rPr>
          <w:bCs/>
          <w:sz w:val="18"/>
          <w:szCs w:val="18"/>
        </w:rPr>
        <w:t xml:space="preserve">around February 2018. </w:t>
      </w:r>
    </w:p>
    <w:p w14:paraId="3F81FAD0" w14:textId="0F06D681" w:rsidR="001D1FD6" w:rsidRDefault="001D1FD6" w:rsidP="001D1FD6">
      <w:pPr>
        <w:spacing w:after="240"/>
        <w:ind w:firstLine="720"/>
        <w:jc w:val="both"/>
        <w:rPr>
          <w:bCs/>
          <w:sz w:val="18"/>
          <w:szCs w:val="18"/>
        </w:rPr>
      </w:pPr>
      <w:r>
        <w:rPr>
          <w:bCs/>
          <w:sz w:val="18"/>
          <w:szCs w:val="18"/>
        </w:rPr>
        <w:t xml:space="preserve">The Joint Venture has an exclusive right of first refusal in relation to acquiring the income generating assets developed by the Group in Germany, the Czech Republic, Slovakia and Hungary. </w:t>
      </w:r>
      <w:r w:rsidR="00115A39">
        <w:rPr>
          <w:bCs/>
          <w:sz w:val="18"/>
          <w:szCs w:val="18"/>
        </w:rPr>
        <w:t>The development risk of the assets is borne by VGP and once completed in accordance with</w:t>
      </w:r>
      <w:r w:rsidR="00115A39" w:rsidRPr="00115A39">
        <w:rPr>
          <w:bCs/>
          <w:sz w:val="18"/>
          <w:szCs w:val="18"/>
        </w:rPr>
        <w:t xml:space="preserve"> pre-agreed completion and lease parameters</w:t>
      </w:r>
      <w:r w:rsidR="00115A39">
        <w:rPr>
          <w:bCs/>
          <w:sz w:val="18"/>
          <w:szCs w:val="18"/>
        </w:rPr>
        <w:t>, such assets are offered to the Joint Venture for acquisition against payment</w:t>
      </w:r>
      <w:r>
        <w:rPr>
          <w:bCs/>
          <w:sz w:val="18"/>
          <w:szCs w:val="18"/>
        </w:rPr>
        <w:t xml:space="preserve">. These assets are classified as investment properties associated with </w:t>
      </w:r>
      <w:r>
        <w:rPr>
          <w:bCs/>
          <w:i/>
          <w:sz w:val="18"/>
          <w:szCs w:val="18"/>
        </w:rPr>
        <w:t>Disposal Group Held for Sale</w:t>
      </w:r>
      <w:r>
        <w:rPr>
          <w:bCs/>
          <w:sz w:val="18"/>
          <w:szCs w:val="18"/>
        </w:rPr>
        <w:t xml:space="preserve"> in the </w:t>
      </w:r>
      <w:r w:rsidR="00ED004E">
        <w:rPr>
          <w:bCs/>
          <w:sz w:val="18"/>
          <w:szCs w:val="18"/>
        </w:rPr>
        <w:t xml:space="preserve">Annual </w:t>
      </w:r>
      <w:r>
        <w:rPr>
          <w:bCs/>
          <w:sz w:val="18"/>
          <w:szCs w:val="18"/>
        </w:rPr>
        <w:t xml:space="preserve">Financial Statements </w:t>
      </w:r>
      <w:r w:rsidR="00ED004E">
        <w:rPr>
          <w:bCs/>
          <w:sz w:val="18"/>
          <w:szCs w:val="18"/>
        </w:rPr>
        <w:t>and the Interim Financial S</w:t>
      </w:r>
      <w:r w:rsidR="00D52B9E">
        <w:rPr>
          <w:bCs/>
          <w:sz w:val="18"/>
          <w:szCs w:val="18"/>
        </w:rPr>
        <w:t>tatements</w:t>
      </w:r>
      <w:r>
        <w:rPr>
          <w:bCs/>
          <w:sz w:val="18"/>
          <w:szCs w:val="18"/>
        </w:rPr>
        <w:t>, and amounted to €</w:t>
      </w:r>
      <w:r w:rsidR="00C92AC8">
        <w:rPr>
          <w:bCs/>
          <w:sz w:val="18"/>
          <w:szCs w:val="18"/>
        </w:rPr>
        <w:t xml:space="preserve"> </w:t>
      </w:r>
      <w:r>
        <w:rPr>
          <w:bCs/>
          <w:sz w:val="18"/>
          <w:szCs w:val="18"/>
        </w:rPr>
        <w:t>138.5 million and € 132.3 million as at 30 June 2017 and 31 December 2016, respectively. This balance includes the interest bearing development and construction loans granted by VGP to the Joint Venture to finance the development pipeline of the Joint Venture.</w:t>
      </w:r>
    </w:p>
    <w:p w14:paraId="787FC484" w14:textId="2F290920" w:rsidR="001D1FD6" w:rsidRDefault="001D1FD6" w:rsidP="001D1FD6">
      <w:pPr>
        <w:spacing w:after="240"/>
        <w:ind w:firstLine="720"/>
        <w:jc w:val="both"/>
        <w:rPr>
          <w:bCs/>
          <w:sz w:val="18"/>
          <w:szCs w:val="18"/>
        </w:rPr>
      </w:pPr>
      <w:r>
        <w:rPr>
          <w:bCs/>
          <w:sz w:val="18"/>
          <w:szCs w:val="18"/>
        </w:rPr>
        <w:t>As part of its asset management functions, the Group provides asset management services to the Joint Venture.</w:t>
      </w:r>
      <w:r w:rsidR="00FF2ECC">
        <w:rPr>
          <w:bCs/>
          <w:sz w:val="18"/>
          <w:szCs w:val="18"/>
        </w:rPr>
        <w:t xml:space="preserve"> </w:t>
      </w:r>
      <w:r>
        <w:rPr>
          <w:bCs/>
          <w:sz w:val="18"/>
          <w:szCs w:val="18"/>
        </w:rPr>
        <w:t>These services include giving advice and recommendations to the Joint Venture on asset management and strategy, tenant mix, execution and leasing strategy in order to align cash flows with portfolio needs, and to manage capital and operating expenses.</w:t>
      </w:r>
    </w:p>
    <w:p w14:paraId="2FC0B542" w14:textId="48162929" w:rsidR="001D1FD6" w:rsidRDefault="001D1FD6" w:rsidP="00D52B9E">
      <w:pPr>
        <w:spacing w:after="240"/>
        <w:ind w:firstLine="720"/>
        <w:jc w:val="both"/>
        <w:rPr>
          <w:bCs/>
          <w:sz w:val="18"/>
          <w:szCs w:val="18"/>
        </w:rPr>
      </w:pPr>
      <w:r>
        <w:rPr>
          <w:bCs/>
          <w:sz w:val="18"/>
          <w:szCs w:val="18"/>
        </w:rPr>
        <w:t>The following table sets forth the summary of income statement information of the Joint Venture, as reflected in the Group's consolidated financial statements: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2127"/>
        <w:gridCol w:w="1270"/>
        <w:gridCol w:w="1270"/>
        <w:gridCol w:w="1270"/>
        <w:gridCol w:w="1270"/>
        <w:gridCol w:w="1270"/>
        <w:gridCol w:w="1270"/>
      </w:tblGrid>
      <w:tr w:rsidR="001C2B2C" w14:paraId="33234A28" w14:textId="77777777" w:rsidTr="00B322A7">
        <w:trPr>
          <w:cantSplit/>
        </w:trPr>
        <w:tc>
          <w:tcPr>
            <w:tcW w:w="2183" w:type="dxa"/>
          </w:tcPr>
          <w:p w14:paraId="149EE2B2" w14:textId="77777777" w:rsidR="001C2B2C" w:rsidRDefault="001C2B2C" w:rsidP="00B322A7">
            <w:pPr>
              <w:keepNext/>
              <w:keepLines/>
              <w:jc w:val="both"/>
              <w:rPr>
                <w:b/>
                <w:sz w:val="18"/>
                <w:szCs w:val="18"/>
                <w:lang w:val="en-GB"/>
              </w:rPr>
            </w:pPr>
            <w:r>
              <w:rPr>
                <w:b/>
                <w:sz w:val="18"/>
                <w:szCs w:val="18"/>
                <w:lang w:val="en-GB"/>
              </w:rPr>
              <w:t>Income Statement</w:t>
            </w:r>
          </w:p>
        </w:tc>
        <w:tc>
          <w:tcPr>
            <w:tcW w:w="1300" w:type="dxa"/>
          </w:tcPr>
          <w:p w14:paraId="2E6B909F" w14:textId="0E50FCD2" w:rsidR="001C2B2C" w:rsidRDefault="00A5572A" w:rsidP="00B322A7">
            <w:pPr>
              <w:keepNext/>
              <w:keepLines/>
              <w:pBdr>
                <w:bottom w:val="single" w:sz="2" w:space="1" w:color="auto"/>
              </w:pBdr>
              <w:jc w:val="center"/>
              <w:rPr>
                <w:b/>
                <w:sz w:val="18"/>
                <w:szCs w:val="18"/>
              </w:rPr>
            </w:pPr>
            <w:r>
              <w:rPr>
                <w:b/>
                <w:sz w:val="18"/>
                <w:szCs w:val="18"/>
              </w:rPr>
              <w:t xml:space="preserve">For the period ended </w:t>
            </w:r>
            <w:r w:rsidR="001C2B2C">
              <w:rPr>
                <w:b/>
                <w:sz w:val="18"/>
                <w:szCs w:val="18"/>
              </w:rPr>
              <w:t>30-Jun-2017</w:t>
            </w:r>
          </w:p>
        </w:tc>
        <w:tc>
          <w:tcPr>
            <w:tcW w:w="1300" w:type="dxa"/>
          </w:tcPr>
          <w:p w14:paraId="6F97E1F3" w14:textId="6710D58C" w:rsidR="001C2B2C" w:rsidRDefault="00A5572A" w:rsidP="00B322A7">
            <w:pPr>
              <w:keepNext/>
              <w:keepLines/>
              <w:pBdr>
                <w:bottom w:val="single" w:sz="2" w:space="1" w:color="auto"/>
              </w:pBdr>
              <w:jc w:val="center"/>
              <w:rPr>
                <w:b/>
                <w:sz w:val="18"/>
                <w:szCs w:val="18"/>
              </w:rPr>
            </w:pPr>
            <w:r>
              <w:rPr>
                <w:b/>
                <w:sz w:val="18"/>
                <w:szCs w:val="18"/>
              </w:rPr>
              <w:t xml:space="preserve">For the period ended </w:t>
            </w:r>
            <w:r w:rsidR="001C2B2C">
              <w:rPr>
                <w:b/>
                <w:sz w:val="18"/>
                <w:szCs w:val="18"/>
              </w:rPr>
              <w:t>30-Jun-2017</w:t>
            </w:r>
          </w:p>
        </w:tc>
        <w:tc>
          <w:tcPr>
            <w:tcW w:w="1300" w:type="dxa"/>
          </w:tcPr>
          <w:p w14:paraId="30C41E57" w14:textId="55026F8D" w:rsidR="001C2B2C" w:rsidRDefault="00A5572A" w:rsidP="00B322A7">
            <w:pPr>
              <w:keepNext/>
              <w:keepLines/>
              <w:pBdr>
                <w:bottom w:val="single" w:sz="2" w:space="1" w:color="auto"/>
              </w:pBdr>
              <w:jc w:val="center"/>
              <w:rPr>
                <w:b/>
                <w:sz w:val="18"/>
                <w:szCs w:val="18"/>
              </w:rPr>
            </w:pPr>
            <w:r>
              <w:rPr>
                <w:b/>
                <w:sz w:val="18"/>
                <w:szCs w:val="18"/>
              </w:rPr>
              <w:t xml:space="preserve">For the period ended </w:t>
            </w:r>
            <w:r w:rsidR="001C2B2C">
              <w:rPr>
                <w:b/>
                <w:sz w:val="18"/>
                <w:szCs w:val="18"/>
              </w:rPr>
              <w:t>30-Jun-2017</w:t>
            </w:r>
          </w:p>
        </w:tc>
        <w:tc>
          <w:tcPr>
            <w:tcW w:w="1300" w:type="dxa"/>
          </w:tcPr>
          <w:p w14:paraId="6ECCBB35" w14:textId="3B7A1D8C" w:rsidR="001C2B2C" w:rsidRDefault="00A5572A" w:rsidP="00B322A7">
            <w:pPr>
              <w:keepNext/>
              <w:keepLines/>
              <w:pBdr>
                <w:bottom w:val="single" w:sz="2" w:space="1" w:color="auto"/>
              </w:pBdr>
              <w:jc w:val="center"/>
              <w:rPr>
                <w:b/>
                <w:sz w:val="18"/>
                <w:szCs w:val="18"/>
              </w:rPr>
            </w:pPr>
            <w:r>
              <w:rPr>
                <w:b/>
                <w:sz w:val="18"/>
                <w:szCs w:val="18"/>
              </w:rPr>
              <w:t xml:space="preserve">For the period ended </w:t>
            </w:r>
            <w:r w:rsidR="001C2B2C">
              <w:rPr>
                <w:b/>
                <w:sz w:val="18"/>
                <w:szCs w:val="18"/>
              </w:rPr>
              <w:t>30-Jun-2017</w:t>
            </w:r>
          </w:p>
        </w:tc>
        <w:tc>
          <w:tcPr>
            <w:tcW w:w="2600" w:type="dxa"/>
            <w:gridSpan w:val="2"/>
          </w:tcPr>
          <w:p w14:paraId="2C7C6839" w14:textId="77777777" w:rsidR="001C2B2C" w:rsidRDefault="001C2B2C" w:rsidP="00B322A7">
            <w:pPr>
              <w:keepNext/>
              <w:keepLines/>
              <w:pBdr>
                <w:bottom w:val="single" w:sz="2" w:space="1" w:color="auto"/>
              </w:pBdr>
              <w:jc w:val="center"/>
              <w:rPr>
                <w:b/>
                <w:sz w:val="18"/>
                <w:szCs w:val="18"/>
              </w:rPr>
            </w:pPr>
            <w:r>
              <w:rPr>
                <w:b/>
                <w:sz w:val="18"/>
                <w:szCs w:val="18"/>
              </w:rPr>
              <w:t>For the period ended</w:t>
            </w:r>
          </w:p>
          <w:p w14:paraId="5284B27E" w14:textId="77777777" w:rsidR="00A5572A" w:rsidRDefault="00A5572A" w:rsidP="00B322A7">
            <w:pPr>
              <w:keepNext/>
              <w:keepLines/>
              <w:pBdr>
                <w:bottom w:val="single" w:sz="2" w:space="1" w:color="auto"/>
              </w:pBdr>
              <w:jc w:val="center"/>
              <w:rPr>
                <w:b/>
                <w:sz w:val="18"/>
                <w:szCs w:val="18"/>
              </w:rPr>
            </w:pPr>
          </w:p>
          <w:p w14:paraId="3F36C4A8" w14:textId="6319093F" w:rsidR="00A5572A" w:rsidRDefault="00A5572A" w:rsidP="00B322A7">
            <w:pPr>
              <w:keepNext/>
              <w:keepLines/>
              <w:pBdr>
                <w:bottom w:val="single" w:sz="2" w:space="1" w:color="auto"/>
              </w:pBdr>
              <w:jc w:val="center"/>
              <w:rPr>
                <w:b/>
                <w:sz w:val="18"/>
                <w:szCs w:val="18"/>
              </w:rPr>
            </w:pPr>
          </w:p>
        </w:tc>
      </w:tr>
      <w:tr w:rsidR="001C2B2C" w14:paraId="717D8A4A" w14:textId="77777777" w:rsidTr="00B322A7">
        <w:trPr>
          <w:cantSplit/>
        </w:trPr>
        <w:tc>
          <w:tcPr>
            <w:tcW w:w="2183" w:type="dxa"/>
            <w:vMerge w:val="restart"/>
          </w:tcPr>
          <w:p w14:paraId="6BE0B44C" w14:textId="77777777" w:rsidR="001C2B2C" w:rsidRDefault="001C2B2C" w:rsidP="00B322A7">
            <w:pPr>
              <w:keepNext/>
              <w:keepLines/>
              <w:jc w:val="both"/>
              <w:rPr>
                <w:sz w:val="18"/>
                <w:szCs w:val="18"/>
                <w:lang w:val="en-GB"/>
              </w:rPr>
            </w:pPr>
          </w:p>
        </w:tc>
        <w:tc>
          <w:tcPr>
            <w:tcW w:w="1300" w:type="dxa"/>
          </w:tcPr>
          <w:p w14:paraId="2671CAA9" w14:textId="77777777" w:rsidR="001C2B2C" w:rsidRDefault="001C2B2C" w:rsidP="00B322A7">
            <w:pPr>
              <w:keepNext/>
              <w:keepLines/>
              <w:pBdr>
                <w:bottom w:val="single" w:sz="2" w:space="1" w:color="auto"/>
              </w:pBdr>
              <w:jc w:val="center"/>
              <w:rPr>
                <w:b/>
                <w:sz w:val="18"/>
                <w:szCs w:val="18"/>
              </w:rPr>
            </w:pPr>
          </w:p>
          <w:p w14:paraId="76788364" w14:textId="77777777" w:rsidR="001C2B2C" w:rsidRDefault="001C2B2C" w:rsidP="00B322A7">
            <w:pPr>
              <w:keepNext/>
              <w:keepLines/>
              <w:pBdr>
                <w:bottom w:val="single" w:sz="2" w:space="1" w:color="auto"/>
              </w:pBdr>
              <w:jc w:val="center"/>
              <w:rPr>
                <w:b/>
                <w:sz w:val="18"/>
                <w:szCs w:val="18"/>
              </w:rPr>
            </w:pPr>
          </w:p>
          <w:p w14:paraId="085596E8" w14:textId="77777777" w:rsidR="001C2B2C" w:rsidRDefault="001C2B2C" w:rsidP="00B322A7">
            <w:pPr>
              <w:keepNext/>
              <w:keepLines/>
              <w:pBdr>
                <w:bottom w:val="single" w:sz="2" w:space="1" w:color="auto"/>
              </w:pBdr>
              <w:jc w:val="center"/>
              <w:rPr>
                <w:b/>
                <w:sz w:val="18"/>
                <w:szCs w:val="18"/>
              </w:rPr>
            </w:pPr>
            <w:r>
              <w:rPr>
                <w:b/>
                <w:sz w:val="18"/>
                <w:szCs w:val="18"/>
              </w:rPr>
              <w:t>VGP European Logistics JV</w:t>
            </w:r>
          </w:p>
          <w:p w14:paraId="568AF442" w14:textId="77777777" w:rsidR="001C2B2C" w:rsidRDefault="001C2B2C" w:rsidP="00B322A7">
            <w:pPr>
              <w:keepNext/>
              <w:keepLines/>
              <w:pBdr>
                <w:bottom w:val="single" w:sz="2" w:space="1" w:color="auto"/>
              </w:pBdr>
              <w:jc w:val="center"/>
              <w:rPr>
                <w:b/>
                <w:sz w:val="18"/>
                <w:szCs w:val="18"/>
              </w:rPr>
            </w:pPr>
            <w:r>
              <w:rPr>
                <w:b/>
                <w:sz w:val="18"/>
                <w:szCs w:val="18"/>
              </w:rPr>
              <w:t xml:space="preserve"> at 100%</w:t>
            </w:r>
          </w:p>
          <w:p w14:paraId="2BC967BD" w14:textId="77777777" w:rsidR="001C2B2C" w:rsidRDefault="001C2B2C" w:rsidP="00B322A7">
            <w:pPr>
              <w:keepNext/>
              <w:keepLines/>
              <w:pBdr>
                <w:bottom w:val="single" w:sz="2" w:space="1" w:color="auto"/>
              </w:pBdr>
              <w:jc w:val="center"/>
              <w:rPr>
                <w:b/>
                <w:sz w:val="18"/>
                <w:szCs w:val="18"/>
              </w:rPr>
            </w:pPr>
          </w:p>
        </w:tc>
        <w:tc>
          <w:tcPr>
            <w:tcW w:w="1300" w:type="dxa"/>
          </w:tcPr>
          <w:p w14:paraId="689D7661" w14:textId="77777777" w:rsidR="001C2B2C" w:rsidRDefault="001C2B2C" w:rsidP="00B322A7">
            <w:pPr>
              <w:keepNext/>
              <w:keepLines/>
              <w:pBdr>
                <w:bottom w:val="single" w:sz="2" w:space="1" w:color="auto"/>
              </w:pBdr>
              <w:jc w:val="center"/>
              <w:rPr>
                <w:b/>
                <w:sz w:val="18"/>
                <w:szCs w:val="18"/>
              </w:rPr>
            </w:pPr>
            <w:r>
              <w:rPr>
                <w:b/>
                <w:sz w:val="18"/>
                <w:szCs w:val="18"/>
              </w:rPr>
              <w:t xml:space="preserve">VGP European Logistics’ German Asset Companies </w:t>
            </w:r>
          </w:p>
          <w:p w14:paraId="7BD35455" w14:textId="77777777" w:rsidR="001C2B2C" w:rsidRDefault="001C2B2C" w:rsidP="00B322A7">
            <w:pPr>
              <w:keepNext/>
              <w:keepLines/>
              <w:pBdr>
                <w:bottom w:val="single" w:sz="2" w:space="1" w:color="auto"/>
              </w:pBdr>
              <w:jc w:val="center"/>
              <w:rPr>
                <w:b/>
                <w:sz w:val="18"/>
                <w:szCs w:val="18"/>
              </w:rPr>
            </w:pPr>
            <w:r>
              <w:rPr>
                <w:b/>
                <w:sz w:val="18"/>
                <w:szCs w:val="18"/>
              </w:rPr>
              <w:t>at 100%</w:t>
            </w:r>
          </w:p>
          <w:p w14:paraId="75572CB3" w14:textId="77777777" w:rsidR="001C2B2C" w:rsidRDefault="001C2B2C" w:rsidP="00B322A7">
            <w:pPr>
              <w:keepNext/>
              <w:keepLines/>
              <w:pBdr>
                <w:bottom w:val="single" w:sz="2" w:space="1" w:color="auto"/>
              </w:pBdr>
              <w:jc w:val="center"/>
              <w:rPr>
                <w:b/>
                <w:sz w:val="18"/>
                <w:szCs w:val="18"/>
              </w:rPr>
            </w:pPr>
          </w:p>
        </w:tc>
        <w:tc>
          <w:tcPr>
            <w:tcW w:w="1300" w:type="dxa"/>
          </w:tcPr>
          <w:p w14:paraId="2C5AB78E" w14:textId="77777777" w:rsidR="001C2B2C" w:rsidRDefault="001C2B2C" w:rsidP="00B322A7">
            <w:pPr>
              <w:keepNext/>
              <w:keepLines/>
              <w:pBdr>
                <w:bottom w:val="single" w:sz="2" w:space="1" w:color="auto"/>
              </w:pBdr>
              <w:jc w:val="center"/>
              <w:rPr>
                <w:b/>
                <w:sz w:val="18"/>
                <w:szCs w:val="18"/>
              </w:rPr>
            </w:pPr>
            <w:r>
              <w:rPr>
                <w:b/>
                <w:sz w:val="18"/>
                <w:szCs w:val="18"/>
              </w:rPr>
              <w:t xml:space="preserve">VGP European Logistics’ German Asset Companies </w:t>
            </w:r>
          </w:p>
          <w:p w14:paraId="2F40850C" w14:textId="77777777" w:rsidR="001C2B2C" w:rsidRDefault="001C2B2C" w:rsidP="00B322A7">
            <w:pPr>
              <w:keepNext/>
              <w:keepLines/>
              <w:pBdr>
                <w:bottom w:val="single" w:sz="2" w:space="1" w:color="auto"/>
              </w:pBdr>
              <w:jc w:val="center"/>
              <w:rPr>
                <w:b/>
                <w:sz w:val="18"/>
                <w:szCs w:val="18"/>
              </w:rPr>
            </w:pPr>
            <w:r>
              <w:rPr>
                <w:b/>
                <w:sz w:val="18"/>
                <w:szCs w:val="18"/>
              </w:rPr>
              <w:t>at 5.1%</w:t>
            </w:r>
          </w:p>
          <w:p w14:paraId="593CFB9E" w14:textId="77777777" w:rsidR="001C2B2C" w:rsidRDefault="001C2B2C" w:rsidP="00B322A7">
            <w:pPr>
              <w:keepNext/>
              <w:keepLines/>
              <w:pBdr>
                <w:bottom w:val="single" w:sz="2" w:space="1" w:color="auto"/>
              </w:pBdr>
              <w:jc w:val="center"/>
              <w:rPr>
                <w:b/>
                <w:sz w:val="18"/>
                <w:szCs w:val="18"/>
              </w:rPr>
            </w:pPr>
          </w:p>
        </w:tc>
        <w:tc>
          <w:tcPr>
            <w:tcW w:w="1300" w:type="dxa"/>
          </w:tcPr>
          <w:p w14:paraId="138DC992" w14:textId="77777777" w:rsidR="001C2B2C" w:rsidRDefault="001C2B2C" w:rsidP="00B322A7">
            <w:pPr>
              <w:keepNext/>
              <w:keepLines/>
              <w:pBdr>
                <w:bottom w:val="single" w:sz="2" w:space="1" w:color="auto"/>
              </w:pBdr>
              <w:jc w:val="center"/>
              <w:rPr>
                <w:b/>
                <w:sz w:val="18"/>
                <w:szCs w:val="18"/>
              </w:rPr>
            </w:pPr>
          </w:p>
          <w:p w14:paraId="417AB277" w14:textId="77777777" w:rsidR="001C2B2C" w:rsidRDefault="001C2B2C" w:rsidP="00B322A7">
            <w:pPr>
              <w:keepNext/>
              <w:keepLines/>
              <w:pBdr>
                <w:bottom w:val="single" w:sz="2" w:space="1" w:color="auto"/>
              </w:pBdr>
              <w:jc w:val="center"/>
              <w:rPr>
                <w:b/>
                <w:sz w:val="18"/>
                <w:szCs w:val="18"/>
              </w:rPr>
            </w:pPr>
          </w:p>
          <w:p w14:paraId="1B1D6390" w14:textId="77777777" w:rsidR="001C2B2C" w:rsidRDefault="001C2B2C" w:rsidP="00B322A7">
            <w:pPr>
              <w:keepNext/>
              <w:keepLines/>
              <w:pBdr>
                <w:bottom w:val="single" w:sz="2" w:space="1" w:color="auto"/>
              </w:pBdr>
              <w:jc w:val="center"/>
              <w:rPr>
                <w:b/>
                <w:sz w:val="18"/>
                <w:szCs w:val="18"/>
              </w:rPr>
            </w:pPr>
            <w:r>
              <w:rPr>
                <w:b/>
                <w:sz w:val="18"/>
                <w:szCs w:val="18"/>
              </w:rPr>
              <w:t>VGP European Logistics JV</w:t>
            </w:r>
          </w:p>
          <w:p w14:paraId="5181471B" w14:textId="77777777" w:rsidR="001C2B2C" w:rsidRDefault="001C2B2C" w:rsidP="00B322A7">
            <w:pPr>
              <w:keepNext/>
              <w:keepLines/>
              <w:pBdr>
                <w:bottom w:val="single" w:sz="2" w:space="1" w:color="auto"/>
              </w:pBdr>
              <w:jc w:val="center"/>
              <w:rPr>
                <w:b/>
                <w:sz w:val="18"/>
                <w:szCs w:val="18"/>
              </w:rPr>
            </w:pPr>
            <w:r>
              <w:rPr>
                <w:b/>
                <w:sz w:val="18"/>
                <w:szCs w:val="18"/>
              </w:rPr>
              <w:t xml:space="preserve"> at 50%</w:t>
            </w:r>
          </w:p>
          <w:p w14:paraId="6791AEB3" w14:textId="77777777" w:rsidR="001C2B2C" w:rsidRDefault="001C2B2C" w:rsidP="00B322A7">
            <w:pPr>
              <w:keepNext/>
              <w:keepLines/>
              <w:pBdr>
                <w:bottom w:val="single" w:sz="2" w:space="1" w:color="auto"/>
              </w:pBdr>
              <w:jc w:val="center"/>
              <w:rPr>
                <w:b/>
                <w:sz w:val="18"/>
                <w:szCs w:val="18"/>
              </w:rPr>
            </w:pPr>
          </w:p>
        </w:tc>
        <w:tc>
          <w:tcPr>
            <w:tcW w:w="1300" w:type="dxa"/>
          </w:tcPr>
          <w:p w14:paraId="5AE7E556" w14:textId="77777777" w:rsidR="001C2B2C" w:rsidRDefault="001C2B2C" w:rsidP="00B322A7">
            <w:pPr>
              <w:keepNext/>
              <w:keepLines/>
              <w:pBdr>
                <w:bottom w:val="single" w:sz="2" w:space="1" w:color="auto"/>
              </w:pBdr>
              <w:jc w:val="center"/>
              <w:rPr>
                <w:b/>
                <w:sz w:val="18"/>
                <w:szCs w:val="18"/>
              </w:rPr>
            </w:pPr>
          </w:p>
          <w:p w14:paraId="0D560C0E" w14:textId="77777777" w:rsidR="001C2B2C" w:rsidRDefault="001C2B2C" w:rsidP="00B322A7">
            <w:pPr>
              <w:keepNext/>
              <w:keepLines/>
              <w:pBdr>
                <w:bottom w:val="single" w:sz="2" w:space="1" w:color="auto"/>
              </w:pBdr>
              <w:jc w:val="center"/>
              <w:rPr>
                <w:b/>
                <w:sz w:val="18"/>
                <w:szCs w:val="18"/>
              </w:rPr>
            </w:pPr>
          </w:p>
          <w:p w14:paraId="39193992" w14:textId="77777777" w:rsidR="001C2B2C" w:rsidRDefault="001C2B2C" w:rsidP="00B322A7">
            <w:pPr>
              <w:keepNext/>
              <w:keepLines/>
              <w:pBdr>
                <w:bottom w:val="single" w:sz="2" w:space="1" w:color="auto"/>
              </w:pBdr>
              <w:jc w:val="center"/>
              <w:rPr>
                <w:b/>
                <w:sz w:val="18"/>
                <w:szCs w:val="18"/>
              </w:rPr>
            </w:pPr>
          </w:p>
          <w:p w14:paraId="17C270A1" w14:textId="77777777" w:rsidR="001C2B2C" w:rsidRDefault="001C2B2C" w:rsidP="00B322A7">
            <w:pPr>
              <w:keepNext/>
              <w:keepLines/>
              <w:pBdr>
                <w:bottom w:val="single" w:sz="2" w:space="1" w:color="auto"/>
              </w:pBdr>
              <w:jc w:val="center"/>
              <w:rPr>
                <w:b/>
                <w:sz w:val="18"/>
                <w:szCs w:val="18"/>
              </w:rPr>
            </w:pPr>
          </w:p>
          <w:p w14:paraId="19679B1F" w14:textId="77777777" w:rsidR="001C2B2C" w:rsidRDefault="001C2B2C" w:rsidP="00B322A7">
            <w:pPr>
              <w:keepNext/>
              <w:keepLines/>
              <w:pBdr>
                <w:bottom w:val="single" w:sz="2" w:space="1" w:color="auto"/>
              </w:pBdr>
              <w:jc w:val="center"/>
              <w:rPr>
                <w:b/>
                <w:sz w:val="18"/>
                <w:szCs w:val="18"/>
              </w:rPr>
            </w:pPr>
            <w:r>
              <w:rPr>
                <w:b/>
                <w:sz w:val="18"/>
                <w:szCs w:val="18"/>
              </w:rPr>
              <w:t>30-Jun</w:t>
            </w:r>
          </w:p>
          <w:p w14:paraId="36B6A471" w14:textId="77777777" w:rsidR="001C2B2C" w:rsidRDefault="001C2B2C" w:rsidP="00B322A7">
            <w:pPr>
              <w:keepNext/>
              <w:keepLines/>
              <w:pBdr>
                <w:bottom w:val="single" w:sz="2" w:space="1" w:color="auto"/>
              </w:pBdr>
              <w:jc w:val="center"/>
              <w:rPr>
                <w:b/>
                <w:sz w:val="18"/>
                <w:szCs w:val="18"/>
              </w:rPr>
            </w:pPr>
            <w:r>
              <w:rPr>
                <w:b/>
                <w:sz w:val="18"/>
                <w:szCs w:val="18"/>
              </w:rPr>
              <w:t>2017</w:t>
            </w:r>
            <w:r>
              <w:rPr>
                <w:b/>
                <w:sz w:val="18"/>
                <w:szCs w:val="18"/>
                <w:lang w:val="en-GB"/>
              </w:rPr>
              <w:br/>
            </w:r>
          </w:p>
        </w:tc>
        <w:tc>
          <w:tcPr>
            <w:tcW w:w="1300" w:type="dxa"/>
          </w:tcPr>
          <w:p w14:paraId="17CF5506" w14:textId="77777777" w:rsidR="001C2B2C" w:rsidRDefault="001C2B2C" w:rsidP="00B322A7">
            <w:pPr>
              <w:keepNext/>
              <w:keepLines/>
              <w:pBdr>
                <w:bottom w:val="single" w:sz="2" w:space="1" w:color="auto"/>
              </w:pBdr>
              <w:jc w:val="center"/>
              <w:rPr>
                <w:b/>
                <w:sz w:val="18"/>
                <w:szCs w:val="18"/>
              </w:rPr>
            </w:pPr>
          </w:p>
          <w:p w14:paraId="07FD9615" w14:textId="77777777" w:rsidR="001C2B2C" w:rsidRDefault="001C2B2C" w:rsidP="00B322A7">
            <w:pPr>
              <w:keepNext/>
              <w:keepLines/>
              <w:pBdr>
                <w:bottom w:val="single" w:sz="2" w:space="1" w:color="auto"/>
              </w:pBdr>
              <w:jc w:val="center"/>
              <w:rPr>
                <w:b/>
                <w:sz w:val="18"/>
                <w:szCs w:val="18"/>
              </w:rPr>
            </w:pPr>
          </w:p>
          <w:p w14:paraId="2673615F" w14:textId="77777777" w:rsidR="001C2B2C" w:rsidRDefault="001C2B2C" w:rsidP="00B322A7">
            <w:pPr>
              <w:keepNext/>
              <w:keepLines/>
              <w:pBdr>
                <w:bottom w:val="single" w:sz="2" w:space="1" w:color="auto"/>
              </w:pBdr>
              <w:jc w:val="center"/>
              <w:rPr>
                <w:b/>
                <w:sz w:val="18"/>
                <w:szCs w:val="18"/>
              </w:rPr>
            </w:pPr>
          </w:p>
          <w:p w14:paraId="336B46C4" w14:textId="77777777" w:rsidR="001C2B2C" w:rsidRDefault="001C2B2C" w:rsidP="00B322A7">
            <w:pPr>
              <w:keepNext/>
              <w:keepLines/>
              <w:pBdr>
                <w:bottom w:val="single" w:sz="2" w:space="1" w:color="auto"/>
              </w:pBdr>
              <w:jc w:val="center"/>
              <w:rPr>
                <w:b/>
                <w:sz w:val="18"/>
                <w:szCs w:val="18"/>
              </w:rPr>
            </w:pPr>
          </w:p>
          <w:p w14:paraId="35868B18" w14:textId="488333C8" w:rsidR="001C2B2C" w:rsidRDefault="005622A5" w:rsidP="00B322A7">
            <w:pPr>
              <w:keepNext/>
              <w:keepLines/>
              <w:pBdr>
                <w:bottom w:val="single" w:sz="2" w:space="1" w:color="auto"/>
              </w:pBdr>
              <w:jc w:val="center"/>
              <w:rPr>
                <w:b/>
                <w:sz w:val="18"/>
                <w:szCs w:val="18"/>
              </w:rPr>
            </w:pPr>
            <w:r>
              <w:rPr>
                <w:b/>
                <w:sz w:val="18"/>
                <w:szCs w:val="18"/>
              </w:rPr>
              <w:t>30-Jun</w:t>
            </w:r>
          </w:p>
          <w:p w14:paraId="0592F2E9" w14:textId="79C5B2CE" w:rsidR="001C2B2C" w:rsidRDefault="005622A5" w:rsidP="00B322A7">
            <w:pPr>
              <w:keepNext/>
              <w:keepLines/>
              <w:pBdr>
                <w:bottom w:val="single" w:sz="2" w:space="1" w:color="auto"/>
              </w:pBdr>
              <w:jc w:val="center"/>
              <w:rPr>
                <w:b/>
                <w:sz w:val="18"/>
                <w:szCs w:val="18"/>
                <w:lang w:val="en-GB"/>
              </w:rPr>
            </w:pPr>
            <w:r>
              <w:rPr>
                <w:b/>
                <w:sz w:val="18"/>
                <w:szCs w:val="18"/>
              </w:rPr>
              <w:t>2016</w:t>
            </w:r>
            <w:r w:rsidR="001C2B2C">
              <w:rPr>
                <w:b/>
                <w:sz w:val="18"/>
                <w:szCs w:val="18"/>
                <w:lang w:val="en-GB"/>
              </w:rPr>
              <w:br/>
            </w:r>
          </w:p>
        </w:tc>
      </w:tr>
      <w:tr w:rsidR="001C2B2C" w14:paraId="40E5FD02" w14:textId="77777777" w:rsidTr="00B322A7">
        <w:trPr>
          <w:cantSplit/>
        </w:trPr>
        <w:tc>
          <w:tcPr>
            <w:tcW w:w="2183" w:type="dxa"/>
            <w:vMerge/>
          </w:tcPr>
          <w:p w14:paraId="782F3B2E" w14:textId="77777777" w:rsidR="001C2B2C" w:rsidRDefault="001C2B2C" w:rsidP="00B322A7">
            <w:pPr>
              <w:keepNext/>
              <w:keepLines/>
              <w:jc w:val="both"/>
              <w:rPr>
                <w:sz w:val="18"/>
                <w:szCs w:val="18"/>
                <w:lang w:val="en-GB"/>
              </w:rPr>
            </w:pPr>
          </w:p>
        </w:tc>
        <w:tc>
          <w:tcPr>
            <w:tcW w:w="1300" w:type="dxa"/>
          </w:tcPr>
          <w:p w14:paraId="46FE4F1E" w14:textId="77777777" w:rsidR="001C2B2C" w:rsidRDefault="001C2B2C" w:rsidP="00B322A7">
            <w:pPr>
              <w:keepNext/>
              <w:keepLines/>
              <w:jc w:val="center"/>
              <w:rPr>
                <w:sz w:val="18"/>
                <w:szCs w:val="18"/>
                <w:lang w:val="en-GB"/>
              </w:rPr>
            </w:pPr>
          </w:p>
        </w:tc>
        <w:tc>
          <w:tcPr>
            <w:tcW w:w="1300" w:type="dxa"/>
          </w:tcPr>
          <w:p w14:paraId="252E1209" w14:textId="77777777" w:rsidR="001C2B2C" w:rsidRDefault="001C2B2C" w:rsidP="00B322A7">
            <w:pPr>
              <w:keepNext/>
              <w:keepLines/>
              <w:jc w:val="center"/>
              <w:rPr>
                <w:sz w:val="18"/>
                <w:szCs w:val="18"/>
              </w:rPr>
            </w:pPr>
          </w:p>
        </w:tc>
        <w:tc>
          <w:tcPr>
            <w:tcW w:w="1300" w:type="dxa"/>
          </w:tcPr>
          <w:p w14:paraId="73769877" w14:textId="3D5515A0" w:rsidR="001C2B2C" w:rsidRDefault="001C2B2C" w:rsidP="00A5572A">
            <w:pPr>
              <w:keepNext/>
              <w:keepLines/>
              <w:jc w:val="center"/>
              <w:rPr>
                <w:sz w:val="18"/>
                <w:szCs w:val="18"/>
                <w:lang w:val="en-GB"/>
              </w:rPr>
            </w:pPr>
            <w:r>
              <w:rPr>
                <w:sz w:val="18"/>
                <w:szCs w:val="18"/>
              </w:rPr>
              <w:t>(</w:t>
            </w:r>
            <w:r>
              <w:rPr>
                <w:i/>
                <w:sz w:val="18"/>
                <w:szCs w:val="18"/>
              </w:rPr>
              <w:t xml:space="preserve">in thousands of </w:t>
            </w:r>
            <w:r w:rsidR="00A5572A">
              <w:rPr>
                <w:i/>
                <w:sz w:val="18"/>
                <w:szCs w:val="18"/>
              </w:rPr>
              <w:t>€</w:t>
            </w:r>
            <w:r>
              <w:rPr>
                <w:sz w:val="18"/>
                <w:szCs w:val="18"/>
              </w:rPr>
              <w:t>)</w:t>
            </w:r>
          </w:p>
        </w:tc>
        <w:tc>
          <w:tcPr>
            <w:tcW w:w="1300" w:type="dxa"/>
          </w:tcPr>
          <w:p w14:paraId="27C40C16" w14:textId="77777777" w:rsidR="001C2B2C" w:rsidRDefault="001C2B2C" w:rsidP="00B322A7">
            <w:pPr>
              <w:keepNext/>
              <w:keepLines/>
              <w:jc w:val="center"/>
              <w:rPr>
                <w:sz w:val="18"/>
                <w:szCs w:val="18"/>
                <w:lang w:val="en-GB"/>
              </w:rPr>
            </w:pPr>
          </w:p>
        </w:tc>
        <w:tc>
          <w:tcPr>
            <w:tcW w:w="1300" w:type="dxa"/>
          </w:tcPr>
          <w:p w14:paraId="27106F67" w14:textId="77777777" w:rsidR="001C2B2C" w:rsidRDefault="001C2B2C" w:rsidP="00B322A7">
            <w:pPr>
              <w:keepNext/>
              <w:keepLines/>
              <w:jc w:val="center"/>
              <w:rPr>
                <w:sz w:val="18"/>
                <w:szCs w:val="18"/>
                <w:lang w:val="en-GB"/>
              </w:rPr>
            </w:pPr>
          </w:p>
        </w:tc>
        <w:tc>
          <w:tcPr>
            <w:tcW w:w="1300" w:type="dxa"/>
          </w:tcPr>
          <w:p w14:paraId="3C8E79DE" w14:textId="77777777" w:rsidR="001C2B2C" w:rsidRDefault="001C2B2C" w:rsidP="00B322A7">
            <w:pPr>
              <w:keepNext/>
              <w:keepLines/>
              <w:jc w:val="center"/>
              <w:rPr>
                <w:sz w:val="18"/>
                <w:szCs w:val="18"/>
                <w:lang w:val="en-GB"/>
              </w:rPr>
            </w:pPr>
          </w:p>
        </w:tc>
      </w:tr>
      <w:tr w:rsidR="001C2B2C" w14:paraId="3BC632B1" w14:textId="77777777" w:rsidTr="00B322A7">
        <w:trPr>
          <w:cantSplit/>
        </w:trPr>
        <w:tc>
          <w:tcPr>
            <w:tcW w:w="2183" w:type="dxa"/>
          </w:tcPr>
          <w:p w14:paraId="52281AE1" w14:textId="77777777" w:rsidR="001C2B2C" w:rsidRDefault="001C2B2C" w:rsidP="00B322A7">
            <w:pPr>
              <w:keepNext/>
              <w:keepLines/>
              <w:jc w:val="both"/>
              <w:rPr>
                <w:sz w:val="18"/>
                <w:szCs w:val="18"/>
                <w:lang w:val="en-GB"/>
              </w:rPr>
            </w:pPr>
          </w:p>
        </w:tc>
        <w:tc>
          <w:tcPr>
            <w:tcW w:w="1300" w:type="dxa"/>
          </w:tcPr>
          <w:p w14:paraId="679C0BD1" w14:textId="77777777" w:rsidR="001C2B2C" w:rsidRDefault="001C2B2C" w:rsidP="00B322A7">
            <w:pPr>
              <w:keepNext/>
              <w:keepLines/>
              <w:jc w:val="center"/>
              <w:rPr>
                <w:sz w:val="18"/>
                <w:szCs w:val="18"/>
                <w:lang w:val="en-GB"/>
              </w:rPr>
            </w:pPr>
          </w:p>
        </w:tc>
        <w:tc>
          <w:tcPr>
            <w:tcW w:w="1300" w:type="dxa"/>
          </w:tcPr>
          <w:p w14:paraId="687E4836" w14:textId="77777777" w:rsidR="001C2B2C" w:rsidRDefault="001C2B2C" w:rsidP="00B322A7">
            <w:pPr>
              <w:keepNext/>
              <w:keepLines/>
              <w:jc w:val="center"/>
              <w:rPr>
                <w:sz w:val="18"/>
                <w:szCs w:val="18"/>
                <w:lang w:val="en-GB"/>
              </w:rPr>
            </w:pPr>
          </w:p>
        </w:tc>
        <w:tc>
          <w:tcPr>
            <w:tcW w:w="1300" w:type="dxa"/>
          </w:tcPr>
          <w:p w14:paraId="4FA5200D" w14:textId="77777777" w:rsidR="001C2B2C" w:rsidRDefault="001C2B2C" w:rsidP="00B322A7">
            <w:pPr>
              <w:keepNext/>
              <w:keepLines/>
              <w:jc w:val="center"/>
              <w:rPr>
                <w:sz w:val="18"/>
                <w:szCs w:val="18"/>
                <w:lang w:val="en-GB"/>
              </w:rPr>
            </w:pPr>
          </w:p>
        </w:tc>
        <w:tc>
          <w:tcPr>
            <w:tcW w:w="1300" w:type="dxa"/>
          </w:tcPr>
          <w:p w14:paraId="0CCB63CC" w14:textId="77777777" w:rsidR="001C2B2C" w:rsidRDefault="001C2B2C" w:rsidP="00B322A7">
            <w:pPr>
              <w:keepNext/>
              <w:keepLines/>
              <w:jc w:val="center"/>
              <w:rPr>
                <w:sz w:val="18"/>
                <w:szCs w:val="18"/>
              </w:rPr>
            </w:pPr>
          </w:p>
        </w:tc>
        <w:tc>
          <w:tcPr>
            <w:tcW w:w="1300" w:type="dxa"/>
          </w:tcPr>
          <w:p w14:paraId="71C0511D" w14:textId="77777777" w:rsidR="001C2B2C" w:rsidRDefault="001C2B2C" w:rsidP="00B322A7">
            <w:pPr>
              <w:keepNext/>
              <w:keepLines/>
              <w:jc w:val="center"/>
              <w:rPr>
                <w:sz w:val="18"/>
                <w:szCs w:val="18"/>
              </w:rPr>
            </w:pPr>
          </w:p>
        </w:tc>
        <w:tc>
          <w:tcPr>
            <w:tcW w:w="1300" w:type="dxa"/>
          </w:tcPr>
          <w:p w14:paraId="79F4B4BA" w14:textId="77777777" w:rsidR="001C2B2C" w:rsidRDefault="001C2B2C" w:rsidP="00B322A7">
            <w:pPr>
              <w:keepNext/>
              <w:keepLines/>
              <w:jc w:val="center"/>
              <w:rPr>
                <w:sz w:val="18"/>
                <w:szCs w:val="18"/>
              </w:rPr>
            </w:pPr>
          </w:p>
        </w:tc>
      </w:tr>
      <w:tr w:rsidR="001C2B2C" w14:paraId="711376F7" w14:textId="77777777" w:rsidTr="00B322A7">
        <w:trPr>
          <w:cantSplit/>
        </w:trPr>
        <w:tc>
          <w:tcPr>
            <w:tcW w:w="2183" w:type="dxa"/>
            <w:vAlign w:val="bottom"/>
          </w:tcPr>
          <w:p w14:paraId="3D93722A" w14:textId="77777777" w:rsidR="001C2B2C" w:rsidRDefault="001C2B2C" w:rsidP="00B322A7">
            <w:pPr>
              <w:keepNext/>
              <w:keepLines/>
              <w:jc w:val="both"/>
              <w:rPr>
                <w:sz w:val="18"/>
                <w:szCs w:val="18"/>
                <w:lang w:val="en-GB"/>
              </w:rPr>
            </w:pPr>
            <w:r>
              <w:rPr>
                <w:sz w:val="18"/>
                <w:szCs w:val="18"/>
                <w:lang w:val="en-GB"/>
              </w:rPr>
              <w:t>Gross rental income</w:t>
            </w:r>
          </w:p>
        </w:tc>
        <w:tc>
          <w:tcPr>
            <w:tcW w:w="1300" w:type="dxa"/>
            <w:vAlign w:val="bottom"/>
          </w:tcPr>
          <w:p w14:paraId="5C8F8222" w14:textId="77777777" w:rsidR="001C2B2C" w:rsidRDefault="001C2B2C" w:rsidP="00B322A7">
            <w:pPr>
              <w:keepNext/>
              <w:keepLines/>
              <w:jc w:val="right"/>
              <w:rPr>
                <w:sz w:val="18"/>
                <w:szCs w:val="18"/>
                <w:lang w:val="en-GB" w:eastAsia="en-GB"/>
              </w:rPr>
            </w:pPr>
            <w:r>
              <w:rPr>
                <w:sz w:val="18"/>
                <w:szCs w:val="18"/>
                <w:lang w:val="en-GB" w:eastAsia="en-GB"/>
              </w:rPr>
              <w:t>16,134</w:t>
            </w:r>
          </w:p>
        </w:tc>
        <w:tc>
          <w:tcPr>
            <w:tcW w:w="1300" w:type="dxa"/>
            <w:vAlign w:val="bottom"/>
          </w:tcPr>
          <w:p w14:paraId="08803A22" w14:textId="77777777" w:rsidR="001C2B2C" w:rsidRDefault="001C2B2C" w:rsidP="00B322A7">
            <w:pPr>
              <w:keepNext/>
              <w:keepLines/>
              <w:jc w:val="right"/>
              <w:rPr>
                <w:sz w:val="18"/>
                <w:szCs w:val="18"/>
                <w:lang w:val="en-GB" w:eastAsia="en-GB"/>
              </w:rPr>
            </w:pPr>
            <w:r>
              <w:rPr>
                <w:sz w:val="18"/>
                <w:szCs w:val="18"/>
                <w:lang w:val="en-GB" w:eastAsia="en-GB"/>
              </w:rPr>
              <w:t>9,337</w:t>
            </w:r>
          </w:p>
        </w:tc>
        <w:tc>
          <w:tcPr>
            <w:tcW w:w="1300" w:type="dxa"/>
            <w:vAlign w:val="bottom"/>
          </w:tcPr>
          <w:p w14:paraId="3A42CD6B" w14:textId="77777777" w:rsidR="001C2B2C" w:rsidRDefault="001C2B2C" w:rsidP="00B322A7">
            <w:pPr>
              <w:keepNext/>
              <w:keepLines/>
              <w:jc w:val="right"/>
              <w:rPr>
                <w:sz w:val="18"/>
                <w:szCs w:val="18"/>
                <w:lang w:val="en-GB" w:eastAsia="en-GB"/>
              </w:rPr>
            </w:pPr>
            <w:r>
              <w:rPr>
                <w:sz w:val="18"/>
                <w:szCs w:val="18"/>
                <w:lang w:val="en-GB" w:eastAsia="en-GB"/>
              </w:rPr>
              <w:t>476</w:t>
            </w:r>
          </w:p>
        </w:tc>
        <w:tc>
          <w:tcPr>
            <w:tcW w:w="1300" w:type="dxa"/>
            <w:vAlign w:val="bottom"/>
          </w:tcPr>
          <w:p w14:paraId="2FCF5C03" w14:textId="77777777" w:rsidR="001C2B2C" w:rsidRDefault="001C2B2C" w:rsidP="00B322A7">
            <w:pPr>
              <w:keepNext/>
              <w:keepLines/>
              <w:jc w:val="right"/>
              <w:rPr>
                <w:sz w:val="18"/>
                <w:szCs w:val="18"/>
                <w:lang w:val="en-GB" w:eastAsia="en-GB"/>
              </w:rPr>
            </w:pPr>
            <w:r>
              <w:rPr>
                <w:sz w:val="18"/>
                <w:szCs w:val="18"/>
                <w:lang w:val="en-GB" w:eastAsia="en-GB"/>
              </w:rPr>
              <w:t>8,067</w:t>
            </w:r>
          </w:p>
        </w:tc>
        <w:tc>
          <w:tcPr>
            <w:tcW w:w="1300" w:type="dxa"/>
            <w:vAlign w:val="bottom"/>
          </w:tcPr>
          <w:p w14:paraId="4109A646" w14:textId="77777777" w:rsidR="001C2B2C" w:rsidRDefault="001C2B2C" w:rsidP="00B322A7">
            <w:pPr>
              <w:keepNext/>
              <w:keepLines/>
              <w:jc w:val="right"/>
              <w:rPr>
                <w:sz w:val="18"/>
                <w:szCs w:val="18"/>
                <w:lang w:val="en-GB" w:eastAsia="en-GB"/>
              </w:rPr>
            </w:pPr>
            <w:r>
              <w:rPr>
                <w:sz w:val="18"/>
                <w:szCs w:val="18"/>
                <w:lang w:val="en-GB" w:eastAsia="en-GB"/>
              </w:rPr>
              <w:t>8,543</w:t>
            </w:r>
          </w:p>
        </w:tc>
        <w:tc>
          <w:tcPr>
            <w:tcW w:w="1300" w:type="dxa"/>
            <w:vAlign w:val="bottom"/>
          </w:tcPr>
          <w:p w14:paraId="2A3C9456" w14:textId="77777777" w:rsidR="001C2B2C" w:rsidRDefault="001C2B2C" w:rsidP="00B322A7">
            <w:pPr>
              <w:keepNext/>
              <w:keepLines/>
              <w:jc w:val="right"/>
              <w:rPr>
                <w:sz w:val="18"/>
                <w:szCs w:val="18"/>
                <w:lang w:val="en-GB" w:eastAsia="en-GB"/>
              </w:rPr>
            </w:pPr>
            <w:r>
              <w:rPr>
                <w:sz w:val="18"/>
                <w:szCs w:val="18"/>
                <w:lang w:val="en-GB" w:eastAsia="en-GB"/>
              </w:rPr>
              <w:t>1,183</w:t>
            </w:r>
          </w:p>
        </w:tc>
      </w:tr>
      <w:tr w:rsidR="001C2B2C" w14:paraId="10E98C5C" w14:textId="77777777" w:rsidTr="00B322A7">
        <w:trPr>
          <w:cantSplit/>
        </w:trPr>
        <w:tc>
          <w:tcPr>
            <w:tcW w:w="2183" w:type="dxa"/>
            <w:vAlign w:val="bottom"/>
          </w:tcPr>
          <w:p w14:paraId="12C7C5C3" w14:textId="77777777" w:rsidR="001C2B2C" w:rsidRDefault="001C2B2C" w:rsidP="00B322A7">
            <w:pPr>
              <w:jc w:val="both"/>
              <w:rPr>
                <w:sz w:val="18"/>
                <w:szCs w:val="18"/>
                <w:lang w:val="en-GB"/>
              </w:rPr>
            </w:pPr>
            <w:r>
              <w:rPr>
                <w:sz w:val="18"/>
                <w:szCs w:val="18"/>
                <w:lang w:val="en-GB"/>
              </w:rPr>
              <w:t>Property operating expenses</w:t>
            </w:r>
          </w:p>
        </w:tc>
        <w:tc>
          <w:tcPr>
            <w:tcW w:w="1300" w:type="dxa"/>
            <w:vAlign w:val="bottom"/>
          </w:tcPr>
          <w:p w14:paraId="14FA9033" w14:textId="77777777" w:rsidR="001C2B2C" w:rsidRDefault="001C2B2C" w:rsidP="00B322A7">
            <w:pPr>
              <w:jc w:val="right"/>
              <w:rPr>
                <w:sz w:val="18"/>
                <w:szCs w:val="18"/>
                <w:lang w:val="en-GB" w:eastAsia="en-GB"/>
              </w:rPr>
            </w:pPr>
            <w:r>
              <w:rPr>
                <w:sz w:val="18"/>
                <w:szCs w:val="18"/>
                <w:lang w:val="en-GB" w:eastAsia="en-GB"/>
              </w:rPr>
              <w:t> </w:t>
            </w:r>
          </w:p>
        </w:tc>
        <w:tc>
          <w:tcPr>
            <w:tcW w:w="1300" w:type="dxa"/>
            <w:vAlign w:val="bottom"/>
          </w:tcPr>
          <w:p w14:paraId="6B7ABD81" w14:textId="77777777" w:rsidR="001C2B2C" w:rsidRDefault="001C2B2C" w:rsidP="00B322A7">
            <w:pPr>
              <w:jc w:val="right"/>
              <w:rPr>
                <w:sz w:val="18"/>
                <w:szCs w:val="18"/>
                <w:lang w:val="en-GB" w:eastAsia="en-GB"/>
              </w:rPr>
            </w:pPr>
            <w:r>
              <w:rPr>
                <w:sz w:val="18"/>
                <w:szCs w:val="18"/>
                <w:lang w:val="en-GB" w:eastAsia="en-GB"/>
              </w:rPr>
              <w:t> </w:t>
            </w:r>
          </w:p>
        </w:tc>
        <w:tc>
          <w:tcPr>
            <w:tcW w:w="1300" w:type="dxa"/>
            <w:vAlign w:val="bottom"/>
          </w:tcPr>
          <w:p w14:paraId="5EC4FAEB" w14:textId="77777777" w:rsidR="001C2B2C" w:rsidRDefault="001C2B2C" w:rsidP="00B322A7">
            <w:pPr>
              <w:jc w:val="right"/>
              <w:rPr>
                <w:sz w:val="18"/>
                <w:szCs w:val="18"/>
                <w:lang w:val="en-GB" w:eastAsia="en-GB"/>
              </w:rPr>
            </w:pPr>
            <w:r>
              <w:rPr>
                <w:sz w:val="18"/>
                <w:szCs w:val="18"/>
                <w:lang w:val="en-GB" w:eastAsia="en-GB"/>
              </w:rPr>
              <w:t> </w:t>
            </w:r>
          </w:p>
        </w:tc>
        <w:tc>
          <w:tcPr>
            <w:tcW w:w="1300" w:type="dxa"/>
            <w:vAlign w:val="bottom"/>
          </w:tcPr>
          <w:p w14:paraId="45DAE95B" w14:textId="77777777" w:rsidR="001C2B2C" w:rsidRDefault="001C2B2C" w:rsidP="00B322A7">
            <w:pPr>
              <w:jc w:val="right"/>
              <w:rPr>
                <w:sz w:val="18"/>
                <w:szCs w:val="18"/>
                <w:lang w:val="en-GB" w:eastAsia="en-GB"/>
              </w:rPr>
            </w:pPr>
            <w:r>
              <w:rPr>
                <w:sz w:val="18"/>
                <w:szCs w:val="18"/>
                <w:lang w:val="en-GB" w:eastAsia="en-GB"/>
              </w:rPr>
              <w:t> </w:t>
            </w:r>
          </w:p>
        </w:tc>
        <w:tc>
          <w:tcPr>
            <w:tcW w:w="1300" w:type="dxa"/>
            <w:vAlign w:val="bottom"/>
          </w:tcPr>
          <w:p w14:paraId="7A3715AE" w14:textId="77777777" w:rsidR="001C2B2C" w:rsidRDefault="001C2B2C" w:rsidP="00B322A7">
            <w:pPr>
              <w:jc w:val="right"/>
              <w:rPr>
                <w:sz w:val="18"/>
                <w:szCs w:val="18"/>
                <w:lang w:val="en-GB" w:eastAsia="en-GB"/>
              </w:rPr>
            </w:pPr>
            <w:r>
              <w:rPr>
                <w:sz w:val="18"/>
                <w:szCs w:val="18"/>
                <w:lang w:val="en-GB" w:eastAsia="en-GB"/>
              </w:rPr>
              <w:t> </w:t>
            </w:r>
          </w:p>
        </w:tc>
        <w:tc>
          <w:tcPr>
            <w:tcW w:w="1300" w:type="dxa"/>
            <w:vAlign w:val="bottom"/>
          </w:tcPr>
          <w:p w14:paraId="2E47BB4F" w14:textId="77777777" w:rsidR="001C2B2C" w:rsidRDefault="001C2B2C" w:rsidP="00B322A7">
            <w:pPr>
              <w:jc w:val="right"/>
              <w:rPr>
                <w:sz w:val="18"/>
                <w:szCs w:val="18"/>
                <w:lang w:val="en-GB" w:eastAsia="en-GB"/>
              </w:rPr>
            </w:pPr>
            <w:r>
              <w:rPr>
                <w:sz w:val="18"/>
                <w:szCs w:val="18"/>
                <w:lang w:val="en-GB" w:eastAsia="en-GB"/>
              </w:rPr>
              <w:t> </w:t>
            </w:r>
          </w:p>
        </w:tc>
      </w:tr>
      <w:tr w:rsidR="001C2B2C" w14:paraId="5C3591C0" w14:textId="77777777" w:rsidTr="00B322A7">
        <w:trPr>
          <w:cantSplit/>
        </w:trPr>
        <w:tc>
          <w:tcPr>
            <w:tcW w:w="2183" w:type="dxa"/>
            <w:vAlign w:val="bottom"/>
          </w:tcPr>
          <w:p w14:paraId="6ABA63E9" w14:textId="77777777" w:rsidR="001C2B2C" w:rsidRDefault="001C2B2C" w:rsidP="00B322A7">
            <w:pPr>
              <w:numPr>
                <w:ilvl w:val="0"/>
                <w:numId w:val="87"/>
              </w:numPr>
              <w:ind w:left="164" w:hanging="164"/>
              <w:contextualSpacing/>
              <w:jc w:val="both"/>
              <w:rPr>
                <w:sz w:val="18"/>
                <w:szCs w:val="18"/>
                <w:lang w:val="nl-BE"/>
              </w:rPr>
            </w:pPr>
            <w:r>
              <w:rPr>
                <w:sz w:val="18"/>
                <w:szCs w:val="18"/>
                <w:lang w:val="nl-BE"/>
              </w:rPr>
              <w:t xml:space="preserve">Service charge </w:t>
            </w:r>
            <w:proofErr w:type="spellStart"/>
            <w:r>
              <w:rPr>
                <w:sz w:val="18"/>
                <w:szCs w:val="18"/>
                <w:lang w:val="nl-BE"/>
              </w:rPr>
              <w:t>income</w:t>
            </w:r>
            <w:proofErr w:type="spellEnd"/>
            <w:r>
              <w:rPr>
                <w:sz w:val="18"/>
                <w:szCs w:val="18"/>
                <w:lang w:val="nl-BE"/>
              </w:rPr>
              <w:t xml:space="preserve"> / (</w:t>
            </w:r>
            <w:proofErr w:type="spellStart"/>
            <w:r>
              <w:rPr>
                <w:sz w:val="18"/>
                <w:szCs w:val="18"/>
                <w:lang w:val="nl-BE"/>
              </w:rPr>
              <w:t>expenses</w:t>
            </w:r>
            <w:proofErr w:type="spellEnd"/>
            <w:r>
              <w:rPr>
                <w:sz w:val="18"/>
                <w:szCs w:val="18"/>
                <w:lang w:val="nl-BE"/>
              </w:rPr>
              <w:t>)(net)</w:t>
            </w:r>
          </w:p>
        </w:tc>
        <w:tc>
          <w:tcPr>
            <w:tcW w:w="1300" w:type="dxa"/>
            <w:vAlign w:val="bottom"/>
          </w:tcPr>
          <w:p w14:paraId="0B97CE38" w14:textId="77777777" w:rsidR="001C2B2C" w:rsidRDefault="001C2B2C" w:rsidP="00B322A7">
            <w:pPr>
              <w:jc w:val="right"/>
              <w:rPr>
                <w:sz w:val="18"/>
                <w:szCs w:val="18"/>
                <w:lang w:val="en-GB" w:eastAsia="en-GB"/>
              </w:rPr>
            </w:pPr>
            <w:r>
              <w:rPr>
                <w:sz w:val="18"/>
                <w:szCs w:val="18"/>
                <w:lang w:val="en-GB" w:eastAsia="en-GB"/>
              </w:rPr>
              <w:t>407</w:t>
            </w:r>
          </w:p>
        </w:tc>
        <w:tc>
          <w:tcPr>
            <w:tcW w:w="1300" w:type="dxa"/>
            <w:vAlign w:val="bottom"/>
          </w:tcPr>
          <w:p w14:paraId="59CEF563" w14:textId="77777777" w:rsidR="001C2B2C" w:rsidRDefault="001C2B2C" w:rsidP="00B322A7">
            <w:pPr>
              <w:jc w:val="right"/>
              <w:rPr>
                <w:sz w:val="18"/>
                <w:szCs w:val="18"/>
                <w:lang w:val="en-GB" w:eastAsia="en-GB"/>
              </w:rPr>
            </w:pPr>
            <w:r>
              <w:rPr>
                <w:sz w:val="18"/>
                <w:szCs w:val="18"/>
                <w:lang w:val="en-GB" w:eastAsia="en-GB"/>
              </w:rPr>
              <w:t>323</w:t>
            </w:r>
          </w:p>
        </w:tc>
        <w:tc>
          <w:tcPr>
            <w:tcW w:w="1300" w:type="dxa"/>
            <w:vAlign w:val="bottom"/>
          </w:tcPr>
          <w:p w14:paraId="73A8B5E5" w14:textId="77777777" w:rsidR="001C2B2C" w:rsidRDefault="001C2B2C" w:rsidP="00B322A7">
            <w:pPr>
              <w:jc w:val="right"/>
              <w:rPr>
                <w:sz w:val="18"/>
                <w:szCs w:val="18"/>
                <w:lang w:val="en-GB" w:eastAsia="en-GB"/>
              </w:rPr>
            </w:pPr>
            <w:r>
              <w:rPr>
                <w:sz w:val="18"/>
                <w:szCs w:val="18"/>
                <w:lang w:val="en-GB" w:eastAsia="en-GB"/>
              </w:rPr>
              <w:t>16</w:t>
            </w:r>
          </w:p>
        </w:tc>
        <w:tc>
          <w:tcPr>
            <w:tcW w:w="1300" w:type="dxa"/>
            <w:vAlign w:val="bottom"/>
          </w:tcPr>
          <w:p w14:paraId="2A5717B7" w14:textId="77777777" w:rsidR="001C2B2C" w:rsidRDefault="001C2B2C" w:rsidP="00B322A7">
            <w:pPr>
              <w:jc w:val="right"/>
              <w:rPr>
                <w:sz w:val="18"/>
                <w:szCs w:val="18"/>
                <w:lang w:val="en-GB" w:eastAsia="en-GB"/>
              </w:rPr>
            </w:pPr>
            <w:r>
              <w:rPr>
                <w:sz w:val="18"/>
                <w:szCs w:val="18"/>
                <w:lang w:val="en-GB" w:eastAsia="en-GB"/>
              </w:rPr>
              <w:t>204</w:t>
            </w:r>
          </w:p>
        </w:tc>
        <w:tc>
          <w:tcPr>
            <w:tcW w:w="1300" w:type="dxa"/>
            <w:vAlign w:val="bottom"/>
          </w:tcPr>
          <w:p w14:paraId="6A359554" w14:textId="77777777" w:rsidR="001C2B2C" w:rsidRDefault="001C2B2C" w:rsidP="00B322A7">
            <w:pPr>
              <w:jc w:val="right"/>
              <w:rPr>
                <w:sz w:val="18"/>
                <w:szCs w:val="18"/>
                <w:lang w:val="en-GB" w:eastAsia="en-GB"/>
              </w:rPr>
            </w:pPr>
            <w:r>
              <w:rPr>
                <w:sz w:val="18"/>
                <w:szCs w:val="18"/>
                <w:lang w:val="en-GB" w:eastAsia="en-GB"/>
              </w:rPr>
              <w:t>220</w:t>
            </w:r>
          </w:p>
        </w:tc>
        <w:tc>
          <w:tcPr>
            <w:tcW w:w="1300" w:type="dxa"/>
            <w:vAlign w:val="bottom"/>
          </w:tcPr>
          <w:p w14:paraId="24AEAD28" w14:textId="77777777" w:rsidR="001C2B2C" w:rsidRDefault="001C2B2C" w:rsidP="00B322A7">
            <w:pPr>
              <w:jc w:val="right"/>
              <w:rPr>
                <w:sz w:val="18"/>
                <w:szCs w:val="18"/>
                <w:lang w:val="en-GB" w:eastAsia="en-GB"/>
              </w:rPr>
            </w:pPr>
            <w:r>
              <w:rPr>
                <w:sz w:val="18"/>
                <w:szCs w:val="18"/>
                <w:lang w:val="en-GB" w:eastAsia="en-GB"/>
              </w:rPr>
              <w:t>16</w:t>
            </w:r>
          </w:p>
        </w:tc>
      </w:tr>
      <w:tr w:rsidR="001C2B2C" w14:paraId="3B5E8A5C" w14:textId="77777777" w:rsidTr="00B322A7">
        <w:trPr>
          <w:cantSplit/>
        </w:trPr>
        <w:tc>
          <w:tcPr>
            <w:tcW w:w="2183" w:type="dxa"/>
            <w:vAlign w:val="bottom"/>
          </w:tcPr>
          <w:p w14:paraId="0E2551C3" w14:textId="77777777" w:rsidR="001C2B2C" w:rsidRDefault="001C2B2C" w:rsidP="00B322A7">
            <w:pPr>
              <w:numPr>
                <w:ilvl w:val="0"/>
                <w:numId w:val="87"/>
              </w:numPr>
              <w:ind w:left="164" w:hanging="164"/>
              <w:contextualSpacing/>
              <w:jc w:val="both"/>
              <w:rPr>
                <w:sz w:val="18"/>
                <w:szCs w:val="18"/>
                <w:lang w:val="nl-BE"/>
              </w:rPr>
            </w:pPr>
            <w:proofErr w:type="spellStart"/>
            <w:r>
              <w:rPr>
                <w:sz w:val="18"/>
                <w:szCs w:val="18"/>
                <w:lang w:val="nl-BE"/>
              </w:rPr>
              <w:t>Underlying</w:t>
            </w:r>
            <w:proofErr w:type="spellEnd"/>
            <w:r>
              <w:rPr>
                <w:sz w:val="18"/>
                <w:szCs w:val="18"/>
                <w:lang w:val="nl-BE"/>
              </w:rPr>
              <w:t xml:space="preserve"> property operating </w:t>
            </w:r>
            <w:proofErr w:type="spellStart"/>
            <w:r>
              <w:rPr>
                <w:sz w:val="18"/>
                <w:szCs w:val="18"/>
                <w:lang w:val="nl-BE"/>
              </w:rPr>
              <w:t>expenses</w:t>
            </w:r>
            <w:proofErr w:type="spellEnd"/>
          </w:p>
        </w:tc>
        <w:tc>
          <w:tcPr>
            <w:tcW w:w="1300" w:type="dxa"/>
            <w:vAlign w:val="bottom"/>
          </w:tcPr>
          <w:p w14:paraId="48BE659B" w14:textId="77777777" w:rsidR="001C2B2C" w:rsidRDefault="001C2B2C" w:rsidP="00B322A7">
            <w:pPr>
              <w:jc w:val="right"/>
              <w:rPr>
                <w:sz w:val="18"/>
                <w:szCs w:val="18"/>
                <w:lang w:val="en-GB" w:eastAsia="en-GB"/>
              </w:rPr>
            </w:pPr>
            <w:r>
              <w:rPr>
                <w:sz w:val="18"/>
                <w:szCs w:val="18"/>
                <w:lang w:val="en-GB" w:eastAsia="en-GB"/>
              </w:rPr>
              <w:t>(999)</w:t>
            </w:r>
          </w:p>
        </w:tc>
        <w:tc>
          <w:tcPr>
            <w:tcW w:w="1300" w:type="dxa"/>
            <w:vAlign w:val="bottom"/>
          </w:tcPr>
          <w:p w14:paraId="4B4CB4E3" w14:textId="77777777" w:rsidR="001C2B2C" w:rsidRDefault="001C2B2C" w:rsidP="00B322A7">
            <w:pPr>
              <w:jc w:val="right"/>
              <w:rPr>
                <w:sz w:val="18"/>
                <w:szCs w:val="18"/>
                <w:lang w:val="en-GB" w:eastAsia="en-GB"/>
              </w:rPr>
            </w:pPr>
            <w:r>
              <w:rPr>
                <w:sz w:val="18"/>
                <w:szCs w:val="18"/>
                <w:lang w:val="en-GB" w:eastAsia="en-GB"/>
              </w:rPr>
              <w:t>(672)</w:t>
            </w:r>
          </w:p>
        </w:tc>
        <w:tc>
          <w:tcPr>
            <w:tcW w:w="1300" w:type="dxa"/>
            <w:vAlign w:val="bottom"/>
          </w:tcPr>
          <w:p w14:paraId="58C4508A" w14:textId="77777777" w:rsidR="001C2B2C" w:rsidRDefault="001C2B2C" w:rsidP="00B322A7">
            <w:pPr>
              <w:jc w:val="right"/>
              <w:rPr>
                <w:sz w:val="18"/>
                <w:szCs w:val="18"/>
                <w:lang w:val="en-GB" w:eastAsia="en-GB"/>
              </w:rPr>
            </w:pPr>
            <w:r>
              <w:rPr>
                <w:sz w:val="18"/>
                <w:szCs w:val="18"/>
                <w:lang w:val="en-GB" w:eastAsia="en-GB"/>
              </w:rPr>
              <w:t>(34)</w:t>
            </w:r>
          </w:p>
        </w:tc>
        <w:tc>
          <w:tcPr>
            <w:tcW w:w="1300" w:type="dxa"/>
            <w:vAlign w:val="bottom"/>
          </w:tcPr>
          <w:p w14:paraId="7E52A36F" w14:textId="77777777" w:rsidR="001C2B2C" w:rsidRDefault="001C2B2C" w:rsidP="00B322A7">
            <w:pPr>
              <w:jc w:val="right"/>
              <w:rPr>
                <w:sz w:val="18"/>
                <w:szCs w:val="18"/>
                <w:lang w:val="en-GB" w:eastAsia="en-GB"/>
              </w:rPr>
            </w:pPr>
            <w:r>
              <w:rPr>
                <w:sz w:val="18"/>
                <w:szCs w:val="18"/>
                <w:lang w:val="en-GB" w:eastAsia="en-GB"/>
              </w:rPr>
              <w:t>(500)</w:t>
            </w:r>
          </w:p>
        </w:tc>
        <w:tc>
          <w:tcPr>
            <w:tcW w:w="1300" w:type="dxa"/>
            <w:vAlign w:val="bottom"/>
          </w:tcPr>
          <w:p w14:paraId="4354C958" w14:textId="77777777" w:rsidR="001C2B2C" w:rsidRDefault="001C2B2C" w:rsidP="00B322A7">
            <w:pPr>
              <w:jc w:val="right"/>
              <w:rPr>
                <w:sz w:val="18"/>
                <w:szCs w:val="18"/>
                <w:lang w:val="en-GB" w:eastAsia="en-GB"/>
              </w:rPr>
            </w:pPr>
            <w:r>
              <w:rPr>
                <w:sz w:val="18"/>
                <w:szCs w:val="18"/>
                <w:lang w:val="en-GB" w:eastAsia="en-GB"/>
              </w:rPr>
              <w:t>(534)</w:t>
            </w:r>
          </w:p>
        </w:tc>
        <w:tc>
          <w:tcPr>
            <w:tcW w:w="1300" w:type="dxa"/>
            <w:vAlign w:val="bottom"/>
          </w:tcPr>
          <w:p w14:paraId="26BCFDBA" w14:textId="77777777" w:rsidR="001C2B2C" w:rsidRDefault="001C2B2C" w:rsidP="00B322A7">
            <w:pPr>
              <w:jc w:val="right"/>
              <w:rPr>
                <w:sz w:val="18"/>
                <w:szCs w:val="18"/>
                <w:lang w:val="en-GB" w:eastAsia="en-GB"/>
              </w:rPr>
            </w:pPr>
            <w:r>
              <w:rPr>
                <w:sz w:val="18"/>
                <w:szCs w:val="18"/>
                <w:lang w:val="en-GB" w:eastAsia="en-GB"/>
              </w:rPr>
              <w:t xml:space="preserve">(186) </w:t>
            </w:r>
          </w:p>
        </w:tc>
      </w:tr>
      <w:tr w:rsidR="001C2B2C" w14:paraId="3E9C5B5B" w14:textId="77777777" w:rsidTr="00B322A7">
        <w:trPr>
          <w:cantSplit/>
        </w:trPr>
        <w:tc>
          <w:tcPr>
            <w:tcW w:w="2183" w:type="dxa"/>
            <w:vAlign w:val="bottom"/>
          </w:tcPr>
          <w:p w14:paraId="34EEB155" w14:textId="77777777" w:rsidR="001C2B2C" w:rsidRDefault="001C2B2C" w:rsidP="00B322A7">
            <w:pPr>
              <w:numPr>
                <w:ilvl w:val="0"/>
                <w:numId w:val="87"/>
              </w:numPr>
              <w:ind w:left="164" w:hanging="164"/>
              <w:contextualSpacing/>
              <w:jc w:val="both"/>
              <w:rPr>
                <w:sz w:val="18"/>
                <w:szCs w:val="18"/>
                <w:lang w:val="nl-BE"/>
              </w:rPr>
            </w:pPr>
            <w:r>
              <w:rPr>
                <w:sz w:val="18"/>
                <w:szCs w:val="18"/>
                <w:lang w:val="nl-BE"/>
              </w:rPr>
              <w:t xml:space="preserve">Property management </w:t>
            </w:r>
            <w:proofErr w:type="spellStart"/>
            <w:r>
              <w:rPr>
                <w:sz w:val="18"/>
                <w:szCs w:val="18"/>
                <w:lang w:val="nl-BE"/>
              </w:rPr>
              <w:t>fees</w:t>
            </w:r>
            <w:proofErr w:type="spellEnd"/>
          </w:p>
        </w:tc>
        <w:tc>
          <w:tcPr>
            <w:tcW w:w="1300" w:type="dxa"/>
            <w:vAlign w:val="bottom"/>
          </w:tcPr>
          <w:p w14:paraId="4415CF6A" w14:textId="77777777" w:rsidR="001C2B2C" w:rsidRDefault="001C2B2C" w:rsidP="00B322A7">
            <w:pPr>
              <w:jc w:val="right"/>
              <w:rPr>
                <w:sz w:val="18"/>
                <w:szCs w:val="18"/>
                <w:lang w:val="en-GB" w:eastAsia="en-GB"/>
              </w:rPr>
            </w:pPr>
            <w:r>
              <w:rPr>
                <w:sz w:val="18"/>
                <w:szCs w:val="18"/>
                <w:lang w:val="en-GB" w:eastAsia="en-GB"/>
              </w:rPr>
              <w:t>(1,305)</w:t>
            </w:r>
          </w:p>
        </w:tc>
        <w:tc>
          <w:tcPr>
            <w:tcW w:w="1300" w:type="dxa"/>
            <w:vAlign w:val="bottom"/>
          </w:tcPr>
          <w:p w14:paraId="13C2DE91" w14:textId="77777777" w:rsidR="001C2B2C" w:rsidRDefault="001C2B2C" w:rsidP="00B322A7">
            <w:pPr>
              <w:jc w:val="right"/>
              <w:rPr>
                <w:sz w:val="18"/>
                <w:szCs w:val="18"/>
                <w:lang w:val="en-GB" w:eastAsia="en-GB"/>
              </w:rPr>
            </w:pPr>
            <w:r>
              <w:rPr>
                <w:sz w:val="18"/>
                <w:szCs w:val="18"/>
                <w:lang w:val="en-GB" w:eastAsia="en-GB"/>
              </w:rPr>
              <w:t>(763)</w:t>
            </w:r>
          </w:p>
        </w:tc>
        <w:tc>
          <w:tcPr>
            <w:tcW w:w="1300" w:type="dxa"/>
            <w:vAlign w:val="bottom"/>
          </w:tcPr>
          <w:p w14:paraId="35E117F9" w14:textId="77777777" w:rsidR="001C2B2C" w:rsidRDefault="001C2B2C" w:rsidP="00B322A7">
            <w:pPr>
              <w:jc w:val="right"/>
              <w:rPr>
                <w:sz w:val="18"/>
                <w:szCs w:val="18"/>
                <w:lang w:val="en-GB" w:eastAsia="en-GB"/>
              </w:rPr>
            </w:pPr>
            <w:r>
              <w:rPr>
                <w:sz w:val="18"/>
                <w:szCs w:val="18"/>
                <w:lang w:val="en-GB" w:eastAsia="en-GB"/>
              </w:rPr>
              <w:t>(39)</w:t>
            </w:r>
          </w:p>
        </w:tc>
        <w:tc>
          <w:tcPr>
            <w:tcW w:w="1300" w:type="dxa"/>
            <w:vAlign w:val="bottom"/>
          </w:tcPr>
          <w:p w14:paraId="1761873F" w14:textId="77777777" w:rsidR="001C2B2C" w:rsidRDefault="001C2B2C" w:rsidP="00B322A7">
            <w:pPr>
              <w:jc w:val="right"/>
              <w:rPr>
                <w:sz w:val="18"/>
                <w:szCs w:val="18"/>
                <w:lang w:val="en-GB" w:eastAsia="en-GB"/>
              </w:rPr>
            </w:pPr>
            <w:r>
              <w:rPr>
                <w:sz w:val="18"/>
                <w:szCs w:val="18"/>
                <w:lang w:val="en-GB" w:eastAsia="en-GB"/>
              </w:rPr>
              <w:t>(653)</w:t>
            </w:r>
          </w:p>
        </w:tc>
        <w:tc>
          <w:tcPr>
            <w:tcW w:w="1300" w:type="dxa"/>
            <w:vAlign w:val="bottom"/>
          </w:tcPr>
          <w:p w14:paraId="138E42EC" w14:textId="77777777" w:rsidR="001C2B2C" w:rsidRDefault="001C2B2C" w:rsidP="00B322A7">
            <w:pPr>
              <w:jc w:val="right"/>
              <w:rPr>
                <w:sz w:val="18"/>
                <w:szCs w:val="18"/>
                <w:lang w:val="en-GB" w:eastAsia="en-GB"/>
              </w:rPr>
            </w:pPr>
            <w:r>
              <w:rPr>
                <w:sz w:val="18"/>
                <w:szCs w:val="18"/>
                <w:lang w:val="en-GB" w:eastAsia="en-GB"/>
              </w:rPr>
              <w:t>(691)</w:t>
            </w:r>
          </w:p>
        </w:tc>
        <w:tc>
          <w:tcPr>
            <w:tcW w:w="1300" w:type="dxa"/>
            <w:vAlign w:val="bottom"/>
          </w:tcPr>
          <w:p w14:paraId="53AA12B4" w14:textId="77777777" w:rsidR="001C2B2C" w:rsidRDefault="001C2B2C" w:rsidP="00B322A7">
            <w:pPr>
              <w:jc w:val="right"/>
              <w:rPr>
                <w:sz w:val="18"/>
                <w:szCs w:val="18"/>
                <w:lang w:val="en-GB" w:eastAsia="en-GB"/>
              </w:rPr>
            </w:pPr>
            <w:r>
              <w:rPr>
                <w:sz w:val="18"/>
                <w:szCs w:val="18"/>
                <w:lang w:val="en-GB" w:eastAsia="en-GB"/>
              </w:rPr>
              <w:t>(92)</w:t>
            </w:r>
          </w:p>
        </w:tc>
      </w:tr>
      <w:tr w:rsidR="001C2B2C" w14:paraId="5293E6BA" w14:textId="77777777" w:rsidTr="00B322A7">
        <w:trPr>
          <w:cantSplit/>
        </w:trPr>
        <w:tc>
          <w:tcPr>
            <w:tcW w:w="2183" w:type="dxa"/>
            <w:vAlign w:val="bottom"/>
          </w:tcPr>
          <w:p w14:paraId="0F699558" w14:textId="77777777" w:rsidR="001C2B2C" w:rsidRDefault="001C2B2C" w:rsidP="00B322A7">
            <w:pPr>
              <w:jc w:val="both"/>
              <w:rPr>
                <w:b/>
                <w:bCs/>
                <w:sz w:val="18"/>
                <w:szCs w:val="18"/>
                <w:lang w:val="en-GB"/>
              </w:rPr>
            </w:pPr>
            <w:r>
              <w:rPr>
                <w:b/>
                <w:bCs/>
                <w:sz w:val="18"/>
                <w:szCs w:val="18"/>
                <w:lang w:val="en-GB"/>
              </w:rPr>
              <w:t>Net rental income</w:t>
            </w:r>
          </w:p>
        </w:tc>
        <w:tc>
          <w:tcPr>
            <w:tcW w:w="1300" w:type="dxa"/>
            <w:vAlign w:val="bottom"/>
          </w:tcPr>
          <w:p w14:paraId="6092F7EE" w14:textId="77777777" w:rsidR="001C2B2C" w:rsidRDefault="001C2B2C" w:rsidP="00B322A7">
            <w:pPr>
              <w:jc w:val="right"/>
              <w:rPr>
                <w:b/>
                <w:bCs/>
                <w:sz w:val="18"/>
                <w:szCs w:val="18"/>
                <w:lang w:val="en-GB" w:eastAsia="en-GB"/>
              </w:rPr>
            </w:pPr>
            <w:r>
              <w:rPr>
                <w:b/>
                <w:bCs/>
                <w:sz w:val="18"/>
                <w:szCs w:val="18"/>
                <w:lang w:val="en-GB" w:eastAsia="en-GB"/>
              </w:rPr>
              <w:t>14,237</w:t>
            </w:r>
          </w:p>
        </w:tc>
        <w:tc>
          <w:tcPr>
            <w:tcW w:w="1300" w:type="dxa"/>
            <w:vAlign w:val="bottom"/>
          </w:tcPr>
          <w:p w14:paraId="013E50B0" w14:textId="77777777" w:rsidR="001C2B2C" w:rsidRDefault="001C2B2C" w:rsidP="00B322A7">
            <w:pPr>
              <w:jc w:val="right"/>
              <w:rPr>
                <w:b/>
                <w:bCs/>
                <w:sz w:val="18"/>
                <w:szCs w:val="18"/>
                <w:lang w:val="en-GB" w:eastAsia="en-GB"/>
              </w:rPr>
            </w:pPr>
            <w:r>
              <w:rPr>
                <w:b/>
                <w:bCs/>
                <w:sz w:val="18"/>
                <w:szCs w:val="18"/>
                <w:lang w:val="en-GB" w:eastAsia="en-GB"/>
              </w:rPr>
              <w:t>8,225</w:t>
            </w:r>
          </w:p>
        </w:tc>
        <w:tc>
          <w:tcPr>
            <w:tcW w:w="1300" w:type="dxa"/>
            <w:vAlign w:val="bottom"/>
          </w:tcPr>
          <w:p w14:paraId="4EAA20A4" w14:textId="77777777" w:rsidR="001C2B2C" w:rsidRDefault="001C2B2C" w:rsidP="00B322A7">
            <w:pPr>
              <w:jc w:val="right"/>
              <w:rPr>
                <w:b/>
                <w:bCs/>
                <w:sz w:val="18"/>
                <w:szCs w:val="18"/>
                <w:lang w:val="en-GB" w:eastAsia="en-GB"/>
              </w:rPr>
            </w:pPr>
            <w:r>
              <w:rPr>
                <w:b/>
                <w:bCs/>
                <w:sz w:val="18"/>
                <w:szCs w:val="18"/>
                <w:lang w:val="en-GB" w:eastAsia="en-GB"/>
              </w:rPr>
              <w:t>419</w:t>
            </w:r>
          </w:p>
        </w:tc>
        <w:tc>
          <w:tcPr>
            <w:tcW w:w="1300" w:type="dxa"/>
            <w:vAlign w:val="bottom"/>
          </w:tcPr>
          <w:p w14:paraId="6FB30FF7" w14:textId="77777777" w:rsidR="001C2B2C" w:rsidRDefault="001C2B2C" w:rsidP="00B322A7">
            <w:pPr>
              <w:jc w:val="right"/>
              <w:rPr>
                <w:b/>
                <w:bCs/>
                <w:sz w:val="18"/>
                <w:szCs w:val="18"/>
                <w:lang w:val="en-GB" w:eastAsia="en-GB"/>
              </w:rPr>
            </w:pPr>
            <w:r>
              <w:rPr>
                <w:b/>
                <w:bCs/>
                <w:sz w:val="18"/>
                <w:szCs w:val="18"/>
                <w:lang w:val="en-GB" w:eastAsia="en-GB"/>
              </w:rPr>
              <w:t>7,119</w:t>
            </w:r>
          </w:p>
        </w:tc>
        <w:tc>
          <w:tcPr>
            <w:tcW w:w="1300" w:type="dxa"/>
            <w:vAlign w:val="bottom"/>
          </w:tcPr>
          <w:p w14:paraId="43785A9C" w14:textId="77777777" w:rsidR="001C2B2C" w:rsidRDefault="001C2B2C" w:rsidP="00B322A7">
            <w:pPr>
              <w:jc w:val="right"/>
              <w:rPr>
                <w:b/>
                <w:bCs/>
                <w:sz w:val="18"/>
                <w:szCs w:val="18"/>
                <w:lang w:val="en-GB" w:eastAsia="en-GB"/>
              </w:rPr>
            </w:pPr>
            <w:r>
              <w:rPr>
                <w:b/>
                <w:bCs/>
                <w:sz w:val="18"/>
                <w:szCs w:val="18"/>
                <w:lang w:val="en-GB" w:eastAsia="en-GB"/>
              </w:rPr>
              <w:t>7,538</w:t>
            </w:r>
          </w:p>
        </w:tc>
        <w:tc>
          <w:tcPr>
            <w:tcW w:w="1300" w:type="dxa"/>
            <w:vAlign w:val="bottom"/>
          </w:tcPr>
          <w:p w14:paraId="7B38F174" w14:textId="77777777" w:rsidR="001C2B2C" w:rsidRDefault="001C2B2C" w:rsidP="00B322A7">
            <w:pPr>
              <w:jc w:val="right"/>
              <w:rPr>
                <w:b/>
                <w:bCs/>
                <w:sz w:val="18"/>
                <w:szCs w:val="18"/>
                <w:lang w:val="en-GB" w:eastAsia="en-GB"/>
              </w:rPr>
            </w:pPr>
            <w:r>
              <w:rPr>
                <w:b/>
                <w:bCs/>
                <w:sz w:val="18"/>
                <w:szCs w:val="18"/>
                <w:lang w:val="en-GB" w:eastAsia="en-GB"/>
              </w:rPr>
              <w:t>920</w:t>
            </w:r>
          </w:p>
        </w:tc>
      </w:tr>
      <w:tr w:rsidR="001C2B2C" w14:paraId="092C99C8" w14:textId="77777777" w:rsidTr="00B322A7">
        <w:trPr>
          <w:cantSplit/>
        </w:trPr>
        <w:tc>
          <w:tcPr>
            <w:tcW w:w="2183" w:type="dxa"/>
            <w:vAlign w:val="bottom"/>
          </w:tcPr>
          <w:p w14:paraId="0F074384" w14:textId="77777777" w:rsidR="001C2B2C" w:rsidRDefault="001C2B2C" w:rsidP="00B322A7">
            <w:pPr>
              <w:jc w:val="both"/>
              <w:rPr>
                <w:sz w:val="18"/>
                <w:szCs w:val="18"/>
                <w:lang w:val="en-GB"/>
              </w:rPr>
            </w:pPr>
            <w:r>
              <w:rPr>
                <w:sz w:val="18"/>
                <w:szCs w:val="18"/>
                <w:lang w:val="en-GB"/>
              </w:rPr>
              <w:t>Net valuation gains / (losses) on investment properties</w:t>
            </w:r>
          </w:p>
        </w:tc>
        <w:tc>
          <w:tcPr>
            <w:tcW w:w="1300" w:type="dxa"/>
            <w:vAlign w:val="bottom"/>
          </w:tcPr>
          <w:p w14:paraId="24B5DF8B" w14:textId="77777777" w:rsidR="001C2B2C" w:rsidRDefault="001C2B2C" w:rsidP="00B322A7">
            <w:pPr>
              <w:jc w:val="right"/>
              <w:rPr>
                <w:sz w:val="18"/>
                <w:szCs w:val="18"/>
                <w:lang w:val="en-GB" w:eastAsia="en-GB"/>
              </w:rPr>
            </w:pPr>
            <w:r>
              <w:rPr>
                <w:sz w:val="18"/>
                <w:szCs w:val="18"/>
                <w:lang w:val="en-GB" w:eastAsia="en-GB"/>
              </w:rPr>
              <w:t>25,585</w:t>
            </w:r>
          </w:p>
        </w:tc>
        <w:tc>
          <w:tcPr>
            <w:tcW w:w="1300" w:type="dxa"/>
            <w:vAlign w:val="bottom"/>
          </w:tcPr>
          <w:p w14:paraId="704DA100" w14:textId="77777777" w:rsidR="001C2B2C" w:rsidRDefault="001C2B2C" w:rsidP="00B322A7">
            <w:pPr>
              <w:jc w:val="right"/>
              <w:rPr>
                <w:sz w:val="18"/>
                <w:szCs w:val="18"/>
                <w:lang w:val="en-GB" w:eastAsia="en-GB"/>
              </w:rPr>
            </w:pPr>
            <w:r>
              <w:rPr>
                <w:sz w:val="18"/>
                <w:szCs w:val="18"/>
                <w:lang w:val="en-GB" w:eastAsia="en-GB"/>
              </w:rPr>
              <w:t>19,933</w:t>
            </w:r>
          </w:p>
        </w:tc>
        <w:tc>
          <w:tcPr>
            <w:tcW w:w="1300" w:type="dxa"/>
            <w:vAlign w:val="bottom"/>
          </w:tcPr>
          <w:p w14:paraId="6D265E1B" w14:textId="77777777" w:rsidR="001C2B2C" w:rsidRDefault="001C2B2C" w:rsidP="00B322A7">
            <w:pPr>
              <w:jc w:val="right"/>
              <w:rPr>
                <w:sz w:val="18"/>
                <w:szCs w:val="18"/>
                <w:lang w:val="en-GB" w:eastAsia="en-GB"/>
              </w:rPr>
            </w:pPr>
            <w:r>
              <w:rPr>
                <w:sz w:val="18"/>
                <w:szCs w:val="18"/>
                <w:lang w:val="en-GB" w:eastAsia="en-GB"/>
              </w:rPr>
              <w:t>1,017</w:t>
            </w:r>
          </w:p>
        </w:tc>
        <w:tc>
          <w:tcPr>
            <w:tcW w:w="1300" w:type="dxa"/>
            <w:vAlign w:val="bottom"/>
          </w:tcPr>
          <w:p w14:paraId="73F51B3B" w14:textId="77777777" w:rsidR="001C2B2C" w:rsidRDefault="001C2B2C" w:rsidP="00B322A7">
            <w:pPr>
              <w:jc w:val="right"/>
              <w:rPr>
                <w:sz w:val="18"/>
                <w:szCs w:val="18"/>
                <w:lang w:val="en-GB" w:eastAsia="en-GB"/>
              </w:rPr>
            </w:pPr>
            <w:r>
              <w:rPr>
                <w:sz w:val="18"/>
                <w:szCs w:val="18"/>
                <w:lang w:val="en-GB" w:eastAsia="en-GB"/>
              </w:rPr>
              <w:t>12,793</w:t>
            </w:r>
          </w:p>
        </w:tc>
        <w:tc>
          <w:tcPr>
            <w:tcW w:w="1300" w:type="dxa"/>
            <w:vAlign w:val="bottom"/>
          </w:tcPr>
          <w:p w14:paraId="1D229627" w14:textId="77777777" w:rsidR="001C2B2C" w:rsidRDefault="001C2B2C" w:rsidP="00B322A7">
            <w:pPr>
              <w:jc w:val="right"/>
              <w:rPr>
                <w:sz w:val="18"/>
                <w:szCs w:val="18"/>
                <w:lang w:val="en-GB" w:eastAsia="en-GB"/>
              </w:rPr>
            </w:pPr>
            <w:r>
              <w:rPr>
                <w:sz w:val="18"/>
                <w:szCs w:val="18"/>
                <w:lang w:val="en-GB" w:eastAsia="en-GB"/>
              </w:rPr>
              <w:t>13,809</w:t>
            </w:r>
          </w:p>
        </w:tc>
        <w:tc>
          <w:tcPr>
            <w:tcW w:w="1300" w:type="dxa"/>
            <w:vAlign w:val="bottom"/>
          </w:tcPr>
          <w:p w14:paraId="52E7296A" w14:textId="77777777" w:rsidR="001C2B2C" w:rsidRDefault="001C2B2C" w:rsidP="00B322A7">
            <w:pPr>
              <w:jc w:val="right"/>
              <w:rPr>
                <w:sz w:val="18"/>
                <w:szCs w:val="18"/>
                <w:lang w:val="en-GB" w:eastAsia="en-GB"/>
              </w:rPr>
            </w:pPr>
            <w:r>
              <w:rPr>
                <w:sz w:val="18"/>
                <w:szCs w:val="18"/>
                <w:lang w:val="en-GB" w:eastAsia="en-GB"/>
              </w:rPr>
              <w:t>(1,224)</w:t>
            </w:r>
          </w:p>
        </w:tc>
      </w:tr>
      <w:tr w:rsidR="001C2B2C" w14:paraId="1D89ABD2" w14:textId="77777777" w:rsidTr="00B322A7">
        <w:trPr>
          <w:cantSplit/>
        </w:trPr>
        <w:tc>
          <w:tcPr>
            <w:tcW w:w="2183" w:type="dxa"/>
            <w:vAlign w:val="bottom"/>
          </w:tcPr>
          <w:p w14:paraId="0F145212" w14:textId="77777777" w:rsidR="001C2B2C" w:rsidRDefault="001C2B2C" w:rsidP="00B322A7">
            <w:pPr>
              <w:jc w:val="both"/>
              <w:rPr>
                <w:sz w:val="18"/>
                <w:szCs w:val="18"/>
                <w:lang w:val="en-GB"/>
              </w:rPr>
            </w:pPr>
            <w:r>
              <w:rPr>
                <w:sz w:val="18"/>
                <w:szCs w:val="18"/>
                <w:lang w:val="en-GB"/>
              </w:rPr>
              <w:t>Administration expenses</w:t>
            </w:r>
          </w:p>
        </w:tc>
        <w:tc>
          <w:tcPr>
            <w:tcW w:w="1300" w:type="dxa"/>
            <w:vAlign w:val="bottom"/>
          </w:tcPr>
          <w:p w14:paraId="199D29CC" w14:textId="77777777" w:rsidR="001C2B2C" w:rsidRDefault="001C2B2C" w:rsidP="00B322A7">
            <w:pPr>
              <w:jc w:val="right"/>
              <w:rPr>
                <w:sz w:val="18"/>
                <w:szCs w:val="18"/>
                <w:lang w:val="en-GB" w:eastAsia="en-GB"/>
              </w:rPr>
            </w:pPr>
            <w:r>
              <w:rPr>
                <w:sz w:val="18"/>
                <w:szCs w:val="18"/>
                <w:lang w:val="en-GB" w:eastAsia="en-GB"/>
              </w:rPr>
              <w:t>(600)</w:t>
            </w:r>
          </w:p>
        </w:tc>
        <w:tc>
          <w:tcPr>
            <w:tcW w:w="1300" w:type="dxa"/>
            <w:vAlign w:val="bottom"/>
          </w:tcPr>
          <w:p w14:paraId="3D5945DC" w14:textId="77777777" w:rsidR="001C2B2C" w:rsidRDefault="001C2B2C" w:rsidP="00B322A7">
            <w:pPr>
              <w:jc w:val="right"/>
              <w:rPr>
                <w:sz w:val="18"/>
                <w:szCs w:val="18"/>
                <w:lang w:val="en-GB" w:eastAsia="en-GB"/>
              </w:rPr>
            </w:pPr>
            <w:r>
              <w:rPr>
                <w:sz w:val="18"/>
                <w:szCs w:val="18"/>
                <w:lang w:val="en-GB" w:eastAsia="en-GB"/>
              </w:rPr>
              <w:t>(243)</w:t>
            </w:r>
          </w:p>
        </w:tc>
        <w:tc>
          <w:tcPr>
            <w:tcW w:w="1300" w:type="dxa"/>
            <w:vAlign w:val="bottom"/>
          </w:tcPr>
          <w:p w14:paraId="24D9DF17" w14:textId="77777777" w:rsidR="001C2B2C" w:rsidRDefault="001C2B2C" w:rsidP="00B322A7">
            <w:pPr>
              <w:jc w:val="right"/>
              <w:rPr>
                <w:sz w:val="18"/>
                <w:szCs w:val="18"/>
                <w:lang w:val="en-GB" w:eastAsia="en-GB"/>
              </w:rPr>
            </w:pPr>
            <w:r>
              <w:rPr>
                <w:sz w:val="18"/>
                <w:szCs w:val="18"/>
                <w:lang w:val="en-GB" w:eastAsia="en-GB"/>
              </w:rPr>
              <w:t>(12)</w:t>
            </w:r>
          </w:p>
        </w:tc>
        <w:tc>
          <w:tcPr>
            <w:tcW w:w="1300" w:type="dxa"/>
            <w:vAlign w:val="bottom"/>
          </w:tcPr>
          <w:p w14:paraId="55504AD9" w14:textId="77777777" w:rsidR="001C2B2C" w:rsidRDefault="001C2B2C" w:rsidP="00B322A7">
            <w:pPr>
              <w:jc w:val="right"/>
              <w:rPr>
                <w:sz w:val="18"/>
                <w:szCs w:val="18"/>
                <w:lang w:val="en-GB" w:eastAsia="en-GB"/>
              </w:rPr>
            </w:pPr>
            <w:r>
              <w:rPr>
                <w:sz w:val="18"/>
                <w:szCs w:val="18"/>
                <w:lang w:val="en-GB" w:eastAsia="en-GB"/>
              </w:rPr>
              <w:t>(300)</w:t>
            </w:r>
          </w:p>
        </w:tc>
        <w:tc>
          <w:tcPr>
            <w:tcW w:w="1300" w:type="dxa"/>
            <w:vAlign w:val="bottom"/>
          </w:tcPr>
          <w:p w14:paraId="04544A57" w14:textId="77777777" w:rsidR="001C2B2C" w:rsidRDefault="001C2B2C" w:rsidP="00B322A7">
            <w:pPr>
              <w:jc w:val="right"/>
              <w:rPr>
                <w:sz w:val="18"/>
                <w:szCs w:val="18"/>
                <w:lang w:val="en-GB" w:eastAsia="en-GB"/>
              </w:rPr>
            </w:pPr>
            <w:r>
              <w:rPr>
                <w:sz w:val="18"/>
                <w:szCs w:val="18"/>
                <w:lang w:val="en-GB" w:eastAsia="en-GB"/>
              </w:rPr>
              <w:t>(312)</w:t>
            </w:r>
          </w:p>
        </w:tc>
        <w:tc>
          <w:tcPr>
            <w:tcW w:w="1300" w:type="dxa"/>
            <w:vAlign w:val="bottom"/>
          </w:tcPr>
          <w:p w14:paraId="30B4A779" w14:textId="77777777" w:rsidR="001C2B2C" w:rsidRDefault="001C2B2C" w:rsidP="00B322A7">
            <w:pPr>
              <w:jc w:val="right"/>
              <w:rPr>
                <w:sz w:val="18"/>
                <w:szCs w:val="18"/>
                <w:lang w:val="en-GB" w:eastAsia="en-GB"/>
              </w:rPr>
            </w:pPr>
            <w:r>
              <w:rPr>
                <w:sz w:val="18"/>
                <w:szCs w:val="18"/>
                <w:lang w:val="en-GB" w:eastAsia="en-GB"/>
              </w:rPr>
              <w:t>(71)</w:t>
            </w:r>
          </w:p>
        </w:tc>
      </w:tr>
      <w:tr w:rsidR="001C2B2C" w14:paraId="3E35C68C" w14:textId="77777777" w:rsidTr="00B322A7">
        <w:trPr>
          <w:cantSplit/>
        </w:trPr>
        <w:tc>
          <w:tcPr>
            <w:tcW w:w="2183" w:type="dxa"/>
            <w:vAlign w:val="bottom"/>
          </w:tcPr>
          <w:p w14:paraId="4591491E" w14:textId="77777777" w:rsidR="001C2B2C" w:rsidRDefault="001C2B2C" w:rsidP="00B322A7">
            <w:pPr>
              <w:jc w:val="both"/>
              <w:rPr>
                <w:sz w:val="18"/>
                <w:szCs w:val="18"/>
                <w:lang w:val="en-GB"/>
              </w:rPr>
            </w:pPr>
            <w:r>
              <w:rPr>
                <w:sz w:val="18"/>
                <w:szCs w:val="18"/>
                <w:lang w:val="en-GB"/>
              </w:rPr>
              <w:t>Other income / (expenses) (net)</w:t>
            </w:r>
          </w:p>
        </w:tc>
        <w:tc>
          <w:tcPr>
            <w:tcW w:w="1300" w:type="dxa"/>
            <w:vAlign w:val="bottom"/>
          </w:tcPr>
          <w:p w14:paraId="71AED5B8" w14:textId="77777777" w:rsidR="001C2B2C" w:rsidRDefault="001C2B2C" w:rsidP="00B322A7">
            <w:pPr>
              <w:jc w:val="right"/>
              <w:rPr>
                <w:sz w:val="18"/>
                <w:szCs w:val="18"/>
                <w:lang w:val="en-GB" w:eastAsia="en-GB"/>
              </w:rPr>
            </w:pPr>
            <w:r>
              <w:rPr>
                <w:sz w:val="18"/>
                <w:szCs w:val="18"/>
                <w:lang w:val="en-GB" w:eastAsia="en-GB"/>
              </w:rPr>
              <w:t>(995)</w:t>
            </w:r>
          </w:p>
        </w:tc>
        <w:tc>
          <w:tcPr>
            <w:tcW w:w="1300" w:type="dxa"/>
            <w:vAlign w:val="bottom"/>
          </w:tcPr>
          <w:p w14:paraId="5B49DB2B" w14:textId="77777777" w:rsidR="001C2B2C" w:rsidRDefault="001C2B2C" w:rsidP="00B322A7">
            <w:pPr>
              <w:jc w:val="right"/>
              <w:rPr>
                <w:sz w:val="18"/>
                <w:szCs w:val="18"/>
                <w:lang w:val="en-GB" w:eastAsia="en-GB"/>
              </w:rPr>
            </w:pPr>
            <w:r>
              <w:rPr>
                <w:sz w:val="18"/>
                <w:szCs w:val="18"/>
                <w:lang w:val="en-GB" w:eastAsia="en-GB"/>
              </w:rPr>
              <w:t>36</w:t>
            </w:r>
          </w:p>
        </w:tc>
        <w:tc>
          <w:tcPr>
            <w:tcW w:w="1300" w:type="dxa"/>
            <w:vAlign w:val="bottom"/>
          </w:tcPr>
          <w:p w14:paraId="3B69ED0B" w14:textId="77777777" w:rsidR="001C2B2C" w:rsidRDefault="001C2B2C" w:rsidP="00B322A7">
            <w:pPr>
              <w:jc w:val="right"/>
              <w:rPr>
                <w:sz w:val="18"/>
                <w:szCs w:val="18"/>
                <w:lang w:val="en-GB" w:eastAsia="en-GB"/>
              </w:rPr>
            </w:pPr>
            <w:r>
              <w:rPr>
                <w:sz w:val="18"/>
                <w:szCs w:val="18"/>
                <w:lang w:val="en-GB" w:eastAsia="en-GB"/>
              </w:rPr>
              <w:t>1</w:t>
            </w:r>
          </w:p>
        </w:tc>
        <w:tc>
          <w:tcPr>
            <w:tcW w:w="1300" w:type="dxa"/>
            <w:vAlign w:val="bottom"/>
          </w:tcPr>
          <w:p w14:paraId="69B79277" w14:textId="77777777" w:rsidR="001C2B2C" w:rsidRDefault="001C2B2C" w:rsidP="00B322A7">
            <w:pPr>
              <w:jc w:val="right"/>
              <w:rPr>
                <w:sz w:val="18"/>
                <w:szCs w:val="18"/>
                <w:lang w:val="en-GB" w:eastAsia="en-GB"/>
              </w:rPr>
            </w:pPr>
            <w:r>
              <w:rPr>
                <w:sz w:val="18"/>
                <w:szCs w:val="18"/>
                <w:lang w:val="en-GB" w:eastAsia="en-GB"/>
              </w:rPr>
              <w:t>(498)</w:t>
            </w:r>
          </w:p>
        </w:tc>
        <w:tc>
          <w:tcPr>
            <w:tcW w:w="1300" w:type="dxa"/>
            <w:vAlign w:val="bottom"/>
          </w:tcPr>
          <w:p w14:paraId="427AC668" w14:textId="77777777" w:rsidR="001C2B2C" w:rsidRDefault="001C2B2C" w:rsidP="00B322A7">
            <w:pPr>
              <w:jc w:val="right"/>
              <w:rPr>
                <w:sz w:val="18"/>
                <w:szCs w:val="18"/>
                <w:lang w:val="en-GB" w:eastAsia="en-GB"/>
              </w:rPr>
            </w:pPr>
            <w:r>
              <w:rPr>
                <w:sz w:val="18"/>
                <w:szCs w:val="18"/>
                <w:lang w:val="en-GB" w:eastAsia="en-GB"/>
              </w:rPr>
              <w:t>(497)</w:t>
            </w:r>
          </w:p>
        </w:tc>
        <w:tc>
          <w:tcPr>
            <w:tcW w:w="1300" w:type="dxa"/>
            <w:vAlign w:val="bottom"/>
          </w:tcPr>
          <w:p w14:paraId="7B1A6230" w14:textId="77777777" w:rsidR="001C2B2C" w:rsidRDefault="001C2B2C" w:rsidP="00B322A7">
            <w:pPr>
              <w:jc w:val="right"/>
              <w:rPr>
                <w:sz w:val="18"/>
                <w:szCs w:val="18"/>
                <w:lang w:val="en-GB" w:eastAsia="en-GB"/>
              </w:rPr>
            </w:pPr>
            <w:r>
              <w:rPr>
                <w:sz w:val="18"/>
                <w:szCs w:val="18"/>
                <w:lang w:val="en-GB" w:eastAsia="en-GB"/>
              </w:rPr>
              <w:t>(5)</w:t>
            </w:r>
          </w:p>
        </w:tc>
      </w:tr>
      <w:tr w:rsidR="001C2B2C" w14:paraId="5A5F4320" w14:textId="77777777" w:rsidTr="00B322A7">
        <w:trPr>
          <w:cantSplit/>
        </w:trPr>
        <w:tc>
          <w:tcPr>
            <w:tcW w:w="2183" w:type="dxa"/>
            <w:vAlign w:val="bottom"/>
          </w:tcPr>
          <w:p w14:paraId="300EAD1F" w14:textId="77777777" w:rsidR="001C2B2C" w:rsidRDefault="001C2B2C" w:rsidP="00B322A7">
            <w:pPr>
              <w:jc w:val="both"/>
              <w:rPr>
                <w:b/>
                <w:bCs/>
                <w:sz w:val="18"/>
                <w:szCs w:val="18"/>
                <w:lang w:val="en-GB"/>
              </w:rPr>
            </w:pPr>
            <w:r>
              <w:rPr>
                <w:b/>
                <w:bCs/>
                <w:sz w:val="18"/>
                <w:szCs w:val="18"/>
                <w:lang w:val="en-GB"/>
              </w:rPr>
              <w:t>Operating profit / (loss)</w:t>
            </w:r>
          </w:p>
        </w:tc>
        <w:tc>
          <w:tcPr>
            <w:tcW w:w="1300" w:type="dxa"/>
            <w:vAlign w:val="bottom"/>
          </w:tcPr>
          <w:p w14:paraId="3E1443F2" w14:textId="77777777" w:rsidR="001C2B2C" w:rsidRDefault="001C2B2C" w:rsidP="00B322A7">
            <w:pPr>
              <w:tabs>
                <w:tab w:val="left" w:pos="872"/>
              </w:tabs>
              <w:jc w:val="right"/>
              <w:rPr>
                <w:b/>
                <w:bCs/>
                <w:sz w:val="18"/>
                <w:szCs w:val="18"/>
                <w:lang w:val="en-GB" w:eastAsia="en-GB"/>
              </w:rPr>
            </w:pPr>
            <w:r>
              <w:rPr>
                <w:b/>
                <w:bCs/>
                <w:sz w:val="18"/>
                <w:szCs w:val="18"/>
                <w:lang w:val="en-GB" w:eastAsia="en-GB"/>
              </w:rPr>
              <w:t>38,227</w:t>
            </w:r>
          </w:p>
        </w:tc>
        <w:tc>
          <w:tcPr>
            <w:tcW w:w="1300" w:type="dxa"/>
            <w:vAlign w:val="bottom"/>
          </w:tcPr>
          <w:p w14:paraId="2A7F71E8" w14:textId="77777777" w:rsidR="001C2B2C" w:rsidRDefault="001C2B2C" w:rsidP="00B322A7">
            <w:pPr>
              <w:jc w:val="right"/>
              <w:rPr>
                <w:b/>
                <w:bCs/>
                <w:sz w:val="18"/>
                <w:szCs w:val="18"/>
                <w:lang w:val="en-GB" w:eastAsia="en-GB"/>
              </w:rPr>
            </w:pPr>
            <w:r>
              <w:rPr>
                <w:b/>
                <w:bCs/>
                <w:sz w:val="18"/>
                <w:szCs w:val="18"/>
                <w:lang w:val="en-GB" w:eastAsia="en-GB"/>
              </w:rPr>
              <w:t>27,951</w:t>
            </w:r>
          </w:p>
        </w:tc>
        <w:tc>
          <w:tcPr>
            <w:tcW w:w="1300" w:type="dxa"/>
            <w:vAlign w:val="bottom"/>
          </w:tcPr>
          <w:p w14:paraId="7641A6B2" w14:textId="77777777" w:rsidR="001C2B2C" w:rsidRDefault="001C2B2C" w:rsidP="00B322A7">
            <w:pPr>
              <w:jc w:val="right"/>
              <w:rPr>
                <w:b/>
                <w:bCs/>
                <w:sz w:val="18"/>
                <w:szCs w:val="18"/>
                <w:lang w:val="en-GB" w:eastAsia="en-GB"/>
              </w:rPr>
            </w:pPr>
            <w:r>
              <w:rPr>
                <w:b/>
                <w:bCs/>
                <w:sz w:val="18"/>
                <w:szCs w:val="18"/>
                <w:lang w:val="en-GB" w:eastAsia="en-GB"/>
              </w:rPr>
              <w:t>1,425</w:t>
            </w:r>
          </w:p>
        </w:tc>
        <w:tc>
          <w:tcPr>
            <w:tcW w:w="1300" w:type="dxa"/>
            <w:vAlign w:val="bottom"/>
          </w:tcPr>
          <w:p w14:paraId="4FA4FD90" w14:textId="77777777" w:rsidR="001C2B2C" w:rsidRDefault="001C2B2C" w:rsidP="00B322A7">
            <w:pPr>
              <w:jc w:val="right"/>
              <w:rPr>
                <w:b/>
                <w:bCs/>
                <w:sz w:val="18"/>
                <w:szCs w:val="18"/>
                <w:lang w:val="en-GB" w:eastAsia="en-GB"/>
              </w:rPr>
            </w:pPr>
            <w:r>
              <w:rPr>
                <w:b/>
                <w:bCs/>
                <w:sz w:val="18"/>
                <w:szCs w:val="18"/>
                <w:lang w:val="en-GB" w:eastAsia="en-GB"/>
              </w:rPr>
              <w:t>19,114</w:t>
            </w:r>
          </w:p>
        </w:tc>
        <w:tc>
          <w:tcPr>
            <w:tcW w:w="1300" w:type="dxa"/>
            <w:vAlign w:val="bottom"/>
          </w:tcPr>
          <w:p w14:paraId="07A063BE" w14:textId="77777777" w:rsidR="001C2B2C" w:rsidRDefault="001C2B2C" w:rsidP="00B322A7">
            <w:pPr>
              <w:jc w:val="right"/>
              <w:rPr>
                <w:b/>
                <w:bCs/>
                <w:sz w:val="18"/>
                <w:szCs w:val="18"/>
                <w:lang w:val="en-GB" w:eastAsia="en-GB"/>
              </w:rPr>
            </w:pPr>
            <w:r>
              <w:rPr>
                <w:b/>
                <w:bCs/>
                <w:sz w:val="18"/>
                <w:szCs w:val="18"/>
                <w:lang w:val="en-GB" w:eastAsia="en-GB"/>
              </w:rPr>
              <w:t>20,538</w:t>
            </w:r>
          </w:p>
        </w:tc>
        <w:tc>
          <w:tcPr>
            <w:tcW w:w="1300" w:type="dxa"/>
            <w:vAlign w:val="bottom"/>
          </w:tcPr>
          <w:p w14:paraId="2F1F2F1D" w14:textId="77777777" w:rsidR="001C2B2C" w:rsidRDefault="001C2B2C" w:rsidP="00B322A7">
            <w:pPr>
              <w:jc w:val="right"/>
              <w:rPr>
                <w:b/>
                <w:bCs/>
                <w:sz w:val="18"/>
                <w:szCs w:val="18"/>
                <w:lang w:val="en-GB" w:eastAsia="en-GB"/>
              </w:rPr>
            </w:pPr>
            <w:r>
              <w:rPr>
                <w:b/>
                <w:bCs/>
                <w:sz w:val="18"/>
                <w:szCs w:val="18"/>
                <w:lang w:val="en-GB" w:eastAsia="en-GB"/>
              </w:rPr>
              <w:t>(370)</w:t>
            </w:r>
          </w:p>
        </w:tc>
      </w:tr>
      <w:tr w:rsidR="001C2B2C" w14:paraId="09FB77DE" w14:textId="77777777" w:rsidTr="00B322A7">
        <w:trPr>
          <w:cantSplit/>
        </w:trPr>
        <w:tc>
          <w:tcPr>
            <w:tcW w:w="2183" w:type="dxa"/>
            <w:vAlign w:val="bottom"/>
          </w:tcPr>
          <w:p w14:paraId="139F096E" w14:textId="77777777" w:rsidR="001C2B2C" w:rsidRDefault="001C2B2C" w:rsidP="00B322A7">
            <w:pPr>
              <w:jc w:val="both"/>
              <w:rPr>
                <w:sz w:val="18"/>
                <w:szCs w:val="18"/>
                <w:lang w:val="en-GB"/>
              </w:rPr>
            </w:pPr>
            <w:r>
              <w:rPr>
                <w:sz w:val="18"/>
                <w:szCs w:val="18"/>
                <w:lang w:val="en-GB"/>
              </w:rPr>
              <w:t>Financial income</w:t>
            </w:r>
          </w:p>
        </w:tc>
        <w:tc>
          <w:tcPr>
            <w:tcW w:w="1300" w:type="dxa"/>
            <w:vAlign w:val="bottom"/>
          </w:tcPr>
          <w:p w14:paraId="57397C87" w14:textId="77777777" w:rsidR="001C2B2C" w:rsidRDefault="001C2B2C" w:rsidP="00B322A7">
            <w:pPr>
              <w:jc w:val="right"/>
              <w:rPr>
                <w:sz w:val="18"/>
                <w:szCs w:val="18"/>
                <w:lang w:val="en-GB" w:eastAsia="en-GB"/>
              </w:rPr>
            </w:pPr>
            <w:r>
              <w:rPr>
                <w:sz w:val="18"/>
                <w:szCs w:val="18"/>
                <w:lang w:val="en-GB" w:eastAsia="en-GB"/>
              </w:rPr>
              <w:t>2,235</w:t>
            </w:r>
          </w:p>
        </w:tc>
        <w:tc>
          <w:tcPr>
            <w:tcW w:w="1300" w:type="dxa"/>
            <w:vAlign w:val="bottom"/>
          </w:tcPr>
          <w:p w14:paraId="536B3064" w14:textId="77777777" w:rsidR="001C2B2C" w:rsidRDefault="001C2B2C" w:rsidP="00B322A7">
            <w:pPr>
              <w:jc w:val="right"/>
              <w:rPr>
                <w:sz w:val="18"/>
                <w:szCs w:val="18"/>
                <w:lang w:val="en-GB" w:eastAsia="en-GB"/>
              </w:rPr>
            </w:pPr>
            <w:r>
              <w:rPr>
                <w:sz w:val="18"/>
                <w:szCs w:val="18"/>
                <w:lang w:val="en-GB" w:eastAsia="en-GB"/>
              </w:rPr>
              <w:t>(343)</w:t>
            </w:r>
          </w:p>
        </w:tc>
        <w:tc>
          <w:tcPr>
            <w:tcW w:w="1300" w:type="dxa"/>
            <w:vAlign w:val="bottom"/>
          </w:tcPr>
          <w:p w14:paraId="522C5501" w14:textId="77777777" w:rsidR="001C2B2C" w:rsidRDefault="001C2B2C" w:rsidP="00B322A7">
            <w:pPr>
              <w:jc w:val="right"/>
              <w:rPr>
                <w:sz w:val="18"/>
                <w:szCs w:val="18"/>
                <w:lang w:val="en-GB" w:eastAsia="en-GB"/>
              </w:rPr>
            </w:pPr>
            <w:r>
              <w:rPr>
                <w:sz w:val="18"/>
                <w:szCs w:val="18"/>
                <w:lang w:val="en-GB" w:eastAsia="en-GB"/>
              </w:rPr>
              <w:t>(16)</w:t>
            </w:r>
          </w:p>
        </w:tc>
        <w:tc>
          <w:tcPr>
            <w:tcW w:w="1300" w:type="dxa"/>
            <w:vAlign w:val="bottom"/>
          </w:tcPr>
          <w:p w14:paraId="09C5D7B1" w14:textId="77777777" w:rsidR="001C2B2C" w:rsidRDefault="001C2B2C" w:rsidP="00B322A7">
            <w:pPr>
              <w:jc w:val="right"/>
              <w:rPr>
                <w:sz w:val="18"/>
                <w:szCs w:val="18"/>
                <w:lang w:val="en-GB" w:eastAsia="en-GB"/>
              </w:rPr>
            </w:pPr>
            <w:r>
              <w:rPr>
                <w:sz w:val="18"/>
                <w:szCs w:val="18"/>
                <w:lang w:val="en-GB" w:eastAsia="en-GB"/>
              </w:rPr>
              <w:t>1,118</w:t>
            </w:r>
          </w:p>
        </w:tc>
        <w:tc>
          <w:tcPr>
            <w:tcW w:w="1300" w:type="dxa"/>
            <w:vAlign w:val="bottom"/>
          </w:tcPr>
          <w:p w14:paraId="05F049FE" w14:textId="77777777" w:rsidR="001C2B2C" w:rsidRDefault="001C2B2C" w:rsidP="00B322A7">
            <w:pPr>
              <w:jc w:val="right"/>
              <w:rPr>
                <w:sz w:val="18"/>
                <w:szCs w:val="18"/>
                <w:lang w:val="en-GB" w:eastAsia="en-GB"/>
              </w:rPr>
            </w:pPr>
            <w:r>
              <w:rPr>
                <w:sz w:val="18"/>
                <w:szCs w:val="18"/>
                <w:lang w:val="en-GB" w:eastAsia="en-GB"/>
              </w:rPr>
              <w:t>1,101</w:t>
            </w:r>
          </w:p>
        </w:tc>
        <w:tc>
          <w:tcPr>
            <w:tcW w:w="1300" w:type="dxa"/>
            <w:vAlign w:val="bottom"/>
          </w:tcPr>
          <w:p w14:paraId="6E533A96" w14:textId="77777777" w:rsidR="001C2B2C" w:rsidRDefault="001C2B2C" w:rsidP="00B322A7">
            <w:pPr>
              <w:jc w:val="right"/>
              <w:rPr>
                <w:sz w:val="18"/>
                <w:szCs w:val="18"/>
                <w:lang w:val="en-GB" w:eastAsia="en-GB"/>
              </w:rPr>
            </w:pPr>
            <w:r>
              <w:rPr>
                <w:sz w:val="18"/>
                <w:szCs w:val="18"/>
                <w:lang w:val="en-GB" w:eastAsia="en-GB"/>
              </w:rPr>
              <w:t>80</w:t>
            </w:r>
          </w:p>
        </w:tc>
      </w:tr>
      <w:tr w:rsidR="001C2B2C" w14:paraId="304AFB63" w14:textId="77777777" w:rsidTr="00B322A7">
        <w:trPr>
          <w:cantSplit/>
        </w:trPr>
        <w:tc>
          <w:tcPr>
            <w:tcW w:w="2183" w:type="dxa"/>
            <w:vAlign w:val="bottom"/>
          </w:tcPr>
          <w:p w14:paraId="0F323E5E" w14:textId="77777777" w:rsidR="001C2B2C" w:rsidRDefault="001C2B2C" w:rsidP="00B322A7">
            <w:pPr>
              <w:jc w:val="both"/>
              <w:rPr>
                <w:sz w:val="18"/>
                <w:szCs w:val="18"/>
                <w:lang w:val="en-GB"/>
              </w:rPr>
            </w:pPr>
            <w:r>
              <w:rPr>
                <w:sz w:val="18"/>
                <w:szCs w:val="18"/>
                <w:lang w:val="en-GB"/>
              </w:rPr>
              <w:t>Financial expenses</w:t>
            </w:r>
          </w:p>
        </w:tc>
        <w:tc>
          <w:tcPr>
            <w:tcW w:w="1300" w:type="dxa"/>
            <w:vAlign w:val="bottom"/>
          </w:tcPr>
          <w:p w14:paraId="158F50E7" w14:textId="77777777" w:rsidR="001C2B2C" w:rsidRDefault="001C2B2C" w:rsidP="00B322A7">
            <w:pPr>
              <w:jc w:val="right"/>
              <w:rPr>
                <w:sz w:val="18"/>
                <w:szCs w:val="18"/>
                <w:lang w:val="en-GB" w:eastAsia="en-GB"/>
              </w:rPr>
            </w:pPr>
            <w:r>
              <w:rPr>
                <w:sz w:val="18"/>
                <w:szCs w:val="18"/>
                <w:lang w:val="en-GB" w:eastAsia="en-GB"/>
              </w:rPr>
              <w:t>(5,948)</w:t>
            </w:r>
          </w:p>
        </w:tc>
        <w:tc>
          <w:tcPr>
            <w:tcW w:w="1300" w:type="dxa"/>
            <w:vAlign w:val="bottom"/>
          </w:tcPr>
          <w:p w14:paraId="361F5C99" w14:textId="77777777" w:rsidR="001C2B2C" w:rsidRDefault="001C2B2C" w:rsidP="00B322A7">
            <w:pPr>
              <w:jc w:val="right"/>
              <w:rPr>
                <w:sz w:val="18"/>
                <w:szCs w:val="18"/>
                <w:lang w:val="en-GB" w:eastAsia="en-GB"/>
              </w:rPr>
            </w:pPr>
            <w:r>
              <w:rPr>
                <w:sz w:val="18"/>
                <w:szCs w:val="18"/>
                <w:lang w:val="en-GB" w:eastAsia="en-GB"/>
              </w:rPr>
              <w:t>(3,295)</w:t>
            </w:r>
          </w:p>
        </w:tc>
        <w:tc>
          <w:tcPr>
            <w:tcW w:w="1300" w:type="dxa"/>
            <w:vAlign w:val="bottom"/>
          </w:tcPr>
          <w:p w14:paraId="6C3039A3" w14:textId="77777777" w:rsidR="001C2B2C" w:rsidRDefault="001C2B2C" w:rsidP="00B322A7">
            <w:pPr>
              <w:jc w:val="right"/>
              <w:rPr>
                <w:sz w:val="18"/>
                <w:szCs w:val="18"/>
                <w:lang w:val="en-GB" w:eastAsia="en-GB"/>
              </w:rPr>
            </w:pPr>
            <w:r>
              <w:rPr>
                <w:sz w:val="18"/>
                <w:szCs w:val="18"/>
                <w:lang w:val="en-GB" w:eastAsia="en-GB"/>
              </w:rPr>
              <w:t>(168)</w:t>
            </w:r>
          </w:p>
        </w:tc>
        <w:tc>
          <w:tcPr>
            <w:tcW w:w="1300" w:type="dxa"/>
            <w:vAlign w:val="bottom"/>
          </w:tcPr>
          <w:p w14:paraId="11201D2D" w14:textId="77777777" w:rsidR="001C2B2C" w:rsidRDefault="001C2B2C" w:rsidP="00B322A7">
            <w:pPr>
              <w:jc w:val="right"/>
              <w:rPr>
                <w:sz w:val="18"/>
                <w:szCs w:val="18"/>
                <w:lang w:val="en-GB" w:eastAsia="en-GB"/>
              </w:rPr>
            </w:pPr>
            <w:r>
              <w:rPr>
                <w:sz w:val="18"/>
                <w:szCs w:val="18"/>
                <w:lang w:val="en-GB" w:eastAsia="en-GB"/>
              </w:rPr>
              <w:t>(2,974)</w:t>
            </w:r>
          </w:p>
        </w:tc>
        <w:tc>
          <w:tcPr>
            <w:tcW w:w="1300" w:type="dxa"/>
            <w:vAlign w:val="bottom"/>
          </w:tcPr>
          <w:p w14:paraId="180BFDAC" w14:textId="77777777" w:rsidR="001C2B2C" w:rsidRDefault="001C2B2C" w:rsidP="00B322A7">
            <w:pPr>
              <w:jc w:val="right"/>
              <w:rPr>
                <w:sz w:val="18"/>
                <w:szCs w:val="18"/>
                <w:lang w:val="en-GB" w:eastAsia="en-GB"/>
              </w:rPr>
            </w:pPr>
            <w:r>
              <w:rPr>
                <w:sz w:val="18"/>
                <w:szCs w:val="18"/>
                <w:lang w:val="en-GB" w:eastAsia="en-GB"/>
              </w:rPr>
              <w:t>(3,142)</w:t>
            </w:r>
          </w:p>
        </w:tc>
        <w:tc>
          <w:tcPr>
            <w:tcW w:w="1300" w:type="dxa"/>
            <w:vAlign w:val="bottom"/>
          </w:tcPr>
          <w:p w14:paraId="1F0F7D6A" w14:textId="77777777" w:rsidR="001C2B2C" w:rsidRDefault="001C2B2C" w:rsidP="00B322A7">
            <w:pPr>
              <w:jc w:val="right"/>
              <w:rPr>
                <w:sz w:val="18"/>
                <w:szCs w:val="18"/>
                <w:lang w:val="en-GB" w:eastAsia="en-GB"/>
              </w:rPr>
            </w:pPr>
            <w:r>
              <w:rPr>
                <w:sz w:val="18"/>
                <w:szCs w:val="18"/>
                <w:lang w:val="en-GB" w:eastAsia="en-GB"/>
              </w:rPr>
              <w:t>(3,420)</w:t>
            </w:r>
          </w:p>
        </w:tc>
      </w:tr>
      <w:tr w:rsidR="001C2B2C" w14:paraId="09177E66" w14:textId="77777777" w:rsidTr="00B322A7">
        <w:trPr>
          <w:cantSplit/>
        </w:trPr>
        <w:tc>
          <w:tcPr>
            <w:tcW w:w="2183" w:type="dxa"/>
            <w:vAlign w:val="bottom"/>
          </w:tcPr>
          <w:p w14:paraId="479AE16D" w14:textId="77777777" w:rsidR="001C2B2C" w:rsidRDefault="001C2B2C" w:rsidP="00B322A7">
            <w:pPr>
              <w:jc w:val="both"/>
              <w:rPr>
                <w:b/>
                <w:bCs/>
                <w:sz w:val="18"/>
                <w:szCs w:val="18"/>
                <w:lang w:val="en-GB"/>
              </w:rPr>
            </w:pPr>
            <w:r>
              <w:rPr>
                <w:b/>
                <w:bCs/>
                <w:sz w:val="18"/>
                <w:szCs w:val="18"/>
                <w:lang w:val="en-GB"/>
              </w:rPr>
              <w:t>Net financial result</w:t>
            </w:r>
          </w:p>
        </w:tc>
        <w:tc>
          <w:tcPr>
            <w:tcW w:w="1300" w:type="dxa"/>
            <w:vAlign w:val="bottom"/>
          </w:tcPr>
          <w:p w14:paraId="1BC6F1FC" w14:textId="77777777" w:rsidR="001C2B2C" w:rsidRDefault="001C2B2C" w:rsidP="00B322A7">
            <w:pPr>
              <w:jc w:val="right"/>
              <w:rPr>
                <w:b/>
                <w:bCs/>
                <w:sz w:val="18"/>
                <w:szCs w:val="18"/>
                <w:lang w:val="en-GB" w:eastAsia="en-GB"/>
              </w:rPr>
            </w:pPr>
            <w:r>
              <w:rPr>
                <w:b/>
                <w:bCs/>
                <w:sz w:val="18"/>
                <w:szCs w:val="18"/>
                <w:lang w:val="en-GB" w:eastAsia="en-GB"/>
              </w:rPr>
              <w:t>(3,713)</w:t>
            </w:r>
          </w:p>
        </w:tc>
        <w:tc>
          <w:tcPr>
            <w:tcW w:w="1300" w:type="dxa"/>
            <w:vAlign w:val="bottom"/>
          </w:tcPr>
          <w:p w14:paraId="3A3E0CCA" w14:textId="77777777" w:rsidR="001C2B2C" w:rsidRDefault="001C2B2C" w:rsidP="00B322A7">
            <w:pPr>
              <w:jc w:val="right"/>
              <w:rPr>
                <w:b/>
                <w:bCs/>
                <w:sz w:val="18"/>
                <w:szCs w:val="18"/>
                <w:lang w:val="en-GB" w:eastAsia="en-GB"/>
              </w:rPr>
            </w:pPr>
            <w:r>
              <w:rPr>
                <w:b/>
                <w:bCs/>
                <w:sz w:val="18"/>
                <w:szCs w:val="18"/>
                <w:lang w:val="en-GB" w:eastAsia="en-GB"/>
              </w:rPr>
              <w:t>(3,638)</w:t>
            </w:r>
          </w:p>
        </w:tc>
        <w:tc>
          <w:tcPr>
            <w:tcW w:w="1300" w:type="dxa"/>
            <w:vAlign w:val="bottom"/>
          </w:tcPr>
          <w:p w14:paraId="797D7CB8" w14:textId="77777777" w:rsidR="001C2B2C" w:rsidRDefault="001C2B2C" w:rsidP="00B322A7">
            <w:pPr>
              <w:jc w:val="right"/>
              <w:rPr>
                <w:b/>
                <w:bCs/>
                <w:sz w:val="18"/>
                <w:szCs w:val="18"/>
                <w:lang w:val="en-GB" w:eastAsia="en-GB"/>
              </w:rPr>
            </w:pPr>
            <w:r>
              <w:rPr>
                <w:b/>
                <w:bCs/>
                <w:sz w:val="18"/>
                <w:szCs w:val="18"/>
                <w:lang w:val="en-GB" w:eastAsia="en-GB"/>
              </w:rPr>
              <w:t>(185)</w:t>
            </w:r>
          </w:p>
        </w:tc>
        <w:tc>
          <w:tcPr>
            <w:tcW w:w="1300" w:type="dxa"/>
            <w:vAlign w:val="bottom"/>
          </w:tcPr>
          <w:p w14:paraId="5E2688CA" w14:textId="77777777" w:rsidR="001C2B2C" w:rsidRDefault="001C2B2C" w:rsidP="00B322A7">
            <w:pPr>
              <w:jc w:val="right"/>
              <w:rPr>
                <w:b/>
                <w:bCs/>
                <w:sz w:val="18"/>
                <w:szCs w:val="18"/>
                <w:lang w:val="en-GB" w:eastAsia="en-GB"/>
              </w:rPr>
            </w:pPr>
            <w:r>
              <w:rPr>
                <w:b/>
                <w:bCs/>
                <w:sz w:val="18"/>
                <w:szCs w:val="18"/>
                <w:lang w:val="en-GB" w:eastAsia="en-GB"/>
              </w:rPr>
              <w:t>(1,857)</w:t>
            </w:r>
          </w:p>
        </w:tc>
        <w:tc>
          <w:tcPr>
            <w:tcW w:w="1300" w:type="dxa"/>
            <w:vAlign w:val="bottom"/>
          </w:tcPr>
          <w:p w14:paraId="075AA798" w14:textId="77777777" w:rsidR="001C2B2C" w:rsidRDefault="001C2B2C" w:rsidP="00B322A7">
            <w:pPr>
              <w:jc w:val="right"/>
              <w:rPr>
                <w:b/>
                <w:bCs/>
                <w:sz w:val="18"/>
                <w:szCs w:val="18"/>
                <w:lang w:val="en-GB" w:eastAsia="en-GB"/>
              </w:rPr>
            </w:pPr>
            <w:r>
              <w:rPr>
                <w:b/>
                <w:bCs/>
                <w:sz w:val="18"/>
                <w:szCs w:val="18"/>
                <w:lang w:val="en-GB" w:eastAsia="en-GB"/>
              </w:rPr>
              <w:t>(2,041)</w:t>
            </w:r>
          </w:p>
        </w:tc>
        <w:tc>
          <w:tcPr>
            <w:tcW w:w="1300" w:type="dxa"/>
            <w:vAlign w:val="bottom"/>
          </w:tcPr>
          <w:p w14:paraId="3BDC2F83" w14:textId="77777777" w:rsidR="001C2B2C" w:rsidRDefault="001C2B2C" w:rsidP="00B322A7">
            <w:pPr>
              <w:jc w:val="right"/>
              <w:rPr>
                <w:b/>
                <w:bCs/>
                <w:sz w:val="18"/>
                <w:szCs w:val="18"/>
                <w:lang w:val="en-GB" w:eastAsia="en-GB"/>
              </w:rPr>
            </w:pPr>
            <w:r>
              <w:rPr>
                <w:b/>
                <w:bCs/>
                <w:sz w:val="18"/>
                <w:szCs w:val="18"/>
                <w:lang w:val="en-GB" w:eastAsia="en-GB"/>
              </w:rPr>
              <w:t>(3,339)</w:t>
            </w:r>
          </w:p>
        </w:tc>
      </w:tr>
      <w:tr w:rsidR="001C2B2C" w14:paraId="7E9E0F04" w14:textId="77777777" w:rsidTr="00B322A7">
        <w:trPr>
          <w:cantSplit/>
        </w:trPr>
        <w:tc>
          <w:tcPr>
            <w:tcW w:w="2183" w:type="dxa"/>
            <w:vAlign w:val="bottom"/>
          </w:tcPr>
          <w:p w14:paraId="6558BF4E" w14:textId="77777777" w:rsidR="001C2B2C" w:rsidRDefault="001C2B2C" w:rsidP="00B322A7">
            <w:pPr>
              <w:jc w:val="both"/>
              <w:rPr>
                <w:b/>
                <w:bCs/>
                <w:sz w:val="18"/>
                <w:szCs w:val="18"/>
                <w:lang w:val="en-GB"/>
              </w:rPr>
            </w:pPr>
            <w:r>
              <w:rPr>
                <w:b/>
                <w:bCs/>
                <w:sz w:val="18"/>
                <w:szCs w:val="18"/>
                <w:lang w:val="en-GB"/>
              </w:rPr>
              <w:t>Profit before taxes</w:t>
            </w:r>
          </w:p>
        </w:tc>
        <w:tc>
          <w:tcPr>
            <w:tcW w:w="1300" w:type="dxa"/>
            <w:vAlign w:val="bottom"/>
          </w:tcPr>
          <w:p w14:paraId="18B012A4" w14:textId="77777777" w:rsidR="001C2B2C" w:rsidRDefault="001C2B2C" w:rsidP="00B322A7">
            <w:pPr>
              <w:jc w:val="right"/>
              <w:rPr>
                <w:b/>
                <w:bCs/>
                <w:sz w:val="18"/>
                <w:szCs w:val="18"/>
                <w:lang w:val="en-GB" w:eastAsia="en-GB"/>
              </w:rPr>
            </w:pPr>
            <w:r>
              <w:rPr>
                <w:b/>
                <w:bCs/>
                <w:sz w:val="18"/>
                <w:szCs w:val="18"/>
                <w:lang w:val="en-GB" w:eastAsia="en-GB"/>
              </w:rPr>
              <w:t>34,514</w:t>
            </w:r>
          </w:p>
        </w:tc>
        <w:tc>
          <w:tcPr>
            <w:tcW w:w="1300" w:type="dxa"/>
            <w:vAlign w:val="bottom"/>
          </w:tcPr>
          <w:p w14:paraId="35C7E85C" w14:textId="77777777" w:rsidR="001C2B2C" w:rsidRDefault="001C2B2C" w:rsidP="00B322A7">
            <w:pPr>
              <w:jc w:val="right"/>
              <w:rPr>
                <w:b/>
                <w:bCs/>
                <w:sz w:val="18"/>
                <w:szCs w:val="18"/>
                <w:lang w:val="en-GB" w:eastAsia="en-GB"/>
              </w:rPr>
            </w:pPr>
            <w:r>
              <w:rPr>
                <w:b/>
                <w:bCs/>
                <w:sz w:val="18"/>
                <w:szCs w:val="18"/>
                <w:lang w:val="en-GB" w:eastAsia="en-GB"/>
              </w:rPr>
              <w:t>24,313</w:t>
            </w:r>
          </w:p>
        </w:tc>
        <w:tc>
          <w:tcPr>
            <w:tcW w:w="1300" w:type="dxa"/>
            <w:vAlign w:val="bottom"/>
          </w:tcPr>
          <w:p w14:paraId="5129CF89" w14:textId="77777777" w:rsidR="001C2B2C" w:rsidRDefault="001C2B2C" w:rsidP="00B322A7">
            <w:pPr>
              <w:jc w:val="right"/>
              <w:rPr>
                <w:b/>
                <w:bCs/>
                <w:sz w:val="18"/>
                <w:szCs w:val="18"/>
                <w:lang w:val="en-GB" w:eastAsia="en-GB"/>
              </w:rPr>
            </w:pPr>
            <w:r>
              <w:rPr>
                <w:b/>
                <w:bCs/>
                <w:sz w:val="18"/>
                <w:szCs w:val="18"/>
                <w:lang w:val="en-GB" w:eastAsia="en-GB"/>
              </w:rPr>
              <w:t>1,240</w:t>
            </w:r>
          </w:p>
        </w:tc>
        <w:tc>
          <w:tcPr>
            <w:tcW w:w="1300" w:type="dxa"/>
            <w:vAlign w:val="bottom"/>
          </w:tcPr>
          <w:p w14:paraId="4C0BAADD" w14:textId="77777777" w:rsidR="001C2B2C" w:rsidRDefault="001C2B2C" w:rsidP="00B322A7">
            <w:pPr>
              <w:jc w:val="right"/>
              <w:rPr>
                <w:b/>
                <w:bCs/>
                <w:sz w:val="18"/>
                <w:szCs w:val="18"/>
                <w:lang w:val="en-GB" w:eastAsia="en-GB"/>
              </w:rPr>
            </w:pPr>
            <w:r>
              <w:rPr>
                <w:b/>
                <w:bCs/>
                <w:sz w:val="18"/>
                <w:szCs w:val="18"/>
                <w:lang w:val="en-GB" w:eastAsia="en-GB"/>
              </w:rPr>
              <w:t>17,257</w:t>
            </w:r>
          </w:p>
        </w:tc>
        <w:tc>
          <w:tcPr>
            <w:tcW w:w="1300" w:type="dxa"/>
            <w:vAlign w:val="bottom"/>
          </w:tcPr>
          <w:p w14:paraId="76A6AFEE" w14:textId="77777777" w:rsidR="001C2B2C" w:rsidRDefault="001C2B2C" w:rsidP="00B322A7">
            <w:pPr>
              <w:jc w:val="right"/>
              <w:rPr>
                <w:b/>
                <w:bCs/>
                <w:sz w:val="18"/>
                <w:szCs w:val="18"/>
                <w:lang w:val="en-GB" w:eastAsia="en-GB"/>
              </w:rPr>
            </w:pPr>
            <w:r>
              <w:rPr>
                <w:b/>
                <w:bCs/>
                <w:sz w:val="18"/>
                <w:szCs w:val="18"/>
                <w:lang w:val="en-GB" w:eastAsia="en-GB"/>
              </w:rPr>
              <w:t>18,497</w:t>
            </w:r>
          </w:p>
        </w:tc>
        <w:tc>
          <w:tcPr>
            <w:tcW w:w="1300" w:type="dxa"/>
            <w:vAlign w:val="bottom"/>
          </w:tcPr>
          <w:p w14:paraId="73B840E2" w14:textId="77777777" w:rsidR="001C2B2C" w:rsidRDefault="001C2B2C" w:rsidP="00B322A7">
            <w:pPr>
              <w:jc w:val="right"/>
              <w:rPr>
                <w:b/>
                <w:bCs/>
                <w:sz w:val="18"/>
                <w:szCs w:val="18"/>
                <w:lang w:val="en-GB" w:eastAsia="en-GB"/>
              </w:rPr>
            </w:pPr>
            <w:r>
              <w:rPr>
                <w:b/>
                <w:bCs/>
                <w:sz w:val="18"/>
                <w:szCs w:val="18"/>
                <w:lang w:val="en-GB" w:eastAsia="en-GB"/>
              </w:rPr>
              <w:t>(3,709)</w:t>
            </w:r>
          </w:p>
        </w:tc>
      </w:tr>
      <w:tr w:rsidR="001C2B2C" w14:paraId="504BD1AB" w14:textId="77777777" w:rsidTr="00B322A7">
        <w:trPr>
          <w:cantSplit/>
        </w:trPr>
        <w:tc>
          <w:tcPr>
            <w:tcW w:w="2183" w:type="dxa"/>
            <w:vAlign w:val="bottom"/>
          </w:tcPr>
          <w:p w14:paraId="10B30278" w14:textId="77777777" w:rsidR="001C2B2C" w:rsidRDefault="001C2B2C" w:rsidP="00B322A7">
            <w:pPr>
              <w:jc w:val="both"/>
              <w:rPr>
                <w:sz w:val="18"/>
                <w:szCs w:val="18"/>
                <w:lang w:val="en-GB"/>
              </w:rPr>
            </w:pPr>
            <w:r>
              <w:rPr>
                <w:sz w:val="18"/>
                <w:szCs w:val="18"/>
                <w:lang w:val="en-GB"/>
              </w:rPr>
              <w:t>Taxes</w:t>
            </w:r>
          </w:p>
        </w:tc>
        <w:tc>
          <w:tcPr>
            <w:tcW w:w="1300" w:type="dxa"/>
            <w:vAlign w:val="bottom"/>
          </w:tcPr>
          <w:p w14:paraId="3E726C5E" w14:textId="77777777" w:rsidR="001C2B2C" w:rsidRDefault="001C2B2C" w:rsidP="00B322A7">
            <w:pPr>
              <w:jc w:val="right"/>
              <w:rPr>
                <w:sz w:val="18"/>
                <w:szCs w:val="18"/>
                <w:lang w:val="en-GB" w:eastAsia="en-GB"/>
              </w:rPr>
            </w:pPr>
            <w:r>
              <w:rPr>
                <w:sz w:val="18"/>
                <w:szCs w:val="18"/>
                <w:lang w:val="en-GB" w:eastAsia="en-GB"/>
              </w:rPr>
              <w:t>(6,277)</w:t>
            </w:r>
          </w:p>
        </w:tc>
        <w:tc>
          <w:tcPr>
            <w:tcW w:w="1300" w:type="dxa"/>
            <w:vAlign w:val="bottom"/>
          </w:tcPr>
          <w:p w14:paraId="46B42385" w14:textId="77777777" w:rsidR="001C2B2C" w:rsidRDefault="001C2B2C" w:rsidP="00B322A7">
            <w:pPr>
              <w:jc w:val="right"/>
              <w:rPr>
                <w:sz w:val="18"/>
                <w:szCs w:val="18"/>
                <w:lang w:val="en-GB" w:eastAsia="en-GB"/>
              </w:rPr>
            </w:pPr>
            <w:r>
              <w:rPr>
                <w:sz w:val="18"/>
                <w:szCs w:val="18"/>
                <w:lang w:val="en-GB" w:eastAsia="en-GB"/>
              </w:rPr>
              <w:t>(3,754)</w:t>
            </w:r>
          </w:p>
        </w:tc>
        <w:tc>
          <w:tcPr>
            <w:tcW w:w="1300" w:type="dxa"/>
            <w:vAlign w:val="bottom"/>
          </w:tcPr>
          <w:p w14:paraId="07C38933" w14:textId="77777777" w:rsidR="001C2B2C" w:rsidRDefault="001C2B2C" w:rsidP="00B322A7">
            <w:pPr>
              <w:jc w:val="right"/>
              <w:rPr>
                <w:sz w:val="18"/>
                <w:szCs w:val="18"/>
                <w:lang w:val="en-GB" w:eastAsia="en-GB"/>
              </w:rPr>
            </w:pPr>
            <w:r>
              <w:rPr>
                <w:sz w:val="18"/>
                <w:szCs w:val="18"/>
                <w:lang w:val="en-GB" w:eastAsia="en-GB"/>
              </w:rPr>
              <w:t>(191)</w:t>
            </w:r>
          </w:p>
        </w:tc>
        <w:tc>
          <w:tcPr>
            <w:tcW w:w="1300" w:type="dxa"/>
            <w:vAlign w:val="bottom"/>
          </w:tcPr>
          <w:p w14:paraId="737321DF" w14:textId="77777777" w:rsidR="001C2B2C" w:rsidRDefault="001C2B2C" w:rsidP="00B322A7">
            <w:pPr>
              <w:jc w:val="right"/>
              <w:rPr>
                <w:sz w:val="18"/>
                <w:szCs w:val="18"/>
                <w:lang w:val="en-GB" w:eastAsia="en-GB"/>
              </w:rPr>
            </w:pPr>
            <w:r>
              <w:rPr>
                <w:sz w:val="18"/>
                <w:szCs w:val="18"/>
                <w:lang w:val="en-GB" w:eastAsia="en-GB"/>
              </w:rPr>
              <w:t>(3,139)</w:t>
            </w:r>
          </w:p>
        </w:tc>
        <w:tc>
          <w:tcPr>
            <w:tcW w:w="1300" w:type="dxa"/>
            <w:vAlign w:val="bottom"/>
          </w:tcPr>
          <w:p w14:paraId="22E758A2" w14:textId="77777777" w:rsidR="001C2B2C" w:rsidRDefault="001C2B2C" w:rsidP="00B322A7">
            <w:pPr>
              <w:jc w:val="right"/>
              <w:rPr>
                <w:sz w:val="18"/>
                <w:szCs w:val="18"/>
                <w:lang w:val="en-GB" w:eastAsia="en-GB"/>
              </w:rPr>
            </w:pPr>
            <w:r>
              <w:rPr>
                <w:sz w:val="18"/>
                <w:szCs w:val="18"/>
                <w:lang w:val="en-GB" w:eastAsia="en-GB"/>
              </w:rPr>
              <w:t xml:space="preserve"> (3,330)</w:t>
            </w:r>
          </w:p>
        </w:tc>
        <w:tc>
          <w:tcPr>
            <w:tcW w:w="1300" w:type="dxa"/>
            <w:vAlign w:val="bottom"/>
          </w:tcPr>
          <w:p w14:paraId="203FF2A1" w14:textId="77777777" w:rsidR="001C2B2C" w:rsidRDefault="001C2B2C" w:rsidP="00B322A7">
            <w:pPr>
              <w:jc w:val="right"/>
              <w:rPr>
                <w:sz w:val="18"/>
                <w:szCs w:val="18"/>
                <w:lang w:val="en-GB" w:eastAsia="en-GB"/>
              </w:rPr>
            </w:pPr>
            <w:r>
              <w:rPr>
                <w:sz w:val="18"/>
                <w:szCs w:val="18"/>
                <w:lang w:val="en-GB" w:eastAsia="en-GB"/>
              </w:rPr>
              <w:t>431</w:t>
            </w:r>
          </w:p>
        </w:tc>
      </w:tr>
      <w:tr w:rsidR="001C2B2C" w14:paraId="5144B998" w14:textId="77777777" w:rsidTr="00B322A7">
        <w:trPr>
          <w:cantSplit/>
        </w:trPr>
        <w:tc>
          <w:tcPr>
            <w:tcW w:w="2183" w:type="dxa"/>
            <w:vAlign w:val="bottom"/>
          </w:tcPr>
          <w:p w14:paraId="07B77C65" w14:textId="77777777" w:rsidR="001C2B2C" w:rsidRDefault="001C2B2C" w:rsidP="00B322A7">
            <w:pPr>
              <w:jc w:val="both"/>
              <w:rPr>
                <w:b/>
                <w:bCs/>
                <w:sz w:val="18"/>
                <w:szCs w:val="18"/>
                <w:lang w:val="en-GB"/>
              </w:rPr>
            </w:pPr>
            <w:r>
              <w:rPr>
                <w:b/>
                <w:bCs/>
                <w:sz w:val="18"/>
                <w:szCs w:val="18"/>
                <w:lang w:val="en-GB"/>
              </w:rPr>
              <w:t>Profit for the year</w:t>
            </w:r>
          </w:p>
        </w:tc>
        <w:tc>
          <w:tcPr>
            <w:tcW w:w="1300" w:type="dxa"/>
            <w:vAlign w:val="bottom"/>
          </w:tcPr>
          <w:p w14:paraId="252BD80E" w14:textId="77777777" w:rsidR="001C2B2C" w:rsidRDefault="001C2B2C" w:rsidP="00B322A7">
            <w:pPr>
              <w:jc w:val="right"/>
              <w:rPr>
                <w:b/>
                <w:bCs/>
                <w:sz w:val="18"/>
                <w:szCs w:val="18"/>
                <w:lang w:val="en-GB" w:eastAsia="en-GB"/>
              </w:rPr>
            </w:pPr>
            <w:r>
              <w:rPr>
                <w:b/>
                <w:bCs/>
                <w:sz w:val="18"/>
                <w:szCs w:val="18"/>
                <w:lang w:val="en-GB" w:eastAsia="en-GB"/>
              </w:rPr>
              <w:t>28,237</w:t>
            </w:r>
          </w:p>
        </w:tc>
        <w:tc>
          <w:tcPr>
            <w:tcW w:w="1300" w:type="dxa"/>
            <w:vAlign w:val="bottom"/>
          </w:tcPr>
          <w:p w14:paraId="1E0C4EC1" w14:textId="77777777" w:rsidR="001C2B2C" w:rsidRDefault="001C2B2C" w:rsidP="00B322A7">
            <w:pPr>
              <w:jc w:val="right"/>
              <w:rPr>
                <w:b/>
                <w:bCs/>
                <w:sz w:val="18"/>
                <w:szCs w:val="18"/>
                <w:lang w:val="en-GB" w:eastAsia="en-GB"/>
              </w:rPr>
            </w:pPr>
            <w:r>
              <w:rPr>
                <w:b/>
                <w:bCs/>
                <w:sz w:val="18"/>
                <w:szCs w:val="18"/>
                <w:lang w:val="en-GB" w:eastAsia="en-GB"/>
              </w:rPr>
              <w:t>20,559</w:t>
            </w:r>
          </w:p>
        </w:tc>
        <w:tc>
          <w:tcPr>
            <w:tcW w:w="1300" w:type="dxa"/>
            <w:vAlign w:val="bottom"/>
          </w:tcPr>
          <w:p w14:paraId="59360865" w14:textId="77777777" w:rsidR="001C2B2C" w:rsidRDefault="001C2B2C" w:rsidP="00B322A7">
            <w:pPr>
              <w:jc w:val="right"/>
              <w:rPr>
                <w:b/>
                <w:bCs/>
                <w:sz w:val="18"/>
                <w:szCs w:val="18"/>
                <w:lang w:val="en-GB" w:eastAsia="en-GB"/>
              </w:rPr>
            </w:pPr>
            <w:r>
              <w:rPr>
                <w:b/>
                <w:bCs/>
                <w:sz w:val="18"/>
                <w:szCs w:val="18"/>
                <w:lang w:val="en-GB" w:eastAsia="en-GB"/>
              </w:rPr>
              <w:t>1,049</w:t>
            </w:r>
          </w:p>
        </w:tc>
        <w:tc>
          <w:tcPr>
            <w:tcW w:w="1300" w:type="dxa"/>
            <w:vAlign w:val="bottom"/>
          </w:tcPr>
          <w:p w14:paraId="08ECF312" w14:textId="77777777" w:rsidR="001C2B2C" w:rsidRDefault="001C2B2C" w:rsidP="00B322A7">
            <w:pPr>
              <w:jc w:val="right"/>
              <w:rPr>
                <w:b/>
                <w:bCs/>
                <w:sz w:val="18"/>
                <w:szCs w:val="18"/>
                <w:lang w:val="en-GB" w:eastAsia="en-GB"/>
              </w:rPr>
            </w:pPr>
            <w:r>
              <w:rPr>
                <w:b/>
                <w:bCs/>
                <w:sz w:val="18"/>
                <w:szCs w:val="18"/>
                <w:lang w:val="en-GB" w:eastAsia="en-GB"/>
              </w:rPr>
              <w:t>14,119</w:t>
            </w:r>
          </w:p>
        </w:tc>
        <w:tc>
          <w:tcPr>
            <w:tcW w:w="1300" w:type="dxa"/>
            <w:vAlign w:val="bottom"/>
          </w:tcPr>
          <w:p w14:paraId="0535ADFE" w14:textId="77777777" w:rsidR="001C2B2C" w:rsidRDefault="001C2B2C" w:rsidP="00B322A7">
            <w:pPr>
              <w:jc w:val="right"/>
              <w:rPr>
                <w:b/>
                <w:bCs/>
                <w:sz w:val="18"/>
                <w:szCs w:val="18"/>
                <w:lang w:val="en-GB" w:eastAsia="en-GB"/>
              </w:rPr>
            </w:pPr>
            <w:r>
              <w:rPr>
                <w:b/>
                <w:bCs/>
                <w:sz w:val="18"/>
                <w:szCs w:val="18"/>
                <w:lang w:val="en-GB" w:eastAsia="en-GB"/>
              </w:rPr>
              <w:t>15,167</w:t>
            </w:r>
          </w:p>
        </w:tc>
        <w:tc>
          <w:tcPr>
            <w:tcW w:w="1300" w:type="dxa"/>
            <w:vAlign w:val="bottom"/>
          </w:tcPr>
          <w:p w14:paraId="7760A271" w14:textId="77777777" w:rsidR="001C2B2C" w:rsidRDefault="001C2B2C" w:rsidP="00B322A7">
            <w:pPr>
              <w:jc w:val="right"/>
              <w:rPr>
                <w:b/>
                <w:bCs/>
                <w:sz w:val="18"/>
                <w:szCs w:val="18"/>
                <w:lang w:val="en-GB" w:eastAsia="en-GB"/>
              </w:rPr>
            </w:pPr>
            <w:r>
              <w:rPr>
                <w:b/>
                <w:bCs/>
                <w:sz w:val="18"/>
                <w:szCs w:val="18"/>
                <w:lang w:val="en-GB" w:eastAsia="en-GB"/>
              </w:rPr>
              <w:t>(3,279)</w:t>
            </w:r>
          </w:p>
        </w:tc>
      </w:tr>
    </w:tbl>
    <w:p w14:paraId="184FA325" w14:textId="77777777" w:rsidR="001D1FD6" w:rsidRDefault="001D1FD6" w:rsidP="001D1FD6">
      <w:pPr>
        <w:jc w:val="both"/>
        <w:rPr>
          <w:rFonts w:cs="Arabic Transparent"/>
          <w:sz w:val="18"/>
          <w:szCs w:val="18"/>
          <w:lang w:val="en-GB"/>
        </w:rPr>
      </w:pPr>
    </w:p>
    <w:p w14:paraId="2840E33F" w14:textId="142FD066" w:rsidR="001D1FD6" w:rsidRDefault="001D1FD6" w:rsidP="00D52B9E">
      <w:pPr>
        <w:keepNext/>
        <w:spacing w:after="240"/>
        <w:ind w:firstLine="720"/>
        <w:jc w:val="both"/>
        <w:rPr>
          <w:rFonts w:cs="Arabic Transparent"/>
          <w:color w:val="000000"/>
          <w:sz w:val="18"/>
          <w:szCs w:val="18"/>
        </w:rPr>
      </w:pPr>
      <w:r>
        <w:rPr>
          <w:rFonts w:cs="Arabic Transparent"/>
          <w:color w:val="000000"/>
          <w:sz w:val="18"/>
          <w:szCs w:val="18"/>
        </w:rPr>
        <w:lastRenderedPageBreak/>
        <w:t xml:space="preserve">The following table sets forth the balance sheet information of the Joint Venture as at the dates indicated: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2127"/>
        <w:gridCol w:w="1270"/>
        <w:gridCol w:w="1270"/>
        <w:gridCol w:w="1270"/>
        <w:gridCol w:w="1270"/>
        <w:gridCol w:w="1270"/>
        <w:gridCol w:w="1270"/>
      </w:tblGrid>
      <w:tr w:rsidR="00A5572A" w14:paraId="10C9E664" w14:textId="77777777" w:rsidTr="00A5572A">
        <w:trPr>
          <w:cantSplit/>
        </w:trPr>
        <w:tc>
          <w:tcPr>
            <w:tcW w:w="2127" w:type="dxa"/>
          </w:tcPr>
          <w:p w14:paraId="0B44271E" w14:textId="77777777" w:rsidR="00A5572A" w:rsidRDefault="00A5572A" w:rsidP="00B322A7">
            <w:pPr>
              <w:keepNext/>
              <w:jc w:val="both"/>
              <w:rPr>
                <w:b/>
                <w:sz w:val="18"/>
                <w:szCs w:val="18"/>
                <w:lang w:val="en-GB"/>
              </w:rPr>
            </w:pPr>
            <w:r>
              <w:rPr>
                <w:b/>
                <w:sz w:val="18"/>
                <w:szCs w:val="18"/>
                <w:lang w:val="en-GB"/>
              </w:rPr>
              <w:t>Balance sheet</w:t>
            </w:r>
          </w:p>
        </w:tc>
        <w:tc>
          <w:tcPr>
            <w:tcW w:w="1270" w:type="dxa"/>
          </w:tcPr>
          <w:p w14:paraId="509D69BD" w14:textId="77777777" w:rsidR="00A5572A" w:rsidRDefault="00A5572A" w:rsidP="00B322A7">
            <w:pPr>
              <w:keepNext/>
              <w:pBdr>
                <w:bottom w:val="single" w:sz="2" w:space="1" w:color="auto"/>
              </w:pBdr>
              <w:jc w:val="center"/>
              <w:rPr>
                <w:b/>
                <w:sz w:val="18"/>
                <w:szCs w:val="18"/>
              </w:rPr>
            </w:pPr>
            <w:r>
              <w:rPr>
                <w:b/>
                <w:sz w:val="18"/>
                <w:szCs w:val="18"/>
              </w:rPr>
              <w:t>30-Jun-2017</w:t>
            </w:r>
          </w:p>
        </w:tc>
        <w:tc>
          <w:tcPr>
            <w:tcW w:w="1270" w:type="dxa"/>
          </w:tcPr>
          <w:p w14:paraId="41EE4835" w14:textId="77777777" w:rsidR="00A5572A" w:rsidRDefault="00A5572A" w:rsidP="00B322A7">
            <w:pPr>
              <w:keepNext/>
              <w:pBdr>
                <w:bottom w:val="single" w:sz="2" w:space="1" w:color="auto"/>
              </w:pBdr>
              <w:jc w:val="center"/>
              <w:rPr>
                <w:b/>
                <w:sz w:val="18"/>
                <w:szCs w:val="18"/>
              </w:rPr>
            </w:pPr>
            <w:r>
              <w:rPr>
                <w:b/>
                <w:sz w:val="18"/>
                <w:szCs w:val="18"/>
              </w:rPr>
              <w:t>30-Jun-2017</w:t>
            </w:r>
          </w:p>
        </w:tc>
        <w:tc>
          <w:tcPr>
            <w:tcW w:w="1270" w:type="dxa"/>
          </w:tcPr>
          <w:p w14:paraId="6D54FD35" w14:textId="77777777" w:rsidR="00A5572A" w:rsidRDefault="00A5572A" w:rsidP="00B322A7">
            <w:pPr>
              <w:keepNext/>
              <w:pBdr>
                <w:bottom w:val="single" w:sz="2" w:space="1" w:color="auto"/>
              </w:pBdr>
              <w:jc w:val="center"/>
              <w:rPr>
                <w:b/>
                <w:sz w:val="18"/>
                <w:szCs w:val="18"/>
              </w:rPr>
            </w:pPr>
            <w:r>
              <w:rPr>
                <w:b/>
                <w:sz w:val="18"/>
                <w:szCs w:val="18"/>
              </w:rPr>
              <w:t>30-Jun-2017</w:t>
            </w:r>
          </w:p>
        </w:tc>
        <w:tc>
          <w:tcPr>
            <w:tcW w:w="1270" w:type="dxa"/>
          </w:tcPr>
          <w:p w14:paraId="7082BFEE" w14:textId="77777777" w:rsidR="00A5572A" w:rsidRDefault="00A5572A" w:rsidP="00B322A7">
            <w:pPr>
              <w:keepNext/>
              <w:pBdr>
                <w:bottom w:val="single" w:sz="2" w:space="1" w:color="auto"/>
              </w:pBdr>
              <w:jc w:val="center"/>
              <w:rPr>
                <w:b/>
                <w:sz w:val="18"/>
                <w:szCs w:val="18"/>
              </w:rPr>
            </w:pPr>
            <w:r>
              <w:rPr>
                <w:b/>
                <w:sz w:val="18"/>
                <w:szCs w:val="18"/>
              </w:rPr>
              <w:t>30-Jun-2017</w:t>
            </w:r>
          </w:p>
        </w:tc>
        <w:tc>
          <w:tcPr>
            <w:tcW w:w="1270" w:type="dxa"/>
          </w:tcPr>
          <w:p w14:paraId="2089657E" w14:textId="545DF3FA" w:rsidR="00A5572A" w:rsidRPr="00A5572A" w:rsidRDefault="00A5572A" w:rsidP="00A5572A">
            <w:pPr>
              <w:keepNext/>
              <w:pBdr>
                <w:bottom w:val="single" w:sz="2" w:space="1" w:color="auto"/>
              </w:pBdr>
              <w:jc w:val="center"/>
              <w:rPr>
                <w:b/>
                <w:sz w:val="18"/>
                <w:szCs w:val="18"/>
              </w:rPr>
            </w:pPr>
            <w:r w:rsidRPr="00A5572A">
              <w:rPr>
                <w:b/>
                <w:sz w:val="18"/>
                <w:szCs w:val="18"/>
              </w:rPr>
              <w:t>30-Jun</w:t>
            </w:r>
            <w:r>
              <w:rPr>
                <w:b/>
                <w:sz w:val="18"/>
                <w:szCs w:val="18"/>
              </w:rPr>
              <w:t>-2017</w:t>
            </w:r>
          </w:p>
        </w:tc>
        <w:tc>
          <w:tcPr>
            <w:tcW w:w="1270" w:type="dxa"/>
          </w:tcPr>
          <w:p w14:paraId="6309FA08" w14:textId="53210654" w:rsidR="00A5572A" w:rsidRDefault="00A5572A" w:rsidP="00DA3505">
            <w:pPr>
              <w:keepNext/>
              <w:pBdr>
                <w:bottom w:val="single" w:sz="2" w:space="1" w:color="auto"/>
              </w:pBdr>
              <w:jc w:val="center"/>
              <w:rPr>
                <w:b/>
                <w:sz w:val="18"/>
                <w:szCs w:val="18"/>
              </w:rPr>
            </w:pPr>
            <w:r>
              <w:rPr>
                <w:b/>
                <w:sz w:val="18"/>
                <w:szCs w:val="18"/>
              </w:rPr>
              <w:t>3</w:t>
            </w:r>
            <w:r w:rsidR="00DA3505">
              <w:rPr>
                <w:b/>
                <w:sz w:val="18"/>
                <w:szCs w:val="18"/>
              </w:rPr>
              <w:t>1</w:t>
            </w:r>
            <w:r>
              <w:rPr>
                <w:b/>
                <w:sz w:val="18"/>
                <w:szCs w:val="18"/>
              </w:rPr>
              <w:t>-</w:t>
            </w:r>
            <w:r w:rsidR="00DA3505">
              <w:rPr>
                <w:b/>
                <w:sz w:val="18"/>
                <w:szCs w:val="18"/>
              </w:rPr>
              <w:t>Dec</w:t>
            </w:r>
            <w:r>
              <w:rPr>
                <w:b/>
                <w:sz w:val="18"/>
                <w:szCs w:val="18"/>
              </w:rPr>
              <w:t>-2016</w:t>
            </w:r>
          </w:p>
        </w:tc>
      </w:tr>
      <w:tr w:rsidR="001C2B2C" w14:paraId="43C1A01F" w14:textId="77777777" w:rsidTr="00A5572A">
        <w:trPr>
          <w:cantSplit/>
        </w:trPr>
        <w:tc>
          <w:tcPr>
            <w:tcW w:w="2127" w:type="dxa"/>
            <w:vMerge w:val="restart"/>
          </w:tcPr>
          <w:p w14:paraId="2C9849DE" w14:textId="77777777" w:rsidR="001C2B2C" w:rsidRDefault="001C2B2C" w:rsidP="00B322A7">
            <w:pPr>
              <w:keepNext/>
              <w:jc w:val="both"/>
              <w:rPr>
                <w:sz w:val="18"/>
                <w:szCs w:val="18"/>
                <w:lang w:val="en-GB"/>
              </w:rPr>
            </w:pPr>
          </w:p>
        </w:tc>
        <w:tc>
          <w:tcPr>
            <w:tcW w:w="1270" w:type="dxa"/>
          </w:tcPr>
          <w:p w14:paraId="6956A4AF" w14:textId="77777777" w:rsidR="001C2B2C" w:rsidRDefault="001C2B2C" w:rsidP="001C2B2C">
            <w:pPr>
              <w:keepNext/>
              <w:pBdr>
                <w:bottom w:val="single" w:sz="4" w:space="1" w:color="auto"/>
              </w:pBdr>
              <w:jc w:val="center"/>
              <w:rPr>
                <w:b/>
                <w:sz w:val="18"/>
                <w:szCs w:val="18"/>
              </w:rPr>
            </w:pPr>
          </w:p>
          <w:p w14:paraId="3BF8C203" w14:textId="77777777" w:rsidR="001C2B2C" w:rsidRDefault="001C2B2C" w:rsidP="001C2B2C">
            <w:pPr>
              <w:keepNext/>
              <w:pBdr>
                <w:bottom w:val="single" w:sz="4" w:space="1" w:color="auto"/>
              </w:pBdr>
              <w:jc w:val="center"/>
              <w:rPr>
                <w:b/>
                <w:sz w:val="18"/>
                <w:szCs w:val="18"/>
              </w:rPr>
            </w:pPr>
          </w:p>
          <w:p w14:paraId="5137D145" w14:textId="77777777" w:rsidR="001C2B2C" w:rsidRDefault="001C2B2C" w:rsidP="001C2B2C">
            <w:pPr>
              <w:keepNext/>
              <w:pBdr>
                <w:bottom w:val="single" w:sz="4" w:space="1" w:color="auto"/>
              </w:pBdr>
              <w:jc w:val="center"/>
              <w:rPr>
                <w:b/>
                <w:sz w:val="18"/>
                <w:szCs w:val="18"/>
              </w:rPr>
            </w:pPr>
            <w:r>
              <w:rPr>
                <w:b/>
                <w:sz w:val="18"/>
                <w:szCs w:val="18"/>
              </w:rPr>
              <w:t>VGP European Logistics JV</w:t>
            </w:r>
          </w:p>
          <w:p w14:paraId="65641849" w14:textId="77777777" w:rsidR="001C2B2C" w:rsidRDefault="001C2B2C" w:rsidP="001C2B2C">
            <w:pPr>
              <w:keepNext/>
              <w:pBdr>
                <w:bottom w:val="single" w:sz="4" w:space="1" w:color="auto"/>
              </w:pBdr>
              <w:jc w:val="center"/>
              <w:rPr>
                <w:b/>
                <w:sz w:val="18"/>
                <w:szCs w:val="18"/>
              </w:rPr>
            </w:pPr>
            <w:r>
              <w:rPr>
                <w:b/>
                <w:sz w:val="18"/>
                <w:szCs w:val="18"/>
              </w:rPr>
              <w:t xml:space="preserve"> at 100%</w:t>
            </w:r>
          </w:p>
          <w:p w14:paraId="145B3C66" w14:textId="77777777" w:rsidR="001C2B2C" w:rsidRDefault="001C2B2C" w:rsidP="001C2B2C">
            <w:pPr>
              <w:keepNext/>
              <w:pBdr>
                <w:bottom w:val="single" w:sz="4" w:space="1" w:color="auto"/>
              </w:pBdr>
              <w:jc w:val="center"/>
              <w:rPr>
                <w:b/>
                <w:sz w:val="18"/>
                <w:szCs w:val="18"/>
              </w:rPr>
            </w:pPr>
          </w:p>
          <w:p w14:paraId="4C0488A7" w14:textId="27EB990C" w:rsidR="00A5572A" w:rsidRDefault="00A5572A" w:rsidP="001C2B2C">
            <w:pPr>
              <w:keepNext/>
              <w:pBdr>
                <w:bottom w:val="single" w:sz="4" w:space="1" w:color="auto"/>
              </w:pBdr>
              <w:jc w:val="center"/>
              <w:rPr>
                <w:b/>
                <w:sz w:val="18"/>
                <w:szCs w:val="18"/>
              </w:rPr>
            </w:pPr>
          </w:p>
        </w:tc>
        <w:tc>
          <w:tcPr>
            <w:tcW w:w="1270" w:type="dxa"/>
          </w:tcPr>
          <w:p w14:paraId="64FB4A3A" w14:textId="77777777" w:rsidR="001C2B2C" w:rsidRDefault="001C2B2C" w:rsidP="00B322A7">
            <w:pPr>
              <w:keepNext/>
              <w:pBdr>
                <w:bottom w:val="single" w:sz="2" w:space="1" w:color="auto"/>
              </w:pBdr>
              <w:jc w:val="center"/>
              <w:rPr>
                <w:b/>
                <w:sz w:val="18"/>
                <w:szCs w:val="18"/>
              </w:rPr>
            </w:pPr>
            <w:r>
              <w:rPr>
                <w:b/>
                <w:sz w:val="18"/>
                <w:szCs w:val="18"/>
              </w:rPr>
              <w:t xml:space="preserve">VGP European Logistics’ German Asset Companies </w:t>
            </w:r>
          </w:p>
          <w:p w14:paraId="175B91ED" w14:textId="77777777" w:rsidR="001C2B2C" w:rsidRDefault="001C2B2C" w:rsidP="00B322A7">
            <w:pPr>
              <w:keepNext/>
              <w:pBdr>
                <w:bottom w:val="single" w:sz="2" w:space="1" w:color="auto"/>
              </w:pBdr>
              <w:jc w:val="center"/>
              <w:rPr>
                <w:b/>
                <w:sz w:val="18"/>
                <w:szCs w:val="18"/>
              </w:rPr>
            </w:pPr>
            <w:r>
              <w:rPr>
                <w:b/>
                <w:sz w:val="18"/>
                <w:szCs w:val="18"/>
              </w:rPr>
              <w:t>at 100%</w:t>
            </w:r>
          </w:p>
          <w:p w14:paraId="2EF9F86E" w14:textId="77777777" w:rsidR="001C2B2C" w:rsidRDefault="001C2B2C" w:rsidP="00B322A7">
            <w:pPr>
              <w:keepNext/>
              <w:pBdr>
                <w:bottom w:val="single" w:sz="2" w:space="1" w:color="auto"/>
              </w:pBdr>
              <w:jc w:val="center"/>
              <w:rPr>
                <w:b/>
                <w:sz w:val="18"/>
                <w:szCs w:val="18"/>
              </w:rPr>
            </w:pPr>
          </w:p>
        </w:tc>
        <w:tc>
          <w:tcPr>
            <w:tcW w:w="1270" w:type="dxa"/>
          </w:tcPr>
          <w:p w14:paraId="46BC6ACE" w14:textId="77777777" w:rsidR="001C2B2C" w:rsidRDefault="001C2B2C" w:rsidP="00B322A7">
            <w:pPr>
              <w:keepNext/>
              <w:pBdr>
                <w:bottom w:val="single" w:sz="2" w:space="1" w:color="auto"/>
              </w:pBdr>
              <w:jc w:val="center"/>
              <w:rPr>
                <w:b/>
                <w:sz w:val="18"/>
                <w:szCs w:val="18"/>
              </w:rPr>
            </w:pPr>
            <w:r>
              <w:rPr>
                <w:b/>
                <w:sz w:val="18"/>
                <w:szCs w:val="18"/>
              </w:rPr>
              <w:t xml:space="preserve">VGP European Logistics’ German Asset Companies </w:t>
            </w:r>
          </w:p>
          <w:p w14:paraId="455A2851" w14:textId="77777777" w:rsidR="001C2B2C" w:rsidRDefault="001C2B2C" w:rsidP="00B322A7">
            <w:pPr>
              <w:keepNext/>
              <w:pBdr>
                <w:bottom w:val="single" w:sz="2" w:space="1" w:color="auto"/>
              </w:pBdr>
              <w:jc w:val="center"/>
              <w:rPr>
                <w:b/>
                <w:sz w:val="18"/>
                <w:szCs w:val="18"/>
              </w:rPr>
            </w:pPr>
            <w:r>
              <w:rPr>
                <w:b/>
                <w:sz w:val="18"/>
                <w:szCs w:val="18"/>
              </w:rPr>
              <w:t>at 5.1%</w:t>
            </w:r>
          </w:p>
          <w:p w14:paraId="2EC99035" w14:textId="77777777" w:rsidR="001C2B2C" w:rsidRDefault="001C2B2C" w:rsidP="00B322A7">
            <w:pPr>
              <w:keepNext/>
              <w:pBdr>
                <w:bottom w:val="single" w:sz="2" w:space="1" w:color="auto"/>
              </w:pBdr>
              <w:jc w:val="center"/>
              <w:rPr>
                <w:b/>
                <w:sz w:val="18"/>
                <w:szCs w:val="18"/>
              </w:rPr>
            </w:pPr>
          </w:p>
        </w:tc>
        <w:tc>
          <w:tcPr>
            <w:tcW w:w="1270" w:type="dxa"/>
          </w:tcPr>
          <w:p w14:paraId="05AE007F" w14:textId="77777777" w:rsidR="001C2B2C" w:rsidRDefault="001C2B2C" w:rsidP="00B322A7">
            <w:pPr>
              <w:keepNext/>
              <w:pBdr>
                <w:bottom w:val="single" w:sz="2" w:space="1" w:color="auto"/>
              </w:pBdr>
              <w:jc w:val="center"/>
              <w:rPr>
                <w:b/>
                <w:sz w:val="18"/>
                <w:szCs w:val="18"/>
              </w:rPr>
            </w:pPr>
          </w:p>
          <w:p w14:paraId="7F55C74C" w14:textId="77777777" w:rsidR="001C2B2C" w:rsidRDefault="001C2B2C" w:rsidP="00B322A7">
            <w:pPr>
              <w:keepNext/>
              <w:pBdr>
                <w:bottom w:val="single" w:sz="2" w:space="1" w:color="auto"/>
              </w:pBdr>
              <w:jc w:val="center"/>
              <w:rPr>
                <w:b/>
                <w:sz w:val="18"/>
                <w:szCs w:val="18"/>
              </w:rPr>
            </w:pPr>
          </w:p>
          <w:p w14:paraId="18CBB389" w14:textId="77777777" w:rsidR="001C2B2C" w:rsidRDefault="001C2B2C" w:rsidP="00B322A7">
            <w:pPr>
              <w:keepNext/>
              <w:pBdr>
                <w:bottom w:val="single" w:sz="2" w:space="1" w:color="auto"/>
              </w:pBdr>
              <w:jc w:val="center"/>
              <w:rPr>
                <w:b/>
                <w:sz w:val="18"/>
                <w:szCs w:val="18"/>
              </w:rPr>
            </w:pPr>
            <w:r>
              <w:rPr>
                <w:b/>
                <w:sz w:val="18"/>
                <w:szCs w:val="18"/>
              </w:rPr>
              <w:t>VGP European Logistics JV</w:t>
            </w:r>
          </w:p>
          <w:p w14:paraId="59B34B3C" w14:textId="77777777" w:rsidR="001C2B2C" w:rsidRDefault="001C2B2C" w:rsidP="00B322A7">
            <w:pPr>
              <w:keepNext/>
              <w:pBdr>
                <w:bottom w:val="single" w:sz="2" w:space="1" w:color="auto"/>
              </w:pBdr>
              <w:jc w:val="center"/>
              <w:rPr>
                <w:b/>
                <w:sz w:val="18"/>
                <w:szCs w:val="18"/>
              </w:rPr>
            </w:pPr>
            <w:r>
              <w:rPr>
                <w:b/>
                <w:sz w:val="18"/>
                <w:szCs w:val="18"/>
              </w:rPr>
              <w:t xml:space="preserve"> at 50%</w:t>
            </w:r>
          </w:p>
          <w:p w14:paraId="52E05ECD" w14:textId="77777777" w:rsidR="001C2B2C" w:rsidRDefault="001C2B2C" w:rsidP="00B322A7">
            <w:pPr>
              <w:keepNext/>
              <w:pBdr>
                <w:bottom w:val="single" w:sz="2" w:space="1" w:color="auto"/>
              </w:pBdr>
              <w:jc w:val="center"/>
              <w:rPr>
                <w:b/>
                <w:sz w:val="18"/>
                <w:szCs w:val="18"/>
              </w:rPr>
            </w:pPr>
          </w:p>
          <w:p w14:paraId="4E5A2D0A" w14:textId="4CA78D31" w:rsidR="00A5572A" w:rsidRDefault="00A5572A" w:rsidP="00B322A7">
            <w:pPr>
              <w:keepNext/>
              <w:pBdr>
                <w:bottom w:val="single" w:sz="2" w:space="1" w:color="auto"/>
              </w:pBdr>
              <w:jc w:val="center"/>
              <w:rPr>
                <w:b/>
                <w:sz w:val="18"/>
                <w:szCs w:val="18"/>
              </w:rPr>
            </w:pPr>
          </w:p>
        </w:tc>
        <w:tc>
          <w:tcPr>
            <w:tcW w:w="1270" w:type="dxa"/>
          </w:tcPr>
          <w:p w14:paraId="02B7EA1B" w14:textId="64EFD6A5" w:rsidR="001C2B2C" w:rsidRDefault="005622A5" w:rsidP="005622A5">
            <w:pPr>
              <w:keepNext/>
              <w:pBdr>
                <w:bottom w:val="single" w:sz="2" w:space="1" w:color="auto"/>
              </w:pBdr>
              <w:jc w:val="center"/>
              <w:rPr>
                <w:b/>
                <w:sz w:val="18"/>
                <w:szCs w:val="18"/>
              </w:rPr>
            </w:pPr>
            <w:r>
              <w:rPr>
                <w:b/>
                <w:sz w:val="18"/>
                <w:szCs w:val="18"/>
              </w:rPr>
              <w:t>VGP European Logistics JV at 50%</w:t>
            </w:r>
          </w:p>
          <w:p w14:paraId="5D6FAB08" w14:textId="77777777" w:rsidR="001C2B2C" w:rsidRDefault="001C2B2C" w:rsidP="00B322A7">
            <w:pPr>
              <w:keepNext/>
              <w:pBdr>
                <w:bottom w:val="single" w:sz="2" w:space="1" w:color="auto"/>
              </w:pBdr>
              <w:jc w:val="center"/>
              <w:rPr>
                <w:b/>
                <w:sz w:val="18"/>
                <w:szCs w:val="18"/>
              </w:rPr>
            </w:pPr>
            <w:r>
              <w:rPr>
                <w:b/>
                <w:sz w:val="18"/>
                <w:szCs w:val="18"/>
                <w:lang w:val="en-GB"/>
              </w:rPr>
              <w:br/>
            </w:r>
          </w:p>
          <w:p w14:paraId="17556B0C" w14:textId="77777777" w:rsidR="00A5572A" w:rsidRDefault="00A5572A" w:rsidP="00B322A7">
            <w:pPr>
              <w:keepNext/>
              <w:pBdr>
                <w:bottom w:val="single" w:sz="2" w:space="1" w:color="auto"/>
              </w:pBdr>
              <w:jc w:val="center"/>
              <w:rPr>
                <w:b/>
                <w:sz w:val="18"/>
                <w:szCs w:val="18"/>
              </w:rPr>
            </w:pPr>
          </w:p>
          <w:p w14:paraId="6CEF1C59" w14:textId="31C61662" w:rsidR="00A5572A" w:rsidRDefault="00A5572A" w:rsidP="00B322A7">
            <w:pPr>
              <w:keepNext/>
              <w:pBdr>
                <w:bottom w:val="single" w:sz="2" w:space="1" w:color="auto"/>
              </w:pBdr>
              <w:jc w:val="center"/>
              <w:rPr>
                <w:b/>
                <w:sz w:val="18"/>
                <w:szCs w:val="18"/>
              </w:rPr>
            </w:pPr>
          </w:p>
        </w:tc>
        <w:tc>
          <w:tcPr>
            <w:tcW w:w="1270" w:type="dxa"/>
          </w:tcPr>
          <w:p w14:paraId="004702C2" w14:textId="77777777" w:rsidR="005622A5" w:rsidRPr="005622A5" w:rsidRDefault="005622A5" w:rsidP="005622A5">
            <w:pPr>
              <w:keepNext/>
              <w:pBdr>
                <w:bottom w:val="single" w:sz="2" w:space="1" w:color="auto"/>
              </w:pBdr>
              <w:jc w:val="center"/>
              <w:rPr>
                <w:b/>
                <w:sz w:val="18"/>
                <w:szCs w:val="18"/>
              </w:rPr>
            </w:pPr>
            <w:r w:rsidRPr="005622A5">
              <w:rPr>
                <w:b/>
                <w:sz w:val="18"/>
                <w:szCs w:val="18"/>
              </w:rPr>
              <w:t>VGP European Logistics JV at 50%</w:t>
            </w:r>
          </w:p>
          <w:p w14:paraId="4E28FBB3" w14:textId="77777777" w:rsidR="001C2B2C" w:rsidRDefault="001C2B2C" w:rsidP="00B322A7">
            <w:pPr>
              <w:keepNext/>
              <w:pBdr>
                <w:bottom w:val="single" w:sz="2" w:space="1" w:color="auto"/>
              </w:pBdr>
              <w:jc w:val="center"/>
              <w:rPr>
                <w:b/>
                <w:sz w:val="18"/>
                <w:szCs w:val="18"/>
                <w:lang w:val="en-GB"/>
              </w:rPr>
            </w:pPr>
            <w:r>
              <w:rPr>
                <w:b/>
                <w:sz w:val="18"/>
                <w:szCs w:val="18"/>
                <w:lang w:val="en-GB"/>
              </w:rPr>
              <w:br/>
            </w:r>
          </w:p>
          <w:p w14:paraId="27CF0D8E" w14:textId="77777777" w:rsidR="00A5572A" w:rsidRDefault="00A5572A" w:rsidP="00B322A7">
            <w:pPr>
              <w:keepNext/>
              <w:pBdr>
                <w:bottom w:val="single" w:sz="2" w:space="1" w:color="auto"/>
              </w:pBdr>
              <w:jc w:val="center"/>
              <w:rPr>
                <w:b/>
                <w:sz w:val="18"/>
                <w:szCs w:val="18"/>
                <w:lang w:val="en-GB"/>
              </w:rPr>
            </w:pPr>
          </w:p>
          <w:p w14:paraId="232E56B8" w14:textId="45CB6ADA" w:rsidR="00A5572A" w:rsidRDefault="00A5572A" w:rsidP="00B322A7">
            <w:pPr>
              <w:keepNext/>
              <w:pBdr>
                <w:bottom w:val="single" w:sz="2" w:space="1" w:color="auto"/>
              </w:pBdr>
              <w:jc w:val="center"/>
              <w:rPr>
                <w:b/>
                <w:sz w:val="18"/>
                <w:szCs w:val="18"/>
                <w:lang w:val="en-GB"/>
              </w:rPr>
            </w:pPr>
          </w:p>
        </w:tc>
      </w:tr>
      <w:tr w:rsidR="001C2B2C" w14:paraId="5B48E439" w14:textId="77777777" w:rsidTr="00A5572A">
        <w:trPr>
          <w:cantSplit/>
        </w:trPr>
        <w:tc>
          <w:tcPr>
            <w:tcW w:w="2127" w:type="dxa"/>
            <w:vMerge/>
          </w:tcPr>
          <w:p w14:paraId="76288DDD" w14:textId="77777777" w:rsidR="001C2B2C" w:rsidRDefault="001C2B2C" w:rsidP="00B322A7">
            <w:pPr>
              <w:keepNext/>
              <w:jc w:val="both"/>
              <w:rPr>
                <w:sz w:val="18"/>
                <w:szCs w:val="18"/>
                <w:lang w:val="en-GB"/>
              </w:rPr>
            </w:pPr>
          </w:p>
        </w:tc>
        <w:tc>
          <w:tcPr>
            <w:tcW w:w="1270" w:type="dxa"/>
          </w:tcPr>
          <w:p w14:paraId="0CD757DE" w14:textId="77777777" w:rsidR="001C2B2C" w:rsidRDefault="001C2B2C" w:rsidP="00B322A7">
            <w:pPr>
              <w:keepNext/>
              <w:jc w:val="center"/>
              <w:rPr>
                <w:sz w:val="18"/>
                <w:szCs w:val="18"/>
                <w:lang w:val="en-GB"/>
              </w:rPr>
            </w:pPr>
          </w:p>
        </w:tc>
        <w:tc>
          <w:tcPr>
            <w:tcW w:w="1270" w:type="dxa"/>
          </w:tcPr>
          <w:p w14:paraId="3C528770" w14:textId="77777777" w:rsidR="001C2B2C" w:rsidRDefault="001C2B2C" w:rsidP="00B322A7">
            <w:pPr>
              <w:keepNext/>
              <w:jc w:val="center"/>
              <w:rPr>
                <w:sz w:val="18"/>
                <w:szCs w:val="18"/>
              </w:rPr>
            </w:pPr>
          </w:p>
        </w:tc>
        <w:tc>
          <w:tcPr>
            <w:tcW w:w="1270" w:type="dxa"/>
          </w:tcPr>
          <w:p w14:paraId="45229879" w14:textId="77777777" w:rsidR="001C2B2C" w:rsidRDefault="001C2B2C" w:rsidP="00B322A7">
            <w:pPr>
              <w:keepNext/>
              <w:jc w:val="center"/>
              <w:rPr>
                <w:sz w:val="18"/>
                <w:szCs w:val="18"/>
                <w:lang w:val="en-GB"/>
              </w:rPr>
            </w:pPr>
            <w:r>
              <w:rPr>
                <w:sz w:val="18"/>
                <w:szCs w:val="18"/>
              </w:rPr>
              <w:t>(</w:t>
            </w:r>
            <w:r>
              <w:rPr>
                <w:i/>
                <w:sz w:val="18"/>
                <w:szCs w:val="18"/>
              </w:rPr>
              <w:t>in thousands of Euros</w:t>
            </w:r>
            <w:r>
              <w:rPr>
                <w:sz w:val="18"/>
                <w:szCs w:val="18"/>
              </w:rPr>
              <w:t>)</w:t>
            </w:r>
          </w:p>
        </w:tc>
        <w:tc>
          <w:tcPr>
            <w:tcW w:w="1270" w:type="dxa"/>
          </w:tcPr>
          <w:p w14:paraId="5B402A0E" w14:textId="77777777" w:rsidR="001C2B2C" w:rsidRDefault="001C2B2C" w:rsidP="00B322A7">
            <w:pPr>
              <w:keepNext/>
              <w:jc w:val="center"/>
              <w:rPr>
                <w:sz w:val="18"/>
                <w:szCs w:val="18"/>
                <w:lang w:val="en-GB"/>
              </w:rPr>
            </w:pPr>
          </w:p>
        </w:tc>
        <w:tc>
          <w:tcPr>
            <w:tcW w:w="1270" w:type="dxa"/>
          </w:tcPr>
          <w:p w14:paraId="479A3B98" w14:textId="77777777" w:rsidR="001C2B2C" w:rsidRDefault="001C2B2C" w:rsidP="00B322A7">
            <w:pPr>
              <w:keepNext/>
              <w:jc w:val="center"/>
              <w:rPr>
                <w:sz w:val="18"/>
                <w:szCs w:val="18"/>
                <w:lang w:val="en-GB"/>
              </w:rPr>
            </w:pPr>
          </w:p>
        </w:tc>
        <w:tc>
          <w:tcPr>
            <w:tcW w:w="1270" w:type="dxa"/>
          </w:tcPr>
          <w:p w14:paraId="02ED0E43" w14:textId="77777777" w:rsidR="001C2B2C" w:rsidRDefault="001C2B2C" w:rsidP="00B322A7">
            <w:pPr>
              <w:keepNext/>
              <w:jc w:val="center"/>
              <w:rPr>
                <w:sz w:val="18"/>
                <w:szCs w:val="18"/>
                <w:lang w:val="en-GB"/>
              </w:rPr>
            </w:pPr>
          </w:p>
        </w:tc>
      </w:tr>
      <w:tr w:rsidR="001C2B2C" w14:paraId="2D945803" w14:textId="77777777" w:rsidTr="00A5572A">
        <w:trPr>
          <w:cantSplit/>
        </w:trPr>
        <w:tc>
          <w:tcPr>
            <w:tcW w:w="2127" w:type="dxa"/>
            <w:vAlign w:val="bottom"/>
          </w:tcPr>
          <w:p w14:paraId="16684E48" w14:textId="77777777" w:rsidR="001C2B2C" w:rsidRDefault="001C2B2C" w:rsidP="00B322A7">
            <w:pPr>
              <w:rPr>
                <w:sz w:val="18"/>
                <w:szCs w:val="18"/>
                <w:lang w:val="en-GB"/>
              </w:rPr>
            </w:pPr>
            <w:r>
              <w:rPr>
                <w:sz w:val="18"/>
                <w:szCs w:val="18"/>
                <w:lang w:val="en-GB"/>
              </w:rPr>
              <w:t>Investment properties</w:t>
            </w:r>
          </w:p>
        </w:tc>
        <w:tc>
          <w:tcPr>
            <w:tcW w:w="1270" w:type="dxa"/>
            <w:vAlign w:val="bottom"/>
          </w:tcPr>
          <w:p w14:paraId="3A8FD608" w14:textId="77777777" w:rsidR="001C2B2C" w:rsidRDefault="001C2B2C" w:rsidP="00B322A7">
            <w:pPr>
              <w:jc w:val="right"/>
              <w:rPr>
                <w:sz w:val="18"/>
                <w:szCs w:val="18"/>
                <w:lang w:val="en-GB" w:eastAsia="en-GB"/>
              </w:rPr>
            </w:pPr>
            <w:r>
              <w:rPr>
                <w:sz w:val="18"/>
                <w:szCs w:val="18"/>
                <w:lang w:val="en-GB" w:eastAsia="en-GB"/>
              </w:rPr>
              <w:t>767,045</w:t>
            </w:r>
          </w:p>
        </w:tc>
        <w:tc>
          <w:tcPr>
            <w:tcW w:w="1270" w:type="dxa"/>
            <w:vAlign w:val="bottom"/>
          </w:tcPr>
          <w:p w14:paraId="3B12BB63" w14:textId="77777777" w:rsidR="001C2B2C" w:rsidRDefault="001C2B2C" w:rsidP="00B322A7">
            <w:pPr>
              <w:jc w:val="right"/>
              <w:rPr>
                <w:sz w:val="18"/>
                <w:szCs w:val="18"/>
                <w:lang w:val="en-GB" w:eastAsia="en-GB"/>
              </w:rPr>
            </w:pPr>
            <w:r>
              <w:rPr>
                <w:sz w:val="18"/>
                <w:szCs w:val="18"/>
                <w:lang w:val="en-GB" w:eastAsia="en-GB"/>
              </w:rPr>
              <w:t>549,151</w:t>
            </w:r>
          </w:p>
        </w:tc>
        <w:tc>
          <w:tcPr>
            <w:tcW w:w="1270" w:type="dxa"/>
            <w:vAlign w:val="bottom"/>
          </w:tcPr>
          <w:p w14:paraId="58AB8D92" w14:textId="77777777" w:rsidR="001C2B2C" w:rsidRDefault="001C2B2C" w:rsidP="00B322A7">
            <w:pPr>
              <w:jc w:val="right"/>
              <w:rPr>
                <w:sz w:val="18"/>
                <w:szCs w:val="18"/>
                <w:lang w:val="en-GB" w:eastAsia="en-GB"/>
              </w:rPr>
            </w:pPr>
            <w:r>
              <w:rPr>
                <w:sz w:val="18"/>
                <w:szCs w:val="18"/>
                <w:lang w:val="en-GB" w:eastAsia="en-GB"/>
              </w:rPr>
              <w:t>28,008</w:t>
            </w:r>
          </w:p>
        </w:tc>
        <w:tc>
          <w:tcPr>
            <w:tcW w:w="1270" w:type="dxa"/>
            <w:vAlign w:val="bottom"/>
          </w:tcPr>
          <w:p w14:paraId="4862F441" w14:textId="77777777" w:rsidR="001C2B2C" w:rsidRDefault="001C2B2C" w:rsidP="00B322A7">
            <w:pPr>
              <w:jc w:val="right"/>
              <w:rPr>
                <w:sz w:val="18"/>
                <w:szCs w:val="18"/>
                <w:lang w:val="en-GB" w:eastAsia="en-GB"/>
              </w:rPr>
            </w:pPr>
            <w:r>
              <w:rPr>
                <w:sz w:val="18"/>
                <w:szCs w:val="18"/>
                <w:lang w:val="en-GB" w:eastAsia="en-GB"/>
              </w:rPr>
              <w:t>383,524</w:t>
            </w:r>
          </w:p>
        </w:tc>
        <w:tc>
          <w:tcPr>
            <w:tcW w:w="1270" w:type="dxa"/>
            <w:vAlign w:val="bottom"/>
          </w:tcPr>
          <w:p w14:paraId="17412FC4" w14:textId="77777777" w:rsidR="001C2B2C" w:rsidRDefault="001C2B2C" w:rsidP="00B322A7">
            <w:pPr>
              <w:jc w:val="right"/>
              <w:rPr>
                <w:sz w:val="18"/>
                <w:szCs w:val="18"/>
                <w:lang w:val="en-GB" w:eastAsia="en-GB"/>
              </w:rPr>
            </w:pPr>
            <w:r>
              <w:rPr>
                <w:sz w:val="18"/>
                <w:szCs w:val="18"/>
                <w:lang w:val="en-GB" w:eastAsia="en-GB"/>
              </w:rPr>
              <w:t>411,531</w:t>
            </w:r>
          </w:p>
        </w:tc>
        <w:tc>
          <w:tcPr>
            <w:tcW w:w="1270" w:type="dxa"/>
            <w:vAlign w:val="bottom"/>
          </w:tcPr>
          <w:p w14:paraId="3AD236FD" w14:textId="77777777" w:rsidR="001C2B2C" w:rsidRDefault="001C2B2C" w:rsidP="00B322A7">
            <w:pPr>
              <w:jc w:val="right"/>
              <w:rPr>
                <w:sz w:val="18"/>
                <w:szCs w:val="18"/>
                <w:lang w:val="en-GB" w:eastAsia="en-GB"/>
              </w:rPr>
            </w:pPr>
            <w:r>
              <w:rPr>
                <w:sz w:val="18"/>
                <w:szCs w:val="18"/>
                <w:lang w:val="en-GB" w:eastAsia="en-GB"/>
              </w:rPr>
              <w:t>307,053</w:t>
            </w:r>
          </w:p>
        </w:tc>
      </w:tr>
      <w:tr w:rsidR="001C2B2C" w14:paraId="276C6C67" w14:textId="77777777" w:rsidTr="00A5572A">
        <w:trPr>
          <w:cantSplit/>
        </w:trPr>
        <w:tc>
          <w:tcPr>
            <w:tcW w:w="2127" w:type="dxa"/>
            <w:vAlign w:val="bottom"/>
          </w:tcPr>
          <w:p w14:paraId="2F01253C" w14:textId="77777777" w:rsidR="001C2B2C" w:rsidRDefault="001C2B2C" w:rsidP="00B322A7">
            <w:pPr>
              <w:rPr>
                <w:sz w:val="18"/>
                <w:szCs w:val="18"/>
                <w:lang w:val="en-GB"/>
              </w:rPr>
            </w:pPr>
            <w:r>
              <w:rPr>
                <w:sz w:val="18"/>
                <w:szCs w:val="18"/>
                <w:lang w:val="en-GB"/>
              </w:rPr>
              <w:t>Other assets</w:t>
            </w:r>
          </w:p>
        </w:tc>
        <w:tc>
          <w:tcPr>
            <w:tcW w:w="1270" w:type="dxa"/>
            <w:vAlign w:val="bottom"/>
          </w:tcPr>
          <w:p w14:paraId="59FE46D6" w14:textId="77777777" w:rsidR="001C2B2C" w:rsidRDefault="001C2B2C" w:rsidP="00B322A7">
            <w:pPr>
              <w:jc w:val="right"/>
              <w:rPr>
                <w:sz w:val="18"/>
                <w:szCs w:val="18"/>
                <w:lang w:val="en-GB" w:eastAsia="en-GB"/>
              </w:rPr>
            </w:pPr>
            <w:r>
              <w:rPr>
                <w:sz w:val="18"/>
                <w:szCs w:val="18"/>
                <w:lang w:val="en-GB" w:eastAsia="en-GB"/>
              </w:rPr>
              <w:t>729</w:t>
            </w:r>
          </w:p>
        </w:tc>
        <w:tc>
          <w:tcPr>
            <w:tcW w:w="1270" w:type="dxa"/>
            <w:vAlign w:val="bottom"/>
          </w:tcPr>
          <w:p w14:paraId="0AF069FE" w14:textId="77777777" w:rsidR="001C2B2C" w:rsidRDefault="001C2B2C" w:rsidP="00B322A7">
            <w:pPr>
              <w:jc w:val="right"/>
              <w:rPr>
                <w:sz w:val="18"/>
                <w:szCs w:val="18"/>
                <w:lang w:val="en-GB" w:eastAsia="en-GB"/>
              </w:rPr>
            </w:pPr>
            <w:r>
              <w:rPr>
                <w:sz w:val="18"/>
                <w:szCs w:val="18"/>
                <w:lang w:val="en-GB" w:eastAsia="en-GB"/>
              </w:rPr>
              <w:t>(425)</w:t>
            </w:r>
          </w:p>
        </w:tc>
        <w:tc>
          <w:tcPr>
            <w:tcW w:w="1270" w:type="dxa"/>
            <w:vAlign w:val="bottom"/>
          </w:tcPr>
          <w:p w14:paraId="441EFE7A" w14:textId="77777777" w:rsidR="001C2B2C" w:rsidRDefault="001C2B2C" w:rsidP="00B322A7">
            <w:pPr>
              <w:jc w:val="right"/>
              <w:rPr>
                <w:sz w:val="18"/>
                <w:szCs w:val="18"/>
                <w:lang w:val="en-GB" w:eastAsia="en-GB"/>
              </w:rPr>
            </w:pPr>
            <w:r>
              <w:rPr>
                <w:sz w:val="18"/>
                <w:szCs w:val="18"/>
                <w:lang w:val="en-GB" w:eastAsia="en-GB"/>
              </w:rPr>
              <w:t>(22)</w:t>
            </w:r>
          </w:p>
        </w:tc>
        <w:tc>
          <w:tcPr>
            <w:tcW w:w="1270" w:type="dxa"/>
            <w:vAlign w:val="bottom"/>
          </w:tcPr>
          <w:p w14:paraId="741579EA" w14:textId="77777777" w:rsidR="001C2B2C" w:rsidRDefault="001C2B2C" w:rsidP="00B322A7">
            <w:pPr>
              <w:jc w:val="right"/>
              <w:rPr>
                <w:sz w:val="18"/>
                <w:szCs w:val="18"/>
                <w:lang w:val="en-GB" w:eastAsia="en-GB"/>
              </w:rPr>
            </w:pPr>
            <w:r>
              <w:rPr>
                <w:sz w:val="18"/>
                <w:szCs w:val="18"/>
                <w:lang w:val="en-GB" w:eastAsia="en-GB"/>
              </w:rPr>
              <w:t>364</w:t>
            </w:r>
          </w:p>
        </w:tc>
        <w:tc>
          <w:tcPr>
            <w:tcW w:w="1270" w:type="dxa"/>
            <w:vAlign w:val="bottom"/>
          </w:tcPr>
          <w:p w14:paraId="76F2FFEA" w14:textId="77777777" w:rsidR="001C2B2C" w:rsidRDefault="001C2B2C" w:rsidP="00B322A7">
            <w:pPr>
              <w:jc w:val="right"/>
              <w:rPr>
                <w:sz w:val="18"/>
                <w:szCs w:val="18"/>
                <w:lang w:val="en-GB" w:eastAsia="en-GB"/>
              </w:rPr>
            </w:pPr>
            <w:r>
              <w:rPr>
                <w:sz w:val="18"/>
                <w:szCs w:val="18"/>
                <w:lang w:val="en-GB" w:eastAsia="en-GB"/>
              </w:rPr>
              <w:t>343</w:t>
            </w:r>
          </w:p>
        </w:tc>
        <w:tc>
          <w:tcPr>
            <w:tcW w:w="1270" w:type="dxa"/>
            <w:vAlign w:val="bottom"/>
          </w:tcPr>
          <w:p w14:paraId="6350A23A" w14:textId="77777777" w:rsidR="001C2B2C" w:rsidRDefault="001C2B2C" w:rsidP="00B322A7">
            <w:pPr>
              <w:jc w:val="right"/>
              <w:rPr>
                <w:sz w:val="18"/>
                <w:szCs w:val="18"/>
                <w:lang w:val="en-GB" w:eastAsia="en-GB"/>
              </w:rPr>
            </w:pPr>
            <w:r>
              <w:rPr>
                <w:sz w:val="18"/>
                <w:szCs w:val="18"/>
                <w:lang w:val="en-GB" w:eastAsia="en-GB"/>
              </w:rPr>
              <w:t>96</w:t>
            </w:r>
          </w:p>
        </w:tc>
      </w:tr>
      <w:tr w:rsidR="001C2B2C" w14:paraId="5B354A65" w14:textId="77777777" w:rsidTr="00A5572A">
        <w:trPr>
          <w:cantSplit/>
        </w:trPr>
        <w:tc>
          <w:tcPr>
            <w:tcW w:w="2127" w:type="dxa"/>
            <w:vAlign w:val="bottom"/>
          </w:tcPr>
          <w:p w14:paraId="05878363" w14:textId="77777777" w:rsidR="001C2B2C" w:rsidRDefault="001C2B2C" w:rsidP="00B322A7">
            <w:pPr>
              <w:rPr>
                <w:b/>
                <w:bCs/>
                <w:sz w:val="18"/>
                <w:szCs w:val="18"/>
                <w:lang w:val="en-GB"/>
              </w:rPr>
            </w:pPr>
            <w:r>
              <w:rPr>
                <w:b/>
                <w:bCs/>
                <w:sz w:val="18"/>
                <w:szCs w:val="18"/>
                <w:lang w:val="en-GB"/>
              </w:rPr>
              <w:t>Total non-current assets</w:t>
            </w:r>
          </w:p>
        </w:tc>
        <w:tc>
          <w:tcPr>
            <w:tcW w:w="1270" w:type="dxa"/>
            <w:vAlign w:val="bottom"/>
          </w:tcPr>
          <w:p w14:paraId="3AC829E2" w14:textId="77777777" w:rsidR="001C2B2C" w:rsidRPr="001C2B2C" w:rsidRDefault="001C2B2C" w:rsidP="00B322A7">
            <w:pPr>
              <w:jc w:val="right"/>
              <w:rPr>
                <w:b/>
                <w:bCs/>
                <w:sz w:val="18"/>
                <w:szCs w:val="18"/>
                <w:lang w:val="en-GB" w:eastAsia="en-GB"/>
              </w:rPr>
            </w:pPr>
            <w:r w:rsidRPr="001C2B2C">
              <w:rPr>
                <w:b/>
                <w:bCs/>
                <w:sz w:val="18"/>
                <w:szCs w:val="18"/>
                <w:lang w:val="en-GB" w:eastAsia="en-GB"/>
              </w:rPr>
              <w:t>767,774</w:t>
            </w:r>
          </w:p>
        </w:tc>
        <w:tc>
          <w:tcPr>
            <w:tcW w:w="1270" w:type="dxa"/>
            <w:vAlign w:val="bottom"/>
          </w:tcPr>
          <w:p w14:paraId="2BFB906E" w14:textId="77777777" w:rsidR="001C2B2C" w:rsidRPr="001C2B2C" w:rsidRDefault="001C2B2C" w:rsidP="00B322A7">
            <w:pPr>
              <w:jc w:val="right"/>
              <w:rPr>
                <w:b/>
                <w:bCs/>
                <w:sz w:val="18"/>
                <w:szCs w:val="18"/>
                <w:lang w:val="en-GB" w:eastAsia="en-GB"/>
              </w:rPr>
            </w:pPr>
            <w:r w:rsidRPr="001C2B2C">
              <w:rPr>
                <w:b/>
                <w:bCs/>
                <w:sz w:val="18"/>
                <w:szCs w:val="18"/>
                <w:lang w:val="en-GB" w:eastAsia="en-GB"/>
              </w:rPr>
              <w:t>548,726</w:t>
            </w:r>
          </w:p>
        </w:tc>
        <w:tc>
          <w:tcPr>
            <w:tcW w:w="1270" w:type="dxa"/>
            <w:vAlign w:val="bottom"/>
          </w:tcPr>
          <w:p w14:paraId="6CE090D1" w14:textId="77777777" w:rsidR="001C2B2C" w:rsidRDefault="001C2B2C" w:rsidP="00B322A7">
            <w:pPr>
              <w:jc w:val="right"/>
              <w:rPr>
                <w:b/>
                <w:bCs/>
                <w:sz w:val="18"/>
                <w:szCs w:val="18"/>
                <w:lang w:val="en-GB" w:eastAsia="en-GB"/>
              </w:rPr>
            </w:pPr>
            <w:r>
              <w:rPr>
                <w:b/>
                <w:bCs/>
                <w:sz w:val="18"/>
                <w:szCs w:val="18"/>
                <w:lang w:val="en-GB" w:eastAsia="en-GB"/>
              </w:rPr>
              <w:t>27,986</w:t>
            </w:r>
          </w:p>
        </w:tc>
        <w:tc>
          <w:tcPr>
            <w:tcW w:w="1270" w:type="dxa"/>
            <w:vAlign w:val="bottom"/>
          </w:tcPr>
          <w:p w14:paraId="7E209F5A" w14:textId="77777777" w:rsidR="001C2B2C" w:rsidRDefault="001C2B2C" w:rsidP="00B322A7">
            <w:pPr>
              <w:jc w:val="right"/>
              <w:rPr>
                <w:b/>
                <w:bCs/>
                <w:sz w:val="18"/>
                <w:szCs w:val="18"/>
                <w:lang w:val="en-GB" w:eastAsia="en-GB"/>
              </w:rPr>
            </w:pPr>
            <w:r>
              <w:rPr>
                <w:b/>
                <w:bCs/>
                <w:sz w:val="18"/>
                <w:szCs w:val="18"/>
                <w:lang w:val="en-GB" w:eastAsia="en-GB"/>
              </w:rPr>
              <w:t>383,888</w:t>
            </w:r>
          </w:p>
        </w:tc>
        <w:tc>
          <w:tcPr>
            <w:tcW w:w="1270" w:type="dxa"/>
            <w:vAlign w:val="bottom"/>
          </w:tcPr>
          <w:p w14:paraId="448E4298" w14:textId="77777777" w:rsidR="001C2B2C" w:rsidRDefault="001C2B2C" w:rsidP="00B322A7">
            <w:pPr>
              <w:jc w:val="right"/>
              <w:rPr>
                <w:b/>
                <w:bCs/>
                <w:sz w:val="18"/>
                <w:szCs w:val="18"/>
                <w:lang w:val="en-GB" w:eastAsia="en-GB"/>
              </w:rPr>
            </w:pPr>
            <w:r>
              <w:rPr>
                <w:b/>
                <w:bCs/>
                <w:sz w:val="18"/>
                <w:szCs w:val="18"/>
                <w:lang w:val="en-GB" w:eastAsia="en-GB"/>
              </w:rPr>
              <w:t>411,874</w:t>
            </w:r>
          </w:p>
        </w:tc>
        <w:tc>
          <w:tcPr>
            <w:tcW w:w="1270" w:type="dxa"/>
            <w:vAlign w:val="bottom"/>
          </w:tcPr>
          <w:p w14:paraId="209DA7A6" w14:textId="77777777" w:rsidR="001C2B2C" w:rsidRDefault="001C2B2C" w:rsidP="00B322A7">
            <w:pPr>
              <w:jc w:val="right"/>
              <w:rPr>
                <w:b/>
                <w:bCs/>
                <w:sz w:val="18"/>
                <w:szCs w:val="18"/>
                <w:lang w:val="en-GB" w:eastAsia="en-GB"/>
              </w:rPr>
            </w:pPr>
            <w:r>
              <w:rPr>
                <w:b/>
                <w:bCs/>
                <w:sz w:val="18"/>
                <w:szCs w:val="18"/>
                <w:lang w:val="en-GB" w:eastAsia="en-GB"/>
              </w:rPr>
              <w:t>307,149</w:t>
            </w:r>
          </w:p>
        </w:tc>
      </w:tr>
      <w:tr w:rsidR="001C2B2C" w14:paraId="034722DF" w14:textId="77777777" w:rsidTr="00A5572A">
        <w:trPr>
          <w:cantSplit/>
        </w:trPr>
        <w:tc>
          <w:tcPr>
            <w:tcW w:w="2127" w:type="dxa"/>
            <w:vAlign w:val="bottom"/>
          </w:tcPr>
          <w:p w14:paraId="2673DC49" w14:textId="77777777" w:rsidR="001C2B2C" w:rsidRDefault="001C2B2C" w:rsidP="00B322A7">
            <w:pPr>
              <w:rPr>
                <w:color w:val="000000"/>
                <w:sz w:val="18"/>
                <w:szCs w:val="18"/>
                <w:lang w:val="en-GB"/>
              </w:rPr>
            </w:pPr>
            <w:r>
              <w:rPr>
                <w:color w:val="000000"/>
                <w:sz w:val="18"/>
                <w:szCs w:val="18"/>
                <w:lang w:val="en-GB"/>
              </w:rPr>
              <w:t>Trade and other receivables</w:t>
            </w:r>
          </w:p>
        </w:tc>
        <w:tc>
          <w:tcPr>
            <w:tcW w:w="1270" w:type="dxa"/>
            <w:vAlign w:val="bottom"/>
          </w:tcPr>
          <w:p w14:paraId="45D69CF5" w14:textId="77777777" w:rsidR="001C2B2C" w:rsidRPr="001C2B2C" w:rsidRDefault="001C2B2C" w:rsidP="00B322A7">
            <w:pPr>
              <w:jc w:val="right"/>
              <w:rPr>
                <w:sz w:val="18"/>
                <w:szCs w:val="18"/>
                <w:lang w:val="en-GB" w:eastAsia="en-GB"/>
              </w:rPr>
            </w:pPr>
            <w:r w:rsidRPr="001C2B2C">
              <w:rPr>
                <w:sz w:val="18"/>
                <w:szCs w:val="18"/>
                <w:lang w:val="en-GB" w:eastAsia="en-GB"/>
              </w:rPr>
              <w:t>10,896</w:t>
            </w:r>
          </w:p>
        </w:tc>
        <w:tc>
          <w:tcPr>
            <w:tcW w:w="1270" w:type="dxa"/>
            <w:vAlign w:val="bottom"/>
          </w:tcPr>
          <w:p w14:paraId="555044EF" w14:textId="77777777" w:rsidR="001C2B2C" w:rsidRPr="001C2B2C" w:rsidRDefault="001C2B2C" w:rsidP="00B322A7">
            <w:pPr>
              <w:jc w:val="right"/>
              <w:rPr>
                <w:sz w:val="18"/>
                <w:szCs w:val="18"/>
                <w:lang w:val="en-GB" w:eastAsia="en-GB"/>
              </w:rPr>
            </w:pPr>
            <w:r w:rsidRPr="001C2B2C">
              <w:rPr>
                <w:sz w:val="18"/>
                <w:szCs w:val="18"/>
                <w:lang w:val="en-GB" w:eastAsia="en-GB"/>
              </w:rPr>
              <w:t>7,866</w:t>
            </w:r>
          </w:p>
        </w:tc>
        <w:tc>
          <w:tcPr>
            <w:tcW w:w="1270" w:type="dxa"/>
            <w:vAlign w:val="bottom"/>
          </w:tcPr>
          <w:p w14:paraId="03716E2D" w14:textId="77777777" w:rsidR="001C2B2C" w:rsidRDefault="001C2B2C" w:rsidP="00B322A7">
            <w:pPr>
              <w:jc w:val="right"/>
              <w:rPr>
                <w:sz w:val="18"/>
                <w:szCs w:val="18"/>
                <w:lang w:val="en-GB" w:eastAsia="en-GB"/>
              </w:rPr>
            </w:pPr>
            <w:r>
              <w:rPr>
                <w:sz w:val="18"/>
                <w:szCs w:val="18"/>
                <w:lang w:val="en-GB" w:eastAsia="en-GB"/>
              </w:rPr>
              <w:t>401</w:t>
            </w:r>
          </w:p>
        </w:tc>
        <w:tc>
          <w:tcPr>
            <w:tcW w:w="1270" w:type="dxa"/>
            <w:vAlign w:val="bottom"/>
          </w:tcPr>
          <w:p w14:paraId="319C76A9" w14:textId="77777777" w:rsidR="001C2B2C" w:rsidRDefault="001C2B2C" w:rsidP="00B322A7">
            <w:pPr>
              <w:jc w:val="right"/>
              <w:rPr>
                <w:sz w:val="18"/>
                <w:szCs w:val="18"/>
                <w:lang w:val="en-GB" w:eastAsia="en-GB"/>
              </w:rPr>
            </w:pPr>
            <w:r>
              <w:rPr>
                <w:sz w:val="18"/>
                <w:szCs w:val="18"/>
                <w:lang w:val="en-GB" w:eastAsia="en-GB"/>
              </w:rPr>
              <w:t>5,449</w:t>
            </w:r>
          </w:p>
        </w:tc>
        <w:tc>
          <w:tcPr>
            <w:tcW w:w="1270" w:type="dxa"/>
            <w:vAlign w:val="bottom"/>
          </w:tcPr>
          <w:p w14:paraId="5A8101B7" w14:textId="77777777" w:rsidR="001C2B2C" w:rsidRDefault="001C2B2C" w:rsidP="00B322A7">
            <w:pPr>
              <w:jc w:val="right"/>
              <w:rPr>
                <w:sz w:val="18"/>
                <w:szCs w:val="18"/>
                <w:lang w:val="en-GB" w:eastAsia="en-GB"/>
              </w:rPr>
            </w:pPr>
            <w:r>
              <w:rPr>
                <w:sz w:val="18"/>
                <w:szCs w:val="18"/>
                <w:lang w:val="en-GB" w:eastAsia="en-GB"/>
              </w:rPr>
              <w:t>5,850</w:t>
            </w:r>
          </w:p>
        </w:tc>
        <w:tc>
          <w:tcPr>
            <w:tcW w:w="1270" w:type="dxa"/>
            <w:vAlign w:val="bottom"/>
          </w:tcPr>
          <w:p w14:paraId="222BBEE5" w14:textId="77777777" w:rsidR="001C2B2C" w:rsidRDefault="001C2B2C" w:rsidP="00B322A7">
            <w:pPr>
              <w:jc w:val="right"/>
              <w:rPr>
                <w:sz w:val="18"/>
                <w:szCs w:val="18"/>
                <w:lang w:val="en-GB" w:eastAsia="en-GB"/>
              </w:rPr>
            </w:pPr>
            <w:r>
              <w:rPr>
                <w:sz w:val="18"/>
                <w:szCs w:val="18"/>
                <w:lang w:val="en-GB" w:eastAsia="en-GB"/>
              </w:rPr>
              <w:t>4,523</w:t>
            </w:r>
          </w:p>
        </w:tc>
      </w:tr>
      <w:tr w:rsidR="001C2B2C" w14:paraId="6903EEF1" w14:textId="77777777" w:rsidTr="00A5572A">
        <w:trPr>
          <w:cantSplit/>
        </w:trPr>
        <w:tc>
          <w:tcPr>
            <w:tcW w:w="2127" w:type="dxa"/>
            <w:vAlign w:val="bottom"/>
          </w:tcPr>
          <w:p w14:paraId="5B118A05" w14:textId="77777777" w:rsidR="001C2B2C" w:rsidRDefault="001C2B2C" w:rsidP="00B322A7">
            <w:pPr>
              <w:rPr>
                <w:color w:val="000000"/>
                <w:sz w:val="18"/>
                <w:szCs w:val="18"/>
                <w:lang w:val="en-GB"/>
              </w:rPr>
            </w:pPr>
            <w:r>
              <w:rPr>
                <w:color w:val="000000"/>
                <w:sz w:val="18"/>
                <w:szCs w:val="18"/>
                <w:lang w:val="en-GB"/>
              </w:rPr>
              <w:t>Cash and cash equivalents</w:t>
            </w:r>
          </w:p>
        </w:tc>
        <w:tc>
          <w:tcPr>
            <w:tcW w:w="1270" w:type="dxa"/>
            <w:vAlign w:val="bottom"/>
          </w:tcPr>
          <w:p w14:paraId="4AE8C6D2" w14:textId="77777777" w:rsidR="001C2B2C" w:rsidRPr="001C2B2C" w:rsidRDefault="001C2B2C" w:rsidP="00B322A7">
            <w:pPr>
              <w:jc w:val="right"/>
              <w:rPr>
                <w:sz w:val="18"/>
                <w:szCs w:val="18"/>
                <w:lang w:val="en-GB" w:eastAsia="en-GB"/>
              </w:rPr>
            </w:pPr>
            <w:r w:rsidRPr="001C2B2C">
              <w:rPr>
                <w:sz w:val="18"/>
                <w:szCs w:val="18"/>
                <w:lang w:val="en-GB" w:eastAsia="en-GB"/>
              </w:rPr>
              <w:t>29,389</w:t>
            </w:r>
          </w:p>
        </w:tc>
        <w:tc>
          <w:tcPr>
            <w:tcW w:w="1270" w:type="dxa"/>
            <w:vAlign w:val="bottom"/>
          </w:tcPr>
          <w:p w14:paraId="5F20516F" w14:textId="77777777" w:rsidR="001C2B2C" w:rsidRPr="001C2B2C" w:rsidRDefault="001C2B2C" w:rsidP="00B322A7">
            <w:pPr>
              <w:jc w:val="right"/>
              <w:rPr>
                <w:sz w:val="18"/>
                <w:szCs w:val="18"/>
                <w:lang w:val="en-GB" w:eastAsia="en-GB"/>
              </w:rPr>
            </w:pPr>
            <w:r w:rsidRPr="001C2B2C">
              <w:rPr>
                <w:sz w:val="18"/>
                <w:szCs w:val="18"/>
                <w:lang w:val="en-GB" w:eastAsia="en-GB"/>
              </w:rPr>
              <w:t>21,452</w:t>
            </w:r>
          </w:p>
        </w:tc>
        <w:tc>
          <w:tcPr>
            <w:tcW w:w="1270" w:type="dxa"/>
            <w:vAlign w:val="bottom"/>
          </w:tcPr>
          <w:p w14:paraId="75E105C8" w14:textId="77777777" w:rsidR="001C2B2C" w:rsidRDefault="001C2B2C" w:rsidP="00B322A7">
            <w:pPr>
              <w:jc w:val="right"/>
              <w:rPr>
                <w:sz w:val="18"/>
                <w:szCs w:val="18"/>
                <w:lang w:val="en-GB" w:eastAsia="en-GB"/>
              </w:rPr>
            </w:pPr>
            <w:r>
              <w:rPr>
                <w:sz w:val="18"/>
                <w:szCs w:val="18"/>
                <w:lang w:val="en-GB" w:eastAsia="en-GB"/>
              </w:rPr>
              <w:t>1,094</w:t>
            </w:r>
          </w:p>
        </w:tc>
        <w:tc>
          <w:tcPr>
            <w:tcW w:w="1270" w:type="dxa"/>
            <w:vAlign w:val="bottom"/>
          </w:tcPr>
          <w:p w14:paraId="54A7D087" w14:textId="77777777" w:rsidR="001C2B2C" w:rsidRDefault="001C2B2C" w:rsidP="00B322A7">
            <w:pPr>
              <w:jc w:val="right"/>
              <w:rPr>
                <w:sz w:val="18"/>
                <w:szCs w:val="18"/>
                <w:lang w:val="en-GB" w:eastAsia="en-GB"/>
              </w:rPr>
            </w:pPr>
            <w:r>
              <w:rPr>
                <w:sz w:val="18"/>
                <w:szCs w:val="18"/>
                <w:lang w:val="en-GB" w:eastAsia="en-GB"/>
              </w:rPr>
              <w:t>14,694</w:t>
            </w:r>
          </w:p>
        </w:tc>
        <w:tc>
          <w:tcPr>
            <w:tcW w:w="1270" w:type="dxa"/>
            <w:vAlign w:val="bottom"/>
          </w:tcPr>
          <w:p w14:paraId="44F7A315" w14:textId="77777777" w:rsidR="001C2B2C" w:rsidRDefault="001C2B2C" w:rsidP="00B322A7">
            <w:pPr>
              <w:jc w:val="right"/>
              <w:rPr>
                <w:sz w:val="18"/>
                <w:szCs w:val="18"/>
                <w:lang w:val="en-GB" w:eastAsia="en-GB"/>
              </w:rPr>
            </w:pPr>
            <w:r>
              <w:rPr>
                <w:sz w:val="18"/>
                <w:szCs w:val="18"/>
                <w:lang w:val="en-GB" w:eastAsia="en-GB"/>
              </w:rPr>
              <w:t>15,789</w:t>
            </w:r>
          </w:p>
        </w:tc>
        <w:tc>
          <w:tcPr>
            <w:tcW w:w="1270" w:type="dxa"/>
            <w:vAlign w:val="bottom"/>
          </w:tcPr>
          <w:p w14:paraId="6B3846E0" w14:textId="77777777" w:rsidR="001C2B2C" w:rsidRDefault="001C2B2C" w:rsidP="00B322A7">
            <w:pPr>
              <w:jc w:val="right"/>
              <w:rPr>
                <w:sz w:val="18"/>
                <w:szCs w:val="18"/>
                <w:lang w:val="en-GB" w:eastAsia="en-GB"/>
              </w:rPr>
            </w:pPr>
            <w:r>
              <w:rPr>
                <w:sz w:val="18"/>
                <w:szCs w:val="18"/>
                <w:lang w:val="en-GB" w:eastAsia="en-GB"/>
              </w:rPr>
              <w:t>9,256</w:t>
            </w:r>
          </w:p>
        </w:tc>
      </w:tr>
      <w:tr w:rsidR="001C2B2C" w14:paraId="4A27C662" w14:textId="77777777" w:rsidTr="00A5572A">
        <w:trPr>
          <w:cantSplit/>
        </w:trPr>
        <w:tc>
          <w:tcPr>
            <w:tcW w:w="2127" w:type="dxa"/>
            <w:vAlign w:val="bottom"/>
          </w:tcPr>
          <w:p w14:paraId="56F27F39" w14:textId="77777777" w:rsidR="001C2B2C" w:rsidRDefault="001C2B2C" w:rsidP="00B322A7">
            <w:pPr>
              <w:rPr>
                <w:b/>
                <w:bCs/>
                <w:color w:val="000000"/>
                <w:sz w:val="18"/>
                <w:szCs w:val="18"/>
                <w:lang w:val="en-GB"/>
              </w:rPr>
            </w:pPr>
            <w:r>
              <w:rPr>
                <w:b/>
                <w:bCs/>
                <w:color w:val="000000"/>
                <w:sz w:val="18"/>
                <w:szCs w:val="18"/>
                <w:lang w:val="en-GB"/>
              </w:rPr>
              <w:t>Total current assets</w:t>
            </w:r>
          </w:p>
        </w:tc>
        <w:tc>
          <w:tcPr>
            <w:tcW w:w="1270" w:type="dxa"/>
            <w:vAlign w:val="bottom"/>
          </w:tcPr>
          <w:p w14:paraId="30078839" w14:textId="77777777" w:rsidR="001C2B2C" w:rsidRPr="001C2B2C" w:rsidRDefault="001C2B2C" w:rsidP="00B322A7">
            <w:pPr>
              <w:jc w:val="right"/>
              <w:rPr>
                <w:b/>
                <w:bCs/>
                <w:sz w:val="18"/>
                <w:szCs w:val="18"/>
                <w:lang w:val="en-GB" w:eastAsia="en-GB"/>
              </w:rPr>
            </w:pPr>
            <w:r w:rsidRPr="001C2B2C">
              <w:rPr>
                <w:b/>
                <w:bCs/>
                <w:sz w:val="18"/>
                <w:szCs w:val="18"/>
                <w:lang w:val="en-GB" w:eastAsia="en-GB"/>
              </w:rPr>
              <w:t>40,285</w:t>
            </w:r>
          </w:p>
        </w:tc>
        <w:tc>
          <w:tcPr>
            <w:tcW w:w="1270" w:type="dxa"/>
            <w:vAlign w:val="bottom"/>
          </w:tcPr>
          <w:p w14:paraId="2C01B65E" w14:textId="77777777" w:rsidR="001C2B2C" w:rsidRPr="001C2B2C" w:rsidRDefault="001C2B2C" w:rsidP="00B322A7">
            <w:pPr>
              <w:jc w:val="right"/>
              <w:rPr>
                <w:b/>
                <w:bCs/>
                <w:sz w:val="18"/>
                <w:szCs w:val="18"/>
                <w:lang w:val="en-GB" w:eastAsia="en-GB"/>
              </w:rPr>
            </w:pPr>
            <w:r w:rsidRPr="001C2B2C">
              <w:rPr>
                <w:b/>
                <w:bCs/>
                <w:sz w:val="18"/>
                <w:szCs w:val="18"/>
                <w:lang w:val="en-GB" w:eastAsia="en-GB"/>
              </w:rPr>
              <w:t>29,318</w:t>
            </w:r>
          </w:p>
        </w:tc>
        <w:tc>
          <w:tcPr>
            <w:tcW w:w="1270" w:type="dxa"/>
            <w:vAlign w:val="bottom"/>
          </w:tcPr>
          <w:p w14:paraId="58BE0ECF" w14:textId="77777777" w:rsidR="001C2B2C" w:rsidRDefault="001C2B2C" w:rsidP="00B322A7">
            <w:pPr>
              <w:jc w:val="right"/>
              <w:rPr>
                <w:b/>
                <w:bCs/>
                <w:sz w:val="18"/>
                <w:szCs w:val="18"/>
                <w:lang w:val="en-GB" w:eastAsia="en-GB"/>
              </w:rPr>
            </w:pPr>
            <w:r>
              <w:rPr>
                <w:b/>
                <w:bCs/>
                <w:sz w:val="18"/>
                <w:szCs w:val="18"/>
                <w:lang w:val="en-GB" w:eastAsia="en-GB"/>
              </w:rPr>
              <w:t>1,495</w:t>
            </w:r>
          </w:p>
        </w:tc>
        <w:tc>
          <w:tcPr>
            <w:tcW w:w="1270" w:type="dxa"/>
            <w:vAlign w:val="bottom"/>
          </w:tcPr>
          <w:p w14:paraId="0E4B132A" w14:textId="77777777" w:rsidR="001C2B2C" w:rsidRDefault="001C2B2C" w:rsidP="00B322A7">
            <w:pPr>
              <w:jc w:val="right"/>
              <w:rPr>
                <w:b/>
                <w:bCs/>
                <w:sz w:val="18"/>
                <w:szCs w:val="18"/>
                <w:lang w:val="en-GB" w:eastAsia="en-GB"/>
              </w:rPr>
            </w:pPr>
            <w:r>
              <w:rPr>
                <w:b/>
                <w:bCs/>
                <w:sz w:val="18"/>
                <w:szCs w:val="18"/>
                <w:lang w:val="en-GB" w:eastAsia="en-GB"/>
              </w:rPr>
              <w:t>20,143</w:t>
            </w:r>
          </w:p>
        </w:tc>
        <w:tc>
          <w:tcPr>
            <w:tcW w:w="1270" w:type="dxa"/>
            <w:vAlign w:val="bottom"/>
          </w:tcPr>
          <w:p w14:paraId="712ADE50" w14:textId="77777777" w:rsidR="001C2B2C" w:rsidRDefault="001C2B2C" w:rsidP="00B322A7">
            <w:pPr>
              <w:jc w:val="right"/>
              <w:rPr>
                <w:b/>
                <w:bCs/>
                <w:sz w:val="18"/>
                <w:szCs w:val="18"/>
                <w:lang w:val="en-GB" w:eastAsia="en-GB"/>
              </w:rPr>
            </w:pPr>
            <w:r>
              <w:rPr>
                <w:b/>
                <w:bCs/>
                <w:sz w:val="18"/>
                <w:szCs w:val="18"/>
                <w:lang w:val="en-GB" w:eastAsia="en-GB"/>
              </w:rPr>
              <w:t>21,639</w:t>
            </w:r>
          </w:p>
        </w:tc>
        <w:tc>
          <w:tcPr>
            <w:tcW w:w="1270" w:type="dxa"/>
            <w:vAlign w:val="bottom"/>
          </w:tcPr>
          <w:p w14:paraId="149F9BC6" w14:textId="77777777" w:rsidR="001C2B2C" w:rsidRDefault="001C2B2C" w:rsidP="00B322A7">
            <w:pPr>
              <w:jc w:val="right"/>
              <w:rPr>
                <w:b/>
                <w:bCs/>
                <w:sz w:val="18"/>
                <w:szCs w:val="18"/>
                <w:lang w:val="en-GB" w:eastAsia="en-GB"/>
              </w:rPr>
            </w:pPr>
            <w:r>
              <w:rPr>
                <w:b/>
                <w:bCs/>
                <w:sz w:val="18"/>
                <w:szCs w:val="18"/>
                <w:lang w:val="en-GB" w:eastAsia="en-GB"/>
              </w:rPr>
              <w:t>13,779</w:t>
            </w:r>
          </w:p>
        </w:tc>
      </w:tr>
      <w:tr w:rsidR="001C2B2C" w14:paraId="02D4B60C" w14:textId="77777777" w:rsidTr="00A5572A">
        <w:trPr>
          <w:cantSplit/>
        </w:trPr>
        <w:tc>
          <w:tcPr>
            <w:tcW w:w="2127" w:type="dxa"/>
            <w:vAlign w:val="bottom"/>
          </w:tcPr>
          <w:p w14:paraId="72F27411" w14:textId="77777777" w:rsidR="001C2B2C" w:rsidRDefault="001C2B2C" w:rsidP="00B322A7">
            <w:pPr>
              <w:rPr>
                <w:b/>
                <w:bCs/>
                <w:color w:val="000000"/>
                <w:sz w:val="18"/>
                <w:szCs w:val="18"/>
                <w:lang w:val="en-GB"/>
              </w:rPr>
            </w:pPr>
            <w:r>
              <w:rPr>
                <w:b/>
                <w:bCs/>
                <w:color w:val="000000"/>
                <w:sz w:val="18"/>
                <w:szCs w:val="18"/>
                <w:lang w:val="en-GB"/>
              </w:rPr>
              <w:t>Total assets</w:t>
            </w:r>
          </w:p>
        </w:tc>
        <w:tc>
          <w:tcPr>
            <w:tcW w:w="1270" w:type="dxa"/>
            <w:vAlign w:val="bottom"/>
          </w:tcPr>
          <w:p w14:paraId="5A5BA18A" w14:textId="77777777" w:rsidR="001C2B2C" w:rsidRPr="001C2B2C" w:rsidRDefault="001C2B2C" w:rsidP="00B322A7">
            <w:pPr>
              <w:jc w:val="right"/>
              <w:rPr>
                <w:b/>
                <w:bCs/>
                <w:sz w:val="18"/>
                <w:szCs w:val="18"/>
                <w:lang w:val="en-GB" w:eastAsia="en-GB"/>
              </w:rPr>
            </w:pPr>
            <w:r w:rsidRPr="001C2B2C">
              <w:rPr>
                <w:b/>
                <w:bCs/>
                <w:sz w:val="18"/>
                <w:szCs w:val="18"/>
                <w:lang w:val="en-GB" w:eastAsia="en-GB"/>
              </w:rPr>
              <w:t>808,059</w:t>
            </w:r>
          </w:p>
        </w:tc>
        <w:tc>
          <w:tcPr>
            <w:tcW w:w="1270" w:type="dxa"/>
            <w:vAlign w:val="bottom"/>
          </w:tcPr>
          <w:p w14:paraId="08512498" w14:textId="77777777" w:rsidR="001C2B2C" w:rsidRPr="001C2B2C" w:rsidRDefault="001C2B2C" w:rsidP="00B322A7">
            <w:pPr>
              <w:jc w:val="right"/>
              <w:rPr>
                <w:b/>
                <w:bCs/>
                <w:sz w:val="18"/>
                <w:szCs w:val="18"/>
                <w:lang w:val="en-GB" w:eastAsia="en-GB"/>
              </w:rPr>
            </w:pPr>
            <w:r w:rsidRPr="001C2B2C">
              <w:rPr>
                <w:b/>
                <w:bCs/>
                <w:sz w:val="18"/>
                <w:szCs w:val="18"/>
                <w:lang w:val="en-GB" w:eastAsia="en-GB"/>
              </w:rPr>
              <w:t>578,044</w:t>
            </w:r>
          </w:p>
        </w:tc>
        <w:tc>
          <w:tcPr>
            <w:tcW w:w="1270" w:type="dxa"/>
            <w:vAlign w:val="bottom"/>
          </w:tcPr>
          <w:p w14:paraId="2BF59F8E" w14:textId="77777777" w:rsidR="001C2B2C" w:rsidRDefault="001C2B2C" w:rsidP="00B322A7">
            <w:pPr>
              <w:jc w:val="right"/>
              <w:rPr>
                <w:b/>
                <w:bCs/>
                <w:sz w:val="18"/>
                <w:szCs w:val="18"/>
                <w:lang w:val="en-GB" w:eastAsia="en-GB"/>
              </w:rPr>
            </w:pPr>
            <w:r>
              <w:rPr>
                <w:b/>
                <w:bCs/>
                <w:sz w:val="18"/>
                <w:szCs w:val="18"/>
                <w:lang w:val="en-GB" w:eastAsia="en-GB"/>
              </w:rPr>
              <w:t>29,481</w:t>
            </w:r>
          </w:p>
        </w:tc>
        <w:tc>
          <w:tcPr>
            <w:tcW w:w="1270" w:type="dxa"/>
            <w:vAlign w:val="bottom"/>
          </w:tcPr>
          <w:p w14:paraId="08F6D73E" w14:textId="77777777" w:rsidR="001C2B2C" w:rsidRDefault="001C2B2C" w:rsidP="00B322A7">
            <w:pPr>
              <w:jc w:val="right"/>
              <w:rPr>
                <w:b/>
                <w:bCs/>
                <w:sz w:val="18"/>
                <w:szCs w:val="18"/>
                <w:lang w:val="en-GB" w:eastAsia="en-GB"/>
              </w:rPr>
            </w:pPr>
            <w:r>
              <w:rPr>
                <w:b/>
                <w:bCs/>
                <w:sz w:val="18"/>
                <w:szCs w:val="18"/>
                <w:lang w:val="en-GB" w:eastAsia="en-GB"/>
              </w:rPr>
              <w:t>404,031</w:t>
            </w:r>
          </w:p>
        </w:tc>
        <w:tc>
          <w:tcPr>
            <w:tcW w:w="1270" w:type="dxa"/>
            <w:vAlign w:val="bottom"/>
          </w:tcPr>
          <w:p w14:paraId="00AC1209" w14:textId="77777777" w:rsidR="001C2B2C" w:rsidRDefault="001C2B2C" w:rsidP="00B322A7">
            <w:pPr>
              <w:jc w:val="right"/>
              <w:rPr>
                <w:b/>
                <w:bCs/>
                <w:sz w:val="18"/>
                <w:szCs w:val="18"/>
                <w:lang w:val="en-GB" w:eastAsia="en-GB"/>
              </w:rPr>
            </w:pPr>
            <w:r>
              <w:rPr>
                <w:b/>
                <w:bCs/>
                <w:sz w:val="18"/>
                <w:szCs w:val="18"/>
                <w:lang w:val="en-GB" w:eastAsia="en-GB"/>
              </w:rPr>
              <w:t>433,513</w:t>
            </w:r>
          </w:p>
        </w:tc>
        <w:tc>
          <w:tcPr>
            <w:tcW w:w="1270" w:type="dxa"/>
            <w:vAlign w:val="bottom"/>
          </w:tcPr>
          <w:p w14:paraId="643C92B2" w14:textId="77777777" w:rsidR="001C2B2C" w:rsidRDefault="001C2B2C" w:rsidP="00B322A7">
            <w:pPr>
              <w:jc w:val="right"/>
              <w:rPr>
                <w:b/>
                <w:bCs/>
                <w:sz w:val="18"/>
                <w:szCs w:val="18"/>
                <w:lang w:val="en-GB" w:eastAsia="en-GB"/>
              </w:rPr>
            </w:pPr>
            <w:r>
              <w:rPr>
                <w:b/>
                <w:bCs/>
                <w:sz w:val="18"/>
                <w:szCs w:val="18"/>
                <w:lang w:val="en-GB" w:eastAsia="en-GB"/>
              </w:rPr>
              <w:t>320,928</w:t>
            </w:r>
          </w:p>
        </w:tc>
      </w:tr>
      <w:tr w:rsidR="001C2B2C" w14:paraId="48538B85" w14:textId="77777777" w:rsidTr="00A5572A">
        <w:trPr>
          <w:cantSplit/>
        </w:trPr>
        <w:tc>
          <w:tcPr>
            <w:tcW w:w="2127" w:type="dxa"/>
            <w:vAlign w:val="bottom"/>
          </w:tcPr>
          <w:p w14:paraId="3558A135" w14:textId="77777777" w:rsidR="001C2B2C" w:rsidRDefault="001C2B2C" w:rsidP="00B322A7">
            <w:pPr>
              <w:rPr>
                <w:color w:val="000000"/>
                <w:sz w:val="18"/>
                <w:szCs w:val="18"/>
                <w:lang w:val="en-GB"/>
              </w:rPr>
            </w:pPr>
            <w:r>
              <w:rPr>
                <w:color w:val="000000"/>
                <w:sz w:val="18"/>
                <w:szCs w:val="18"/>
                <w:lang w:val="en-GB"/>
              </w:rPr>
              <w:t>Non-current financial debt</w:t>
            </w:r>
          </w:p>
        </w:tc>
        <w:tc>
          <w:tcPr>
            <w:tcW w:w="1270" w:type="dxa"/>
            <w:vAlign w:val="bottom"/>
          </w:tcPr>
          <w:p w14:paraId="242D4699" w14:textId="77777777" w:rsidR="001C2B2C" w:rsidRDefault="001C2B2C" w:rsidP="00B322A7">
            <w:pPr>
              <w:jc w:val="right"/>
              <w:rPr>
                <w:sz w:val="18"/>
                <w:szCs w:val="18"/>
                <w:lang w:val="en-GB" w:eastAsia="en-GB"/>
              </w:rPr>
            </w:pPr>
            <w:r>
              <w:rPr>
                <w:sz w:val="18"/>
                <w:szCs w:val="18"/>
                <w:lang w:val="en-GB" w:eastAsia="en-GB"/>
              </w:rPr>
              <w:t>487,744</w:t>
            </w:r>
          </w:p>
        </w:tc>
        <w:tc>
          <w:tcPr>
            <w:tcW w:w="1270" w:type="dxa"/>
            <w:vAlign w:val="bottom"/>
          </w:tcPr>
          <w:p w14:paraId="77FA2BFA" w14:textId="77777777" w:rsidR="001C2B2C" w:rsidRDefault="001C2B2C" w:rsidP="00B322A7">
            <w:pPr>
              <w:jc w:val="right"/>
              <w:rPr>
                <w:sz w:val="18"/>
                <w:szCs w:val="18"/>
                <w:lang w:val="en-GB" w:eastAsia="en-GB"/>
              </w:rPr>
            </w:pPr>
            <w:r>
              <w:rPr>
                <w:sz w:val="18"/>
                <w:szCs w:val="18"/>
                <w:lang w:val="en-GB" w:eastAsia="en-GB"/>
              </w:rPr>
              <w:t>363,034</w:t>
            </w:r>
          </w:p>
        </w:tc>
        <w:tc>
          <w:tcPr>
            <w:tcW w:w="1270" w:type="dxa"/>
            <w:vAlign w:val="bottom"/>
          </w:tcPr>
          <w:p w14:paraId="53761233" w14:textId="77777777" w:rsidR="001C2B2C" w:rsidRDefault="001C2B2C" w:rsidP="00B322A7">
            <w:pPr>
              <w:jc w:val="right"/>
              <w:rPr>
                <w:sz w:val="18"/>
                <w:szCs w:val="18"/>
                <w:lang w:val="en-GB" w:eastAsia="en-GB"/>
              </w:rPr>
            </w:pPr>
            <w:r>
              <w:rPr>
                <w:sz w:val="18"/>
                <w:szCs w:val="18"/>
                <w:lang w:val="en-GB" w:eastAsia="en-GB"/>
              </w:rPr>
              <w:t>18,515</w:t>
            </w:r>
          </w:p>
        </w:tc>
        <w:tc>
          <w:tcPr>
            <w:tcW w:w="1270" w:type="dxa"/>
            <w:vAlign w:val="bottom"/>
          </w:tcPr>
          <w:p w14:paraId="73A51C72" w14:textId="77777777" w:rsidR="001C2B2C" w:rsidRDefault="001C2B2C" w:rsidP="00B322A7">
            <w:pPr>
              <w:jc w:val="right"/>
              <w:rPr>
                <w:sz w:val="18"/>
                <w:szCs w:val="18"/>
                <w:lang w:val="en-GB" w:eastAsia="en-GB"/>
              </w:rPr>
            </w:pPr>
            <w:r>
              <w:rPr>
                <w:sz w:val="18"/>
                <w:szCs w:val="18"/>
                <w:lang w:val="en-GB" w:eastAsia="en-GB"/>
              </w:rPr>
              <w:t>243,872</w:t>
            </w:r>
          </w:p>
        </w:tc>
        <w:tc>
          <w:tcPr>
            <w:tcW w:w="1270" w:type="dxa"/>
            <w:vAlign w:val="bottom"/>
          </w:tcPr>
          <w:p w14:paraId="20412D2A" w14:textId="77777777" w:rsidR="001C2B2C" w:rsidRDefault="001C2B2C" w:rsidP="00B322A7">
            <w:pPr>
              <w:jc w:val="right"/>
              <w:rPr>
                <w:sz w:val="18"/>
                <w:szCs w:val="18"/>
                <w:lang w:val="en-GB" w:eastAsia="en-GB"/>
              </w:rPr>
            </w:pPr>
            <w:r>
              <w:rPr>
                <w:sz w:val="18"/>
                <w:szCs w:val="18"/>
                <w:lang w:val="en-GB" w:eastAsia="en-GB"/>
              </w:rPr>
              <w:t>262,387</w:t>
            </w:r>
          </w:p>
        </w:tc>
        <w:tc>
          <w:tcPr>
            <w:tcW w:w="1270" w:type="dxa"/>
            <w:vAlign w:val="bottom"/>
          </w:tcPr>
          <w:p w14:paraId="7F6E5F86" w14:textId="77777777" w:rsidR="001C2B2C" w:rsidRDefault="001C2B2C" w:rsidP="00B322A7">
            <w:pPr>
              <w:jc w:val="right"/>
              <w:rPr>
                <w:sz w:val="18"/>
                <w:szCs w:val="18"/>
                <w:lang w:val="en-GB" w:eastAsia="en-GB"/>
              </w:rPr>
            </w:pPr>
            <w:r>
              <w:rPr>
                <w:sz w:val="18"/>
                <w:szCs w:val="18"/>
                <w:lang w:val="en-GB" w:eastAsia="en-GB"/>
              </w:rPr>
              <w:t>201,616</w:t>
            </w:r>
          </w:p>
        </w:tc>
      </w:tr>
      <w:tr w:rsidR="001C2B2C" w14:paraId="07360E22" w14:textId="77777777" w:rsidTr="00A5572A">
        <w:trPr>
          <w:cantSplit/>
        </w:trPr>
        <w:tc>
          <w:tcPr>
            <w:tcW w:w="2127" w:type="dxa"/>
            <w:vAlign w:val="bottom"/>
          </w:tcPr>
          <w:p w14:paraId="481C4043" w14:textId="77777777" w:rsidR="001C2B2C" w:rsidRDefault="001C2B2C" w:rsidP="00B322A7">
            <w:pPr>
              <w:rPr>
                <w:color w:val="000000"/>
                <w:sz w:val="18"/>
                <w:szCs w:val="18"/>
                <w:lang w:val="en-GB"/>
              </w:rPr>
            </w:pPr>
            <w:r>
              <w:rPr>
                <w:color w:val="000000"/>
                <w:sz w:val="18"/>
                <w:szCs w:val="18"/>
                <w:lang w:val="en-GB"/>
              </w:rPr>
              <w:t>Other non-current financial liabilities</w:t>
            </w:r>
          </w:p>
        </w:tc>
        <w:tc>
          <w:tcPr>
            <w:tcW w:w="1270" w:type="dxa"/>
            <w:vAlign w:val="bottom"/>
          </w:tcPr>
          <w:p w14:paraId="7EDA2719" w14:textId="77777777" w:rsidR="001C2B2C" w:rsidRDefault="001C2B2C" w:rsidP="00B322A7">
            <w:pPr>
              <w:jc w:val="right"/>
              <w:rPr>
                <w:sz w:val="18"/>
                <w:szCs w:val="18"/>
                <w:lang w:val="en-GB" w:eastAsia="en-GB"/>
              </w:rPr>
            </w:pPr>
            <w:r>
              <w:rPr>
                <w:sz w:val="18"/>
                <w:szCs w:val="18"/>
                <w:lang w:val="en-GB" w:eastAsia="en-GB"/>
              </w:rPr>
              <w:t>0</w:t>
            </w:r>
          </w:p>
        </w:tc>
        <w:tc>
          <w:tcPr>
            <w:tcW w:w="1270" w:type="dxa"/>
            <w:vAlign w:val="bottom"/>
          </w:tcPr>
          <w:p w14:paraId="121AE558" w14:textId="77777777" w:rsidR="001C2B2C" w:rsidRDefault="001C2B2C" w:rsidP="00B322A7">
            <w:pPr>
              <w:jc w:val="right"/>
              <w:rPr>
                <w:sz w:val="18"/>
                <w:szCs w:val="18"/>
                <w:lang w:val="en-GB" w:eastAsia="en-GB"/>
              </w:rPr>
            </w:pPr>
            <w:r>
              <w:rPr>
                <w:sz w:val="18"/>
                <w:szCs w:val="18"/>
                <w:lang w:val="en-GB" w:eastAsia="en-GB"/>
              </w:rPr>
              <w:t>0</w:t>
            </w:r>
          </w:p>
        </w:tc>
        <w:tc>
          <w:tcPr>
            <w:tcW w:w="1270" w:type="dxa"/>
            <w:vAlign w:val="bottom"/>
          </w:tcPr>
          <w:p w14:paraId="2CDD0CCE" w14:textId="77777777" w:rsidR="001C2B2C" w:rsidRDefault="001C2B2C" w:rsidP="00B322A7">
            <w:pPr>
              <w:jc w:val="right"/>
              <w:rPr>
                <w:sz w:val="18"/>
                <w:szCs w:val="18"/>
                <w:lang w:val="en-GB" w:eastAsia="en-GB"/>
              </w:rPr>
            </w:pPr>
            <w:r>
              <w:rPr>
                <w:sz w:val="18"/>
                <w:szCs w:val="18"/>
                <w:lang w:val="en-GB" w:eastAsia="en-GB"/>
              </w:rPr>
              <w:t>0</w:t>
            </w:r>
          </w:p>
        </w:tc>
        <w:tc>
          <w:tcPr>
            <w:tcW w:w="1270" w:type="dxa"/>
            <w:vAlign w:val="bottom"/>
          </w:tcPr>
          <w:p w14:paraId="3740F847" w14:textId="77777777" w:rsidR="001C2B2C" w:rsidRDefault="001C2B2C" w:rsidP="00B322A7">
            <w:pPr>
              <w:jc w:val="right"/>
              <w:rPr>
                <w:sz w:val="18"/>
                <w:szCs w:val="18"/>
                <w:lang w:val="en-GB" w:eastAsia="en-GB"/>
              </w:rPr>
            </w:pPr>
            <w:r>
              <w:rPr>
                <w:sz w:val="18"/>
                <w:szCs w:val="18"/>
                <w:lang w:val="en-GB" w:eastAsia="en-GB"/>
              </w:rPr>
              <w:t>0</w:t>
            </w:r>
          </w:p>
        </w:tc>
        <w:tc>
          <w:tcPr>
            <w:tcW w:w="1270" w:type="dxa"/>
            <w:vAlign w:val="bottom"/>
          </w:tcPr>
          <w:p w14:paraId="52819388" w14:textId="77777777" w:rsidR="001C2B2C" w:rsidRDefault="001C2B2C" w:rsidP="00B322A7">
            <w:pPr>
              <w:jc w:val="right"/>
              <w:rPr>
                <w:sz w:val="18"/>
                <w:szCs w:val="18"/>
                <w:lang w:val="en-GB" w:eastAsia="en-GB"/>
              </w:rPr>
            </w:pPr>
            <w:r>
              <w:rPr>
                <w:sz w:val="18"/>
                <w:szCs w:val="18"/>
                <w:lang w:val="en-GB" w:eastAsia="en-GB"/>
              </w:rPr>
              <w:t>0</w:t>
            </w:r>
          </w:p>
        </w:tc>
        <w:tc>
          <w:tcPr>
            <w:tcW w:w="1270" w:type="dxa"/>
            <w:vAlign w:val="bottom"/>
          </w:tcPr>
          <w:p w14:paraId="5005BD25" w14:textId="77777777" w:rsidR="001C2B2C" w:rsidRDefault="001C2B2C" w:rsidP="00B322A7">
            <w:pPr>
              <w:jc w:val="right"/>
              <w:rPr>
                <w:sz w:val="18"/>
                <w:szCs w:val="18"/>
                <w:lang w:val="en-GB" w:eastAsia="en-GB"/>
              </w:rPr>
            </w:pPr>
            <w:r>
              <w:rPr>
                <w:sz w:val="18"/>
                <w:szCs w:val="18"/>
                <w:lang w:val="en-GB" w:eastAsia="en-GB"/>
              </w:rPr>
              <w:t>538</w:t>
            </w:r>
          </w:p>
        </w:tc>
      </w:tr>
      <w:tr w:rsidR="001C2B2C" w14:paraId="1164B41D" w14:textId="77777777" w:rsidTr="00A5572A">
        <w:trPr>
          <w:cantSplit/>
        </w:trPr>
        <w:tc>
          <w:tcPr>
            <w:tcW w:w="2127" w:type="dxa"/>
            <w:vAlign w:val="bottom"/>
          </w:tcPr>
          <w:p w14:paraId="3FC8F216" w14:textId="77777777" w:rsidR="001C2B2C" w:rsidRDefault="001C2B2C" w:rsidP="00B322A7">
            <w:pPr>
              <w:rPr>
                <w:color w:val="000000"/>
                <w:sz w:val="18"/>
                <w:szCs w:val="18"/>
                <w:lang w:val="en-GB"/>
              </w:rPr>
            </w:pPr>
            <w:r>
              <w:rPr>
                <w:color w:val="000000"/>
                <w:sz w:val="18"/>
                <w:szCs w:val="18"/>
                <w:lang w:val="en-GB"/>
              </w:rPr>
              <w:t>Other non-current liabilities</w:t>
            </w:r>
          </w:p>
        </w:tc>
        <w:tc>
          <w:tcPr>
            <w:tcW w:w="1270" w:type="dxa"/>
            <w:vAlign w:val="bottom"/>
          </w:tcPr>
          <w:p w14:paraId="1AFC17A0" w14:textId="77777777" w:rsidR="001C2B2C" w:rsidRDefault="001C2B2C" w:rsidP="00B322A7">
            <w:pPr>
              <w:jc w:val="right"/>
              <w:rPr>
                <w:sz w:val="18"/>
                <w:szCs w:val="18"/>
                <w:lang w:val="en-GB" w:eastAsia="en-GB"/>
              </w:rPr>
            </w:pPr>
            <w:r>
              <w:rPr>
                <w:sz w:val="18"/>
                <w:szCs w:val="18"/>
                <w:lang w:val="en-GB" w:eastAsia="en-GB"/>
              </w:rPr>
              <w:t>5,030</w:t>
            </w:r>
          </w:p>
        </w:tc>
        <w:tc>
          <w:tcPr>
            <w:tcW w:w="1270" w:type="dxa"/>
            <w:vAlign w:val="bottom"/>
          </w:tcPr>
          <w:p w14:paraId="5423229A" w14:textId="77777777" w:rsidR="001C2B2C" w:rsidRDefault="001C2B2C" w:rsidP="00B322A7">
            <w:pPr>
              <w:jc w:val="right"/>
              <w:rPr>
                <w:sz w:val="18"/>
                <w:szCs w:val="18"/>
                <w:lang w:val="en-GB" w:eastAsia="en-GB"/>
              </w:rPr>
            </w:pPr>
            <w:r>
              <w:rPr>
                <w:sz w:val="18"/>
                <w:szCs w:val="18"/>
                <w:lang w:val="en-GB" w:eastAsia="en-GB"/>
              </w:rPr>
              <w:t>3,602</w:t>
            </w:r>
          </w:p>
        </w:tc>
        <w:tc>
          <w:tcPr>
            <w:tcW w:w="1270" w:type="dxa"/>
            <w:vAlign w:val="bottom"/>
          </w:tcPr>
          <w:p w14:paraId="62F340BD" w14:textId="77777777" w:rsidR="001C2B2C" w:rsidRDefault="001C2B2C" w:rsidP="00B322A7">
            <w:pPr>
              <w:jc w:val="right"/>
              <w:rPr>
                <w:sz w:val="18"/>
                <w:szCs w:val="18"/>
                <w:lang w:val="en-GB" w:eastAsia="en-GB"/>
              </w:rPr>
            </w:pPr>
            <w:r>
              <w:rPr>
                <w:sz w:val="18"/>
                <w:szCs w:val="18"/>
                <w:lang w:val="en-GB" w:eastAsia="en-GB"/>
              </w:rPr>
              <w:t>184</w:t>
            </w:r>
          </w:p>
        </w:tc>
        <w:tc>
          <w:tcPr>
            <w:tcW w:w="1270" w:type="dxa"/>
            <w:vAlign w:val="bottom"/>
          </w:tcPr>
          <w:p w14:paraId="290787DA" w14:textId="77777777" w:rsidR="001C2B2C" w:rsidRDefault="001C2B2C" w:rsidP="00B322A7">
            <w:pPr>
              <w:jc w:val="right"/>
              <w:rPr>
                <w:sz w:val="18"/>
                <w:szCs w:val="18"/>
                <w:lang w:val="en-GB" w:eastAsia="en-GB"/>
              </w:rPr>
            </w:pPr>
            <w:r>
              <w:rPr>
                <w:sz w:val="18"/>
                <w:szCs w:val="18"/>
                <w:lang w:val="en-GB" w:eastAsia="en-GB"/>
              </w:rPr>
              <w:t>2,515</w:t>
            </w:r>
          </w:p>
        </w:tc>
        <w:tc>
          <w:tcPr>
            <w:tcW w:w="1270" w:type="dxa"/>
            <w:vAlign w:val="bottom"/>
          </w:tcPr>
          <w:p w14:paraId="20F36CF8" w14:textId="77777777" w:rsidR="001C2B2C" w:rsidRDefault="001C2B2C" w:rsidP="00B322A7">
            <w:pPr>
              <w:jc w:val="right"/>
              <w:rPr>
                <w:sz w:val="18"/>
                <w:szCs w:val="18"/>
                <w:lang w:val="en-GB" w:eastAsia="en-GB"/>
              </w:rPr>
            </w:pPr>
            <w:r>
              <w:rPr>
                <w:sz w:val="18"/>
                <w:szCs w:val="18"/>
                <w:lang w:val="en-GB" w:eastAsia="en-GB"/>
              </w:rPr>
              <w:t>2,699</w:t>
            </w:r>
          </w:p>
        </w:tc>
        <w:tc>
          <w:tcPr>
            <w:tcW w:w="1270" w:type="dxa"/>
            <w:vAlign w:val="bottom"/>
          </w:tcPr>
          <w:p w14:paraId="35A83778" w14:textId="77777777" w:rsidR="001C2B2C" w:rsidRDefault="001C2B2C" w:rsidP="00B322A7">
            <w:pPr>
              <w:jc w:val="right"/>
              <w:rPr>
                <w:sz w:val="18"/>
                <w:szCs w:val="18"/>
                <w:lang w:val="en-GB" w:eastAsia="en-GB"/>
              </w:rPr>
            </w:pPr>
            <w:r>
              <w:rPr>
                <w:sz w:val="18"/>
                <w:szCs w:val="18"/>
                <w:lang w:val="en-GB" w:eastAsia="en-GB"/>
              </w:rPr>
              <w:t>721</w:t>
            </w:r>
          </w:p>
        </w:tc>
      </w:tr>
      <w:tr w:rsidR="001C2B2C" w14:paraId="5CBE1286" w14:textId="77777777" w:rsidTr="00A5572A">
        <w:trPr>
          <w:cantSplit/>
        </w:trPr>
        <w:tc>
          <w:tcPr>
            <w:tcW w:w="2127" w:type="dxa"/>
            <w:vAlign w:val="bottom"/>
          </w:tcPr>
          <w:p w14:paraId="5F5E74E1" w14:textId="77777777" w:rsidR="001C2B2C" w:rsidRDefault="001C2B2C" w:rsidP="00B322A7">
            <w:pPr>
              <w:rPr>
                <w:color w:val="000000"/>
                <w:sz w:val="18"/>
                <w:szCs w:val="18"/>
                <w:lang w:val="en-GB"/>
              </w:rPr>
            </w:pPr>
            <w:r>
              <w:rPr>
                <w:color w:val="000000"/>
                <w:sz w:val="18"/>
                <w:szCs w:val="18"/>
                <w:lang w:val="en-GB"/>
              </w:rPr>
              <w:t>Deferred tax liabilities</w:t>
            </w:r>
          </w:p>
        </w:tc>
        <w:tc>
          <w:tcPr>
            <w:tcW w:w="1270" w:type="dxa"/>
            <w:vAlign w:val="bottom"/>
          </w:tcPr>
          <w:p w14:paraId="45B6CC5B" w14:textId="77777777" w:rsidR="001C2B2C" w:rsidRDefault="001C2B2C" w:rsidP="00B322A7">
            <w:pPr>
              <w:jc w:val="right"/>
              <w:rPr>
                <w:sz w:val="18"/>
                <w:szCs w:val="18"/>
                <w:lang w:val="en-GB" w:eastAsia="en-GB"/>
              </w:rPr>
            </w:pPr>
            <w:r>
              <w:rPr>
                <w:sz w:val="18"/>
                <w:szCs w:val="18"/>
                <w:lang w:val="en-GB" w:eastAsia="en-GB"/>
              </w:rPr>
              <w:t>48,078</w:t>
            </w:r>
          </w:p>
        </w:tc>
        <w:tc>
          <w:tcPr>
            <w:tcW w:w="1270" w:type="dxa"/>
            <w:vAlign w:val="bottom"/>
          </w:tcPr>
          <w:p w14:paraId="10CA9920" w14:textId="77777777" w:rsidR="001C2B2C" w:rsidRDefault="001C2B2C" w:rsidP="00B322A7">
            <w:pPr>
              <w:jc w:val="right"/>
              <w:rPr>
                <w:sz w:val="18"/>
                <w:szCs w:val="18"/>
                <w:lang w:val="en-GB" w:eastAsia="en-GB"/>
              </w:rPr>
            </w:pPr>
            <w:r>
              <w:rPr>
                <w:sz w:val="18"/>
                <w:szCs w:val="18"/>
                <w:lang w:val="en-GB" w:eastAsia="en-GB"/>
              </w:rPr>
              <w:t>32,241</w:t>
            </w:r>
          </w:p>
        </w:tc>
        <w:tc>
          <w:tcPr>
            <w:tcW w:w="1270" w:type="dxa"/>
            <w:vAlign w:val="bottom"/>
          </w:tcPr>
          <w:p w14:paraId="476120D7" w14:textId="77777777" w:rsidR="001C2B2C" w:rsidRDefault="001C2B2C" w:rsidP="00B322A7">
            <w:pPr>
              <w:jc w:val="right"/>
              <w:rPr>
                <w:sz w:val="18"/>
                <w:szCs w:val="18"/>
                <w:lang w:val="en-GB" w:eastAsia="en-GB"/>
              </w:rPr>
            </w:pPr>
            <w:r>
              <w:rPr>
                <w:sz w:val="18"/>
                <w:szCs w:val="18"/>
                <w:lang w:val="en-GB" w:eastAsia="en-GB"/>
              </w:rPr>
              <w:t>1,644</w:t>
            </w:r>
          </w:p>
        </w:tc>
        <w:tc>
          <w:tcPr>
            <w:tcW w:w="1270" w:type="dxa"/>
            <w:vAlign w:val="bottom"/>
          </w:tcPr>
          <w:p w14:paraId="7435A521" w14:textId="77777777" w:rsidR="001C2B2C" w:rsidRDefault="001C2B2C" w:rsidP="00B322A7">
            <w:pPr>
              <w:jc w:val="right"/>
              <w:rPr>
                <w:sz w:val="18"/>
                <w:szCs w:val="18"/>
                <w:lang w:val="en-GB" w:eastAsia="en-GB"/>
              </w:rPr>
            </w:pPr>
            <w:r>
              <w:rPr>
                <w:sz w:val="18"/>
                <w:szCs w:val="18"/>
                <w:lang w:val="en-GB" w:eastAsia="en-GB"/>
              </w:rPr>
              <w:t>24,038</w:t>
            </w:r>
          </w:p>
        </w:tc>
        <w:tc>
          <w:tcPr>
            <w:tcW w:w="1270" w:type="dxa"/>
            <w:vAlign w:val="bottom"/>
          </w:tcPr>
          <w:p w14:paraId="490CD8B3" w14:textId="77777777" w:rsidR="001C2B2C" w:rsidRDefault="001C2B2C" w:rsidP="00B322A7">
            <w:pPr>
              <w:jc w:val="right"/>
              <w:rPr>
                <w:sz w:val="18"/>
                <w:szCs w:val="18"/>
                <w:lang w:val="en-GB" w:eastAsia="en-GB"/>
              </w:rPr>
            </w:pPr>
            <w:r>
              <w:rPr>
                <w:sz w:val="18"/>
                <w:szCs w:val="18"/>
                <w:lang w:val="en-GB" w:eastAsia="en-GB"/>
              </w:rPr>
              <w:t>25,682</w:t>
            </w:r>
          </w:p>
        </w:tc>
        <w:tc>
          <w:tcPr>
            <w:tcW w:w="1270" w:type="dxa"/>
            <w:vAlign w:val="bottom"/>
          </w:tcPr>
          <w:p w14:paraId="0CE232A8" w14:textId="77777777" w:rsidR="001C2B2C" w:rsidRDefault="001C2B2C" w:rsidP="00B322A7">
            <w:pPr>
              <w:jc w:val="right"/>
              <w:rPr>
                <w:sz w:val="18"/>
                <w:szCs w:val="18"/>
                <w:lang w:val="en-GB" w:eastAsia="en-GB"/>
              </w:rPr>
            </w:pPr>
            <w:r>
              <w:rPr>
                <w:sz w:val="18"/>
                <w:szCs w:val="18"/>
                <w:lang w:val="en-GB" w:eastAsia="en-GB"/>
              </w:rPr>
              <w:t>17,448</w:t>
            </w:r>
          </w:p>
        </w:tc>
      </w:tr>
      <w:tr w:rsidR="001C2B2C" w14:paraId="215562D5" w14:textId="77777777" w:rsidTr="00A5572A">
        <w:trPr>
          <w:cantSplit/>
        </w:trPr>
        <w:tc>
          <w:tcPr>
            <w:tcW w:w="2127" w:type="dxa"/>
            <w:vAlign w:val="bottom"/>
          </w:tcPr>
          <w:p w14:paraId="02D98111" w14:textId="77777777" w:rsidR="001C2B2C" w:rsidRDefault="001C2B2C" w:rsidP="00B322A7">
            <w:pPr>
              <w:rPr>
                <w:b/>
                <w:bCs/>
                <w:sz w:val="18"/>
                <w:szCs w:val="18"/>
                <w:lang w:val="en-GB"/>
              </w:rPr>
            </w:pPr>
            <w:r>
              <w:rPr>
                <w:b/>
                <w:bCs/>
                <w:sz w:val="18"/>
                <w:szCs w:val="18"/>
                <w:lang w:val="en-GB"/>
              </w:rPr>
              <w:t>Total non-current liabilities</w:t>
            </w:r>
          </w:p>
        </w:tc>
        <w:tc>
          <w:tcPr>
            <w:tcW w:w="1270" w:type="dxa"/>
            <w:vAlign w:val="bottom"/>
          </w:tcPr>
          <w:p w14:paraId="6D39093E" w14:textId="77777777" w:rsidR="001C2B2C" w:rsidRDefault="001C2B2C" w:rsidP="00B322A7">
            <w:pPr>
              <w:jc w:val="right"/>
              <w:rPr>
                <w:b/>
                <w:bCs/>
                <w:sz w:val="18"/>
                <w:szCs w:val="18"/>
                <w:lang w:val="en-GB" w:eastAsia="en-GB"/>
              </w:rPr>
            </w:pPr>
            <w:r>
              <w:rPr>
                <w:b/>
                <w:bCs/>
                <w:sz w:val="18"/>
                <w:szCs w:val="18"/>
                <w:lang w:val="en-GB" w:eastAsia="en-GB"/>
              </w:rPr>
              <w:t>540,852</w:t>
            </w:r>
          </w:p>
        </w:tc>
        <w:tc>
          <w:tcPr>
            <w:tcW w:w="1270" w:type="dxa"/>
            <w:vAlign w:val="bottom"/>
          </w:tcPr>
          <w:p w14:paraId="402485D6" w14:textId="77777777" w:rsidR="001C2B2C" w:rsidRDefault="001C2B2C" w:rsidP="00B322A7">
            <w:pPr>
              <w:jc w:val="right"/>
              <w:rPr>
                <w:b/>
                <w:bCs/>
                <w:sz w:val="18"/>
                <w:szCs w:val="18"/>
                <w:lang w:val="en-GB" w:eastAsia="en-GB"/>
              </w:rPr>
            </w:pPr>
            <w:r>
              <w:rPr>
                <w:b/>
                <w:bCs/>
                <w:sz w:val="18"/>
                <w:szCs w:val="18"/>
                <w:lang w:val="en-GB" w:eastAsia="en-GB"/>
              </w:rPr>
              <w:t>398,877</w:t>
            </w:r>
          </w:p>
        </w:tc>
        <w:tc>
          <w:tcPr>
            <w:tcW w:w="1270" w:type="dxa"/>
            <w:vAlign w:val="bottom"/>
          </w:tcPr>
          <w:p w14:paraId="542F4C51" w14:textId="77777777" w:rsidR="001C2B2C" w:rsidRDefault="001C2B2C" w:rsidP="00B322A7">
            <w:pPr>
              <w:jc w:val="right"/>
              <w:rPr>
                <w:b/>
                <w:bCs/>
                <w:sz w:val="18"/>
                <w:szCs w:val="18"/>
                <w:lang w:val="en-GB" w:eastAsia="en-GB"/>
              </w:rPr>
            </w:pPr>
            <w:r>
              <w:rPr>
                <w:b/>
                <w:bCs/>
                <w:sz w:val="18"/>
                <w:szCs w:val="18"/>
                <w:lang w:val="en-GB" w:eastAsia="en-GB"/>
              </w:rPr>
              <w:t>20,343</w:t>
            </w:r>
          </w:p>
        </w:tc>
        <w:tc>
          <w:tcPr>
            <w:tcW w:w="1270" w:type="dxa"/>
            <w:vAlign w:val="bottom"/>
          </w:tcPr>
          <w:p w14:paraId="358F96A5" w14:textId="77777777" w:rsidR="001C2B2C" w:rsidRDefault="001C2B2C" w:rsidP="00B322A7">
            <w:pPr>
              <w:jc w:val="right"/>
              <w:rPr>
                <w:b/>
                <w:bCs/>
                <w:sz w:val="18"/>
                <w:szCs w:val="18"/>
                <w:lang w:val="en-GB" w:eastAsia="en-GB"/>
              </w:rPr>
            </w:pPr>
            <w:r>
              <w:rPr>
                <w:b/>
                <w:bCs/>
                <w:sz w:val="18"/>
                <w:szCs w:val="18"/>
                <w:lang w:val="en-GB" w:eastAsia="en-GB"/>
              </w:rPr>
              <w:t>270,425</w:t>
            </w:r>
          </w:p>
        </w:tc>
        <w:tc>
          <w:tcPr>
            <w:tcW w:w="1270" w:type="dxa"/>
            <w:vAlign w:val="bottom"/>
          </w:tcPr>
          <w:p w14:paraId="6092FBE6" w14:textId="77777777" w:rsidR="001C2B2C" w:rsidRDefault="001C2B2C" w:rsidP="00B322A7">
            <w:pPr>
              <w:jc w:val="right"/>
              <w:rPr>
                <w:b/>
                <w:bCs/>
                <w:sz w:val="18"/>
                <w:szCs w:val="18"/>
                <w:lang w:val="en-GB" w:eastAsia="en-GB"/>
              </w:rPr>
            </w:pPr>
            <w:r>
              <w:rPr>
                <w:b/>
                <w:bCs/>
                <w:sz w:val="18"/>
                <w:szCs w:val="18"/>
                <w:lang w:val="en-GB" w:eastAsia="en-GB"/>
              </w:rPr>
              <w:t>290,768</w:t>
            </w:r>
          </w:p>
        </w:tc>
        <w:tc>
          <w:tcPr>
            <w:tcW w:w="1270" w:type="dxa"/>
            <w:vAlign w:val="bottom"/>
          </w:tcPr>
          <w:p w14:paraId="01D69D18" w14:textId="77777777" w:rsidR="001C2B2C" w:rsidRDefault="001C2B2C" w:rsidP="00B322A7">
            <w:pPr>
              <w:jc w:val="right"/>
              <w:rPr>
                <w:b/>
                <w:bCs/>
                <w:sz w:val="18"/>
                <w:szCs w:val="18"/>
                <w:lang w:val="en-GB" w:eastAsia="en-GB"/>
              </w:rPr>
            </w:pPr>
            <w:r>
              <w:rPr>
                <w:b/>
                <w:bCs/>
                <w:sz w:val="18"/>
                <w:szCs w:val="18"/>
                <w:lang w:val="en-GB" w:eastAsia="en-GB"/>
              </w:rPr>
              <w:t>220,323</w:t>
            </w:r>
          </w:p>
        </w:tc>
      </w:tr>
      <w:tr w:rsidR="001C2B2C" w14:paraId="038B0EBD" w14:textId="77777777" w:rsidTr="00A5572A">
        <w:trPr>
          <w:cantSplit/>
        </w:trPr>
        <w:tc>
          <w:tcPr>
            <w:tcW w:w="2127" w:type="dxa"/>
            <w:vAlign w:val="bottom"/>
          </w:tcPr>
          <w:p w14:paraId="63BD594D" w14:textId="77777777" w:rsidR="001C2B2C" w:rsidRDefault="001C2B2C" w:rsidP="00B322A7">
            <w:pPr>
              <w:rPr>
                <w:color w:val="000000"/>
                <w:sz w:val="18"/>
                <w:szCs w:val="18"/>
                <w:lang w:val="en-GB"/>
              </w:rPr>
            </w:pPr>
            <w:r>
              <w:rPr>
                <w:color w:val="000000"/>
                <w:sz w:val="18"/>
                <w:szCs w:val="18"/>
                <w:lang w:val="en-GB"/>
              </w:rPr>
              <w:t>Current financial debt</w:t>
            </w:r>
          </w:p>
        </w:tc>
        <w:tc>
          <w:tcPr>
            <w:tcW w:w="1270" w:type="dxa"/>
            <w:vAlign w:val="bottom"/>
          </w:tcPr>
          <w:p w14:paraId="7217BA3C" w14:textId="77777777" w:rsidR="001C2B2C" w:rsidRDefault="001C2B2C" w:rsidP="00B322A7">
            <w:pPr>
              <w:jc w:val="right"/>
              <w:rPr>
                <w:sz w:val="18"/>
                <w:szCs w:val="18"/>
                <w:lang w:val="en-GB" w:eastAsia="en-GB"/>
              </w:rPr>
            </w:pPr>
            <w:r>
              <w:rPr>
                <w:sz w:val="18"/>
                <w:szCs w:val="18"/>
                <w:lang w:val="en-GB" w:eastAsia="en-GB"/>
              </w:rPr>
              <w:t>10,606</w:t>
            </w:r>
          </w:p>
        </w:tc>
        <w:tc>
          <w:tcPr>
            <w:tcW w:w="1270" w:type="dxa"/>
            <w:vAlign w:val="bottom"/>
          </w:tcPr>
          <w:p w14:paraId="135072C8" w14:textId="77777777" w:rsidR="001C2B2C" w:rsidRDefault="001C2B2C" w:rsidP="00B322A7">
            <w:pPr>
              <w:jc w:val="right"/>
              <w:rPr>
                <w:sz w:val="18"/>
                <w:szCs w:val="18"/>
                <w:lang w:val="en-GB" w:eastAsia="en-GB"/>
              </w:rPr>
            </w:pPr>
            <w:r>
              <w:rPr>
                <w:sz w:val="18"/>
                <w:szCs w:val="18"/>
                <w:lang w:val="en-GB" w:eastAsia="en-GB"/>
              </w:rPr>
              <w:t>7,888</w:t>
            </w:r>
          </w:p>
        </w:tc>
        <w:tc>
          <w:tcPr>
            <w:tcW w:w="1270" w:type="dxa"/>
            <w:vAlign w:val="bottom"/>
          </w:tcPr>
          <w:p w14:paraId="10501430" w14:textId="77777777" w:rsidR="001C2B2C" w:rsidRDefault="001C2B2C" w:rsidP="00B322A7">
            <w:pPr>
              <w:jc w:val="right"/>
              <w:rPr>
                <w:sz w:val="18"/>
                <w:szCs w:val="18"/>
                <w:lang w:val="en-GB" w:eastAsia="en-GB"/>
              </w:rPr>
            </w:pPr>
            <w:r>
              <w:rPr>
                <w:sz w:val="18"/>
                <w:szCs w:val="18"/>
                <w:lang w:val="en-GB" w:eastAsia="en-GB"/>
              </w:rPr>
              <w:t>402</w:t>
            </w:r>
          </w:p>
        </w:tc>
        <w:tc>
          <w:tcPr>
            <w:tcW w:w="1270" w:type="dxa"/>
            <w:vAlign w:val="bottom"/>
          </w:tcPr>
          <w:p w14:paraId="6B232B62" w14:textId="77777777" w:rsidR="001C2B2C" w:rsidRDefault="001C2B2C" w:rsidP="00B322A7">
            <w:pPr>
              <w:jc w:val="right"/>
              <w:rPr>
                <w:sz w:val="18"/>
                <w:szCs w:val="18"/>
                <w:lang w:val="en-GB" w:eastAsia="en-GB"/>
              </w:rPr>
            </w:pPr>
            <w:r>
              <w:rPr>
                <w:sz w:val="18"/>
                <w:szCs w:val="18"/>
                <w:lang w:val="en-GB" w:eastAsia="en-GB"/>
              </w:rPr>
              <w:t>5,303</w:t>
            </w:r>
          </w:p>
        </w:tc>
        <w:tc>
          <w:tcPr>
            <w:tcW w:w="1270" w:type="dxa"/>
            <w:vAlign w:val="bottom"/>
          </w:tcPr>
          <w:p w14:paraId="3F44466A" w14:textId="77777777" w:rsidR="001C2B2C" w:rsidRDefault="001C2B2C" w:rsidP="00B322A7">
            <w:pPr>
              <w:jc w:val="right"/>
              <w:rPr>
                <w:sz w:val="18"/>
                <w:szCs w:val="18"/>
                <w:lang w:val="en-GB" w:eastAsia="en-GB"/>
              </w:rPr>
            </w:pPr>
            <w:r>
              <w:rPr>
                <w:sz w:val="18"/>
                <w:szCs w:val="18"/>
                <w:lang w:val="en-GB" w:eastAsia="en-GB"/>
              </w:rPr>
              <w:t>5,705</w:t>
            </w:r>
          </w:p>
        </w:tc>
        <w:tc>
          <w:tcPr>
            <w:tcW w:w="1270" w:type="dxa"/>
            <w:vAlign w:val="bottom"/>
          </w:tcPr>
          <w:p w14:paraId="394E1511" w14:textId="77777777" w:rsidR="001C2B2C" w:rsidRDefault="001C2B2C" w:rsidP="00B322A7">
            <w:pPr>
              <w:jc w:val="right"/>
              <w:rPr>
                <w:sz w:val="18"/>
                <w:szCs w:val="18"/>
                <w:lang w:val="en-GB" w:eastAsia="en-GB"/>
              </w:rPr>
            </w:pPr>
            <w:r>
              <w:rPr>
                <w:sz w:val="18"/>
                <w:szCs w:val="18"/>
                <w:lang w:val="en-GB" w:eastAsia="en-GB"/>
              </w:rPr>
              <w:t>4,368</w:t>
            </w:r>
          </w:p>
        </w:tc>
      </w:tr>
      <w:tr w:rsidR="001C2B2C" w14:paraId="36CADA7C" w14:textId="77777777" w:rsidTr="00A5572A">
        <w:trPr>
          <w:cantSplit/>
        </w:trPr>
        <w:tc>
          <w:tcPr>
            <w:tcW w:w="2127" w:type="dxa"/>
            <w:vAlign w:val="bottom"/>
          </w:tcPr>
          <w:p w14:paraId="08C108CF" w14:textId="77777777" w:rsidR="001C2B2C" w:rsidRDefault="001C2B2C" w:rsidP="00B322A7">
            <w:pPr>
              <w:rPr>
                <w:color w:val="000000"/>
                <w:sz w:val="18"/>
                <w:szCs w:val="18"/>
                <w:lang w:val="en-GB"/>
              </w:rPr>
            </w:pPr>
            <w:r>
              <w:rPr>
                <w:color w:val="000000"/>
                <w:sz w:val="18"/>
                <w:szCs w:val="18"/>
                <w:lang w:val="en-GB"/>
              </w:rPr>
              <w:t>Trade debts and other current liabilities</w:t>
            </w:r>
          </w:p>
        </w:tc>
        <w:tc>
          <w:tcPr>
            <w:tcW w:w="1270" w:type="dxa"/>
            <w:vAlign w:val="bottom"/>
          </w:tcPr>
          <w:p w14:paraId="707B9DC0" w14:textId="77777777" w:rsidR="001C2B2C" w:rsidRDefault="001C2B2C" w:rsidP="00B322A7">
            <w:pPr>
              <w:jc w:val="right"/>
              <w:rPr>
                <w:sz w:val="18"/>
                <w:szCs w:val="18"/>
                <w:lang w:val="en-GB" w:eastAsia="en-GB"/>
              </w:rPr>
            </w:pPr>
            <w:r>
              <w:rPr>
                <w:sz w:val="18"/>
                <w:szCs w:val="18"/>
                <w:lang w:val="en-GB" w:eastAsia="en-GB"/>
              </w:rPr>
              <w:t>12,687</w:t>
            </w:r>
          </w:p>
        </w:tc>
        <w:tc>
          <w:tcPr>
            <w:tcW w:w="1270" w:type="dxa"/>
            <w:vAlign w:val="bottom"/>
          </w:tcPr>
          <w:p w14:paraId="515FC390" w14:textId="77777777" w:rsidR="001C2B2C" w:rsidRDefault="001C2B2C" w:rsidP="00B322A7">
            <w:pPr>
              <w:jc w:val="right"/>
              <w:rPr>
                <w:sz w:val="18"/>
                <w:szCs w:val="18"/>
                <w:lang w:val="en-GB" w:eastAsia="en-GB"/>
              </w:rPr>
            </w:pPr>
            <w:r>
              <w:rPr>
                <w:sz w:val="18"/>
                <w:szCs w:val="18"/>
                <w:lang w:val="en-GB" w:eastAsia="en-GB"/>
              </w:rPr>
              <w:t>8,676</w:t>
            </w:r>
          </w:p>
        </w:tc>
        <w:tc>
          <w:tcPr>
            <w:tcW w:w="1270" w:type="dxa"/>
            <w:vAlign w:val="bottom"/>
          </w:tcPr>
          <w:p w14:paraId="61DE4C0B" w14:textId="77777777" w:rsidR="001C2B2C" w:rsidRDefault="001C2B2C" w:rsidP="00B322A7">
            <w:pPr>
              <w:jc w:val="right"/>
              <w:rPr>
                <w:sz w:val="18"/>
                <w:szCs w:val="18"/>
                <w:lang w:val="en-GB" w:eastAsia="en-GB"/>
              </w:rPr>
            </w:pPr>
            <w:r>
              <w:rPr>
                <w:sz w:val="18"/>
                <w:szCs w:val="18"/>
                <w:lang w:val="en-GB" w:eastAsia="en-GB"/>
              </w:rPr>
              <w:t>442</w:t>
            </w:r>
          </w:p>
        </w:tc>
        <w:tc>
          <w:tcPr>
            <w:tcW w:w="1270" w:type="dxa"/>
            <w:vAlign w:val="bottom"/>
          </w:tcPr>
          <w:p w14:paraId="28182EF2" w14:textId="77777777" w:rsidR="001C2B2C" w:rsidRDefault="001C2B2C" w:rsidP="00B322A7">
            <w:pPr>
              <w:jc w:val="right"/>
              <w:rPr>
                <w:sz w:val="18"/>
                <w:szCs w:val="18"/>
                <w:lang w:val="en-GB" w:eastAsia="en-GB"/>
              </w:rPr>
            </w:pPr>
            <w:r>
              <w:rPr>
                <w:sz w:val="18"/>
                <w:szCs w:val="18"/>
                <w:lang w:val="en-GB" w:eastAsia="en-GB"/>
              </w:rPr>
              <w:t>6,343</w:t>
            </w:r>
          </w:p>
        </w:tc>
        <w:tc>
          <w:tcPr>
            <w:tcW w:w="1270" w:type="dxa"/>
            <w:vAlign w:val="bottom"/>
          </w:tcPr>
          <w:p w14:paraId="42CDB170" w14:textId="77777777" w:rsidR="001C2B2C" w:rsidRDefault="001C2B2C" w:rsidP="00B322A7">
            <w:pPr>
              <w:jc w:val="right"/>
              <w:rPr>
                <w:sz w:val="18"/>
                <w:szCs w:val="18"/>
                <w:lang w:val="en-GB" w:eastAsia="en-GB"/>
              </w:rPr>
            </w:pPr>
            <w:r>
              <w:rPr>
                <w:sz w:val="18"/>
                <w:szCs w:val="18"/>
                <w:lang w:val="en-GB" w:eastAsia="en-GB"/>
              </w:rPr>
              <w:t>6,786</w:t>
            </w:r>
          </w:p>
        </w:tc>
        <w:tc>
          <w:tcPr>
            <w:tcW w:w="1270" w:type="dxa"/>
            <w:vAlign w:val="bottom"/>
          </w:tcPr>
          <w:p w14:paraId="681CE004" w14:textId="77777777" w:rsidR="001C2B2C" w:rsidRDefault="001C2B2C" w:rsidP="00B322A7">
            <w:pPr>
              <w:jc w:val="right"/>
              <w:rPr>
                <w:sz w:val="18"/>
                <w:szCs w:val="18"/>
                <w:lang w:val="en-GB" w:eastAsia="en-GB"/>
              </w:rPr>
            </w:pPr>
            <w:r>
              <w:rPr>
                <w:sz w:val="18"/>
                <w:szCs w:val="18"/>
                <w:lang w:val="en-GB" w:eastAsia="en-GB"/>
              </w:rPr>
              <w:t>6,940</w:t>
            </w:r>
          </w:p>
        </w:tc>
      </w:tr>
      <w:tr w:rsidR="001C2B2C" w14:paraId="32CA1B30" w14:textId="77777777" w:rsidTr="00A5572A">
        <w:trPr>
          <w:cantSplit/>
        </w:trPr>
        <w:tc>
          <w:tcPr>
            <w:tcW w:w="2127" w:type="dxa"/>
            <w:vAlign w:val="bottom"/>
          </w:tcPr>
          <w:p w14:paraId="1F2CA981" w14:textId="77777777" w:rsidR="001C2B2C" w:rsidRDefault="001C2B2C" w:rsidP="00B322A7">
            <w:pPr>
              <w:rPr>
                <w:b/>
                <w:bCs/>
                <w:color w:val="000000"/>
                <w:sz w:val="18"/>
                <w:szCs w:val="18"/>
                <w:lang w:val="en-GB"/>
              </w:rPr>
            </w:pPr>
            <w:r>
              <w:rPr>
                <w:b/>
                <w:bCs/>
                <w:color w:val="000000"/>
                <w:sz w:val="18"/>
                <w:szCs w:val="18"/>
                <w:lang w:val="en-GB"/>
              </w:rPr>
              <w:t>Total current liabilities</w:t>
            </w:r>
          </w:p>
        </w:tc>
        <w:tc>
          <w:tcPr>
            <w:tcW w:w="1270" w:type="dxa"/>
            <w:vAlign w:val="bottom"/>
          </w:tcPr>
          <w:p w14:paraId="0F6F8744" w14:textId="77777777" w:rsidR="001C2B2C" w:rsidRDefault="001C2B2C" w:rsidP="00B322A7">
            <w:pPr>
              <w:jc w:val="right"/>
              <w:rPr>
                <w:b/>
                <w:bCs/>
                <w:sz w:val="18"/>
                <w:szCs w:val="18"/>
                <w:lang w:val="en-GB" w:eastAsia="en-GB"/>
              </w:rPr>
            </w:pPr>
            <w:r>
              <w:rPr>
                <w:b/>
                <w:bCs/>
                <w:sz w:val="18"/>
                <w:szCs w:val="18"/>
                <w:lang w:val="en-GB" w:eastAsia="en-GB"/>
              </w:rPr>
              <w:t>23,292</w:t>
            </w:r>
          </w:p>
        </w:tc>
        <w:tc>
          <w:tcPr>
            <w:tcW w:w="1270" w:type="dxa"/>
            <w:vAlign w:val="bottom"/>
          </w:tcPr>
          <w:p w14:paraId="44A50788" w14:textId="77777777" w:rsidR="001C2B2C" w:rsidRDefault="001C2B2C" w:rsidP="00B322A7">
            <w:pPr>
              <w:jc w:val="right"/>
              <w:rPr>
                <w:b/>
                <w:bCs/>
                <w:sz w:val="18"/>
                <w:szCs w:val="18"/>
                <w:lang w:val="en-GB" w:eastAsia="en-GB"/>
              </w:rPr>
            </w:pPr>
            <w:r>
              <w:rPr>
                <w:b/>
                <w:bCs/>
                <w:sz w:val="18"/>
                <w:szCs w:val="18"/>
                <w:lang w:val="en-GB" w:eastAsia="en-GB"/>
              </w:rPr>
              <w:t>16,564</w:t>
            </w:r>
          </w:p>
        </w:tc>
        <w:tc>
          <w:tcPr>
            <w:tcW w:w="1270" w:type="dxa"/>
            <w:vAlign w:val="bottom"/>
          </w:tcPr>
          <w:p w14:paraId="0A1EBF5B" w14:textId="77777777" w:rsidR="001C2B2C" w:rsidRDefault="001C2B2C" w:rsidP="00B322A7">
            <w:pPr>
              <w:jc w:val="right"/>
              <w:rPr>
                <w:b/>
                <w:bCs/>
                <w:sz w:val="18"/>
                <w:szCs w:val="18"/>
                <w:lang w:val="en-GB" w:eastAsia="en-GB"/>
              </w:rPr>
            </w:pPr>
            <w:r>
              <w:rPr>
                <w:b/>
                <w:bCs/>
                <w:sz w:val="18"/>
                <w:szCs w:val="18"/>
                <w:lang w:val="en-GB" w:eastAsia="en-GB"/>
              </w:rPr>
              <w:t>845</w:t>
            </w:r>
          </w:p>
        </w:tc>
        <w:tc>
          <w:tcPr>
            <w:tcW w:w="1270" w:type="dxa"/>
            <w:vAlign w:val="bottom"/>
          </w:tcPr>
          <w:p w14:paraId="589FBC75" w14:textId="77777777" w:rsidR="001C2B2C" w:rsidRDefault="001C2B2C" w:rsidP="00B322A7">
            <w:pPr>
              <w:jc w:val="right"/>
              <w:rPr>
                <w:b/>
                <w:bCs/>
                <w:sz w:val="18"/>
                <w:szCs w:val="18"/>
                <w:lang w:val="en-GB" w:eastAsia="en-GB"/>
              </w:rPr>
            </w:pPr>
            <w:r>
              <w:rPr>
                <w:b/>
                <w:bCs/>
                <w:sz w:val="18"/>
                <w:szCs w:val="18"/>
                <w:lang w:val="en-GB" w:eastAsia="en-GB"/>
              </w:rPr>
              <w:t>11,646</w:t>
            </w:r>
          </w:p>
        </w:tc>
        <w:tc>
          <w:tcPr>
            <w:tcW w:w="1270" w:type="dxa"/>
            <w:vAlign w:val="bottom"/>
          </w:tcPr>
          <w:p w14:paraId="030DA967" w14:textId="77777777" w:rsidR="001C2B2C" w:rsidRDefault="001C2B2C" w:rsidP="00B322A7">
            <w:pPr>
              <w:jc w:val="right"/>
              <w:rPr>
                <w:b/>
                <w:bCs/>
                <w:sz w:val="18"/>
                <w:szCs w:val="18"/>
                <w:lang w:val="en-GB" w:eastAsia="en-GB"/>
              </w:rPr>
            </w:pPr>
            <w:r>
              <w:rPr>
                <w:b/>
                <w:bCs/>
                <w:sz w:val="18"/>
                <w:szCs w:val="18"/>
                <w:lang w:val="en-GB" w:eastAsia="en-GB"/>
              </w:rPr>
              <w:t>12,491</w:t>
            </w:r>
          </w:p>
        </w:tc>
        <w:tc>
          <w:tcPr>
            <w:tcW w:w="1270" w:type="dxa"/>
            <w:vAlign w:val="bottom"/>
          </w:tcPr>
          <w:p w14:paraId="3E28802D" w14:textId="77777777" w:rsidR="001C2B2C" w:rsidRDefault="001C2B2C" w:rsidP="00B322A7">
            <w:pPr>
              <w:jc w:val="right"/>
              <w:rPr>
                <w:b/>
                <w:bCs/>
                <w:sz w:val="18"/>
                <w:szCs w:val="18"/>
                <w:lang w:val="en-GB" w:eastAsia="en-GB"/>
              </w:rPr>
            </w:pPr>
            <w:r>
              <w:rPr>
                <w:b/>
                <w:bCs/>
                <w:sz w:val="18"/>
                <w:szCs w:val="18"/>
                <w:lang w:val="en-GB" w:eastAsia="en-GB"/>
              </w:rPr>
              <w:t>11,308</w:t>
            </w:r>
          </w:p>
        </w:tc>
      </w:tr>
      <w:tr w:rsidR="001C2B2C" w14:paraId="71FF3A36" w14:textId="77777777" w:rsidTr="00A5572A">
        <w:trPr>
          <w:cantSplit/>
        </w:trPr>
        <w:tc>
          <w:tcPr>
            <w:tcW w:w="2127" w:type="dxa"/>
            <w:vAlign w:val="bottom"/>
          </w:tcPr>
          <w:p w14:paraId="0E81CCF1" w14:textId="77777777" w:rsidR="001C2B2C" w:rsidRDefault="001C2B2C" w:rsidP="00B322A7">
            <w:pPr>
              <w:rPr>
                <w:b/>
                <w:bCs/>
                <w:color w:val="000000"/>
                <w:sz w:val="18"/>
                <w:szCs w:val="18"/>
                <w:lang w:val="en-GB"/>
              </w:rPr>
            </w:pPr>
            <w:r>
              <w:rPr>
                <w:b/>
                <w:bCs/>
                <w:color w:val="000000"/>
                <w:sz w:val="18"/>
                <w:szCs w:val="18"/>
                <w:lang w:val="en-GB"/>
              </w:rPr>
              <w:t>Total liabilities</w:t>
            </w:r>
          </w:p>
        </w:tc>
        <w:tc>
          <w:tcPr>
            <w:tcW w:w="1270" w:type="dxa"/>
            <w:vAlign w:val="bottom"/>
          </w:tcPr>
          <w:p w14:paraId="249FFE7D" w14:textId="77777777" w:rsidR="001C2B2C" w:rsidRDefault="001C2B2C" w:rsidP="00B322A7">
            <w:pPr>
              <w:jc w:val="right"/>
              <w:rPr>
                <w:b/>
                <w:bCs/>
                <w:sz w:val="18"/>
                <w:szCs w:val="18"/>
                <w:lang w:val="en-GB" w:eastAsia="en-GB"/>
              </w:rPr>
            </w:pPr>
            <w:r>
              <w:rPr>
                <w:b/>
                <w:bCs/>
                <w:sz w:val="18"/>
                <w:szCs w:val="18"/>
                <w:lang w:val="en-GB" w:eastAsia="en-GB"/>
              </w:rPr>
              <w:t>564,145</w:t>
            </w:r>
          </w:p>
        </w:tc>
        <w:tc>
          <w:tcPr>
            <w:tcW w:w="1270" w:type="dxa"/>
            <w:vAlign w:val="bottom"/>
          </w:tcPr>
          <w:p w14:paraId="28F2B915" w14:textId="77777777" w:rsidR="001C2B2C" w:rsidRDefault="001C2B2C" w:rsidP="00B322A7">
            <w:pPr>
              <w:jc w:val="right"/>
              <w:rPr>
                <w:b/>
                <w:bCs/>
                <w:sz w:val="18"/>
                <w:szCs w:val="18"/>
                <w:lang w:val="en-GB" w:eastAsia="en-GB"/>
              </w:rPr>
            </w:pPr>
            <w:r>
              <w:rPr>
                <w:b/>
                <w:bCs/>
                <w:sz w:val="18"/>
                <w:szCs w:val="18"/>
                <w:lang w:val="en-GB" w:eastAsia="en-GB"/>
              </w:rPr>
              <w:t>415,441</w:t>
            </w:r>
          </w:p>
        </w:tc>
        <w:tc>
          <w:tcPr>
            <w:tcW w:w="1270" w:type="dxa"/>
            <w:vAlign w:val="bottom"/>
          </w:tcPr>
          <w:p w14:paraId="02B332E6" w14:textId="77777777" w:rsidR="001C2B2C" w:rsidRDefault="001C2B2C" w:rsidP="00B322A7">
            <w:pPr>
              <w:jc w:val="right"/>
              <w:rPr>
                <w:b/>
                <w:bCs/>
                <w:sz w:val="18"/>
                <w:szCs w:val="18"/>
                <w:lang w:val="en-GB" w:eastAsia="en-GB"/>
              </w:rPr>
            </w:pPr>
            <w:r>
              <w:rPr>
                <w:b/>
                <w:bCs/>
                <w:sz w:val="18"/>
                <w:szCs w:val="18"/>
                <w:lang w:val="en-GB" w:eastAsia="en-GB"/>
              </w:rPr>
              <w:t>21,187</w:t>
            </w:r>
          </w:p>
        </w:tc>
        <w:tc>
          <w:tcPr>
            <w:tcW w:w="1270" w:type="dxa"/>
            <w:vAlign w:val="bottom"/>
          </w:tcPr>
          <w:p w14:paraId="2FB453FC" w14:textId="77777777" w:rsidR="001C2B2C" w:rsidRDefault="001C2B2C" w:rsidP="00B322A7">
            <w:pPr>
              <w:jc w:val="right"/>
              <w:rPr>
                <w:b/>
                <w:bCs/>
                <w:sz w:val="18"/>
                <w:szCs w:val="18"/>
                <w:lang w:val="en-GB" w:eastAsia="en-GB"/>
              </w:rPr>
            </w:pPr>
            <w:r>
              <w:rPr>
                <w:b/>
                <w:bCs/>
                <w:sz w:val="18"/>
                <w:szCs w:val="18"/>
                <w:lang w:val="en-GB" w:eastAsia="en-GB"/>
              </w:rPr>
              <w:t>282,071</w:t>
            </w:r>
          </w:p>
        </w:tc>
        <w:tc>
          <w:tcPr>
            <w:tcW w:w="1270" w:type="dxa"/>
            <w:vAlign w:val="bottom"/>
          </w:tcPr>
          <w:p w14:paraId="3406A764" w14:textId="77777777" w:rsidR="001C2B2C" w:rsidRDefault="001C2B2C" w:rsidP="00B322A7">
            <w:pPr>
              <w:jc w:val="right"/>
              <w:rPr>
                <w:b/>
                <w:bCs/>
                <w:sz w:val="18"/>
                <w:szCs w:val="18"/>
                <w:lang w:val="en-GB" w:eastAsia="en-GB"/>
              </w:rPr>
            </w:pPr>
            <w:r>
              <w:rPr>
                <w:b/>
                <w:bCs/>
                <w:sz w:val="18"/>
                <w:szCs w:val="18"/>
                <w:lang w:val="en-GB" w:eastAsia="en-GB"/>
              </w:rPr>
              <w:t>303,259</w:t>
            </w:r>
          </w:p>
        </w:tc>
        <w:tc>
          <w:tcPr>
            <w:tcW w:w="1270" w:type="dxa"/>
            <w:vAlign w:val="bottom"/>
          </w:tcPr>
          <w:p w14:paraId="7E5084AF" w14:textId="77777777" w:rsidR="001C2B2C" w:rsidRDefault="001C2B2C" w:rsidP="00B322A7">
            <w:pPr>
              <w:jc w:val="right"/>
              <w:rPr>
                <w:b/>
                <w:bCs/>
                <w:sz w:val="18"/>
                <w:szCs w:val="18"/>
                <w:lang w:val="en-GB" w:eastAsia="en-GB"/>
              </w:rPr>
            </w:pPr>
            <w:r>
              <w:rPr>
                <w:b/>
                <w:bCs/>
                <w:sz w:val="18"/>
                <w:szCs w:val="18"/>
                <w:lang w:val="en-GB" w:eastAsia="en-GB"/>
              </w:rPr>
              <w:t>231,631</w:t>
            </w:r>
          </w:p>
        </w:tc>
      </w:tr>
      <w:tr w:rsidR="001C2B2C" w14:paraId="03B9C5F8" w14:textId="77777777" w:rsidTr="00A5572A">
        <w:trPr>
          <w:cantSplit/>
        </w:trPr>
        <w:tc>
          <w:tcPr>
            <w:tcW w:w="2127" w:type="dxa"/>
            <w:vAlign w:val="bottom"/>
          </w:tcPr>
          <w:p w14:paraId="67692792" w14:textId="77777777" w:rsidR="001C2B2C" w:rsidRDefault="001C2B2C" w:rsidP="00B322A7">
            <w:pPr>
              <w:rPr>
                <w:b/>
                <w:bCs/>
                <w:color w:val="000000"/>
                <w:sz w:val="18"/>
                <w:szCs w:val="18"/>
                <w:lang w:val="en-GB"/>
              </w:rPr>
            </w:pPr>
            <w:r>
              <w:rPr>
                <w:b/>
                <w:bCs/>
                <w:color w:val="000000"/>
                <w:sz w:val="18"/>
                <w:szCs w:val="18"/>
                <w:lang w:val="en-GB"/>
              </w:rPr>
              <w:t>Adjustment disposal of associates</w:t>
            </w:r>
          </w:p>
        </w:tc>
        <w:tc>
          <w:tcPr>
            <w:tcW w:w="1270" w:type="dxa"/>
            <w:vAlign w:val="bottom"/>
          </w:tcPr>
          <w:p w14:paraId="481FF2EA" w14:textId="77777777" w:rsidR="001C2B2C" w:rsidRDefault="001C2B2C" w:rsidP="00B322A7">
            <w:pPr>
              <w:jc w:val="right"/>
              <w:rPr>
                <w:b/>
                <w:bCs/>
                <w:sz w:val="18"/>
                <w:szCs w:val="18"/>
                <w:lang w:val="en-GB" w:eastAsia="en-GB"/>
              </w:rPr>
            </w:pPr>
            <w:r>
              <w:rPr>
                <w:b/>
                <w:bCs/>
                <w:sz w:val="18"/>
                <w:szCs w:val="18"/>
                <w:lang w:val="en-GB" w:eastAsia="en-GB"/>
              </w:rPr>
              <w:t> </w:t>
            </w:r>
          </w:p>
        </w:tc>
        <w:tc>
          <w:tcPr>
            <w:tcW w:w="1270" w:type="dxa"/>
            <w:vAlign w:val="bottom"/>
          </w:tcPr>
          <w:p w14:paraId="0CB6E3E9" w14:textId="77777777" w:rsidR="001C2B2C" w:rsidRDefault="001C2B2C" w:rsidP="00B322A7">
            <w:pPr>
              <w:jc w:val="right"/>
              <w:rPr>
                <w:b/>
                <w:bCs/>
                <w:sz w:val="18"/>
                <w:szCs w:val="18"/>
                <w:lang w:val="en-GB" w:eastAsia="en-GB"/>
              </w:rPr>
            </w:pPr>
            <w:r>
              <w:rPr>
                <w:b/>
                <w:bCs/>
                <w:sz w:val="18"/>
                <w:szCs w:val="18"/>
                <w:lang w:val="en-GB" w:eastAsia="en-GB"/>
              </w:rPr>
              <w:t> </w:t>
            </w:r>
          </w:p>
        </w:tc>
        <w:tc>
          <w:tcPr>
            <w:tcW w:w="1270" w:type="dxa"/>
            <w:vAlign w:val="bottom"/>
          </w:tcPr>
          <w:p w14:paraId="5F522082" w14:textId="77777777" w:rsidR="001C2B2C" w:rsidRDefault="001C2B2C" w:rsidP="00B322A7">
            <w:pPr>
              <w:jc w:val="right"/>
              <w:rPr>
                <w:b/>
                <w:bCs/>
                <w:sz w:val="18"/>
                <w:szCs w:val="18"/>
                <w:lang w:val="en-GB" w:eastAsia="en-GB"/>
              </w:rPr>
            </w:pPr>
            <w:r>
              <w:rPr>
                <w:b/>
                <w:bCs/>
                <w:sz w:val="18"/>
                <w:szCs w:val="18"/>
                <w:lang w:val="en-GB" w:eastAsia="en-GB"/>
              </w:rPr>
              <w:t> </w:t>
            </w:r>
          </w:p>
        </w:tc>
        <w:tc>
          <w:tcPr>
            <w:tcW w:w="1270" w:type="dxa"/>
            <w:vAlign w:val="bottom"/>
          </w:tcPr>
          <w:p w14:paraId="6CB60446" w14:textId="77777777" w:rsidR="001C2B2C" w:rsidRDefault="001C2B2C" w:rsidP="00B322A7">
            <w:pPr>
              <w:jc w:val="right"/>
              <w:rPr>
                <w:b/>
                <w:bCs/>
                <w:sz w:val="18"/>
                <w:szCs w:val="18"/>
                <w:lang w:val="en-GB" w:eastAsia="en-GB"/>
              </w:rPr>
            </w:pPr>
            <w:r>
              <w:rPr>
                <w:b/>
                <w:bCs/>
                <w:sz w:val="18"/>
                <w:szCs w:val="18"/>
                <w:lang w:val="en-GB" w:eastAsia="en-GB"/>
              </w:rPr>
              <w:t> </w:t>
            </w:r>
          </w:p>
        </w:tc>
        <w:tc>
          <w:tcPr>
            <w:tcW w:w="1270" w:type="dxa"/>
            <w:vAlign w:val="bottom"/>
          </w:tcPr>
          <w:p w14:paraId="1DCEE499" w14:textId="77777777" w:rsidR="001C2B2C" w:rsidRDefault="001C2B2C" w:rsidP="00B322A7">
            <w:pPr>
              <w:jc w:val="right"/>
              <w:rPr>
                <w:b/>
                <w:bCs/>
                <w:sz w:val="18"/>
                <w:szCs w:val="18"/>
                <w:lang w:val="en-GB" w:eastAsia="en-GB"/>
              </w:rPr>
            </w:pPr>
            <w:r>
              <w:rPr>
                <w:b/>
                <w:bCs/>
                <w:sz w:val="18"/>
                <w:szCs w:val="18"/>
                <w:lang w:val="en-GB" w:eastAsia="en-GB"/>
              </w:rPr>
              <w:t> </w:t>
            </w:r>
          </w:p>
        </w:tc>
        <w:tc>
          <w:tcPr>
            <w:tcW w:w="1270" w:type="dxa"/>
            <w:vAlign w:val="bottom"/>
          </w:tcPr>
          <w:p w14:paraId="25247C1A" w14:textId="77777777" w:rsidR="001C2B2C" w:rsidRDefault="001C2B2C" w:rsidP="00B322A7">
            <w:pPr>
              <w:jc w:val="right"/>
              <w:rPr>
                <w:sz w:val="18"/>
                <w:szCs w:val="18"/>
                <w:lang w:val="en-GB" w:eastAsia="en-GB"/>
              </w:rPr>
            </w:pPr>
            <w:r>
              <w:rPr>
                <w:sz w:val="18"/>
                <w:szCs w:val="18"/>
                <w:lang w:val="en-GB" w:eastAsia="en-GB"/>
              </w:rPr>
              <w:t>103</w:t>
            </w:r>
          </w:p>
        </w:tc>
      </w:tr>
      <w:tr w:rsidR="001C2B2C" w14:paraId="51A7510F" w14:textId="77777777" w:rsidTr="00A5572A">
        <w:trPr>
          <w:cantSplit/>
        </w:trPr>
        <w:tc>
          <w:tcPr>
            <w:tcW w:w="2127" w:type="dxa"/>
            <w:vAlign w:val="bottom"/>
          </w:tcPr>
          <w:p w14:paraId="08EC6A61" w14:textId="77777777" w:rsidR="001C2B2C" w:rsidRDefault="001C2B2C" w:rsidP="00B322A7">
            <w:pPr>
              <w:rPr>
                <w:b/>
                <w:bCs/>
                <w:color w:val="000000"/>
                <w:sz w:val="18"/>
                <w:szCs w:val="18"/>
                <w:lang w:val="en-GB"/>
              </w:rPr>
            </w:pPr>
            <w:r>
              <w:rPr>
                <w:b/>
                <w:bCs/>
                <w:color w:val="000000"/>
                <w:sz w:val="18"/>
                <w:szCs w:val="18"/>
                <w:lang w:val="en-GB"/>
              </w:rPr>
              <w:t>Net assets</w:t>
            </w:r>
          </w:p>
        </w:tc>
        <w:tc>
          <w:tcPr>
            <w:tcW w:w="1270" w:type="dxa"/>
            <w:vAlign w:val="bottom"/>
          </w:tcPr>
          <w:p w14:paraId="70B9AFF3" w14:textId="77777777" w:rsidR="001C2B2C" w:rsidRDefault="001C2B2C" w:rsidP="00B322A7">
            <w:pPr>
              <w:jc w:val="right"/>
              <w:rPr>
                <w:b/>
                <w:bCs/>
                <w:sz w:val="18"/>
                <w:szCs w:val="18"/>
                <w:lang w:val="en-GB" w:eastAsia="en-GB"/>
              </w:rPr>
            </w:pPr>
            <w:r>
              <w:rPr>
                <w:b/>
                <w:bCs/>
                <w:sz w:val="18"/>
                <w:szCs w:val="18"/>
                <w:lang w:val="en-GB" w:eastAsia="en-GB"/>
              </w:rPr>
              <w:t>243,914</w:t>
            </w:r>
          </w:p>
        </w:tc>
        <w:tc>
          <w:tcPr>
            <w:tcW w:w="1270" w:type="dxa"/>
            <w:vAlign w:val="bottom"/>
          </w:tcPr>
          <w:p w14:paraId="1E9FFDA2" w14:textId="77777777" w:rsidR="001C2B2C" w:rsidRDefault="001C2B2C" w:rsidP="00B322A7">
            <w:pPr>
              <w:jc w:val="right"/>
              <w:rPr>
                <w:b/>
                <w:bCs/>
                <w:sz w:val="18"/>
                <w:szCs w:val="18"/>
                <w:lang w:val="en-GB" w:eastAsia="en-GB"/>
              </w:rPr>
            </w:pPr>
            <w:r>
              <w:rPr>
                <w:b/>
                <w:bCs/>
                <w:sz w:val="18"/>
                <w:szCs w:val="18"/>
                <w:lang w:val="en-GB" w:eastAsia="en-GB"/>
              </w:rPr>
              <w:t>162,603</w:t>
            </w:r>
          </w:p>
        </w:tc>
        <w:tc>
          <w:tcPr>
            <w:tcW w:w="1270" w:type="dxa"/>
            <w:vAlign w:val="bottom"/>
          </w:tcPr>
          <w:p w14:paraId="7AD1E92B" w14:textId="77777777" w:rsidR="001C2B2C" w:rsidRDefault="001C2B2C" w:rsidP="00B322A7">
            <w:pPr>
              <w:jc w:val="right"/>
              <w:rPr>
                <w:b/>
                <w:bCs/>
                <w:sz w:val="18"/>
                <w:szCs w:val="18"/>
                <w:lang w:val="en-GB" w:eastAsia="en-GB"/>
              </w:rPr>
            </w:pPr>
            <w:r>
              <w:rPr>
                <w:b/>
                <w:bCs/>
                <w:sz w:val="18"/>
                <w:szCs w:val="18"/>
                <w:lang w:val="en-GB" w:eastAsia="en-GB"/>
              </w:rPr>
              <w:t>8,294</w:t>
            </w:r>
          </w:p>
        </w:tc>
        <w:tc>
          <w:tcPr>
            <w:tcW w:w="1270" w:type="dxa"/>
            <w:vAlign w:val="bottom"/>
          </w:tcPr>
          <w:p w14:paraId="61EB1519" w14:textId="77777777" w:rsidR="001C2B2C" w:rsidRDefault="001C2B2C" w:rsidP="00B322A7">
            <w:pPr>
              <w:jc w:val="right"/>
              <w:rPr>
                <w:b/>
                <w:bCs/>
                <w:sz w:val="18"/>
                <w:szCs w:val="18"/>
                <w:lang w:val="en-GB" w:eastAsia="en-GB"/>
              </w:rPr>
            </w:pPr>
            <w:r>
              <w:rPr>
                <w:b/>
                <w:bCs/>
                <w:sz w:val="18"/>
                <w:szCs w:val="18"/>
                <w:lang w:val="en-GB" w:eastAsia="en-GB"/>
              </w:rPr>
              <w:t>121,960</w:t>
            </w:r>
          </w:p>
        </w:tc>
        <w:tc>
          <w:tcPr>
            <w:tcW w:w="1270" w:type="dxa"/>
            <w:vAlign w:val="bottom"/>
          </w:tcPr>
          <w:p w14:paraId="1295514D" w14:textId="77777777" w:rsidR="001C2B2C" w:rsidRDefault="001C2B2C" w:rsidP="00B322A7">
            <w:pPr>
              <w:jc w:val="right"/>
              <w:rPr>
                <w:b/>
                <w:bCs/>
                <w:sz w:val="18"/>
                <w:szCs w:val="18"/>
                <w:lang w:val="en-GB" w:eastAsia="en-GB"/>
              </w:rPr>
            </w:pPr>
            <w:r>
              <w:rPr>
                <w:b/>
                <w:bCs/>
                <w:sz w:val="18"/>
                <w:szCs w:val="18"/>
                <w:lang w:val="en-GB" w:eastAsia="en-GB"/>
              </w:rPr>
              <w:t>130,254</w:t>
            </w:r>
          </w:p>
        </w:tc>
        <w:tc>
          <w:tcPr>
            <w:tcW w:w="1270" w:type="dxa"/>
            <w:vAlign w:val="bottom"/>
          </w:tcPr>
          <w:p w14:paraId="055CBC0F" w14:textId="77777777" w:rsidR="001C2B2C" w:rsidRDefault="001C2B2C" w:rsidP="00B322A7">
            <w:pPr>
              <w:jc w:val="right"/>
              <w:rPr>
                <w:b/>
                <w:bCs/>
                <w:sz w:val="18"/>
                <w:szCs w:val="18"/>
                <w:lang w:val="en-GB" w:eastAsia="en-GB"/>
              </w:rPr>
            </w:pPr>
            <w:r>
              <w:rPr>
                <w:b/>
                <w:bCs/>
                <w:sz w:val="18"/>
                <w:szCs w:val="18"/>
                <w:lang w:val="en-GB" w:eastAsia="en-GB"/>
              </w:rPr>
              <w:t>89,194</w:t>
            </w:r>
          </w:p>
        </w:tc>
      </w:tr>
    </w:tbl>
    <w:p w14:paraId="1F13C071" w14:textId="5FD62E43" w:rsidR="001D1FD6" w:rsidRDefault="001D1FD6" w:rsidP="001D1FD6">
      <w:pPr>
        <w:spacing w:after="240"/>
        <w:jc w:val="both"/>
        <w:rPr>
          <w:rFonts w:cs="Arabic Transparent"/>
          <w:color w:val="000000"/>
          <w:spacing w:val="-6"/>
          <w:sz w:val="18"/>
          <w:szCs w:val="18"/>
        </w:rPr>
      </w:pPr>
    </w:p>
    <w:p w14:paraId="53CA82BF" w14:textId="77777777" w:rsidR="001D1FD6" w:rsidRDefault="001D1FD6" w:rsidP="001D1FD6">
      <w:pPr>
        <w:spacing w:after="240"/>
        <w:jc w:val="both"/>
        <w:rPr>
          <w:bCs/>
          <w:i/>
          <w:sz w:val="18"/>
          <w:szCs w:val="18"/>
        </w:rPr>
      </w:pPr>
      <w:r>
        <w:rPr>
          <w:bCs/>
          <w:i/>
          <w:sz w:val="18"/>
          <w:szCs w:val="18"/>
        </w:rPr>
        <w:t>Joint Venture Portfolio</w:t>
      </w:r>
    </w:p>
    <w:p w14:paraId="1B06AF1B" w14:textId="15ECD749" w:rsidR="001D1FD6" w:rsidRDefault="001D1FD6" w:rsidP="001D1FD6">
      <w:pPr>
        <w:spacing w:after="240"/>
        <w:ind w:firstLine="720"/>
        <w:jc w:val="both"/>
        <w:rPr>
          <w:bCs/>
          <w:sz w:val="18"/>
          <w:szCs w:val="18"/>
        </w:rPr>
      </w:pPr>
      <w:r>
        <w:rPr>
          <w:bCs/>
          <w:sz w:val="18"/>
          <w:szCs w:val="18"/>
        </w:rPr>
        <w:t xml:space="preserve">The Joint Venture portfolio is valued in the same way as the </w:t>
      </w:r>
      <w:r w:rsidR="00ED004E">
        <w:rPr>
          <w:bCs/>
          <w:sz w:val="18"/>
          <w:szCs w:val="18"/>
        </w:rPr>
        <w:t xml:space="preserve">Group’s </w:t>
      </w:r>
      <w:r>
        <w:rPr>
          <w:bCs/>
          <w:sz w:val="18"/>
          <w:szCs w:val="18"/>
        </w:rPr>
        <w:t xml:space="preserve">own portfolio i.e. twice per annum using the same valuation methodology and using the same external valuator </w:t>
      </w:r>
      <w:r w:rsidR="00FF5B25">
        <w:rPr>
          <w:bCs/>
          <w:sz w:val="18"/>
          <w:szCs w:val="18"/>
        </w:rPr>
        <w:t>(</w:t>
      </w:r>
      <w:r>
        <w:rPr>
          <w:bCs/>
          <w:sz w:val="18"/>
          <w:szCs w:val="18"/>
        </w:rPr>
        <w:t>Jones Lang LaSalle</w:t>
      </w:r>
      <w:r w:rsidR="00FF5B25">
        <w:rPr>
          <w:bCs/>
          <w:sz w:val="18"/>
          <w:szCs w:val="18"/>
        </w:rPr>
        <w:t>)</w:t>
      </w:r>
      <w:r w:rsidR="00ED004E">
        <w:rPr>
          <w:bCs/>
          <w:sz w:val="18"/>
          <w:szCs w:val="18"/>
        </w:rPr>
        <w:t>.</w:t>
      </w:r>
    </w:p>
    <w:p w14:paraId="6A7870DA" w14:textId="19DEE85B" w:rsidR="001D1FD6" w:rsidRDefault="001D1FD6" w:rsidP="001D1FD6">
      <w:pPr>
        <w:spacing w:after="240"/>
        <w:ind w:firstLine="720"/>
        <w:jc w:val="both"/>
        <w:rPr>
          <w:bCs/>
          <w:sz w:val="18"/>
          <w:szCs w:val="18"/>
        </w:rPr>
      </w:pPr>
      <w:r>
        <w:rPr>
          <w:bCs/>
          <w:sz w:val="18"/>
          <w:szCs w:val="18"/>
        </w:rPr>
        <w:t>The following tables set forth the property value of the Joint Venture’s global portfolio as at 30 June 2017 and 31 December 2016 respectively:</w:t>
      </w:r>
    </w:p>
    <w:tbl>
      <w:tblPr>
        <w:tblW w:w="4947" w:type="pct"/>
        <w:tblLayout w:type="fixed"/>
        <w:tblCellMar>
          <w:left w:w="115" w:type="dxa"/>
          <w:right w:w="115" w:type="dxa"/>
        </w:tblCellMar>
        <w:tblLook w:val="04A0" w:firstRow="1" w:lastRow="0" w:firstColumn="1" w:lastColumn="0" w:noHBand="0" w:noVBand="1"/>
      </w:tblPr>
      <w:tblGrid>
        <w:gridCol w:w="2756"/>
        <w:gridCol w:w="1379"/>
        <w:gridCol w:w="1380"/>
        <w:gridCol w:w="1378"/>
        <w:gridCol w:w="1379"/>
        <w:gridCol w:w="1378"/>
      </w:tblGrid>
      <w:tr w:rsidR="001D1FD6" w14:paraId="696DA064" w14:textId="77777777" w:rsidTr="009E2376">
        <w:trPr>
          <w:cantSplit/>
        </w:trPr>
        <w:tc>
          <w:tcPr>
            <w:tcW w:w="2756" w:type="dxa"/>
          </w:tcPr>
          <w:p w14:paraId="298E576E" w14:textId="77777777" w:rsidR="001D1FD6" w:rsidRDefault="001D1FD6" w:rsidP="001D1FD6">
            <w:pPr>
              <w:jc w:val="both"/>
              <w:rPr>
                <w:sz w:val="18"/>
                <w:szCs w:val="18"/>
                <w:lang w:val="en-GB"/>
              </w:rPr>
            </w:pPr>
            <w:r>
              <w:rPr>
                <w:i/>
                <w:sz w:val="18"/>
                <w:szCs w:val="18"/>
                <w:lang w:val="en-GB"/>
              </w:rPr>
              <w:t>As at 30 June 2017</w:t>
            </w:r>
          </w:p>
        </w:tc>
        <w:tc>
          <w:tcPr>
            <w:tcW w:w="1379" w:type="dxa"/>
          </w:tcPr>
          <w:p w14:paraId="54BCD094" w14:textId="77777777" w:rsidR="001D1FD6" w:rsidRDefault="001D1FD6" w:rsidP="001D1FD6">
            <w:pPr>
              <w:jc w:val="center"/>
              <w:rPr>
                <w:b/>
                <w:sz w:val="18"/>
                <w:szCs w:val="18"/>
              </w:rPr>
            </w:pPr>
          </w:p>
        </w:tc>
        <w:tc>
          <w:tcPr>
            <w:tcW w:w="1380" w:type="dxa"/>
          </w:tcPr>
          <w:p w14:paraId="6A9AB1C1" w14:textId="77777777" w:rsidR="001D1FD6" w:rsidRDefault="001D1FD6" w:rsidP="001D1FD6">
            <w:pPr>
              <w:jc w:val="center"/>
              <w:rPr>
                <w:b/>
                <w:sz w:val="18"/>
                <w:szCs w:val="18"/>
              </w:rPr>
            </w:pPr>
          </w:p>
        </w:tc>
        <w:tc>
          <w:tcPr>
            <w:tcW w:w="1378" w:type="dxa"/>
          </w:tcPr>
          <w:p w14:paraId="4BA219D8" w14:textId="77777777" w:rsidR="001D1FD6" w:rsidRDefault="001D1FD6" w:rsidP="001D1FD6">
            <w:pPr>
              <w:jc w:val="center"/>
              <w:rPr>
                <w:b/>
                <w:sz w:val="18"/>
                <w:szCs w:val="18"/>
              </w:rPr>
            </w:pPr>
          </w:p>
        </w:tc>
        <w:tc>
          <w:tcPr>
            <w:tcW w:w="2757" w:type="dxa"/>
            <w:gridSpan w:val="2"/>
          </w:tcPr>
          <w:p w14:paraId="24C6606B" w14:textId="4FCC7C87" w:rsidR="001D1FD6" w:rsidRDefault="001D1FD6" w:rsidP="001D1FD6">
            <w:pPr>
              <w:pBdr>
                <w:bottom w:val="single" w:sz="2" w:space="1" w:color="auto"/>
              </w:pBdr>
              <w:jc w:val="center"/>
              <w:rPr>
                <w:b/>
                <w:sz w:val="18"/>
                <w:szCs w:val="18"/>
              </w:rPr>
            </w:pPr>
            <w:r>
              <w:rPr>
                <w:b/>
                <w:sz w:val="18"/>
                <w:szCs w:val="18"/>
              </w:rPr>
              <w:t>Portfolio Value</w:t>
            </w:r>
            <w:r w:rsidR="009E2376">
              <w:rPr>
                <w:b/>
                <w:sz w:val="18"/>
                <w:szCs w:val="18"/>
              </w:rPr>
              <w:t>¹</w:t>
            </w:r>
          </w:p>
        </w:tc>
      </w:tr>
      <w:tr w:rsidR="001D1FD6" w14:paraId="1968A5CF" w14:textId="77777777" w:rsidTr="009E2376">
        <w:trPr>
          <w:cantSplit/>
        </w:trPr>
        <w:tc>
          <w:tcPr>
            <w:tcW w:w="2756" w:type="dxa"/>
            <w:vMerge w:val="restart"/>
          </w:tcPr>
          <w:p w14:paraId="2DAF0D06" w14:textId="77777777" w:rsidR="001D1FD6" w:rsidRDefault="001D1FD6" w:rsidP="001D1FD6">
            <w:pPr>
              <w:jc w:val="both"/>
              <w:rPr>
                <w:i/>
                <w:sz w:val="18"/>
                <w:szCs w:val="18"/>
                <w:lang w:val="en-GB"/>
              </w:rPr>
            </w:pPr>
          </w:p>
        </w:tc>
        <w:tc>
          <w:tcPr>
            <w:tcW w:w="1379" w:type="dxa"/>
          </w:tcPr>
          <w:p w14:paraId="060F6E8A" w14:textId="77777777" w:rsidR="001D1FD6" w:rsidRDefault="001D1FD6" w:rsidP="001D1FD6">
            <w:pPr>
              <w:pBdr>
                <w:bottom w:val="single" w:sz="2" w:space="1" w:color="auto"/>
              </w:pBdr>
              <w:jc w:val="center"/>
              <w:rPr>
                <w:b/>
                <w:sz w:val="18"/>
                <w:szCs w:val="18"/>
              </w:rPr>
            </w:pPr>
            <w:r>
              <w:rPr>
                <w:b/>
                <w:sz w:val="18"/>
                <w:szCs w:val="18"/>
              </w:rPr>
              <w:t>Completed</w:t>
            </w:r>
          </w:p>
          <w:p w14:paraId="4E7677C6" w14:textId="3FCE52CF" w:rsidR="00115A39" w:rsidRPr="00F66970" w:rsidRDefault="00F90491" w:rsidP="00F66970">
            <w:pPr>
              <w:pBdr>
                <w:bottom w:val="single" w:sz="2" w:space="1" w:color="auto"/>
              </w:pBdr>
              <w:jc w:val="center"/>
              <w:rPr>
                <w:sz w:val="18"/>
                <w:szCs w:val="18"/>
              </w:rPr>
            </w:pPr>
            <w:r w:rsidRPr="00F66970">
              <w:rPr>
                <w:sz w:val="18"/>
                <w:szCs w:val="18"/>
              </w:rPr>
              <w:t>(</w:t>
            </w:r>
            <w:r w:rsidR="00F66970" w:rsidRPr="00F66970">
              <w:rPr>
                <w:i/>
                <w:sz w:val="18"/>
                <w:szCs w:val="18"/>
              </w:rPr>
              <w:t>in thousands of €</w:t>
            </w:r>
            <w:r w:rsidR="00115A39" w:rsidRPr="00F66970">
              <w:rPr>
                <w:i/>
                <w:sz w:val="18"/>
                <w:szCs w:val="18"/>
              </w:rPr>
              <w:t>)</w:t>
            </w:r>
          </w:p>
          <w:p w14:paraId="694BB254" w14:textId="77777777" w:rsidR="00F66970" w:rsidRDefault="00F66970" w:rsidP="00F66970">
            <w:pPr>
              <w:pBdr>
                <w:bottom w:val="single" w:sz="2" w:space="1" w:color="auto"/>
              </w:pBdr>
              <w:jc w:val="center"/>
              <w:rPr>
                <w:b/>
                <w:sz w:val="18"/>
                <w:szCs w:val="18"/>
              </w:rPr>
            </w:pPr>
          </w:p>
          <w:p w14:paraId="42EABC4A" w14:textId="4736A5EB" w:rsidR="00F90491" w:rsidRDefault="00F90491" w:rsidP="001D1FD6">
            <w:pPr>
              <w:pBdr>
                <w:bottom w:val="single" w:sz="2" w:space="1" w:color="auto"/>
              </w:pBdr>
              <w:jc w:val="center"/>
              <w:rPr>
                <w:b/>
                <w:sz w:val="18"/>
                <w:szCs w:val="18"/>
              </w:rPr>
            </w:pPr>
          </w:p>
        </w:tc>
        <w:tc>
          <w:tcPr>
            <w:tcW w:w="1380" w:type="dxa"/>
          </w:tcPr>
          <w:p w14:paraId="14D8C5EE" w14:textId="77777777" w:rsidR="001D1FD6" w:rsidRDefault="001D1FD6" w:rsidP="001D1FD6">
            <w:pPr>
              <w:pBdr>
                <w:bottom w:val="single" w:sz="2" w:space="1" w:color="auto"/>
              </w:pBdr>
              <w:jc w:val="both"/>
              <w:rPr>
                <w:b/>
                <w:sz w:val="18"/>
                <w:szCs w:val="18"/>
              </w:rPr>
            </w:pPr>
            <w:r>
              <w:rPr>
                <w:b/>
                <w:sz w:val="18"/>
                <w:szCs w:val="18"/>
              </w:rPr>
              <w:t>Under Construction</w:t>
            </w:r>
          </w:p>
          <w:p w14:paraId="56C69E81" w14:textId="1C663A0C" w:rsidR="00FF5B25" w:rsidRPr="00F66970" w:rsidRDefault="00FF5B25" w:rsidP="00115A39">
            <w:pPr>
              <w:pBdr>
                <w:bottom w:val="single" w:sz="2" w:space="1" w:color="auto"/>
              </w:pBdr>
              <w:jc w:val="both"/>
              <w:rPr>
                <w:sz w:val="18"/>
                <w:szCs w:val="18"/>
              </w:rPr>
            </w:pPr>
            <w:r w:rsidRPr="00F66970">
              <w:rPr>
                <w:sz w:val="18"/>
                <w:szCs w:val="18"/>
              </w:rPr>
              <w:t>(</w:t>
            </w:r>
            <w:r w:rsidR="00F66970" w:rsidRPr="00F66970">
              <w:rPr>
                <w:i/>
                <w:sz w:val="18"/>
                <w:szCs w:val="18"/>
              </w:rPr>
              <w:t>in thousands of €</w:t>
            </w:r>
            <w:r w:rsidRPr="00F66970">
              <w:rPr>
                <w:i/>
                <w:sz w:val="18"/>
                <w:szCs w:val="18"/>
              </w:rPr>
              <w:t>)</w:t>
            </w:r>
          </w:p>
          <w:p w14:paraId="42463049" w14:textId="58D3F764" w:rsidR="00115A39" w:rsidRDefault="00115A39" w:rsidP="00115A39">
            <w:pPr>
              <w:pBdr>
                <w:bottom w:val="single" w:sz="2" w:space="1" w:color="auto"/>
              </w:pBdr>
              <w:jc w:val="both"/>
              <w:rPr>
                <w:b/>
                <w:sz w:val="18"/>
                <w:szCs w:val="18"/>
              </w:rPr>
            </w:pPr>
          </w:p>
        </w:tc>
        <w:tc>
          <w:tcPr>
            <w:tcW w:w="1378" w:type="dxa"/>
          </w:tcPr>
          <w:p w14:paraId="1BC2FEE6" w14:textId="77777777" w:rsidR="001D1FD6" w:rsidRDefault="001D1FD6" w:rsidP="001D1FD6">
            <w:pPr>
              <w:pBdr>
                <w:bottom w:val="single" w:sz="2" w:space="1" w:color="auto"/>
              </w:pBdr>
              <w:jc w:val="center"/>
              <w:rPr>
                <w:b/>
                <w:sz w:val="18"/>
                <w:szCs w:val="18"/>
              </w:rPr>
            </w:pPr>
            <w:r>
              <w:rPr>
                <w:b/>
                <w:sz w:val="18"/>
                <w:szCs w:val="18"/>
              </w:rPr>
              <w:t>Development Land</w:t>
            </w:r>
          </w:p>
          <w:p w14:paraId="5D75CC87" w14:textId="7F4D33AD" w:rsidR="00F90491" w:rsidRPr="00F66970" w:rsidRDefault="00FF5B25" w:rsidP="00115A39">
            <w:pPr>
              <w:pBdr>
                <w:bottom w:val="single" w:sz="2" w:space="1" w:color="auto"/>
              </w:pBdr>
              <w:jc w:val="center"/>
              <w:rPr>
                <w:sz w:val="18"/>
                <w:szCs w:val="18"/>
              </w:rPr>
            </w:pPr>
            <w:r w:rsidRPr="00F66970">
              <w:rPr>
                <w:sz w:val="18"/>
                <w:szCs w:val="18"/>
              </w:rPr>
              <w:t>(</w:t>
            </w:r>
            <w:r w:rsidRPr="00F66970">
              <w:rPr>
                <w:i/>
                <w:sz w:val="18"/>
                <w:szCs w:val="18"/>
              </w:rPr>
              <w:t xml:space="preserve">in </w:t>
            </w:r>
            <w:r w:rsidR="00F66970" w:rsidRPr="00F66970">
              <w:rPr>
                <w:i/>
                <w:sz w:val="18"/>
                <w:szCs w:val="18"/>
              </w:rPr>
              <w:t>thousands of €</w:t>
            </w:r>
            <w:r w:rsidR="00115A39" w:rsidRPr="00F66970">
              <w:rPr>
                <w:i/>
                <w:sz w:val="18"/>
                <w:szCs w:val="18"/>
              </w:rPr>
              <w:t>)</w:t>
            </w:r>
          </w:p>
          <w:p w14:paraId="19B72C5A" w14:textId="1467640C" w:rsidR="00115A39" w:rsidRDefault="00115A39" w:rsidP="00115A39">
            <w:pPr>
              <w:pBdr>
                <w:bottom w:val="single" w:sz="2" w:space="1" w:color="auto"/>
              </w:pBdr>
              <w:jc w:val="center"/>
              <w:rPr>
                <w:b/>
                <w:sz w:val="18"/>
                <w:szCs w:val="18"/>
              </w:rPr>
            </w:pPr>
          </w:p>
        </w:tc>
        <w:tc>
          <w:tcPr>
            <w:tcW w:w="1379" w:type="dxa"/>
          </w:tcPr>
          <w:p w14:paraId="3E413C78" w14:textId="77777777" w:rsidR="001D1FD6" w:rsidRDefault="00FF5B25" w:rsidP="001D1FD6">
            <w:pPr>
              <w:pBdr>
                <w:bottom w:val="single" w:sz="2" w:space="1" w:color="auto"/>
              </w:pBdr>
              <w:jc w:val="center"/>
              <w:rPr>
                <w:i/>
                <w:sz w:val="18"/>
                <w:szCs w:val="18"/>
              </w:rPr>
            </w:pPr>
            <w:r w:rsidRPr="00FF5B25">
              <w:rPr>
                <w:i/>
                <w:sz w:val="18"/>
                <w:szCs w:val="18"/>
              </w:rPr>
              <w:t>(</w:t>
            </w:r>
            <w:r w:rsidR="001D1FD6" w:rsidRPr="00FF5B25">
              <w:rPr>
                <w:i/>
                <w:sz w:val="18"/>
                <w:szCs w:val="18"/>
              </w:rPr>
              <w:t>in thousands of €</w:t>
            </w:r>
            <w:r w:rsidRPr="00FF5B25">
              <w:rPr>
                <w:i/>
                <w:sz w:val="18"/>
                <w:szCs w:val="18"/>
              </w:rPr>
              <w:t>)</w:t>
            </w:r>
          </w:p>
          <w:p w14:paraId="10F5CA98" w14:textId="27D2D983" w:rsidR="00F90491" w:rsidRDefault="00F90491" w:rsidP="001D1FD6">
            <w:pPr>
              <w:pBdr>
                <w:bottom w:val="single" w:sz="2" w:space="1" w:color="auto"/>
              </w:pBdr>
              <w:jc w:val="center"/>
              <w:rPr>
                <w:i/>
                <w:sz w:val="18"/>
                <w:szCs w:val="18"/>
              </w:rPr>
            </w:pPr>
          </w:p>
          <w:p w14:paraId="5EEF3AB3" w14:textId="77777777" w:rsidR="00F66970" w:rsidRDefault="00F66970" w:rsidP="001D1FD6">
            <w:pPr>
              <w:pBdr>
                <w:bottom w:val="single" w:sz="2" w:space="1" w:color="auto"/>
              </w:pBdr>
              <w:jc w:val="center"/>
              <w:rPr>
                <w:i/>
                <w:sz w:val="18"/>
                <w:szCs w:val="18"/>
              </w:rPr>
            </w:pPr>
          </w:p>
          <w:p w14:paraId="232D2548" w14:textId="26CC917A" w:rsidR="00F90491" w:rsidRDefault="00F90491" w:rsidP="001D1FD6">
            <w:pPr>
              <w:pBdr>
                <w:bottom w:val="single" w:sz="2" w:space="1" w:color="auto"/>
              </w:pBdr>
              <w:jc w:val="center"/>
              <w:rPr>
                <w:b/>
                <w:sz w:val="18"/>
                <w:szCs w:val="18"/>
              </w:rPr>
            </w:pPr>
          </w:p>
        </w:tc>
        <w:tc>
          <w:tcPr>
            <w:tcW w:w="1378" w:type="dxa"/>
          </w:tcPr>
          <w:p w14:paraId="15FBF18F" w14:textId="77777777" w:rsidR="001D1FD6" w:rsidRDefault="001D1FD6" w:rsidP="001D1FD6">
            <w:pPr>
              <w:pBdr>
                <w:bottom w:val="single" w:sz="2" w:space="1" w:color="auto"/>
              </w:pBdr>
              <w:jc w:val="center"/>
              <w:rPr>
                <w:b/>
                <w:sz w:val="18"/>
                <w:szCs w:val="18"/>
                <w:lang w:val="en-GB"/>
              </w:rPr>
            </w:pPr>
          </w:p>
          <w:p w14:paraId="1D34F848" w14:textId="77777777" w:rsidR="001D1FD6" w:rsidRDefault="001D1FD6" w:rsidP="001D1FD6">
            <w:pPr>
              <w:pBdr>
                <w:bottom w:val="single" w:sz="2" w:space="1" w:color="auto"/>
              </w:pBdr>
              <w:jc w:val="center"/>
              <w:rPr>
                <w:b/>
                <w:sz w:val="18"/>
                <w:szCs w:val="18"/>
                <w:lang w:val="en-GB"/>
              </w:rPr>
            </w:pPr>
            <w:r>
              <w:rPr>
                <w:b/>
                <w:sz w:val="18"/>
                <w:szCs w:val="18"/>
                <w:lang w:val="en-GB"/>
              </w:rPr>
              <w:t>%</w:t>
            </w:r>
          </w:p>
          <w:p w14:paraId="092154AE" w14:textId="46F64885" w:rsidR="00F90491" w:rsidRDefault="00F90491" w:rsidP="001D1FD6">
            <w:pPr>
              <w:pBdr>
                <w:bottom w:val="single" w:sz="2" w:space="1" w:color="auto"/>
              </w:pBdr>
              <w:jc w:val="center"/>
              <w:rPr>
                <w:b/>
                <w:sz w:val="18"/>
                <w:szCs w:val="18"/>
                <w:lang w:val="en-GB"/>
              </w:rPr>
            </w:pPr>
          </w:p>
          <w:p w14:paraId="7148DE2C" w14:textId="77777777" w:rsidR="00F66970" w:rsidRDefault="00F66970" w:rsidP="001D1FD6">
            <w:pPr>
              <w:pBdr>
                <w:bottom w:val="single" w:sz="2" w:space="1" w:color="auto"/>
              </w:pBdr>
              <w:jc w:val="center"/>
              <w:rPr>
                <w:b/>
                <w:sz w:val="18"/>
                <w:szCs w:val="18"/>
                <w:lang w:val="en-GB"/>
              </w:rPr>
            </w:pPr>
          </w:p>
          <w:p w14:paraId="7D6EA97A" w14:textId="1D600EB7" w:rsidR="00F90491" w:rsidRDefault="00F90491" w:rsidP="001D1FD6">
            <w:pPr>
              <w:pBdr>
                <w:bottom w:val="single" w:sz="2" w:space="1" w:color="auto"/>
              </w:pBdr>
              <w:jc w:val="center"/>
              <w:rPr>
                <w:b/>
                <w:sz w:val="18"/>
                <w:szCs w:val="18"/>
                <w:lang w:val="en-GB"/>
              </w:rPr>
            </w:pPr>
          </w:p>
        </w:tc>
      </w:tr>
      <w:tr w:rsidR="001D1FD6" w14:paraId="42C43052" w14:textId="77777777" w:rsidTr="009E2376">
        <w:trPr>
          <w:cantSplit/>
        </w:trPr>
        <w:tc>
          <w:tcPr>
            <w:tcW w:w="2756" w:type="dxa"/>
            <w:vMerge/>
          </w:tcPr>
          <w:p w14:paraId="5EADACAC" w14:textId="77777777" w:rsidR="001D1FD6" w:rsidRDefault="001D1FD6" w:rsidP="001D1FD6">
            <w:pPr>
              <w:jc w:val="both"/>
              <w:rPr>
                <w:sz w:val="18"/>
                <w:szCs w:val="18"/>
                <w:lang w:val="en-GB"/>
              </w:rPr>
            </w:pPr>
          </w:p>
        </w:tc>
        <w:tc>
          <w:tcPr>
            <w:tcW w:w="1379" w:type="dxa"/>
          </w:tcPr>
          <w:p w14:paraId="47C61E59" w14:textId="77777777" w:rsidR="001D1FD6" w:rsidRDefault="001D1FD6" w:rsidP="001D1FD6">
            <w:pPr>
              <w:jc w:val="center"/>
              <w:rPr>
                <w:sz w:val="18"/>
                <w:szCs w:val="18"/>
                <w:lang w:val="en-GB"/>
              </w:rPr>
            </w:pPr>
          </w:p>
        </w:tc>
        <w:tc>
          <w:tcPr>
            <w:tcW w:w="1380" w:type="dxa"/>
          </w:tcPr>
          <w:p w14:paraId="16870A56" w14:textId="77777777" w:rsidR="001D1FD6" w:rsidRDefault="001D1FD6" w:rsidP="001D1FD6">
            <w:pPr>
              <w:jc w:val="center"/>
              <w:rPr>
                <w:sz w:val="18"/>
                <w:szCs w:val="18"/>
              </w:rPr>
            </w:pPr>
          </w:p>
        </w:tc>
        <w:tc>
          <w:tcPr>
            <w:tcW w:w="1378" w:type="dxa"/>
          </w:tcPr>
          <w:p w14:paraId="55A43C17" w14:textId="77777777" w:rsidR="001D1FD6" w:rsidRDefault="001D1FD6" w:rsidP="001D1FD6">
            <w:pPr>
              <w:jc w:val="center"/>
              <w:rPr>
                <w:sz w:val="18"/>
                <w:szCs w:val="18"/>
                <w:lang w:val="en-GB"/>
              </w:rPr>
            </w:pPr>
          </w:p>
        </w:tc>
        <w:tc>
          <w:tcPr>
            <w:tcW w:w="1379" w:type="dxa"/>
          </w:tcPr>
          <w:p w14:paraId="18A216B3" w14:textId="77777777" w:rsidR="001D1FD6" w:rsidRDefault="001D1FD6" w:rsidP="001D1FD6">
            <w:pPr>
              <w:jc w:val="center"/>
              <w:rPr>
                <w:sz w:val="18"/>
                <w:szCs w:val="18"/>
                <w:lang w:val="en-GB"/>
              </w:rPr>
            </w:pPr>
          </w:p>
        </w:tc>
        <w:tc>
          <w:tcPr>
            <w:tcW w:w="1378" w:type="dxa"/>
          </w:tcPr>
          <w:p w14:paraId="1D4D8A6D" w14:textId="77777777" w:rsidR="001D1FD6" w:rsidRDefault="001D1FD6" w:rsidP="001D1FD6">
            <w:pPr>
              <w:jc w:val="center"/>
              <w:rPr>
                <w:sz w:val="18"/>
                <w:szCs w:val="18"/>
                <w:lang w:val="en-GB"/>
              </w:rPr>
            </w:pPr>
          </w:p>
        </w:tc>
      </w:tr>
      <w:tr w:rsidR="009E2376" w14:paraId="7EBCB2F2" w14:textId="77777777" w:rsidTr="009E2376">
        <w:trPr>
          <w:cantSplit/>
        </w:trPr>
        <w:tc>
          <w:tcPr>
            <w:tcW w:w="2756" w:type="dxa"/>
          </w:tcPr>
          <w:p w14:paraId="7B7E8085" w14:textId="77777777" w:rsidR="009E2376" w:rsidRDefault="009E2376" w:rsidP="009E2376">
            <w:pPr>
              <w:jc w:val="both"/>
              <w:rPr>
                <w:sz w:val="18"/>
                <w:szCs w:val="18"/>
                <w:lang w:val="en-GB"/>
              </w:rPr>
            </w:pPr>
            <w:r>
              <w:rPr>
                <w:sz w:val="18"/>
                <w:szCs w:val="18"/>
                <w:lang w:val="en-GB"/>
              </w:rPr>
              <w:t>Czech Republic</w:t>
            </w:r>
          </w:p>
        </w:tc>
        <w:tc>
          <w:tcPr>
            <w:tcW w:w="1379" w:type="dxa"/>
            <w:vAlign w:val="center"/>
          </w:tcPr>
          <w:p w14:paraId="3F155A23" w14:textId="12C91604" w:rsidR="009E2376" w:rsidRDefault="009E2376" w:rsidP="009E2376">
            <w:pPr>
              <w:jc w:val="right"/>
              <w:rPr>
                <w:color w:val="000000"/>
                <w:sz w:val="18"/>
                <w:szCs w:val="18"/>
                <w:lang w:val="en-GB" w:eastAsia="en-GB"/>
              </w:rPr>
            </w:pPr>
            <w:r w:rsidRPr="00FE26E8">
              <w:rPr>
                <w:color w:val="000000"/>
                <w:sz w:val="18"/>
                <w:szCs w:val="18"/>
                <w:lang w:val="en-GB" w:eastAsia="en-GB"/>
              </w:rPr>
              <w:t>146,711</w:t>
            </w:r>
          </w:p>
        </w:tc>
        <w:tc>
          <w:tcPr>
            <w:tcW w:w="1380" w:type="dxa"/>
            <w:vAlign w:val="center"/>
          </w:tcPr>
          <w:p w14:paraId="312FD93E" w14:textId="05F7AEF3" w:rsidR="009E2376" w:rsidRDefault="009E2376" w:rsidP="009E2376">
            <w:pPr>
              <w:jc w:val="right"/>
              <w:rPr>
                <w:color w:val="000000"/>
                <w:sz w:val="18"/>
                <w:szCs w:val="18"/>
                <w:lang w:val="en-GB" w:eastAsia="en-GB"/>
              </w:rPr>
            </w:pPr>
            <w:r w:rsidRPr="00FE26E8">
              <w:rPr>
                <w:color w:val="000000"/>
                <w:sz w:val="18"/>
                <w:szCs w:val="18"/>
                <w:lang w:val="en-GB" w:eastAsia="en-GB"/>
              </w:rPr>
              <w:t>5,622</w:t>
            </w:r>
          </w:p>
        </w:tc>
        <w:tc>
          <w:tcPr>
            <w:tcW w:w="1378" w:type="dxa"/>
            <w:vAlign w:val="center"/>
          </w:tcPr>
          <w:p w14:paraId="13ADE1EA" w14:textId="22F7E7E4" w:rsidR="009E2376" w:rsidRDefault="009E2376" w:rsidP="009E2376">
            <w:pPr>
              <w:jc w:val="right"/>
              <w:rPr>
                <w:color w:val="000000"/>
                <w:sz w:val="18"/>
                <w:szCs w:val="18"/>
                <w:lang w:val="en-GB" w:eastAsia="en-GB"/>
              </w:rPr>
            </w:pPr>
            <w:r w:rsidRPr="00FE26E8">
              <w:rPr>
                <w:color w:val="000000"/>
                <w:sz w:val="18"/>
                <w:szCs w:val="18"/>
                <w:lang w:val="en-GB" w:eastAsia="en-GB"/>
              </w:rPr>
              <w:t>3,175</w:t>
            </w:r>
          </w:p>
        </w:tc>
        <w:tc>
          <w:tcPr>
            <w:tcW w:w="1379" w:type="dxa"/>
            <w:vAlign w:val="center"/>
          </w:tcPr>
          <w:p w14:paraId="10C07EF0" w14:textId="46842181" w:rsidR="009E2376" w:rsidRDefault="009E2376" w:rsidP="009E2376">
            <w:pPr>
              <w:jc w:val="right"/>
              <w:rPr>
                <w:b/>
                <w:bCs/>
                <w:color w:val="000000"/>
                <w:sz w:val="18"/>
                <w:szCs w:val="18"/>
                <w:lang w:val="en-GB" w:eastAsia="en-GB"/>
              </w:rPr>
            </w:pPr>
            <w:r w:rsidRPr="00FE26E8">
              <w:rPr>
                <w:b/>
                <w:bCs/>
                <w:color w:val="000000"/>
                <w:sz w:val="18"/>
                <w:szCs w:val="18"/>
                <w:lang w:eastAsia="en-GB"/>
              </w:rPr>
              <w:t>155,508</w:t>
            </w:r>
          </w:p>
        </w:tc>
        <w:tc>
          <w:tcPr>
            <w:tcW w:w="1378" w:type="dxa"/>
            <w:vAlign w:val="center"/>
          </w:tcPr>
          <w:p w14:paraId="43D2881E" w14:textId="44D5F4ED" w:rsidR="009E2376" w:rsidRDefault="009E2376" w:rsidP="009E2376">
            <w:pPr>
              <w:jc w:val="right"/>
              <w:rPr>
                <w:color w:val="000000"/>
                <w:sz w:val="18"/>
                <w:szCs w:val="18"/>
                <w:lang w:val="en-GB" w:eastAsia="en-GB"/>
              </w:rPr>
            </w:pPr>
            <w:r w:rsidRPr="00FE26E8">
              <w:rPr>
                <w:color w:val="000000"/>
                <w:sz w:val="18"/>
                <w:szCs w:val="18"/>
                <w:lang w:val="en-GB" w:eastAsia="en-GB"/>
              </w:rPr>
              <w:t>18.4%</w:t>
            </w:r>
          </w:p>
        </w:tc>
      </w:tr>
      <w:tr w:rsidR="009E2376" w14:paraId="46872C47" w14:textId="77777777" w:rsidTr="009E2376">
        <w:trPr>
          <w:cantSplit/>
        </w:trPr>
        <w:tc>
          <w:tcPr>
            <w:tcW w:w="2756" w:type="dxa"/>
            <w:vAlign w:val="bottom"/>
          </w:tcPr>
          <w:p w14:paraId="2829FC21" w14:textId="77777777" w:rsidR="009E2376" w:rsidRDefault="009E2376" w:rsidP="009E2376">
            <w:pPr>
              <w:rPr>
                <w:sz w:val="18"/>
                <w:szCs w:val="18"/>
                <w:lang w:val="en-GB"/>
              </w:rPr>
            </w:pPr>
            <w:r>
              <w:rPr>
                <w:sz w:val="18"/>
                <w:szCs w:val="18"/>
                <w:lang w:val="en-GB"/>
              </w:rPr>
              <w:t>Germany</w:t>
            </w:r>
          </w:p>
        </w:tc>
        <w:tc>
          <w:tcPr>
            <w:tcW w:w="1379" w:type="dxa"/>
            <w:vAlign w:val="center"/>
          </w:tcPr>
          <w:p w14:paraId="6DBA4E89" w14:textId="36C26516" w:rsidR="009E2376" w:rsidRDefault="009E2376" w:rsidP="009E2376">
            <w:pPr>
              <w:jc w:val="right"/>
              <w:rPr>
                <w:color w:val="000000"/>
                <w:sz w:val="18"/>
                <w:szCs w:val="18"/>
                <w:lang w:val="en-GB" w:eastAsia="en-GB"/>
              </w:rPr>
            </w:pPr>
            <w:r w:rsidRPr="00FE26E8">
              <w:rPr>
                <w:color w:val="000000"/>
                <w:sz w:val="18"/>
                <w:szCs w:val="18"/>
                <w:lang w:val="en-GB" w:eastAsia="en-GB"/>
              </w:rPr>
              <w:t>476,912</w:t>
            </w:r>
          </w:p>
        </w:tc>
        <w:tc>
          <w:tcPr>
            <w:tcW w:w="1380" w:type="dxa"/>
            <w:vAlign w:val="center"/>
          </w:tcPr>
          <w:p w14:paraId="1F63C1BA" w14:textId="2FF4A681" w:rsidR="009E2376" w:rsidRDefault="009E2376" w:rsidP="009E2376">
            <w:pPr>
              <w:jc w:val="right"/>
              <w:rPr>
                <w:color w:val="000000"/>
                <w:sz w:val="18"/>
                <w:szCs w:val="18"/>
                <w:lang w:val="en-GB" w:eastAsia="en-GB"/>
              </w:rPr>
            </w:pPr>
            <w:r w:rsidRPr="00FE26E8">
              <w:rPr>
                <w:color w:val="000000"/>
                <w:sz w:val="18"/>
                <w:szCs w:val="18"/>
                <w:lang w:val="en-GB" w:eastAsia="en-GB"/>
              </w:rPr>
              <w:t>101,647</w:t>
            </w:r>
          </w:p>
        </w:tc>
        <w:tc>
          <w:tcPr>
            <w:tcW w:w="1378" w:type="dxa"/>
            <w:vAlign w:val="center"/>
          </w:tcPr>
          <w:p w14:paraId="510BBC09" w14:textId="5CC991A1" w:rsidR="009E2376" w:rsidRDefault="009E2376" w:rsidP="009E2376">
            <w:pPr>
              <w:jc w:val="right"/>
              <w:rPr>
                <w:color w:val="000000"/>
                <w:sz w:val="18"/>
                <w:szCs w:val="18"/>
                <w:lang w:val="en-GB" w:eastAsia="en-GB"/>
              </w:rPr>
            </w:pPr>
            <w:r w:rsidRPr="00FE26E8">
              <w:rPr>
                <w:color w:val="000000"/>
                <w:sz w:val="18"/>
                <w:szCs w:val="18"/>
                <w:lang w:val="en-GB" w:eastAsia="en-GB"/>
              </w:rPr>
              <w:t>6,691</w:t>
            </w:r>
          </w:p>
        </w:tc>
        <w:tc>
          <w:tcPr>
            <w:tcW w:w="1379" w:type="dxa"/>
            <w:vAlign w:val="center"/>
          </w:tcPr>
          <w:p w14:paraId="4A397957" w14:textId="50B173A2" w:rsidR="009E2376" w:rsidRDefault="009E2376" w:rsidP="009E2376">
            <w:pPr>
              <w:jc w:val="right"/>
              <w:rPr>
                <w:b/>
                <w:bCs/>
                <w:color w:val="000000"/>
                <w:sz w:val="18"/>
                <w:szCs w:val="18"/>
                <w:lang w:val="en-GB" w:eastAsia="en-GB"/>
              </w:rPr>
            </w:pPr>
            <w:r w:rsidRPr="00FE26E8">
              <w:rPr>
                <w:b/>
                <w:bCs/>
                <w:color w:val="000000"/>
                <w:sz w:val="18"/>
                <w:szCs w:val="18"/>
                <w:lang w:eastAsia="en-GB"/>
              </w:rPr>
              <w:t>585,250</w:t>
            </w:r>
          </w:p>
        </w:tc>
        <w:tc>
          <w:tcPr>
            <w:tcW w:w="1378" w:type="dxa"/>
            <w:vAlign w:val="center"/>
          </w:tcPr>
          <w:p w14:paraId="19F0D0CE" w14:textId="235691B8" w:rsidR="009E2376" w:rsidRDefault="009E2376" w:rsidP="009E2376">
            <w:pPr>
              <w:jc w:val="right"/>
              <w:rPr>
                <w:color w:val="000000"/>
                <w:sz w:val="18"/>
                <w:szCs w:val="18"/>
                <w:lang w:val="en-GB" w:eastAsia="en-GB"/>
              </w:rPr>
            </w:pPr>
            <w:r w:rsidRPr="00FE26E8">
              <w:rPr>
                <w:color w:val="000000"/>
                <w:sz w:val="18"/>
                <w:szCs w:val="18"/>
                <w:lang w:val="en-GB" w:eastAsia="en-GB"/>
              </w:rPr>
              <w:t>69.3%</w:t>
            </w:r>
          </w:p>
        </w:tc>
      </w:tr>
      <w:tr w:rsidR="009E2376" w14:paraId="510DD4F1" w14:textId="77777777" w:rsidTr="009E2376">
        <w:trPr>
          <w:cantSplit/>
        </w:trPr>
        <w:tc>
          <w:tcPr>
            <w:tcW w:w="2756" w:type="dxa"/>
            <w:vAlign w:val="bottom"/>
          </w:tcPr>
          <w:p w14:paraId="4ABA7789" w14:textId="77777777" w:rsidR="009E2376" w:rsidRDefault="009E2376" w:rsidP="009E2376">
            <w:pPr>
              <w:rPr>
                <w:sz w:val="18"/>
                <w:szCs w:val="18"/>
                <w:lang w:val="en-GB"/>
              </w:rPr>
            </w:pPr>
            <w:r>
              <w:rPr>
                <w:sz w:val="18"/>
                <w:szCs w:val="18"/>
                <w:lang w:val="en-GB"/>
              </w:rPr>
              <w:t>Hungary</w:t>
            </w:r>
          </w:p>
        </w:tc>
        <w:tc>
          <w:tcPr>
            <w:tcW w:w="1379" w:type="dxa"/>
            <w:vAlign w:val="center"/>
          </w:tcPr>
          <w:p w14:paraId="6E889124" w14:textId="4B7C52F1" w:rsidR="009E2376" w:rsidRDefault="009E2376" w:rsidP="009E2376">
            <w:pPr>
              <w:jc w:val="right"/>
              <w:rPr>
                <w:color w:val="000000"/>
                <w:sz w:val="18"/>
                <w:szCs w:val="18"/>
                <w:lang w:val="en-GB" w:eastAsia="en-GB"/>
              </w:rPr>
            </w:pPr>
            <w:r w:rsidRPr="00FE26E8">
              <w:rPr>
                <w:color w:val="000000"/>
                <w:sz w:val="18"/>
                <w:szCs w:val="18"/>
                <w:lang w:val="en-GB" w:eastAsia="en-GB"/>
              </w:rPr>
              <w:t>44,290</w:t>
            </w:r>
          </w:p>
        </w:tc>
        <w:tc>
          <w:tcPr>
            <w:tcW w:w="1380" w:type="dxa"/>
            <w:vAlign w:val="center"/>
          </w:tcPr>
          <w:p w14:paraId="08351222" w14:textId="7C45A488" w:rsidR="009E2376" w:rsidRDefault="009E2376" w:rsidP="009E2376">
            <w:pPr>
              <w:jc w:val="right"/>
              <w:rPr>
                <w:color w:val="000000"/>
                <w:sz w:val="18"/>
                <w:szCs w:val="18"/>
                <w:lang w:val="en-GB" w:eastAsia="en-GB"/>
              </w:rPr>
            </w:pPr>
            <w:r w:rsidRPr="00FE26E8">
              <w:rPr>
                <w:color w:val="000000"/>
                <w:sz w:val="18"/>
                <w:szCs w:val="18"/>
                <w:lang w:val="en-GB" w:eastAsia="en-GB"/>
              </w:rPr>
              <w:t>5,170</w:t>
            </w:r>
          </w:p>
        </w:tc>
        <w:tc>
          <w:tcPr>
            <w:tcW w:w="1378" w:type="dxa"/>
            <w:vAlign w:val="center"/>
          </w:tcPr>
          <w:p w14:paraId="77056629" w14:textId="4138CCC4" w:rsidR="009E2376" w:rsidRDefault="009E2376" w:rsidP="009E2376">
            <w:pPr>
              <w:jc w:val="right"/>
              <w:rPr>
                <w:color w:val="000000"/>
                <w:sz w:val="18"/>
                <w:szCs w:val="18"/>
                <w:lang w:val="en-GB" w:eastAsia="en-GB"/>
              </w:rPr>
            </w:pPr>
            <w:r w:rsidRPr="00FE26E8">
              <w:rPr>
                <w:color w:val="000000"/>
                <w:sz w:val="18"/>
                <w:szCs w:val="18"/>
                <w:lang w:val="en-GB" w:eastAsia="en-GB"/>
              </w:rPr>
              <w:t>1,029</w:t>
            </w:r>
          </w:p>
        </w:tc>
        <w:tc>
          <w:tcPr>
            <w:tcW w:w="1379" w:type="dxa"/>
            <w:vAlign w:val="center"/>
          </w:tcPr>
          <w:p w14:paraId="252D1B7F" w14:textId="1759E9CC" w:rsidR="009E2376" w:rsidRDefault="009E2376" w:rsidP="009E2376">
            <w:pPr>
              <w:jc w:val="right"/>
              <w:rPr>
                <w:b/>
                <w:bCs/>
                <w:color w:val="000000"/>
                <w:sz w:val="18"/>
                <w:szCs w:val="18"/>
                <w:lang w:val="en-GB" w:eastAsia="en-GB"/>
              </w:rPr>
            </w:pPr>
            <w:r w:rsidRPr="00FE26E8">
              <w:rPr>
                <w:b/>
                <w:bCs/>
                <w:color w:val="000000"/>
                <w:sz w:val="18"/>
                <w:szCs w:val="18"/>
                <w:lang w:eastAsia="en-GB"/>
              </w:rPr>
              <w:t>50,489</w:t>
            </w:r>
          </w:p>
        </w:tc>
        <w:tc>
          <w:tcPr>
            <w:tcW w:w="1378" w:type="dxa"/>
            <w:vAlign w:val="center"/>
          </w:tcPr>
          <w:p w14:paraId="4E84A07E" w14:textId="775C8421" w:rsidR="009E2376" w:rsidRDefault="009E2376" w:rsidP="009E2376">
            <w:pPr>
              <w:jc w:val="right"/>
              <w:rPr>
                <w:color w:val="000000"/>
                <w:sz w:val="18"/>
                <w:szCs w:val="18"/>
                <w:lang w:val="en-GB" w:eastAsia="en-GB"/>
              </w:rPr>
            </w:pPr>
            <w:r w:rsidRPr="00FE26E8">
              <w:rPr>
                <w:color w:val="000000"/>
                <w:sz w:val="18"/>
                <w:szCs w:val="18"/>
                <w:lang w:val="en-GB" w:eastAsia="en-GB"/>
              </w:rPr>
              <w:t>6.0%</w:t>
            </w:r>
          </w:p>
        </w:tc>
      </w:tr>
      <w:tr w:rsidR="009E2376" w14:paraId="7E7259E8" w14:textId="77777777" w:rsidTr="009E2376">
        <w:trPr>
          <w:cantSplit/>
        </w:trPr>
        <w:tc>
          <w:tcPr>
            <w:tcW w:w="2756" w:type="dxa"/>
            <w:vAlign w:val="bottom"/>
          </w:tcPr>
          <w:p w14:paraId="1AAF1338" w14:textId="77777777" w:rsidR="009E2376" w:rsidRDefault="009E2376" w:rsidP="009E2376">
            <w:pPr>
              <w:rPr>
                <w:bCs/>
                <w:sz w:val="18"/>
                <w:szCs w:val="18"/>
                <w:lang w:val="en-GB"/>
              </w:rPr>
            </w:pPr>
            <w:r>
              <w:rPr>
                <w:bCs/>
                <w:sz w:val="18"/>
                <w:szCs w:val="18"/>
                <w:lang w:val="en-GB"/>
              </w:rPr>
              <w:t>Slovakia</w:t>
            </w:r>
          </w:p>
        </w:tc>
        <w:tc>
          <w:tcPr>
            <w:tcW w:w="1379" w:type="dxa"/>
            <w:vAlign w:val="center"/>
          </w:tcPr>
          <w:p w14:paraId="498113E0" w14:textId="1C0FB261" w:rsidR="009E2376" w:rsidRDefault="009E2376" w:rsidP="009E2376">
            <w:pPr>
              <w:jc w:val="right"/>
              <w:rPr>
                <w:color w:val="000000"/>
                <w:sz w:val="18"/>
                <w:szCs w:val="18"/>
                <w:lang w:val="en-GB" w:eastAsia="en-GB"/>
              </w:rPr>
            </w:pPr>
            <w:r w:rsidRPr="00FE26E8">
              <w:rPr>
                <w:color w:val="000000"/>
                <w:sz w:val="18"/>
                <w:szCs w:val="18"/>
                <w:lang w:val="en-GB" w:eastAsia="en-GB"/>
              </w:rPr>
              <w:t>42,630</w:t>
            </w:r>
          </w:p>
        </w:tc>
        <w:tc>
          <w:tcPr>
            <w:tcW w:w="1380" w:type="dxa"/>
            <w:vAlign w:val="center"/>
          </w:tcPr>
          <w:p w14:paraId="77E44B9E" w14:textId="6AF6F48E" w:rsidR="009E2376" w:rsidRDefault="009E2376" w:rsidP="009E2376">
            <w:pPr>
              <w:jc w:val="right"/>
              <w:rPr>
                <w:color w:val="000000"/>
                <w:sz w:val="18"/>
                <w:szCs w:val="18"/>
                <w:lang w:val="en-GB" w:eastAsia="en-GB"/>
              </w:rPr>
            </w:pPr>
            <w:r w:rsidRPr="00FE26E8">
              <w:rPr>
                <w:color w:val="000000"/>
                <w:sz w:val="18"/>
                <w:szCs w:val="18"/>
                <w:lang w:val="en-GB" w:eastAsia="en-GB"/>
              </w:rPr>
              <w:t>9,209</w:t>
            </w:r>
          </w:p>
        </w:tc>
        <w:tc>
          <w:tcPr>
            <w:tcW w:w="1378" w:type="dxa"/>
            <w:vAlign w:val="center"/>
          </w:tcPr>
          <w:p w14:paraId="0C35E509" w14:textId="670757FE" w:rsidR="009E2376" w:rsidRDefault="009E2376" w:rsidP="009E2376">
            <w:pPr>
              <w:jc w:val="right"/>
              <w:rPr>
                <w:color w:val="000000"/>
                <w:sz w:val="18"/>
                <w:szCs w:val="18"/>
                <w:lang w:val="en-GB" w:eastAsia="en-GB"/>
              </w:rPr>
            </w:pPr>
            <w:r w:rsidRPr="00FE26E8">
              <w:rPr>
                <w:color w:val="000000"/>
                <w:sz w:val="18"/>
                <w:szCs w:val="18"/>
                <w:lang w:val="en-GB" w:eastAsia="en-GB"/>
              </w:rPr>
              <w:t>1,061</w:t>
            </w:r>
          </w:p>
        </w:tc>
        <w:tc>
          <w:tcPr>
            <w:tcW w:w="1379" w:type="dxa"/>
            <w:vAlign w:val="center"/>
          </w:tcPr>
          <w:p w14:paraId="0AA04ED5" w14:textId="47BCF381" w:rsidR="009E2376" w:rsidRDefault="009E2376" w:rsidP="009E2376">
            <w:pPr>
              <w:jc w:val="right"/>
              <w:rPr>
                <w:b/>
                <w:bCs/>
                <w:color w:val="000000"/>
                <w:sz w:val="18"/>
                <w:szCs w:val="18"/>
                <w:lang w:val="en-GB" w:eastAsia="en-GB"/>
              </w:rPr>
            </w:pPr>
            <w:r w:rsidRPr="00FE26E8">
              <w:rPr>
                <w:b/>
                <w:bCs/>
                <w:color w:val="000000"/>
                <w:sz w:val="18"/>
                <w:szCs w:val="18"/>
                <w:lang w:eastAsia="en-GB"/>
              </w:rPr>
              <w:t>52,900</w:t>
            </w:r>
          </w:p>
        </w:tc>
        <w:tc>
          <w:tcPr>
            <w:tcW w:w="1378" w:type="dxa"/>
            <w:vAlign w:val="center"/>
          </w:tcPr>
          <w:p w14:paraId="42FCFC93" w14:textId="5C7CAB6A" w:rsidR="009E2376" w:rsidRDefault="009E2376" w:rsidP="009E2376">
            <w:pPr>
              <w:jc w:val="right"/>
              <w:rPr>
                <w:color w:val="000000"/>
                <w:sz w:val="18"/>
                <w:szCs w:val="18"/>
                <w:lang w:val="en-GB" w:eastAsia="en-GB"/>
              </w:rPr>
            </w:pPr>
            <w:r w:rsidRPr="00FE26E8">
              <w:rPr>
                <w:color w:val="000000"/>
                <w:sz w:val="18"/>
                <w:szCs w:val="18"/>
                <w:lang w:val="en-GB" w:eastAsia="en-GB"/>
              </w:rPr>
              <w:t>6.3%</w:t>
            </w:r>
          </w:p>
        </w:tc>
      </w:tr>
      <w:tr w:rsidR="009E2376" w14:paraId="703CFF67" w14:textId="77777777" w:rsidTr="009E2376">
        <w:trPr>
          <w:cantSplit/>
        </w:trPr>
        <w:tc>
          <w:tcPr>
            <w:tcW w:w="2756" w:type="dxa"/>
            <w:vAlign w:val="bottom"/>
          </w:tcPr>
          <w:p w14:paraId="03F01691" w14:textId="77777777" w:rsidR="009E2376" w:rsidRDefault="009E2376" w:rsidP="009E2376">
            <w:pPr>
              <w:rPr>
                <w:b/>
                <w:sz w:val="18"/>
                <w:szCs w:val="18"/>
                <w:lang w:val="en-GB"/>
              </w:rPr>
            </w:pPr>
            <w:r>
              <w:rPr>
                <w:b/>
                <w:sz w:val="18"/>
                <w:szCs w:val="18"/>
                <w:lang w:val="en-GB"/>
              </w:rPr>
              <w:t>Total Joint Venture portfolio</w:t>
            </w:r>
          </w:p>
        </w:tc>
        <w:tc>
          <w:tcPr>
            <w:tcW w:w="1379" w:type="dxa"/>
            <w:vAlign w:val="center"/>
          </w:tcPr>
          <w:p w14:paraId="2C9E60C4" w14:textId="782BB920" w:rsidR="009E2376" w:rsidRDefault="009E2376" w:rsidP="009E2376">
            <w:pPr>
              <w:jc w:val="right"/>
              <w:rPr>
                <w:b/>
                <w:bCs/>
                <w:color w:val="000000"/>
                <w:sz w:val="18"/>
                <w:szCs w:val="18"/>
                <w:lang w:val="en-GB" w:eastAsia="en-GB"/>
              </w:rPr>
            </w:pPr>
            <w:r w:rsidRPr="00FE26E8">
              <w:rPr>
                <w:b/>
                <w:bCs/>
                <w:color w:val="000000"/>
                <w:sz w:val="18"/>
                <w:szCs w:val="18"/>
                <w:lang w:val="en-GB" w:eastAsia="en-GB"/>
              </w:rPr>
              <w:t>710,543</w:t>
            </w:r>
          </w:p>
        </w:tc>
        <w:tc>
          <w:tcPr>
            <w:tcW w:w="1380" w:type="dxa"/>
            <w:vAlign w:val="center"/>
          </w:tcPr>
          <w:p w14:paraId="52F2F97F" w14:textId="3EAE6B2E" w:rsidR="009E2376" w:rsidRPr="00F479F2" w:rsidRDefault="009E2376" w:rsidP="009E2376">
            <w:pPr>
              <w:jc w:val="right"/>
              <w:rPr>
                <w:b/>
                <w:bCs/>
                <w:color w:val="000000"/>
                <w:sz w:val="18"/>
                <w:szCs w:val="18"/>
                <w:lang w:val="en-GB" w:eastAsia="en-GB"/>
              </w:rPr>
            </w:pPr>
            <w:r w:rsidRPr="00FE26E8">
              <w:rPr>
                <w:b/>
                <w:bCs/>
                <w:color w:val="000000"/>
                <w:sz w:val="18"/>
                <w:szCs w:val="18"/>
                <w:lang w:val="en-GB" w:eastAsia="en-GB"/>
              </w:rPr>
              <w:t>121,648</w:t>
            </w:r>
          </w:p>
        </w:tc>
        <w:tc>
          <w:tcPr>
            <w:tcW w:w="1378" w:type="dxa"/>
            <w:vAlign w:val="center"/>
          </w:tcPr>
          <w:p w14:paraId="4E5A631D" w14:textId="2D28C1CA" w:rsidR="009E2376" w:rsidRPr="00F479F2" w:rsidRDefault="009E2376" w:rsidP="009E2376">
            <w:pPr>
              <w:jc w:val="right"/>
              <w:rPr>
                <w:b/>
                <w:bCs/>
                <w:color w:val="000000"/>
                <w:sz w:val="18"/>
                <w:szCs w:val="18"/>
                <w:lang w:val="en-GB" w:eastAsia="en-GB"/>
              </w:rPr>
            </w:pPr>
            <w:r w:rsidRPr="00FE26E8">
              <w:rPr>
                <w:b/>
                <w:bCs/>
                <w:color w:val="000000"/>
                <w:sz w:val="18"/>
                <w:szCs w:val="18"/>
                <w:lang w:val="en-GB" w:eastAsia="en-GB"/>
              </w:rPr>
              <w:t>11,956</w:t>
            </w:r>
          </w:p>
        </w:tc>
        <w:tc>
          <w:tcPr>
            <w:tcW w:w="1379" w:type="dxa"/>
            <w:vAlign w:val="center"/>
          </w:tcPr>
          <w:p w14:paraId="7C99318A" w14:textId="67BFABF1" w:rsidR="009E2376" w:rsidRPr="00F479F2" w:rsidRDefault="009E2376" w:rsidP="009E2376">
            <w:pPr>
              <w:jc w:val="right"/>
              <w:rPr>
                <w:b/>
                <w:bCs/>
                <w:color w:val="000000"/>
                <w:sz w:val="18"/>
                <w:szCs w:val="18"/>
                <w:lang w:val="en-GB" w:eastAsia="en-GB"/>
              </w:rPr>
            </w:pPr>
            <w:r w:rsidRPr="00FE26E8">
              <w:rPr>
                <w:b/>
                <w:bCs/>
                <w:color w:val="000000"/>
                <w:sz w:val="18"/>
                <w:szCs w:val="18"/>
                <w:lang w:eastAsia="en-GB"/>
              </w:rPr>
              <w:t>844,147</w:t>
            </w:r>
          </w:p>
        </w:tc>
        <w:tc>
          <w:tcPr>
            <w:tcW w:w="1378" w:type="dxa"/>
            <w:vAlign w:val="center"/>
          </w:tcPr>
          <w:p w14:paraId="1C0E6B74" w14:textId="4F56C8F4" w:rsidR="009E2376" w:rsidRDefault="009E2376" w:rsidP="009E2376">
            <w:pPr>
              <w:jc w:val="right"/>
              <w:rPr>
                <w:color w:val="000000"/>
                <w:sz w:val="18"/>
                <w:szCs w:val="18"/>
                <w:lang w:val="en-GB" w:eastAsia="en-GB"/>
              </w:rPr>
            </w:pPr>
            <w:r w:rsidRPr="00FE26E8">
              <w:rPr>
                <w:color w:val="000000"/>
                <w:sz w:val="18"/>
                <w:szCs w:val="18"/>
                <w:lang w:eastAsia="en-GB"/>
              </w:rPr>
              <w:t>100.0%</w:t>
            </w:r>
          </w:p>
        </w:tc>
      </w:tr>
    </w:tbl>
    <w:p w14:paraId="6F1F1072" w14:textId="32BC38AE" w:rsidR="001D1FD6" w:rsidRDefault="001D1FD6" w:rsidP="001D1FD6">
      <w:pPr>
        <w:spacing w:after="120"/>
        <w:jc w:val="both"/>
        <w:rPr>
          <w:sz w:val="18"/>
          <w:szCs w:val="18"/>
          <w:lang w:val="en-GB"/>
        </w:rPr>
      </w:pPr>
    </w:p>
    <w:p w14:paraId="4C79F8E5" w14:textId="4F777D96" w:rsidR="009E2376" w:rsidRDefault="009E2376" w:rsidP="001D1FD6">
      <w:pPr>
        <w:spacing w:after="120"/>
        <w:jc w:val="both"/>
        <w:rPr>
          <w:sz w:val="18"/>
          <w:szCs w:val="18"/>
        </w:rPr>
      </w:pPr>
      <w:r w:rsidRPr="009E2376">
        <w:rPr>
          <w:sz w:val="18"/>
          <w:szCs w:val="18"/>
        </w:rPr>
        <w:t>¹</w:t>
      </w:r>
      <w:r w:rsidRPr="009E2376">
        <w:rPr>
          <w:sz w:val="18"/>
          <w:szCs w:val="18"/>
        </w:rPr>
        <w:tab/>
        <w:t>As per the valuation report of Jones Lang LaSalle of 30 June 2017.</w:t>
      </w:r>
    </w:p>
    <w:p w14:paraId="3619BD7B" w14:textId="77F14A10" w:rsidR="001C2B2C" w:rsidRDefault="001C2B2C" w:rsidP="001D1FD6">
      <w:pPr>
        <w:spacing w:after="120"/>
        <w:jc w:val="both"/>
        <w:rPr>
          <w:sz w:val="18"/>
          <w:szCs w:val="18"/>
        </w:rPr>
      </w:pPr>
    </w:p>
    <w:p w14:paraId="7EB338BA" w14:textId="2ADB887C" w:rsidR="00A5572A" w:rsidRDefault="00A5572A" w:rsidP="001D1FD6">
      <w:pPr>
        <w:spacing w:after="120"/>
        <w:jc w:val="both"/>
        <w:rPr>
          <w:sz w:val="18"/>
          <w:szCs w:val="18"/>
        </w:rPr>
      </w:pPr>
    </w:p>
    <w:p w14:paraId="430FBD43" w14:textId="431BD753" w:rsidR="00A5572A" w:rsidRDefault="00A5572A" w:rsidP="001D1FD6">
      <w:pPr>
        <w:spacing w:after="120"/>
        <w:jc w:val="both"/>
        <w:rPr>
          <w:sz w:val="18"/>
          <w:szCs w:val="18"/>
        </w:rPr>
      </w:pPr>
    </w:p>
    <w:p w14:paraId="1E207255" w14:textId="77777777" w:rsidR="00A5572A" w:rsidRPr="009E2376" w:rsidRDefault="00A5572A" w:rsidP="001D1FD6">
      <w:pPr>
        <w:spacing w:after="120"/>
        <w:jc w:val="both"/>
        <w:rPr>
          <w:sz w:val="18"/>
          <w:szCs w:val="18"/>
        </w:rPr>
      </w:pPr>
    </w:p>
    <w:tbl>
      <w:tblPr>
        <w:tblW w:w="4947" w:type="pct"/>
        <w:tblLayout w:type="fixed"/>
        <w:tblCellMar>
          <w:left w:w="115" w:type="dxa"/>
          <w:right w:w="115" w:type="dxa"/>
        </w:tblCellMar>
        <w:tblLook w:val="04A0" w:firstRow="1" w:lastRow="0" w:firstColumn="1" w:lastColumn="0" w:noHBand="0" w:noVBand="1"/>
      </w:tblPr>
      <w:tblGrid>
        <w:gridCol w:w="2756"/>
        <w:gridCol w:w="1379"/>
        <w:gridCol w:w="1380"/>
        <w:gridCol w:w="1378"/>
        <w:gridCol w:w="1379"/>
        <w:gridCol w:w="1378"/>
      </w:tblGrid>
      <w:tr w:rsidR="001D1FD6" w14:paraId="4BABA27A" w14:textId="77777777" w:rsidTr="001D1FD6">
        <w:trPr>
          <w:cantSplit/>
        </w:trPr>
        <w:tc>
          <w:tcPr>
            <w:tcW w:w="2549" w:type="dxa"/>
          </w:tcPr>
          <w:p w14:paraId="15C6D356" w14:textId="77777777" w:rsidR="001D1FD6" w:rsidRDefault="001D1FD6" w:rsidP="001D1FD6">
            <w:pPr>
              <w:jc w:val="both"/>
              <w:rPr>
                <w:sz w:val="18"/>
                <w:szCs w:val="18"/>
                <w:lang w:val="en-GB"/>
              </w:rPr>
            </w:pPr>
          </w:p>
        </w:tc>
        <w:tc>
          <w:tcPr>
            <w:tcW w:w="1276" w:type="dxa"/>
          </w:tcPr>
          <w:p w14:paraId="07A64FB4" w14:textId="77777777" w:rsidR="001D1FD6" w:rsidRDefault="001D1FD6" w:rsidP="001D1FD6">
            <w:pPr>
              <w:jc w:val="center"/>
              <w:rPr>
                <w:b/>
                <w:sz w:val="18"/>
                <w:szCs w:val="18"/>
              </w:rPr>
            </w:pPr>
          </w:p>
        </w:tc>
        <w:tc>
          <w:tcPr>
            <w:tcW w:w="1277" w:type="dxa"/>
          </w:tcPr>
          <w:p w14:paraId="124C6E7B" w14:textId="77777777" w:rsidR="001D1FD6" w:rsidRDefault="001D1FD6" w:rsidP="001D1FD6">
            <w:pPr>
              <w:jc w:val="center"/>
              <w:rPr>
                <w:b/>
                <w:sz w:val="18"/>
                <w:szCs w:val="18"/>
              </w:rPr>
            </w:pPr>
          </w:p>
        </w:tc>
        <w:tc>
          <w:tcPr>
            <w:tcW w:w="1275" w:type="dxa"/>
          </w:tcPr>
          <w:p w14:paraId="1937201B" w14:textId="77777777" w:rsidR="001D1FD6" w:rsidRDefault="001D1FD6" w:rsidP="001D1FD6">
            <w:pPr>
              <w:jc w:val="center"/>
              <w:rPr>
                <w:b/>
                <w:sz w:val="18"/>
                <w:szCs w:val="18"/>
              </w:rPr>
            </w:pPr>
          </w:p>
        </w:tc>
        <w:tc>
          <w:tcPr>
            <w:tcW w:w="2551" w:type="dxa"/>
            <w:gridSpan w:val="2"/>
          </w:tcPr>
          <w:p w14:paraId="72D760DB" w14:textId="77777777" w:rsidR="001D1FD6" w:rsidRDefault="001D1FD6" w:rsidP="001D1FD6">
            <w:pPr>
              <w:pBdr>
                <w:bottom w:val="single" w:sz="2" w:space="1" w:color="auto"/>
              </w:pBdr>
              <w:jc w:val="center"/>
              <w:rPr>
                <w:b/>
                <w:sz w:val="18"/>
                <w:szCs w:val="18"/>
              </w:rPr>
            </w:pPr>
            <w:r>
              <w:rPr>
                <w:b/>
                <w:sz w:val="18"/>
                <w:szCs w:val="18"/>
              </w:rPr>
              <w:t>Portfolio Value</w:t>
            </w:r>
          </w:p>
        </w:tc>
      </w:tr>
      <w:tr w:rsidR="001D1FD6" w14:paraId="7856F4B4" w14:textId="77777777" w:rsidTr="001D1FD6">
        <w:trPr>
          <w:cantSplit/>
        </w:trPr>
        <w:tc>
          <w:tcPr>
            <w:tcW w:w="2549" w:type="dxa"/>
            <w:vMerge w:val="restart"/>
          </w:tcPr>
          <w:p w14:paraId="1284F1F9" w14:textId="77777777" w:rsidR="001D1FD6" w:rsidRDefault="001D1FD6" w:rsidP="001D1FD6">
            <w:pPr>
              <w:jc w:val="both"/>
              <w:rPr>
                <w:i/>
                <w:sz w:val="18"/>
                <w:szCs w:val="18"/>
                <w:lang w:val="en-GB"/>
              </w:rPr>
            </w:pPr>
            <w:r>
              <w:rPr>
                <w:i/>
                <w:sz w:val="18"/>
                <w:szCs w:val="18"/>
                <w:lang w:val="en-GB"/>
              </w:rPr>
              <w:t>As at 31 December 2016</w:t>
            </w:r>
          </w:p>
        </w:tc>
        <w:tc>
          <w:tcPr>
            <w:tcW w:w="1276" w:type="dxa"/>
          </w:tcPr>
          <w:p w14:paraId="11439428" w14:textId="77777777" w:rsidR="001D1FD6" w:rsidRDefault="001D1FD6" w:rsidP="001D1FD6">
            <w:pPr>
              <w:pBdr>
                <w:bottom w:val="single" w:sz="2" w:space="1" w:color="auto"/>
              </w:pBdr>
              <w:jc w:val="center"/>
              <w:rPr>
                <w:b/>
                <w:sz w:val="18"/>
                <w:szCs w:val="18"/>
              </w:rPr>
            </w:pPr>
          </w:p>
          <w:p w14:paraId="384C4BED" w14:textId="77777777" w:rsidR="001D1FD6" w:rsidRDefault="001D1FD6" w:rsidP="001D1FD6">
            <w:pPr>
              <w:pBdr>
                <w:bottom w:val="single" w:sz="2" w:space="1" w:color="auto"/>
              </w:pBdr>
              <w:jc w:val="center"/>
              <w:rPr>
                <w:b/>
                <w:sz w:val="18"/>
                <w:szCs w:val="18"/>
              </w:rPr>
            </w:pPr>
            <w:r>
              <w:rPr>
                <w:b/>
                <w:sz w:val="18"/>
                <w:szCs w:val="18"/>
              </w:rPr>
              <w:t>Completed</w:t>
            </w:r>
          </w:p>
          <w:p w14:paraId="45708404" w14:textId="539202E3" w:rsidR="00FF5B25" w:rsidRPr="00F66970" w:rsidRDefault="00F90491" w:rsidP="001F2AD5">
            <w:pPr>
              <w:pBdr>
                <w:bottom w:val="single" w:sz="2" w:space="1" w:color="auto"/>
              </w:pBdr>
              <w:jc w:val="center"/>
              <w:rPr>
                <w:i/>
                <w:sz w:val="18"/>
                <w:szCs w:val="18"/>
              </w:rPr>
            </w:pPr>
            <w:r w:rsidRPr="00F66970">
              <w:rPr>
                <w:i/>
                <w:sz w:val="18"/>
                <w:szCs w:val="18"/>
              </w:rPr>
              <w:t>(</w:t>
            </w:r>
            <w:r w:rsidR="00F66970" w:rsidRPr="00F66970">
              <w:rPr>
                <w:i/>
                <w:sz w:val="18"/>
                <w:szCs w:val="18"/>
              </w:rPr>
              <w:t>in thousands of €</w:t>
            </w:r>
            <w:r w:rsidR="001F2AD5" w:rsidRPr="00F66970">
              <w:rPr>
                <w:i/>
                <w:sz w:val="18"/>
                <w:szCs w:val="18"/>
              </w:rPr>
              <w:t>)</w:t>
            </w:r>
          </w:p>
          <w:p w14:paraId="68978CEF" w14:textId="16EAB6B9" w:rsidR="001F2AD5" w:rsidRDefault="001F2AD5" w:rsidP="001F2AD5">
            <w:pPr>
              <w:pBdr>
                <w:bottom w:val="single" w:sz="2" w:space="1" w:color="auto"/>
              </w:pBdr>
              <w:jc w:val="center"/>
              <w:rPr>
                <w:b/>
                <w:sz w:val="18"/>
                <w:szCs w:val="18"/>
              </w:rPr>
            </w:pPr>
          </w:p>
        </w:tc>
        <w:tc>
          <w:tcPr>
            <w:tcW w:w="1277" w:type="dxa"/>
          </w:tcPr>
          <w:p w14:paraId="554AD8DC" w14:textId="77777777" w:rsidR="001D1FD6" w:rsidRDefault="001D1FD6" w:rsidP="001D1FD6">
            <w:pPr>
              <w:pBdr>
                <w:bottom w:val="single" w:sz="2" w:space="1" w:color="auto"/>
              </w:pBdr>
              <w:jc w:val="both"/>
              <w:rPr>
                <w:b/>
                <w:sz w:val="18"/>
                <w:szCs w:val="18"/>
              </w:rPr>
            </w:pPr>
            <w:r>
              <w:rPr>
                <w:b/>
                <w:sz w:val="18"/>
                <w:szCs w:val="18"/>
              </w:rPr>
              <w:t>Under Construction</w:t>
            </w:r>
          </w:p>
          <w:p w14:paraId="61A35985" w14:textId="091EA4CA" w:rsidR="00FF5B25" w:rsidRPr="00F66970" w:rsidRDefault="00F90491" w:rsidP="001F2AD5">
            <w:pPr>
              <w:pBdr>
                <w:bottom w:val="single" w:sz="2" w:space="1" w:color="auto"/>
              </w:pBdr>
              <w:jc w:val="both"/>
              <w:rPr>
                <w:i/>
                <w:sz w:val="18"/>
                <w:szCs w:val="18"/>
              </w:rPr>
            </w:pPr>
            <w:r w:rsidRPr="00F66970">
              <w:rPr>
                <w:i/>
                <w:sz w:val="18"/>
                <w:szCs w:val="18"/>
              </w:rPr>
              <w:t xml:space="preserve">(in </w:t>
            </w:r>
            <w:r w:rsidR="00F66970" w:rsidRPr="00F66970">
              <w:rPr>
                <w:i/>
                <w:sz w:val="18"/>
                <w:szCs w:val="18"/>
              </w:rPr>
              <w:t>thousands of €</w:t>
            </w:r>
            <w:r w:rsidR="001F2AD5" w:rsidRPr="00F66970">
              <w:rPr>
                <w:i/>
                <w:sz w:val="18"/>
                <w:szCs w:val="18"/>
              </w:rPr>
              <w:t>)</w:t>
            </w:r>
          </w:p>
          <w:p w14:paraId="190694D4" w14:textId="1AA5B1D1" w:rsidR="001F2AD5" w:rsidRDefault="001F2AD5" w:rsidP="001F2AD5">
            <w:pPr>
              <w:pBdr>
                <w:bottom w:val="single" w:sz="2" w:space="1" w:color="auto"/>
              </w:pBdr>
              <w:jc w:val="both"/>
              <w:rPr>
                <w:b/>
                <w:sz w:val="18"/>
                <w:szCs w:val="18"/>
              </w:rPr>
            </w:pPr>
          </w:p>
        </w:tc>
        <w:tc>
          <w:tcPr>
            <w:tcW w:w="1275" w:type="dxa"/>
          </w:tcPr>
          <w:p w14:paraId="79BC97D4" w14:textId="77777777" w:rsidR="001D1FD6" w:rsidRDefault="001D1FD6" w:rsidP="001D1FD6">
            <w:pPr>
              <w:pBdr>
                <w:bottom w:val="single" w:sz="2" w:space="1" w:color="auto"/>
              </w:pBdr>
              <w:jc w:val="center"/>
              <w:rPr>
                <w:b/>
                <w:sz w:val="18"/>
                <w:szCs w:val="18"/>
              </w:rPr>
            </w:pPr>
            <w:r>
              <w:rPr>
                <w:b/>
                <w:sz w:val="18"/>
                <w:szCs w:val="18"/>
              </w:rPr>
              <w:t>Development Land</w:t>
            </w:r>
          </w:p>
          <w:p w14:paraId="1F61B6EE" w14:textId="1236E01D" w:rsidR="00FF5B25" w:rsidRPr="00F66970" w:rsidRDefault="00F90491" w:rsidP="00B30887">
            <w:pPr>
              <w:pBdr>
                <w:bottom w:val="single" w:sz="2" w:space="1" w:color="auto"/>
              </w:pBdr>
              <w:jc w:val="center"/>
              <w:rPr>
                <w:i/>
                <w:sz w:val="18"/>
                <w:szCs w:val="18"/>
              </w:rPr>
            </w:pPr>
            <w:r w:rsidRPr="00F66970">
              <w:rPr>
                <w:i/>
                <w:sz w:val="18"/>
                <w:szCs w:val="18"/>
              </w:rPr>
              <w:t xml:space="preserve">(in </w:t>
            </w:r>
            <w:r w:rsidR="00F66970" w:rsidRPr="00F66970">
              <w:rPr>
                <w:i/>
                <w:sz w:val="18"/>
                <w:szCs w:val="18"/>
              </w:rPr>
              <w:t>thousands of €</w:t>
            </w:r>
            <w:r w:rsidR="00FF5B25" w:rsidRPr="00F66970">
              <w:rPr>
                <w:i/>
                <w:sz w:val="18"/>
                <w:szCs w:val="18"/>
              </w:rPr>
              <w:t>)</w:t>
            </w:r>
          </w:p>
          <w:p w14:paraId="2C8840FD" w14:textId="6F335571" w:rsidR="00B30887" w:rsidRDefault="00B30887" w:rsidP="00B30887">
            <w:pPr>
              <w:pBdr>
                <w:bottom w:val="single" w:sz="2" w:space="1" w:color="auto"/>
              </w:pBdr>
              <w:jc w:val="center"/>
              <w:rPr>
                <w:b/>
                <w:sz w:val="18"/>
                <w:szCs w:val="18"/>
              </w:rPr>
            </w:pPr>
          </w:p>
        </w:tc>
        <w:tc>
          <w:tcPr>
            <w:tcW w:w="1276" w:type="dxa"/>
          </w:tcPr>
          <w:p w14:paraId="72BB5B9F" w14:textId="52FA948E" w:rsidR="001D1FD6" w:rsidRDefault="001D1FD6" w:rsidP="001D1FD6">
            <w:pPr>
              <w:pBdr>
                <w:bottom w:val="single" w:sz="2" w:space="1" w:color="auto"/>
              </w:pBdr>
              <w:jc w:val="center"/>
              <w:rPr>
                <w:i/>
                <w:sz w:val="18"/>
                <w:szCs w:val="18"/>
              </w:rPr>
            </w:pPr>
            <w:r>
              <w:rPr>
                <w:sz w:val="18"/>
                <w:szCs w:val="18"/>
              </w:rPr>
              <w:t>(</w:t>
            </w:r>
            <w:r>
              <w:rPr>
                <w:i/>
                <w:sz w:val="18"/>
                <w:szCs w:val="18"/>
              </w:rPr>
              <w:t>in thousands of €)</w:t>
            </w:r>
          </w:p>
          <w:p w14:paraId="7221EA98" w14:textId="05B6B560" w:rsidR="00F90491" w:rsidRDefault="00F90491" w:rsidP="001D1FD6">
            <w:pPr>
              <w:pBdr>
                <w:bottom w:val="single" w:sz="2" w:space="1" w:color="auto"/>
              </w:pBdr>
              <w:jc w:val="center"/>
              <w:rPr>
                <w:i/>
                <w:sz w:val="18"/>
                <w:szCs w:val="18"/>
              </w:rPr>
            </w:pPr>
          </w:p>
          <w:p w14:paraId="4D58D614" w14:textId="77777777" w:rsidR="00F66970" w:rsidRDefault="00F66970" w:rsidP="001D1FD6">
            <w:pPr>
              <w:pBdr>
                <w:bottom w:val="single" w:sz="2" w:space="1" w:color="auto"/>
              </w:pBdr>
              <w:jc w:val="center"/>
              <w:rPr>
                <w:i/>
                <w:sz w:val="18"/>
                <w:szCs w:val="18"/>
              </w:rPr>
            </w:pPr>
          </w:p>
          <w:p w14:paraId="0231F7B1" w14:textId="1FB15FF7" w:rsidR="00F90491" w:rsidRDefault="00F90491" w:rsidP="001D1FD6">
            <w:pPr>
              <w:pBdr>
                <w:bottom w:val="single" w:sz="2" w:space="1" w:color="auto"/>
              </w:pBdr>
              <w:jc w:val="center"/>
              <w:rPr>
                <w:b/>
                <w:sz w:val="18"/>
                <w:szCs w:val="18"/>
              </w:rPr>
            </w:pPr>
          </w:p>
        </w:tc>
        <w:tc>
          <w:tcPr>
            <w:tcW w:w="1275" w:type="dxa"/>
          </w:tcPr>
          <w:p w14:paraId="51F7E33E" w14:textId="77777777" w:rsidR="001D1FD6" w:rsidRDefault="001D1FD6" w:rsidP="001D1FD6">
            <w:pPr>
              <w:pBdr>
                <w:bottom w:val="single" w:sz="2" w:space="1" w:color="auto"/>
              </w:pBdr>
              <w:jc w:val="center"/>
              <w:rPr>
                <w:b/>
                <w:sz w:val="18"/>
                <w:szCs w:val="18"/>
                <w:lang w:val="en-GB"/>
              </w:rPr>
            </w:pPr>
          </w:p>
          <w:p w14:paraId="619B8A50" w14:textId="77777777" w:rsidR="001D1FD6" w:rsidRDefault="001D1FD6" w:rsidP="001D1FD6">
            <w:pPr>
              <w:pBdr>
                <w:bottom w:val="single" w:sz="2" w:space="1" w:color="auto"/>
              </w:pBdr>
              <w:jc w:val="center"/>
              <w:rPr>
                <w:b/>
                <w:sz w:val="18"/>
                <w:szCs w:val="18"/>
                <w:lang w:val="en-GB"/>
              </w:rPr>
            </w:pPr>
            <w:r>
              <w:rPr>
                <w:b/>
                <w:sz w:val="18"/>
                <w:szCs w:val="18"/>
                <w:lang w:val="en-GB"/>
              </w:rPr>
              <w:t>%</w:t>
            </w:r>
          </w:p>
          <w:p w14:paraId="1C663F14" w14:textId="1F22578B" w:rsidR="00F90491" w:rsidRDefault="00F90491" w:rsidP="001D1FD6">
            <w:pPr>
              <w:pBdr>
                <w:bottom w:val="single" w:sz="2" w:space="1" w:color="auto"/>
              </w:pBdr>
              <w:jc w:val="center"/>
              <w:rPr>
                <w:b/>
                <w:sz w:val="18"/>
                <w:szCs w:val="18"/>
                <w:lang w:val="en-GB"/>
              </w:rPr>
            </w:pPr>
          </w:p>
          <w:p w14:paraId="038523A6" w14:textId="77777777" w:rsidR="00F66970" w:rsidRDefault="00F66970" w:rsidP="001D1FD6">
            <w:pPr>
              <w:pBdr>
                <w:bottom w:val="single" w:sz="2" w:space="1" w:color="auto"/>
              </w:pBdr>
              <w:jc w:val="center"/>
              <w:rPr>
                <w:b/>
                <w:sz w:val="18"/>
                <w:szCs w:val="18"/>
                <w:lang w:val="en-GB"/>
              </w:rPr>
            </w:pPr>
          </w:p>
          <w:p w14:paraId="2DD5A63B" w14:textId="416D6270" w:rsidR="00F90491" w:rsidRDefault="00F90491" w:rsidP="001D1FD6">
            <w:pPr>
              <w:pBdr>
                <w:bottom w:val="single" w:sz="2" w:space="1" w:color="auto"/>
              </w:pBdr>
              <w:jc w:val="center"/>
              <w:rPr>
                <w:b/>
                <w:sz w:val="18"/>
                <w:szCs w:val="18"/>
                <w:lang w:val="en-GB"/>
              </w:rPr>
            </w:pPr>
          </w:p>
        </w:tc>
      </w:tr>
      <w:tr w:rsidR="001D1FD6" w14:paraId="5B9DBCE5" w14:textId="77777777" w:rsidTr="001D1FD6">
        <w:trPr>
          <w:cantSplit/>
        </w:trPr>
        <w:tc>
          <w:tcPr>
            <w:tcW w:w="2549" w:type="dxa"/>
            <w:vMerge/>
          </w:tcPr>
          <w:p w14:paraId="3AF6A456" w14:textId="77777777" w:rsidR="001D1FD6" w:rsidRDefault="001D1FD6" w:rsidP="001D1FD6">
            <w:pPr>
              <w:jc w:val="both"/>
              <w:rPr>
                <w:sz w:val="18"/>
                <w:szCs w:val="18"/>
                <w:lang w:val="en-GB"/>
              </w:rPr>
            </w:pPr>
          </w:p>
        </w:tc>
        <w:tc>
          <w:tcPr>
            <w:tcW w:w="1276" w:type="dxa"/>
          </w:tcPr>
          <w:p w14:paraId="230B5654" w14:textId="77777777" w:rsidR="001D1FD6" w:rsidRDefault="001D1FD6" w:rsidP="001D1FD6">
            <w:pPr>
              <w:jc w:val="center"/>
              <w:rPr>
                <w:sz w:val="18"/>
                <w:szCs w:val="18"/>
                <w:lang w:val="en-GB"/>
              </w:rPr>
            </w:pPr>
          </w:p>
        </w:tc>
        <w:tc>
          <w:tcPr>
            <w:tcW w:w="1277" w:type="dxa"/>
          </w:tcPr>
          <w:p w14:paraId="04FB9B40" w14:textId="77777777" w:rsidR="001D1FD6" w:rsidRDefault="001D1FD6" w:rsidP="001D1FD6">
            <w:pPr>
              <w:jc w:val="center"/>
              <w:rPr>
                <w:sz w:val="18"/>
                <w:szCs w:val="18"/>
              </w:rPr>
            </w:pPr>
          </w:p>
        </w:tc>
        <w:tc>
          <w:tcPr>
            <w:tcW w:w="1275" w:type="dxa"/>
          </w:tcPr>
          <w:p w14:paraId="437FABB5" w14:textId="77777777" w:rsidR="001D1FD6" w:rsidRDefault="001D1FD6" w:rsidP="001D1FD6">
            <w:pPr>
              <w:jc w:val="center"/>
              <w:rPr>
                <w:sz w:val="18"/>
                <w:szCs w:val="18"/>
                <w:lang w:val="en-GB"/>
              </w:rPr>
            </w:pPr>
          </w:p>
        </w:tc>
        <w:tc>
          <w:tcPr>
            <w:tcW w:w="1276" w:type="dxa"/>
          </w:tcPr>
          <w:p w14:paraId="13EB2735" w14:textId="77777777" w:rsidR="001D1FD6" w:rsidRDefault="001D1FD6" w:rsidP="001D1FD6">
            <w:pPr>
              <w:jc w:val="center"/>
              <w:rPr>
                <w:sz w:val="18"/>
                <w:szCs w:val="18"/>
                <w:lang w:val="en-GB"/>
              </w:rPr>
            </w:pPr>
          </w:p>
        </w:tc>
        <w:tc>
          <w:tcPr>
            <w:tcW w:w="1275" w:type="dxa"/>
          </w:tcPr>
          <w:p w14:paraId="3F4BD7AC" w14:textId="77777777" w:rsidR="001D1FD6" w:rsidRDefault="001D1FD6" w:rsidP="001D1FD6">
            <w:pPr>
              <w:jc w:val="center"/>
              <w:rPr>
                <w:sz w:val="18"/>
                <w:szCs w:val="18"/>
                <w:lang w:val="en-GB"/>
              </w:rPr>
            </w:pPr>
          </w:p>
        </w:tc>
      </w:tr>
      <w:tr w:rsidR="001D1FD6" w14:paraId="2778579A" w14:textId="77777777" w:rsidTr="001D1FD6">
        <w:trPr>
          <w:cantSplit/>
        </w:trPr>
        <w:tc>
          <w:tcPr>
            <w:tcW w:w="2549" w:type="dxa"/>
          </w:tcPr>
          <w:p w14:paraId="4D648E1C" w14:textId="77777777" w:rsidR="001D1FD6" w:rsidRDefault="001D1FD6" w:rsidP="001D1FD6">
            <w:pPr>
              <w:jc w:val="both"/>
              <w:rPr>
                <w:sz w:val="18"/>
                <w:szCs w:val="18"/>
                <w:lang w:val="en-GB"/>
              </w:rPr>
            </w:pPr>
            <w:r>
              <w:rPr>
                <w:sz w:val="18"/>
                <w:szCs w:val="18"/>
                <w:lang w:val="en-GB"/>
              </w:rPr>
              <w:t>Czech Republic</w:t>
            </w:r>
          </w:p>
        </w:tc>
        <w:tc>
          <w:tcPr>
            <w:tcW w:w="1276" w:type="dxa"/>
            <w:vAlign w:val="center"/>
          </w:tcPr>
          <w:p w14:paraId="25AC97BF" w14:textId="77777777" w:rsidR="001D1FD6" w:rsidRDefault="001D1FD6" w:rsidP="001D1FD6">
            <w:pPr>
              <w:jc w:val="right"/>
              <w:rPr>
                <w:color w:val="000000"/>
                <w:sz w:val="18"/>
                <w:szCs w:val="18"/>
                <w:lang w:val="en-GB" w:eastAsia="en-GB"/>
              </w:rPr>
            </w:pPr>
            <w:r>
              <w:rPr>
                <w:color w:val="000000"/>
                <w:sz w:val="18"/>
                <w:szCs w:val="18"/>
                <w:lang w:val="en-GB" w:eastAsia="en-GB"/>
              </w:rPr>
              <w:t xml:space="preserve">104,600 </w:t>
            </w:r>
          </w:p>
        </w:tc>
        <w:tc>
          <w:tcPr>
            <w:tcW w:w="1277" w:type="dxa"/>
            <w:vAlign w:val="center"/>
          </w:tcPr>
          <w:p w14:paraId="6946507A" w14:textId="77777777" w:rsidR="001D1FD6" w:rsidRDefault="001D1FD6" w:rsidP="001D1FD6">
            <w:pPr>
              <w:jc w:val="right"/>
              <w:rPr>
                <w:color w:val="000000"/>
                <w:sz w:val="18"/>
                <w:szCs w:val="18"/>
                <w:lang w:val="en-GB" w:eastAsia="en-GB"/>
              </w:rPr>
            </w:pPr>
            <w:r>
              <w:rPr>
                <w:color w:val="000000"/>
                <w:sz w:val="18"/>
                <w:szCs w:val="18"/>
                <w:lang w:val="en-GB" w:eastAsia="en-GB"/>
              </w:rPr>
              <w:t xml:space="preserve">3,019 </w:t>
            </w:r>
          </w:p>
        </w:tc>
        <w:tc>
          <w:tcPr>
            <w:tcW w:w="1275" w:type="dxa"/>
            <w:vAlign w:val="center"/>
          </w:tcPr>
          <w:p w14:paraId="498A4D35" w14:textId="77777777" w:rsidR="001D1FD6" w:rsidRDefault="001D1FD6" w:rsidP="001D1FD6">
            <w:pPr>
              <w:jc w:val="right"/>
              <w:rPr>
                <w:color w:val="000000"/>
                <w:sz w:val="18"/>
                <w:szCs w:val="18"/>
                <w:lang w:val="en-GB" w:eastAsia="en-GB"/>
              </w:rPr>
            </w:pPr>
            <w:r>
              <w:rPr>
                <w:color w:val="000000"/>
                <w:sz w:val="18"/>
                <w:szCs w:val="18"/>
                <w:lang w:val="en-GB" w:eastAsia="en-GB"/>
              </w:rPr>
              <w:t xml:space="preserve">2,642 </w:t>
            </w:r>
          </w:p>
        </w:tc>
        <w:tc>
          <w:tcPr>
            <w:tcW w:w="1276" w:type="dxa"/>
            <w:vAlign w:val="center"/>
          </w:tcPr>
          <w:p w14:paraId="59C0D1E1" w14:textId="77777777" w:rsidR="001D1FD6" w:rsidRDefault="001D1FD6" w:rsidP="001D1FD6">
            <w:pPr>
              <w:jc w:val="right"/>
              <w:rPr>
                <w:b/>
                <w:bCs/>
                <w:color w:val="000000"/>
                <w:sz w:val="18"/>
                <w:szCs w:val="18"/>
                <w:lang w:val="en-GB" w:eastAsia="en-GB"/>
              </w:rPr>
            </w:pPr>
            <w:r>
              <w:rPr>
                <w:b/>
                <w:bCs/>
                <w:color w:val="000000"/>
                <w:sz w:val="18"/>
                <w:szCs w:val="18"/>
                <w:lang w:val="en-GB" w:eastAsia="en-GB"/>
              </w:rPr>
              <w:t xml:space="preserve">110,261 </w:t>
            </w:r>
          </w:p>
        </w:tc>
        <w:tc>
          <w:tcPr>
            <w:tcW w:w="1275" w:type="dxa"/>
            <w:vAlign w:val="center"/>
          </w:tcPr>
          <w:p w14:paraId="55408698" w14:textId="77777777" w:rsidR="001D1FD6" w:rsidRDefault="001D1FD6" w:rsidP="001D1FD6">
            <w:pPr>
              <w:jc w:val="right"/>
              <w:rPr>
                <w:color w:val="000000"/>
                <w:sz w:val="18"/>
                <w:szCs w:val="18"/>
                <w:lang w:val="en-GB" w:eastAsia="en-GB"/>
              </w:rPr>
            </w:pPr>
            <w:r>
              <w:rPr>
                <w:color w:val="000000"/>
                <w:sz w:val="18"/>
                <w:szCs w:val="18"/>
                <w:lang w:val="en-GB" w:eastAsia="en-GB"/>
              </w:rPr>
              <w:t>18.6%</w:t>
            </w:r>
          </w:p>
        </w:tc>
      </w:tr>
      <w:tr w:rsidR="001D1FD6" w14:paraId="00F5B5C4" w14:textId="77777777" w:rsidTr="001D1FD6">
        <w:trPr>
          <w:cantSplit/>
        </w:trPr>
        <w:tc>
          <w:tcPr>
            <w:tcW w:w="2549" w:type="dxa"/>
            <w:vAlign w:val="bottom"/>
          </w:tcPr>
          <w:p w14:paraId="4EC57561" w14:textId="77777777" w:rsidR="001D1FD6" w:rsidRDefault="001D1FD6" w:rsidP="001D1FD6">
            <w:pPr>
              <w:rPr>
                <w:sz w:val="18"/>
                <w:szCs w:val="18"/>
                <w:lang w:val="en-GB"/>
              </w:rPr>
            </w:pPr>
            <w:r>
              <w:rPr>
                <w:sz w:val="18"/>
                <w:szCs w:val="18"/>
                <w:lang w:val="en-GB"/>
              </w:rPr>
              <w:t>Germany</w:t>
            </w:r>
          </w:p>
        </w:tc>
        <w:tc>
          <w:tcPr>
            <w:tcW w:w="1276" w:type="dxa"/>
            <w:vAlign w:val="center"/>
          </w:tcPr>
          <w:p w14:paraId="0834DA31" w14:textId="77777777" w:rsidR="001D1FD6" w:rsidRDefault="001D1FD6" w:rsidP="001D1FD6">
            <w:pPr>
              <w:jc w:val="right"/>
              <w:rPr>
                <w:color w:val="000000"/>
                <w:sz w:val="18"/>
                <w:szCs w:val="18"/>
                <w:lang w:val="en-GB" w:eastAsia="en-GB"/>
              </w:rPr>
            </w:pPr>
            <w:r>
              <w:rPr>
                <w:color w:val="000000"/>
                <w:sz w:val="18"/>
                <w:szCs w:val="18"/>
                <w:lang w:val="en-GB" w:eastAsia="en-GB"/>
              </w:rPr>
              <w:t xml:space="preserve">324,595 </w:t>
            </w:r>
          </w:p>
        </w:tc>
        <w:tc>
          <w:tcPr>
            <w:tcW w:w="1277" w:type="dxa"/>
            <w:vAlign w:val="center"/>
          </w:tcPr>
          <w:p w14:paraId="6EA33602" w14:textId="77777777" w:rsidR="001D1FD6" w:rsidRDefault="001D1FD6" w:rsidP="001D1FD6">
            <w:pPr>
              <w:jc w:val="right"/>
              <w:rPr>
                <w:color w:val="000000"/>
                <w:sz w:val="18"/>
                <w:szCs w:val="18"/>
                <w:lang w:val="en-GB" w:eastAsia="en-GB"/>
              </w:rPr>
            </w:pPr>
            <w:r>
              <w:rPr>
                <w:color w:val="000000"/>
                <w:sz w:val="18"/>
                <w:szCs w:val="18"/>
                <w:lang w:val="en-GB" w:eastAsia="en-GB"/>
              </w:rPr>
              <w:t xml:space="preserve">61,376 </w:t>
            </w:r>
          </w:p>
        </w:tc>
        <w:tc>
          <w:tcPr>
            <w:tcW w:w="1275" w:type="dxa"/>
            <w:vAlign w:val="center"/>
          </w:tcPr>
          <w:p w14:paraId="065BCB03" w14:textId="77777777" w:rsidR="001D1FD6" w:rsidRDefault="001D1FD6" w:rsidP="001D1FD6">
            <w:pPr>
              <w:jc w:val="right"/>
              <w:rPr>
                <w:color w:val="000000"/>
                <w:sz w:val="18"/>
                <w:szCs w:val="18"/>
                <w:lang w:val="en-GB" w:eastAsia="en-GB"/>
              </w:rPr>
            </w:pPr>
            <w:r>
              <w:rPr>
                <w:color w:val="000000"/>
                <w:sz w:val="18"/>
                <w:szCs w:val="18"/>
                <w:lang w:val="en-GB" w:eastAsia="en-GB"/>
              </w:rPr>
              <w:t xml:space="preserve">4,372 </w:t>
            </w:r>
          </w:p>
        </w:tc>
        <w:tc>
          <w:tcPr>
            <w:tcW w:w="1276" w:type="dxa"/>
            <w:vAlign w:val="center"/>
          </w:tcPr>
          <w:p w14:paraId="0A87F54E" w14:textId="77777777" w:rsidR="001D1FD6" w:rsidRDefault="001D1FD6" w:rsidP="001D1FD6">
            <w:pPr>
              <w:jc w:val="right"/>
              <w:rPr>
                <w:b/>
                <w:bCs/>
                <w:color w:val="000000"/>
                <w:sz w:val="18"/>
                <w:szCs w:val="18"/>
                <w:lang w:val="en-GB" w:eastAsia="en-GB"/>
              </w:rPr>
            </w:pPr>
            <w:r>
              <w:rPr>
                <w:b/>
                <w:bCs/>
                <w:color w:val="000000"/>
                <w:sz w:val="18"/>
                <w:szCs w:val="18"/>
                <w:lang w:val="en-GB" w:eastAsia="en-GB"/>
              </w:rPr>
              <w:t xml:space="preserve">390,343 </w:t>
            </w:r>
          </w:p>
        </w:tc>
        <w:tc>
          <w:tcPr>
            <w:tcW w:w="1275" w:type="dxa"/>
            <w:vAlign w:val="center"/>
          </w:tcPr>
          <w:p w14:paraId="1CDA6231" w14:textId="77777777" w:rsidR="001D1FD6" w:rsidRDefault="001D1FD6" w:rsidP="001D1FD6">
            <w:pPr>
              <w:jc w:val="right"/>
              <w:rPr>
                <w:color w:val="000000"/>
                <w:sz w:val="18"/>
                <w:szCs w:val="18"/>
                <w:lang w:val="en-GB" w:eastAsia="en-GB"/>
              </w:rPr>
            </w:pPr>
            <w:r>
              <w:rPr>
                <w:color w:val="000000"/>
                <w:sz w:val="18"/>
                <w:szCs w:val="18"/>
                <w:lang w:val="en-GB" w:eastAsia="en-GB"/>
              </w:rPr>
              <w:t>65.7%</w:t>
            </w:r>
          </w:p>
        </w:tc>
      </w:tr>
      <w:tr w:rsidR="001D1FD6" w14:paraId="4372A682" w14:textId="77777777" w:rsidTr="001D1FD6">
        <w:trPr>
          <w:cantSplit/>
        </w:trPr>
        <w:tc>
          <w:tcPr>
            <w:tcW w:w="2549" w:type="dxa"/>
            <w:vAlign w:val="bottom"/>
          </w:tcPr>
          <w:p w14:paraId="6D4ACA03" w14:textId="77777777" w:rsidR="001D1FD6" w:rsidRDefault="001D1FD6" w:rsidP="001D1FD6">
            <w:pPr>
              <w:rPr>
                <w:sz w:val="18"/>
                <w:szCs w:val="18"/>
                <w:lang w:val="en-GB"/>
              </w:rPr>
            </w:pPr>
            <w:r>
              <w:rPr>
                <w:sz w:val="18"/>
                <w:szCs w:val="18"/>
                <w:lang w:val="en-GB"/>
              </w:rPr>
              <w:t>Hungary</w:t>
            </w:r>
          </w:p>
        </w:tc>
        <w:tc>
          <w:tcPr>
            <w:tcW w:w="1276" w:type="dxa"/>
            <w:vAlign w:val="center"/>
          </w:tcPr>
          <w:p w14:paraId="6934BC91" w14:textId="77777777" w:rsidR="001D1FD6" w:rsidRDefault="001D1FD6" w:rsidP="001D1FD6">
            <w:pPr>
              <w:jc w:val="right"/>
              <w:rPr>
                <w:color w:val="000000"/>
                <w:sz w:val="18"/>
                <w:szCs w:val="18"/>
                <w:lang w:val="en-GB" w:eastAsia="en-GB"/>
              </w:rPr>
            </w:pPr>
            <w:r>
              <w:rPr>
                <w:color w:val="000000"/>
                <w:sz w:val="18"/>
                <w:szCs w:val="18"/>
                <w:lang w:val="en-GB" w:eastAsia="en-GB"/>
              </w:rPr>
              <w:t xml:space="preserve">44,140 </w:t>
            </w:r>
          </w:p>
        </w:tc>
        <w:tc>
          <w:tcPr>
            <w:tcW w:w="1277" w:type="dxa"/>
            <w:vAlign w:val="center"/>
          </w:tcPr>
          <w:p w14:paraId="2732E636" w14:textId="3B04D6EB" w:rsidR="001D1FD6" w:rsidRDefault="00C57B27" w:rsidP="001D1FD6">
            <w:pPr>
              <w:jc w:val="right"/>
              <w:rPr>
                <w:color w:val="000000"/>
                <w:sz w:val="18"/>
                <w:szCs w:val="18"/>
                <w:lang w:val="en-GB" w:eastAsia="en-GB"/>
              </w:rPr>
            </w:pPr>
            <w:r>
              <w:rPr>
                <w:color w:val="000000"/>
                <w:sz w:val="18"/>
                <w:szCs w:val="18"/>
                <w:lang w:val="en-GB" w:eastAsia="en-GB"/>
              </w:rPr>
              <w:t>-</w:t>
            </w:r>
          </w:p>
        </w:tc>
        <w:tc>
          <w:tcPr>
            <w:tcW w:w="1275" w:type="dxa"/>
            <w:vAlign w:val="center"/>
          </w:tcPr>
          <w:p w14:paraId="66B66FCB" w14:textId="7EBA31AD" w:rsidR="001D1FD6" w:rsidRDefault="001D1FD6" w:rsidP="001D1FD6">
            <w:pPr>
              <w:jc w:val="right"/>
              <w:rPr>
                <w:color w:val="000000"/>
                <w:sz w:val="18"/>
                <w:szCs w:val="18"/>
                <w:lang w:val="en-GB" w:eastAsia="en-GB"/>
              </w:rPr>
            </w:pPr>
            <w:r>
              <w:rPr>
                <w:color w:val="000000"/>
                <w:sz w:val="18"/>
                <w:szCs w:val="18"/>
                <w:lang w:val="en-GB" w:eastAsia="en-GB"/>
              </w:rPr>
              <w:t>1,758</w:t>
            </w:r>
          </w:p>
        </w:tc>
        <w:tc>
          <w:tcPr>
            <w:tcW w:w="1276" w:type="dxa"/>
            <w:vAlign w:val="center"/>
          </w:tcPr>
          <w:p w14:paraId="7FEBB834" w14:textId="77777777" w:rsidR="001D1FD6" w:rsidRDefault="001D1FD6" w:rsidP="001D1FD6">
            <w:pPr>
              <w:jc w:val="right"/>
              <w:rPr>
                <w:b/>
                <w:bCs/>
                <w:color w:val="000000"/>
                <w:sz w:val="18"/>
                <w:szCs w:val="18"/>
                <w:lang w:val="en-GB" w:eastAsia="en-GB"/>
              </w:rPr>
            </w:pPr>
            <w:r>
              <w:rPr>
                <w:b/>
                <w:bCs/>
                <w:color w:val="000000"/>
                <w:sz w:val="18"/>
                <w:szCs w:val="18"/>
                <w:lang w:val="en-GB" w:eastAsia="en-GB"/>
              </w:rPr>
              <w:t xml:space="preserve">45,898 </w:t>
            </w:r>
          </w:p>
        </w:tc>
        <w:tc>
          <w:tcPr>
            <w:tcW w:w="1275" w:type="dxa"/>
            <w:vAlign w:val="center"/>
          </w:tcPr>
          <w:p w14:paraId="11068D97" w14:textId="77777777" w:rsidR="001D1FD6" w:rsidRDefault="001D1FD6" w:rsidP="001D1FD6">
            <w:pPr>
              <w:jc w:val="right"/>
              <w:rPr>
                <w:color w:val="000000"/>
                <w:sz w:val="18"/>
                <w:szCs w:val="18"/>
                <w:lang w:val="en-GB" w:eastAsia="en-GB"/>
              </w:rPr>
            </w:pPr>
            <w:r>
              <w:rPr>
                <w:color w:val="000000"/>
                <w:sz w:val="18"/>
                <w:szCs w:val="18"/>
                <w:lang w:val="en-GB" w:eastAsia="en-GB"/>
              </w:rPr>
              <w:t>8.0%</w:t>
            </w:r>
          </w:p>
        </w:tc>
      </w:tr>
      <w:tr w:rsidR="001D1FD6" w14:paraId="764C606E" w14:textId="77777777" w:rsidTr="001D1FD6">
        <w:trPr>
          <w:cantSplit/>
        </w:trPr>
        <w:tc>
          <w:tcPr>
            <w:tcW w:w="2549" w:type="dxa"/>
            <w:vAlign w:val="bottom"/>
          </w:tcPr>
          <w:p w14:paraId="206A9C19" w14:textId="77777777" w:rsidR="001D1FD6" w:rsidRDefault="001D1FD6" w:rsidP="001D1FD6">
            <w:pPr>
              <w:rPr>
                <w:bCs/>
                <w:sz w:val="18"/>
                <w:szCs w:val="18"/>
                <w:lang w:val="en-GB"/>
              </w:rPr>
            </w:pPr>
            <w:r>
              <w:rPr>
                <w:bCs/>
                <w:sz w:val="18"/>
                <w:szCs w:val="18"/>
                <w:lang w:val="en-GB"/>
              </w:rPr>
              <w:t>Slovakia</w:t>
            </w:r>
          </w:p>
        </w:tc>
        <w:tc>
          <w:tcPr>
            <w:tcW w:w="1276" w:type="dxa"/>
            <w:vAlign w:val="center"/>
          </w:tcPr>
          <w:p w14:paraId="34F340E0" w14:textId="77777777" w:rsidR="001D1FD6" w:rsidRDefault="001D1FD6" w:rsidP="001D1FD6">
            <w:pPr>
              <w:jc w:val="right"/>
              <w:rPr>
                <w:color w:val="000000"/>
                <w:sz w:val="18"/>
                <w:szCs w:val="18"/>
                <w:lang w:val="en-GB" w:eastAsia="en-GB"/>
              </w:rPr>
            </w:pPr>
            <w:r>
              <w:rPr>
                <w:color w:val="000000"/>
                <w:sz w:val="18"/>
                <w:szCs w:val="18"/>
                <w:lang w:val="en-GB" w:eastAsia="en-GB"/>
              </w:rPr>
              <w:t xml:space="preserve">42,610 </w:t>
            </w:r>
          </w:p>
        </w:tc>
        <w:tc>
          <w:tcPr>
            <w:tcW w:w="1277" w:type="dxa"/>
            <w:vAlign w:val="center"/>
          </w:tcPr>
          <w:p w14:paraId="730CAA63" w14:textId="77777777" w:rsidR="001D1FD6" w:rsidRDefault="001D1FD6" w:rsidP="001D1FD6">
            <w:pPr>
              <w:jc w:val="right"/>
              <w:rPr>
                <w:color w:val="000000"/>
                <w:sz w:val="18"/>
                <w:szCs w:val="18"/>
                <w:lang w:val="en-GB" w:eastAsia="en-GB"/>
              </w:rPr>
            </w:pPr>
            <w:r>
              <w:rPr>
                <w:color w:val="000000"/>
                <w:sz w:val="18"/>
                <w:szCs w:val="18"/>
                <w:lang w:val="en-GB" w:eastAsia="en-GB"/>
              </w:rPr>
              <w:t>4,771</w:t>
            </w:r>
          </w:p>
        </w:tc>
        <w:tc>
          <w:tcPr>
            <w:tcW w:w="1275" w:type="dxa"/>
            <w:vAlign w:val="center"/>
          </w:tcPr>
          <w:p w14:paraId="47F19013" w14:textId="77777777" w:rsidR="001D1FD6" w:rsidRDefault="001D1FD6" w:rsidP="001D1FD6">
            <w:pPr>
              <w:jc w:val="right"/>
              <w:rPr>
                <w:color w:val="000000"/>
                <w:sz w:val="18"/>
                <w:szCs w:val="18"/>
                <w:lang w:val="en-GB" w:eastAsia="en-GB"/>
              </w:rPr>
            </w:pPr>
            <w:r>
              <w:rPr>
                <w:color w:val="000000"/>
                <w:sz w:val="18"/>
                <w:szCs w:val="18"/>
                <w:lang w:val="en-GB" w:eastAsia="en-GB"/>
              </w:rPr>
              <w:t>315</w:t>
            </w:r>
          </w:p>
        </w:tc>
        <w:tc>
          <w:tcPr>
            <w:tcW w:w="1276" w:type="dxa"/>
            <w:vAlign w:val="center"/>
          </w:tcPr>
          <w:p w14:paraId="19310956" w14:textId="77777777" w:rsidR="001D1FD6" w:rsidRDefault="001D1FD6" w:rsidP="001D1FD6">
            <w:pPr>
              <w:jc w:val="right"/>
              <w:rPr>
                <w:b/>
                <w:bCs/>
                <w:color w:val="000000"/>
                <w:sz w:val="18"/>
                <w:szCs w:val="18"/>
                <w:lang w:val="en-GB" w:eastAsia="en-GB"/>
              </w:rPr>
            </w:pPr>
            <w:r>
              <w:rPr>
                <w:b/>
                <w:bCs/>
                <w:color w:val="000000"/>
                <w:sz w:val="18"/>
                <w:szCs w:val="18"/>
                <w:lang w:val="en-GB" w:eastAsia="en-GB"/>
              </w:rPr>
              <w:t xml:space="preserve">47,696 </w:t>
            </w:r>
          </w:p>
        </w:tc>
        <w:tc>
          <w:tcPr>
            <w:tcW w:w="1275" w:type="dxa"/>
            <w:vAlign w:val="center"/>
          </w:tcPr>
          <w:p w14:paraId="093FF951" w14:textId="77777777" w:rsidR="001D1FD6" w:rsidRDefault="001D1FD6" w:rsidP="001D1FD6">
            <w:pPr>
              <w:jc w:val="right"/>
              <w:rPr>
                <w:color w:val="000000"/>
                <w:sz w:val="18"/>
                <w:szCs w:val="18"/>
                <w:lang w:val="en-GB" w:eastAsia="en-GB"/>
              </w:rPr>
            </w:pPr>
            <w:r>
              <w:rPr>
                <w:color w:val="000000"/>
                <w:sz w:val="18"/>
                <w:szCs w:val="18"/>
                <w:lang w:val="en-GB" w:eastAsia="en-GB"/>
              </w:rPr>
              <w:t>7.7%</w:t>
            </w:r>
          </w:p>
        </w:tc>
      </w:tr>
      <w:tr w:rsidR="001D1FD6" w14:paraId="69869CA7" w14:textId="77777777" w:rsidTr="001D1FD6">
        <w:trPr>
          <w:cantSplit/>
        </w:trPr>
        <w:tc>
          <w:tcPr>
            <w:tcW w:w="2549" w:type="dxa"/>
            <w:vAlign w:val="bottom"/>
          </w:tcPr>
          <w:p w14:paraId="6B1C4B27" w14:textId="77777777" w:rsidR="001D1FD6" w:rsidRDefault="001D1FD6" w:rsidP="001D1FD6">
            <w:pPr>
              <w:rPr>
                <w:b/>
                <w:sz w:val="18"/>
                <w:szCs w:val="18"/>
                <w:lang w:val="en-GB"/>
              </w:rPr>
            </w:pPr>
            <w:r>
              <w:rPr>
                <w:b/>
                <w:sz w:val="18"/>
                <w:szCs w:val="18"/>
                <w:lang w:val="en-GB"/>
              </w:rPr>
              <w:t>Total Joint Venture portfolio</w:t>
            </w:r>
          </w:p>
        </w:tc>
        <w:tc>
          <w:tcPr>
            <w:tcW w:w="1276" w:type="dxa"/>
            <w:vAlign w:val="center"/>
          </w:tcPr>
          <w:p w14:paraId="377C064A" w14:textId="77777777" w:rsidR="001D1FD6" w:rsidRDefault="001D1FD6" w:rsidP="001D1FD6">
            <w:pPr>
              <w:jc w:val="right"/>
              <w:rPr>
                <w:b/>
                <w:bCs/>
                <w:color w:val="000000"/>
                <w:sz w:val="18"/>
                <w:szCs w:val="18"/>
                <w:lang w:val="en-GB" w:eastAsia="en-GB"/>
              </w:rPr>
            </w:pPr>
            <w:r>
              <w:rPr>
                <w:b/>
                <w:bCs/>
                <w:color w:val="000000"/>
                <w:sz w:val="18"/>
                <w:szCs w:val="18"/>
                <w:lang w:val="en-GB" w:eastAsia="en-GB"/>
              </w:rPr>
              <w:t xml:space="preserve">515,945 </w:t>
            </w:r>
          </w:p>
        </w:tc>
        <w:tc>
          <w:tcPr>
            <w:tcW w:w="1277" w:type="dxa"/>
            <w:vAlign w:val="center"/>
          </w:tcPr>
          <w:p w14:paraId="2C0A06BF" w14:textId="77777777" w:rsidR="001D1FD6" w:rsidRDefault="001D1FD6" w:rsidP="001D1FD6">
            <w:pPr>
              <w:jc w:val="right"/>
              <w:rPr>
                <w:b/>
                <w:bCs/>
                <w:color w:val="000000"/>
                <w:sz w:val="18"/>
                <w:szCs w:val="18"/>
                <w:lang w:val="en-GB" w:eastAsia="en-GB"/>
              </w:rPr>
            </w:pPr>
            <w:r>
              <w:rPr>
                <w:b/>
                <w:bCs/>
                <w:color w:val="000000"/>
                <w:sz w:val="18"/>
                <w:szCs w:val="18"/>
                <w:lang w:val="en-GB" w:eastAsia="en-GB"/>
              </w:rPr>
              <w:t xml:space="preserve">69,166 </w:t>
            </w:r>
          </w:p>
        </w:tc>
        <w:tc>
          <w:tcPr>
            <w:tcW w:w="1275" w:type="dxa"/>
            <w:vAlign w:val="center"/>
          </w:tcPr>
          <w:p w14:paraId="17B19A44" w14:textId="77777777" w:rsidR="001D1FD6" w:rsidRDefault="001D1FD6" w:rsidP="001D1FD6">
            <w:pPr>
              <w:jc w:val="right"/>
              <w:rPr>
                <w:b/>
                <w:bCs/>
                <w:color w:val="000000"/>
                <w:sz w:val="18"/>
                <w:szCs w:val="18"/>
                <w:lang w:val="en-GB" w:eastAsia="en-GB"/>
              </w:rPr>
            </w:pPr>
            <w:r>
              <w:rPr>
                <w:b/>
                <w:bCs/>
                <w:color w:val="000000"/>
                <w:sz w:val="18"/>
                <w:szCs w:val="18"/>
                <w:lang w:val="en-GB" w:eastAsia="en-GB"/>
              </w:rPr>
              <w:t xml:space="preserve">9,087 </w:t>
            </w:r>
          </w:p>
        </w:tc>
        <w:tc>
          <w:tcPr>
            <w:tcW w:w="1276" w:type="dxa"/>
            <w:vAlign w:val="center"/>
          </w:tcPr>
          <w:p w14:paraId="1377E41E" w14:textId="77777777" w:rsidR="001D1FD6" w:rsidRDefault="001D1FD6" w:rsidP="001D1FD6">
            <w:pPr>
              <w:jc w:val="right"/>
              <w:rPr>
                <w:b/>
                <w:bCs/>
                <w:color w:val="000000"/>
                <w:sz w:val="18"/>
                <w:szCs w:val="18"/>
                <w:lang w:val="en-GB" w:eastAsia="en-GB"/>
              </w:rPr>
            </w:pPr>
            <w:r>
              <w:rPr>
                <w:b/>
                <w:bCs/>
                <w:color w:val="000000"/>
                <w:sz w:val="18"/>
                <w:szCs w:val="18"/>
                <w:lang w:val="en-GB" w:eastAsia="en-GB"/>
              </w:rPr>
              <w:t xml:space="preserve">594,198 </w:t>
            </w:r>
          </w:p>
        </w:tc>
        <w:tc>
          <w:tcPr>
            <w:tcW w:w="1275" w:type="dxa"/>
            <w:vAlign w:val="center"/>
          </w:tcPr>
          <w:p w14:paraId="79771C53" w14:textId="77777777" w:rsidR="001D1FD6" w:rsidRDefault="001D1FD6" w:rsidP="001D1FD6">
            <w:pPr>
              <w:jc w:val="right"/>
              <w:rPr>
                <w:color w:val="000000"/>
                <w:sz w:val="18"/>
                <w:szCs w:val="18"/>
                <w:lang w:val="en-GB" w:eastAsia="en-GB"/>
              </w:rPr>
            </w:pPr>
            <w:r>
              <w:rPr>
                <w:color w:val="000000"/>
                <w:sz w:val="18"/>
                <w:szCs w:val="18"/>
                <w:lang w:val="en-GB" w:eastAsia="en-GB"/>
              </w:rPr>
              <w:t>100.0%</w:t>
            </w:r>
          </w:p>
        </w:tc>
      </w:tr>
    </w:tbl>
    <w:p w14:paraId="6C34A049" w14:textId="77777777" w:rsidR="001D1FD6" w:rsidRDefault="001D1FD6" w:rsidP="001D1FD6">
      <w:pPr>
        <w:spacing w:after="240"/>
        <w:jc w:val="both"/>
        <w:rPr>
          <w:rFonts w:cs="Arabic Transparent"/>
          <w:color w:val="000000"/>
          <w:sz w:val="18"/>
          <w:szCs w:val="18"/>
          <w:lang w:val="en-GB"/>
        </w:rPr>
      </w:pPr>
    </w:p>
    <w:p w14:paraId="39F606C2" w14:textId="77777777" w:rsidR="001D1FD6" w:rsidRDefault="001D1FD6" w:rsidP="001D1FD6">
      <w:pPr>
        <w:spacing w:after="240"/>
        <w:ind w:firstLine="720"/>
        <w:jc w:val="both"/>
        <w:rPr>
          <w:bCs/>
          <w:sz w:val="18"/>
          <w:szCs w:val="18"/>
        </w:rPr>
      </w:pPr>
      <w:r>
        <w:rPr>
          <w:bCs/>
          <w:sz w:val="18"/>
          <w:szCs w:val="18"/>
        </w:rPr>
        <w:t>The following table sets forth the net valuation results for the Joint Venture’s portfolio for the periods indicated:</w:t>
      </w:r>
    </w:p>
    <w:tbl>
      <w:tblPr>
        <w:tblStyle w:val="TableGrid8"/>
        <w:tblW w:w="42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1436"/>
        <w:gridCol w:w="1235"/>
        <w:gridCol w:w="1966"/>
        <w:gridCol w:w="975"/>
      </w:tblGrid>
      <w:tr w:rsidR="007C0F8C" w14:paraId="01503876" w14:textId="77777777" w:rsidTr="007C0F8C">
        <w:tc>
          <w:tcPr>
            <w:tcW w:w="1586" w:type="pct"/>
          </w:tcPr>
          <w:p w14:paraId="2E6E0C3B" w14:textId="77777777" w:rsidR="007C0F8C" w:rsidRDefault="007C0F8C" w:rsidP="001D1FD6">
            <w:pPr>
              <w:rPr>
                <w:rFonts w:cs="Arabic Transparent"/>
                <w:sz w:val="18"/>
                <w:szCs w:val="18"/>
              </w:rPr>
            </w:pPr>
            <w:r>
              <w:rPr>
                <w:sz w:val="18"/>
                <w:szCs w:val="18"/>
              </w:rPr>
              <w:t>(</w:t>
            </w:r>
            <w:r>
              <w:rPr>
                <w:i/>
                <w:sz w:val="18"/>
                <w:szCs w:val="18"/>
              </w:rPr>
              <w:t>in thousands of €)</w:t>
            </w:r>
          </w:p>
        </w:tc>
        <w:tc>
          <w:tcPr>
            <w:tcW w:w="873" w:type="pct"/>
          </w:tcPr>
          <w:p w14:paraId="4ED7FF69" w14:textId="1DB8481C" w:rsidR="007C0F8C" w:rsidRDefault="007C0F8C" w:rsidP="001D1FD6">
            <w:pPr>
              <w:pBdr>
                <w:bottom w:val="single" w:sz="2" w:space="1" w:color="000000"/>
              </w:pBdr>
              <w:jc w:val="center"/>
              <w:rPr>
                <w:rFonts w:cs="Arabic Transparent"/>
                <w:b/>
                <w:sz w:val="18"/>
                <w:szCs w:val="18"/>
              </w:rPr>
            </w:pPr>
            <w:r>
              <w:rPr>
                <w:rFonts w:cs="Arabic Transparent"/>
                <w:b/>
                <w:sz w:val="18"/>
                <w:szCs w:val="18"/>
              </w:rPr>
              <w:t>For the period ended 30-Jun</w:t>
            </w:r>
          </w:p>
        </w:tc>
        <w:tc>
          <w:tcPr>
            <w:tcW w:w="2540" w:type="pct"/>
            <w:gridSpan w:val="3"/>
          </w:tcPr>
          <w:p w14:paraId="4F6E4007" w14:textId="4F39D036" w:rsidR="007C0F8C" w:rsidRDefault="007C0F8C" w:rsidP="001D1FD6">
            <w:pPr>
              <w:pBdr>
                <w:bottom w:val="single" w:sz="2" w:space="1" w:color="000000"/>
              </w:pBdr>
              <w:jc w:val="center"/>
              <w:rPr>
                <w:rFonts w:cs="Arabic Transparent"/>
                <w:b/>
                <w:sz w:val="18"/>
                <w:szCs w:val="18"/>
              </w:rPr>
            </w:pPr>
          </w:p>
          <w:p w14:paraId="539B2110" w14:textId="21E95E0B" w:rsidR="007C0F8C" w:rsidRDefault="007C0F8C" w:rsidP="001D1FD6">
            <w:pPr>
              <w:pBdr>
                <w:bottom w:val="single" w:sz="2" w:space="1" w:color="000000"/>
              </w:pBdr>
              <w:jc w:val="center"/>
              <w:rPr>
                <w:rFonts w:cs="Arabic Transparent"/>
                <w:b/>
                <w:sz w:val="18"/>
                <w:szCs w:val="18"/>
              </w:rPr>
            </w:pPr>
            <w:r>
              <w:rPr>
                <w:rFonts w:cs="Arabic Transparent"/>
                <w:b/>
                <w:sz w:val="18"/>
                <w:szCs w:val="18"/>
              </w:rPr>
              <w:t>For the period ended 31-Dec</w:t>
            </w:r>
          </w:p>
        </w:tc>
      </w:tr>
      <w:tr w:rsidR="007C0F8C" w14:paraId="15A4953A" w14:textId="77777777" w:rsidTr="007C0F8C">
        <w:tc>
          <w:tcPr>
            <w:tcW w:w="1586" w:type="pct"/>
          </w:tcPr>
          <w:p w14:paraId="7D92AB94" w14:textId="77777777" w:rsidR="007C0F8C" w:rsidRDefault="007C0F8C" w:rsidP="001D1FD6">
            <w:pPr>
              <w:jc w:val="center"/>
              <w:rPr>
                <w:rFonts w:cs="Arabic Transparent"/>
                <w:sz w:val="18"/>
                <w:szCs w:val="18"/>
              </w:rPr>
            </w:pPr>
          </w:p>
        </w:tc>
        <w:tc>
          <w:tcPr>
            <w:tcW w:w="873" w:type="pct"/>
            <w:vAlign w:val="bottom"/>
          </w:tcPr>
          <w:p w14:paraId="7ECD4D1E" w14:textId="7E0EC365" w:rsidR="007C0F8C" w:rsidRDefault="007C0F8C" w:rsidP="001D1FD6">
            <w:pPr>
              <w:pBdr>
                <w:bottom w:val="single" w:sz="2" w:space="1" w:color="000000"/>
              </w:pBdr>
              <w:jc w:val="center"/>
              <w:rPr>
                <w:rFonts w:cs="Arabic Transparent"/>
                <w:b/>
                <w:sz w:val="18"/>
                <w:szCs w:val="18"/>
              </w:rPr>
            </w:pPr>
            <w:r>
              <w:rPr>
                <w:rFonts w:cs="Arabic Transparent"/>
                <w:b/>
                <w:sz w:val="18"/>
                <w:szCs w:val="18"/>
              </w:rPr>
              <w:t>2017</w:t>
            </w:r>
            <w:r>
              <w:rPr>
                <w:rStyle w:val="FootnoteReference"/>
                <w:rFonts w:cs="Arabic Transparent"/>
                <w:b/>
                <w:sz w:val="18"/>
                <w:szCs w:val="18"/>
              </w:rPr>
              <w:footnoteReference w:id="5"/>
            </w:r>
          </w:p>
        </w:tc>
        <w:tc>
          <w:tcPr>
            <w:tcW w:w="751" w:type="pct"/>
            <w:vAlign w:val="bottom"/>
          </w:tcPr>
          <w:p w14:paraId="2514631F" w14:textId="20BEF3D1" w:rsidR="007C0F8C" w:rsidRDefault="007C0F8C" w:rsidP="001D1FD6">
            <w:pPr>
              <w:pBdr>
                <w:bottom w:val="single" w:sz="2" w:space="1" w:color="000000"/>
              </w:pBdr>
              <w:jc w:val="center"/>
              <w:rPr>
                <w:rFonts w:cs="Arabic Transparent"/>
                <w:b/>
                <w:sz w:val="18"/>
                <w:szCs w:val="18"/>
              </w:rPr>
            </w:pPr>
            <w:r>
              <w:rPr>
                <w:rFonts w:cs="Arabic Transparent"/>
                <w:b/>
                <w:sz w:val="18"/>
                <w:szCs w:val="18"/>
              </w:rPr>
              <w:t>2016</w:t>
            </w:r>
          </w:p>
        </w:tc>
        <w:tc>
          <w:tcPr>
            <w:tcW w:w="1196" w:type="pct"/>
            <w:vAlign w:val="bottom"/>
          </w:tcPr>
          <w:p w14:paraId="1A2B7368" w14:textId="77777777" w:rsidR="007C0F8C" w:rsidRDefault="007C0F8C" w:rsidP="001D1FD6">
            <w:pPr>
              <w:pBdr>
                <w:bottom w:val="single" w:sz="2" w:space="1" w:color="000000"/>
              </w:pBdr>
              <w:jc w:val="center"/>
              <w:rPr>
                <w:rFonts w:cs="Arabic Transparent"/>
                <w:b/>
                <w:sz w:val="18"/>
                <w:szCs w:val="18"/>
              </w:rPr>
            </w:pPr>
            <w:r>
              <w:rPr>
                <w:rFonts w:cs="Arabic Transparent"/>
                <w:b/>
                <w:sz w:val="18"/>
                <w:szCs w:val="18"/>
              </w:rPr>
              <w:t>2015</w:t>
            </w:r>
          </w:p>
        </w:tc>
        <w:tc>
          <w:tcPr>
            <w:tcW w:w="593" w:type="pct"/>
            <w:vAlign w:val="bottom"/>
          </w:tcPr>
          <w:p w14:paraId="0FF719C7" w14:textId="77777777" w:rsidR="007C0F8C" w:rsidRDefault="007C0F8C" w:rsidP="001D1FD6">
            <w:pPr>
              <w:pBdr>
                <w:bottom w:val="single" w:sz="2" w:space="1" w:color="000000"/>
              </w:pBdr>
              <w:jc w:val="center"/>
              <w:rPr>
                <w:rFonts w:cs="Arabic Transparent"/>
                <w:b/>
                <w:sz w:val="18"/>
                <w:szCs w:val="18"/>
              </w:rPr>
            </w:pPr>
            <w:r>
              <w:rPr>
                <w:rFonts w:cs="Arabic Transparent"/>
                <w:b/>
                <w:sz w:val="18"/>
                <w:szCs w:val="18"/>
              </w:rPr>
              <w:t>2014</w:t>
            </w:r>
          </w:p>
        </w:tc>
      </w:tr>
      <w:tr w:rsidR="007C0F8C" w14:paraId="56FFAA0E" w14:textId="77777777" w:rsidTr="007C0F8C">
        <w:tc>
          <w:tcPr>
            <w:tcW w:w="1586" w:type="pct"/>
          </w:tcPr>
          <w:p w14:paraId="65FD92CE" w14:textId="77777777" w:rsidR="007C0F8C" w:rsidRDefault="007C0F8C" w:rsidP="001D1FD6">
            <w:pPr>
              <w:tabs>
                <w:tab w:val="left" w:leader="dot" w:pos="2880"/>
              </w:tabs>
              <w:rPr>
                <w:rFonts w:cs="Arabic Transparent"/>
                <w:sz w:val="18"/>
                <w:szCs w:val="18"/>
              </w:rPr>
            </w:pPr>
          </w:p>
        </w:tc>
        <w:tc>
          <w:tcPr>
            <w:tcW w:w="873" w:type="pct"/>
            <w:vAlign w:val="bottom"/>
          </w:tcPr>
          <w:p w14:paraId="4BF5E6A4" w14:textId="77777777" w:rsidR="007C0F8C" w:rsidRDefault="007C0F8C" w:rsidP="001D1FD6">
            <w:pPr>
              <w:tabs>
                <w:tab w:val="decimal" w:pos="704"/>
              </w:tabs>
              <w:jc w:val="right"/>
              <w:rPr>
                <w:rFonts w:cs="Arabic Transparent"/>
                <w:sz w:val="18"/>
                <w:szCs w:val="18"/>
              </w:rPr>
            </w:pPr>
          </w:p>
        </w:tc>
        <w:tc>
          <w:tcPr>
            <w:tcW w:w="751" w:type="pct"/>
            <w:vAlign w:val="bottom"/>
          </w:tcPr>
          <w:p w14:paraId="339DFA72" w14:textId="004B5029" w:rsidR="007C0F8C" w:rsidRDefault="007C0F8C" w:rsidP="001D1FD6">
            <w:pPr>
              <w:tabs>
                <w:tab w:val="decimal" w:pos="704"/>
              </w:tabs>
              <w:jc w:val="right"/>
              <w:rPr>
                <w:rFonts w:cs="Arabic Transparent"/>
                <w:sz w:val="18"/>
                <w:szCs w:val="18"/>
              </w:rPr>
            </w:pPr>
          </w:p>
        </w:tc>
        <w:tc>
          <w:tcPr>
            <w:tcW w:w="1196" w:type="pct"/>
            <w:vAlign w:val="bottom"/>
          </w:tcPr>
          <w:p w14:paraId="4E9DAB39" w14:textId="77777777" w:rsidR="007C0F8C" w:rsidRDefault="007C0F8C" w:rsidP="001D1FD6">
            <w:pPr>
              <w:tabs>
                <w:tab w:val="decimal" w:pos="704"/>
              </w:tabs>
              <w:jc w:val="right"/>
              <w:rPr>
                <w:rFonts w:cs="Arabic Transparent"/>
                <w:sz w:val="18"/>
                <w:szCs w:val="18"/>
              </w:rPr>
            </w:pPr>
          </w:p>
        </w:tc>
        <w:tc>
          <w:tcPr>
            <w:tcW w:w="593" w:type="pct"/>
            <w:vAlign w:val="bottom"/>
          </w:tcPr>
          <w:p w14:paraId="11BE924F" w14:textId="77777777" w:rsidR="007C0F8C" w:rsidRDefault="007C0F8C" w:rsidP="001D1FD6">
            <w:pPr>
              <w:tabs>
                <w:tab w:val="decimal" w:pos="704"/>
              </w:tabs>
              <w:jc w:val="right"/>
              <w:rPr>
                <w:rFonts w:cs="Arabic Transparent"/>
                <w:sz w:val="18"/>
                <w:szCs w:val="18"/>
              </w:rPr>
            </w:pPr>
          </w:p>
        </w:tc>
      </w:tr>
      <w:tr w:rsidR="007C0F8C" w14:paraId="0E393DBF" w14:textId="77777777" w:rsidTr="007C0F8C">
        <w:tc>
          <w:tcPr>
            <w:tcW w:w="1586" w:type="pct"/>
          </w:tcPr>
          <w:p w14:paraId="292BAE42" w14:textId="77777777" w:rsidR="007C0F8C" w:rsidRDefault="007C0F8C" w:rsidP="001D1FD6">
            <w:pPr>
              <w:tabs>
                <w:tab w:val="left" w:leader="dot" w:pos="2880"/>
              </w:tabs>
              <w:rPr>
                <w:rFonts w:cs="Arabic Transparent"/>
                <w:sz w:val="18"/>
                <w:szCs w:val="18"/>
              </w:rPr>
            </w:pPr>
            <w:r>
              <w:rPr>
                <w:rFonts w:cs="Arabic Transparent"/>
                <w:sz w:val="18"/>
                <w:szCs w:val="18"/>
              </w:rPr>
              <w:t>Czech Republic</w:t>
            </w:r>
          </w:p>
        </w:tc>
        <w:tc>
          <w:tcPr>
            <w:tcW w:w="873" w:type="pct"/>
            <w:vAlign w:val="bottom"/>
          </w:tcPr>
          <w:p w14:paraId="0BC8E548" w14:textId="77777777" w:rsidR="007C0F8C" w:rsidRDefault="007C0F8C" w:rsidP="001D1FD6">
            <w:pPr>
              <w:tabs>
                <w:tab w:val="decimal" w:pos="704"/>
              </w:tabs>
              <w:jc w:val="right"/>
              <w:rPr>
                <w:rFonts w:cs="Arabic Transparent"/>
                <w:sz w:val="18"/>
                <w:szCs w:val="18"/>
              </w:rPr>
            </w:pPr>
            <w:r>
              <w:rPr>
                <w:rFonts w:cs="Arabic Transparent"/>
                <w:sz w:val="18"/>
                <w:szCs w:val="18"/>
              </w:rPr>
              <w:t>6,235</w:t>
            </w:r>
          </w:p>
        </w:tc>
        <w:tc>
          <w:tcPr>
            <w:tcW w:w="751" w:type="pct"/>
            <w:vAlign w:val="bottom"/>
          </w:tcPr>
          <w:p w14:paraId="3510C3B0" w14:textId="439F85E4" w:rsidR="007C0F8C" w:rsidRDefault="007C0F8C" w:rsidP="001D1FD6">
            <w:pPr>
              <w:tabs>
                <w:tab w:val="decimal" w:pos="704"/>
              </w:tabs>
              <w:jc w:val="right"/>
              <w:rPr>
                <w:rFonts w:cs="Arabic Transparent"/>
                <w:sz w:val="18"/>
                <w:szCs w:val="18"/>
              </w:rPr>
            </w:pPr>
            <w:r>
              <w:rPr>
                <w:rFonts w:cs="Arabic Transparent"/>
                <w:sz w:val="18"/>
                <w:szCs w:val="18"/>
              </w:rPr>
              <w:t>6,655</w:t>
            </w:r>
          </w:p>
        </w:tc>
        <w:tc>
          <w:tcPr>
            <w:tcW w:w="1196" w:type="pct"/>
            <w:vAlign w:val="bottom"/>
          </w:tcPr>
          <w:p w14:paraId="5F300A2E" w14:textId="77777777" w:rsidR="007C0F8C" w:rsidRDefault="007C0F8C" w:rsidP="001D1FD6">
            <w:pPr>
              <w:tabs>
                <w:tab w:val="decimal" w:pos="704"/>
              </w:tabs>
              <w:jc w:val="right"/>
              <w:rPr>
                <w:rFonts w:cs="Arabic Transparent"/>
                <w:sz w:val="18"/>
                <w:szCs w:val="18"/>
              </w:rPr>
            </w:pPr>
            <w:proofErr w:type="spellStart"/>
            <w:r>
              <w:rPr>
                <w:rFonts w:cs="Arabic Transparent"/>
                <w:sz w:val="18"/>
                <w:szCs w:val="18"/>
              </w:rPr>
              <w:t>n.a</w:t>
            </w:r>
            <w:proofErr w:type="spellEnd"/>
            <w:r>
              <w:rPr>
                <w:rFonts w:cs="Arabic Transparent"/>
                <w:sz w:val="18"/>
                <w:szCs w:val="18"/>
              </w:rPr>
              <w:t>.</w:t>
            </w:r>
          </w:p>
        </w:tc>
        <w:tc>
          <w:tcPr>
            <w:tcW w:w="593" w:type="pct"/>
          </w:tcPr>
          <w:p w14:paraId="51037F58" w14:textId="77777777" w:rsidR="007C0F8C" w:rsidRDefault="007C0F8C" w:rsidP="001D1FD6">
            <w:pPr>
              <w:tabs>
                <w:tab w:val="decimal" w:pos="704"/>
              </w:tabs>
              <w:jc w:val="right"/>
              <w:rPr>
                <w:rFonts w:cs="Arabic Transparent"/>
                <w:sz w:val="18"/>
                <w:szCs w:val="18"/>
              </w:rPr>
            </w:pPr>
            <w:proofErr w:type="spellStart"/>
            <w:r>
              <w:rPr>
                <w:rFonts w:cs="Arabic Transparent"/>
                <w:sz w:val="18"/>
                <w:szCs w:val="18"/>
              </w:rPr>
              <w:t>n.a</w:t>
            </w:r>
            <w:proofErr w:type="spellEnd"/>
            <w:r>
              <w:rPr>
                <w:rFonts w:cs="Arabic Transparent"/>
                <w:sz w:val="18"/>
                <w:szCs w:val="18"/>
              </w:rPr>
              <w:t>.</w:t>
            </w:r>
          </w:p>
        </w:tc>
      </w:tr>
      <w:tr w:rsidR="007C0F8C" w14:paraId="67AD3B5E" w14:textId="77777777" w:rsidTr="007C0F8C">
        <w:tc>
          <w:tcPr>
            <w:tcW w:w="1586" w:type="pct"/>
          </w:tcPr>
          <w:p w14:paraId="450275A5" w14:textId="77777777" w:rsidR="007C0F8C" w:rsidRDefault="007C0F8C" w:rsidP="001D1FD6">
            <w:pPr>
              <w:tabs>
                <w:tab w:val="left" w:leader="dot" w:pos="2880"/>
              </w:tabs>
              <w:rPr>
                <w:rFonts w:cs="Arabic Transparent"/>
                <w:sz w:val="18"/>
                <w:szCs w:val="18"/>
              </w:rPr>
            </w:pPr>
            <w:r>
              <w:rPr>
                <w:rFonts w:cs="Arabic Transparent"/>
                <w:sz w:val="18"/>
                <w:szCs w:val="18"/>
              </w:rPr>
              <w:t>Germany</w:t>
            </w:r>
          </w:p>
        </w:tc>
        <w:tc>
          <w:tcPr>
            <w:tcW w:w="873" w:type="pct"/>
            <w:vAlign w:val="bottom"/>
          </w:tcPr>
          <w:p w14:paraId="0A6809B2" w14:textId="77777777" w:rsidR="007C0F8C" w:rsidRDefault="007C0F8C" w:rsidP="001D1FD6">
            <w:pPr>
              <w:tabs>
                <w:tab w:val="decimal" w:pos="704"/>
              </w:tabs>
              <w:jc w:val="right"/>
              <w:rPr>
                <w:rFonts w:cs="Arabic Transparent"/>
                <w:sz w:val="18"/>
                <w:szCs w:val="18"/>
              </w:rPr>
            </w:pPr>
            <w:r>
              <w:rPr>
                <w:rFonts w:cs="Arabic Transparent"/>
                <w:sz w:val="18"/>
                <w:szCs w:val="18"/>
              </w:rPr>
              <w:t>19,924</w:t>
            </w:r>
          </w:p>
        </w:tc>
        <w:tc>
          <w:tcPr>
            <w:tcW w:w="751" w:type="pct"/>
            <w:vAlign w:val="bottom"/>
          </w:tcPr>
          <w:p w14:paraId="5448A178" w14:textId="0D465E2D" w:rsidR="007C0F8C" w:rsidRDefault="007C0F8C" w:rsidP="001D1FD6">
            <w:pPr>
              <w:tabs>
                <w:tab w:val="decimal" w:pos="704"/>
              </w:tabs>
              <w:jc w:val="right"/>
              <w:rPr>
                <w:rFonts w:cs="Arabic Transparent"/>
                <w:sz w:val="18"/>
                <w:szCs w:val="18"/>
              </w:rPr>
            </w:pPr>
            <w:r>
              <w:rPr>
                <w:rFonts w:cs="Arabic Transparent"/>
                <w:sz w:val="18"/>
                <w:szCs w:val="18"/>
              </w:rPr>
              <w:t>6,197</w:t>
            </w:r>
          </w:p>
        </w:tc>
        <w:tc>
          <w:tcPr>
            <w:tcW w:w="1196" w:type="pct"/>
          </w:tcPr>
          <w:p w14:paraId="01674E17" w14:textId="77777777" w:rsidR="007C0F8C" w:rsidRDefault="007C0F8C" w:rsidP="001D1FD6">
            <w:pPr>
              <w:tabs>
                <w:tab w:val="decimal" w:pos="704"/>
              </w:tabs>
              <w:jc w:val="right"/>
              <w:rPr>
                <w:rFonts w:cs="Arabic Transparent"/>
                <w:sz w:val="18"/>
                <w:szCs w:val="18"/>
              </w:rPr>
            </w:pPr>
            <w:proofErr w:type="spellStart"/>
            <w:r>
              <w:rPr>
                <w:rFonts w:cs="Arabic Transparent"/>
                <w:sz w:val="18"/>
                <w:szCs w:val="18"/>
              </w:rPr>
              <w:t>n.a</w:t>
            </w:r>
            <w:proofErr w:type="spellEnd"/>
            <w:r>
              <w:rPr>
                <w:rFonts w:cs="Arabic Transparent"/>
                <w:sz w:val="18"/>
                <w:szCs w:val="18"/>
              </w:rPr>
              <w:t>.</w:t>
            </w:r>
          </w:p>
        </w:tc>
        <w:tc>
          <w:tcPr>
            <w:tcW w:w="593" w:type="pct"/>
          </w:tcPr>
          <w:p w14:paraId="732B857F" w14:textId="77777777" w:rsidR="007C0F8C" w:rsidRDefault="007C0F8C" w:rsidP="001D1FD6">
            <w:pPr>
              <w:tabs>
                <w:tab w:val="decimal" w:pos="704"/>
              </w:tabs>
              <w:jc w:val="right"/>
              <w:rPr>
                <w:rFonts w:cs="Arabic Transparent"/>
                <w:sz w:val="18"/>
                <w:szCs w:val="18"/>
              </w:rPr>
            </w:pPr>
            <w:proofErr w:type="spellStart"/>
            <w:r>
              <w:rPr>
                <w:rFonts w:cs="Arabic Transparent"/>
                <w:sz w:val="18"/>
                <w:szCs w:val="18"/>
              </w:rPr>
              <w:t>n.a</w:t>
            </w:r>
            <w:proofErr w:type="spellEnd"/>
            <w:r>
              <w:rPr>
                <w:rFonts w:cs="Arabic Transparent"/>
                <w:sz w:val="18"/>
                <w:szCs w:val="18"/>
              </w:rPr>
              <w:t>.</w:t>
            </w:r>
          </w:p>
        </w:tc>
      </w:tr>
      <w:tr w:rsidR="007C0F8C" w14:paraId="6808B674" w14:textId="77777777" w:rsidTr="007C0F8C">
        <w:tc>
          <w:tcPr>
            <w:tcW w:w="1586" w:type="pct"/>
          </w:tcPr>
          <w:p w14:paraId="7BCB6F9E" w14:textId="77777777" w:rsidR="007C0F8C" w:rsidRDefault="007C0F8C" w:rsidP="001D1FD6">
            <w:pPr>
              <w:tabs>
                <w:tab w:val="left" w:leader="dot" w:pos="2880"/>
              </w:tabs>
              <w:rPr>
                <w:rFonts w:cs="Arabic Transparent"/>
                <w:sz w:val="18"/>
                <w:szCs w:val="18"/>
              </w:rPr>
            </w:pPr>
            <w:r>
              <w:rPr>
                <w:rFonts w:cs="Arabic Transparent"/>
                <w:sz w:val="18"/>
                <w:szCs w:val="18"/>
              </w:rPr>
              <w:t>Slovakia</w:t>
            </w:r>
          </w:p>
        </w:tc>
        <w:tc>
          <w:tcPr>
            <w:tcW w:w="873" w:type="pct"/>
            <w:vAlign w:val="bottom"/>
          </w:tcPr>
          <w:p w14:paraId="468604DF" w14:textId="77777777" w:rsidR="007C0F8C" w:rsidRDefault="007C0F8C" w:rsidP="001D1FD6">
            <w:pPr>
              <w:tabs>
                <w:tab w:val="decimal" w:pos="704"/>
              </w:tabs>
              <w:jc w:val="right"/>
              <w:rPr>
                <w:rFonts w:cs="Arabic Transparent"/>
                <w:sz w:val="18"/>
                <w:szCs w:val="18"/>
              </w:rPr>
            </w:pPr>
            <w:r>
              <w:rPr>
                <w:rFonts w:cs="Arabic Transparent"/>
                <w:sz w:val="18"/>
                <w:szCs w:val="18"/>
              </w:rPr>
              <w:t>(385)</w:t>
            </w:r>
          </w:p>
        </w:tc>
        <w:tc>
          <w:tcPr>
            <w:tcW w:w="751" w:type="pct"/>
            <w:vAlign w:val="bottom"/>
          </w:tcPr>
          <w:p w14:paraId="1E75BE3F" w14:textId="5831EE18" w:rsidR="007C0F8C" w:rsidRDefault="007C0F8C" w:rsidP="001D1FD6">
            <w:pPr>
              <w:tabs>
                <w:tab w:val="decimal" w:pos="704"/>
              </w:tabs>
              <w:jc w:val="right"/>
              <w:rPr>
                <w:rFonts w:cs="Arabic Transparent"/>
                <w:sz w:val="18"/>
                <w:szCs w:val="18"/>
              </w:rPr>
            </w:pPr>
            <w:r>
              <w:rPr>
                <w:rFonts w:cs="Arabic Transparent"/>
                <w:sz w:val="18"/>
                <w:szCs w:val="18"/>
              </w:rPr>
              <w:t>742</w:t>
            </w:r>
          </w:p>
        </w:tc>
        <w:tc>
          <w:tcPr>
            <w:tcW w:w="1196" w:type="pct"/>
          </w:tcPr>
          <w:p w14:paraId="26104B8F" w14:textId="77777777" w:rsidR="007C0F8C" w:rsidRDefault="007C0F8C" w:rsidP="001D1FD6">
            <w:pPr>
              <w:tabs>
                <w:tab w:val="decimal" w:pos="704"/>
              </w:tabs>
              <w:jc w:val="right"/>
              <w:rPr>
                <w:rFonts w:cs="Arabic Transparent"/>
                <w:sz w:val="18"/>
                <w:szCs w:val="18"/>
              </w:rPr>
            </w:pPr>
            <w:proofErr w:type="spellStart"/>
            <w:r>
              <w:rPr>
                <w:rFonts w:cs="Arabic Transparent"/>
                <w:sz w:val="18"/>
                <w:szCs w:val="18"/>
              </w:rPr>
              <w:t>n.a</w:t>
            </w:r>
            <w:proofErr w:type="spellEnd"/>
            <w:r>
              <w:rPr>
                <w:rFonts w:cs="Arabic Transparent"/>
                <w:sz w:val="18"/>
                <w:szCs w:val="18"/>
              </w:rPr>
              <w:t>.</w:t>
            </w:r>
          </w:p>
        </w:tc>
        <w:tc>
          <w:tcPr>
            <w:tcW w:w="593" w:type="pct"/>
          </w:tcPr>
          <w:p w14:paraId="5A2F6A2A" w14:textId="77777777" w:rsidR="007C0F8C" w:rsidRDefault="007C0F8C" w:rsidP="001D1FD6">
            <w:pPr>
              <w:tabs>
                <w:tab w:val="decimal" w:pos="704"/>
              </w:tabs>
              <w:jc w:val="right"/>
              <w:rPr>
                <w:rFonts w:cs="Arabic Transparent"/>
                <w:sz w:val="18"/>
                <w:szCs w:val="18"/>
              </w:rPr>
            </w:pPr>
            <w:proofErr w:type="spellStart"/>
            <w:r>
              <w:rPr>
                <w:rFonts w:cs="Arabic Transparent"/>
                <w:sz w:val="18"/>
                <w:szCs w:val="18"/>
              </w:rPr>
              <w:t>n.a</w:t>
            </w:r>
            <w:proofErr w:type="spellEnd"/>
            <w:r>
              <w:rPr>
                <w:rFonts w:cs="Arabic Transparent"/>
                <w:sz w:val="18"/>
                <w:szCs w:val="18"/>
              </w:rPr>
              <w:t>.</w:t>
            </w:r>
          </w:p>
        </w:tc>
      </w:tr>
      <w:tr w:rsidR="007C0F8C" w14:paraId="280A895A" w14:textId="77777777" w:rsidTr="007C0F8C">
        <w:tc>
          <w:tcPr>
            <w:tcW w:w="1586" w:type="pct"/>
          </w:tcPr>
          <w:p w14:paraId="314C813E" w14:textId="77777777" w:rsidR="007C0F8C" w:rsidRDefault="007C0F8C" w:rsidP="001D1FD6">
            <w:pPr>
              <w:tabs>
                <w:tab w:val="left" w:leader="dot" w:pos="2880"/>
              </w:tabs>
              <w:rPr>
                <w:rFonts w:cs="Arabic Transparent"/>
                <w:sz w:val="18"/>
                <w:szCs w:val="18"/>
              </w:rPr>
            </w:pPr>
            <w:r>
              <w:rPr>
                <w:rFonts w:cs="Arabic Transparent"/>
                <w:sz w:val="18"/>
                <w:szCs w:val="18"/>
              </w:rPr>
              <w:t>Hungary</w:t>
            </w:r>
          </w:p>
        </w:tc>
        <w:tc>
          <w:tcPr>
            <w:tcW w:w="873" w:type="pct"/>
            <w:vAlign w:val="bottom"/>
          </w:tcPr>
          <w:p w14:paraId="5F070016" w14:textId="77777777" w:rsidR="007C0F8C" w:rsidRDefault="007C0F8C" w:rsidP="001D1FD6">
            <w:pPr>
              <w:tabs>
                <w:tab w:val="decimal" w:pos="704"/>
              </w:tabs>
              <w:jc w:val="right"/>
              <w:rPr>
                <w:rFonts w:cs="Arabic Transparent"/>
                <w:sz w:val="18"/>
                <w:szCs w:val="18"/>
              </w:rPr>
            </w:pPr>
            <w:r>
              <w:rPr>
                <w:rFonts w:cs="Arabic Transparent"/>
                <w:sz w:val="18"/>
                <w:szCs w:val="18"/>
              </w:rPr>
              <w:t>(189)</w:t>
            </w:r>
          </w:p>
        </w:tc>
        <w:tc>
          <w:tcPr>
            <w:tcW w:w="751" w:type="pct"/>
            <w:vAlign w:val="bottom"/>
          </w:tcPr>
          <w:p w14:paraId="2A9B40A8" w14:textId="1307D88D" w:rsidR="007C0F8C" w:rsidRDefault="007C0F8C" w:rsidP="001D1FD6">
            <w:pPr>
              <w:tabs>
                <w:tab w:val="decimal" w:pos="704"/>
              </w:tabs>
              <w:jc w:val="right"/>
              <w:rPr>
                <w:rFonts w:cs="Arabic Transparent"/>
                <w:sz w:val="18"/>
                <w:szCs w:val="18"/>
              </w:rPr>
            </w:pPr>
            <w:r>
              <w:rPr>
                <w:rFonts w:cs="Arabic Transparent"/>
                <w:sz w:val="18"/>
                <w:szCs w:val="18"/>
              </w:rPr>
              <w:t>(209)</w:t>
            </w:r>
          </w:p>
        </w:tc>
        <w:tc>
          <w:tcPr>
            <w:tcW w:w="1196" w:type="pct"/>
          </w:tcPr>
          <w:p w14:paraId="210C3FC1" w14:textId="77777777" w:rsidR="007C0F8C" w:rsidRDefault="007C0F8C" w:rsidP="001D1FD6">
            <w:pPr>
              <w:tabs>
                <w:tab w:val="decimal" w:pos="704"/>
              </w:tabs>
              <w:jc w:val="right"/>
              <w:rPr>
                <w:rFonts w:cs="Arabic Transparent"/>
                <w:sz w:val="18"/>
                <w:szCs w:val="18"/>
              </w:rPr>
            </w:pPr>
            <w:proofErr w:type="spellStart"/>
            <w:r>
              <w:rPr>
                <w:rFonts w:cs="Arabic Transparent"/>
                <w:sz w:val="18"/>
                <w:szCs w:val="18"/>
              </w:rPr>
              <w:t>n.a</w:t>
            </w:r>
            <w:proofErr w:type="spellEnd"/>
            <w:r>
              <w:rPr>
                <w:rFonts w:cs="Arabic Transparent"/>
                <w:sz w:val="18"/>
                <w:szCs w:val="18"/>
              </w:rPr>
              <w:t>.</w:t>
            </w:r>
          </w:p>
        </w:tc>
        <w:tc>
          <w:tcPr>
            <w:tcW w:w="593" w:type="pct"/>
          </w:tcPr>
          <w:p w14:paraId="6DF696F8" w14:textId="77777777" w:rsidR="007C0F8C" w:rsidRDefault="007C0F8C" w:rsidP="001D1FD6">
            <w:pPr>
              <w:tabs>
                <w:tab w:val="decimal" w:pos="704"/>
              </w:tabs>
              <w:jc w:val="right"/>
              <w:rPr>
                <w:rFonts w:cs="Arabic Transparent"/>
                <w:sz w:val="18"/>
                <w:szCs w:val="18"/>
              </w:rPr>
            </w:pPr>
            <w:proofErr w:type="spellStart"/>
            <w:r>
              <w:rPr>
                <w:rFonts w:cs="Arabic Transparent"/>
                <w:sz w:val="18"/>
                <w:szCs w:val="18"/>
              </w:rPr>
              <w:t>n.a</w:t>
            </w:r>
            <w:proofErr w:type="spellEnd"/>
            <w:r>
              <w:rPr>
                <w:rFonts w:cs="Arabic Transparent"/>
                <w:sz w:val="18"/>
                <w:szCs w:val="18"/>
              </w:rPr>
              <w:t>.</w:t>
            </w:r>
          </w:p>
        </w:tc>
      </w:tr>
      <w:tr w:rsidR="007C0F8C" w14:paraId="3D69BDB1" w14:textId="77777777" w:rsidTr="007C0F8C">
        <w:tc>
          <w:tcPr>
            <w:tcW w:w="1586" w:type="pct"/>
          </w:tcPr>
          <w:p w14:paraId="374412D8" w14:textId="77777777" w:rsidR="007C0F8C" w:rsidRDefault="007C0F8C" w:rsidP="001D1FD6">
            <w:pPr>
              <w:tabs>
                <w:tab w:val="left" w:leader="dot" w:pos="2880"/>
              </w:tabs>
              <w:rPr>
                <w:rFonts w:cs="Arabic Transparent"/>
                <w:b/>
                <w:sz w:val="18"/>
                <w:szCs w:val="18"/>
              </w:rPr>
            </w:pPr>
            <w:r>
              <w:rPr>
                <w:rFonts w:cs="Arabic Transparent"/>
                <w:b/>
                <w:sz w:val="18"/>
                <w:szCs w:val="18"/>
              </w:rPr>
              <w:t>Total net valuation gain / (losses)</w:t>
            </w:r>
          </w:p>
        </w:tc>
        <w:tc>
          <w:tcPr>
            <w:tcW w:w="873" w:type="pct"/>
            <w:vAlign w:val="bottom"/>
          </w:tcPr>
          <w:p w14:paraId="4993B771" w14:textId="77777777" w:rsidR="007C0F8C" w:rsidRDefault="007C0F8C" w:rsidP="001D1FD6">
            <w:pPr>
              <w:pBdr>
                <w:bottom w:val="double" w:sz="4" w:space="1" w:color="auto"/>
              </w:pBdr>
              <w:tabs>
                <w:tab w:val="decimal" w:pos="704"/>
              </w:tabs>
              <w:jc w:val="right"/>
              <w:rPr>
                <w:rFonts w:cs="Arabic Transparent"/>
                <w:b/>
                <w:sz w:val="18"/>
                <w:szCs w:val="18"/>
              </w:rPr>
            </w:pPr>
            <w:r>
              <w:rPr>
                <w:rFonts w:cs="Arabic Transparent"/>
                <w:b/>
                <w:sz w:val="18"/>
                <w:szCs w:val="18"/>
              </w:rPr>
              <w:t>25,585</w:t>
            </w:r>
          </w:p>
        </w:tc>
        <w:tc>
          <w:tcPr>
            <w:tcW w:w="751" w:type="pct"/>
            <w:vAlign w:val="bottom"/>
          </w:tcPr>
          <w:p w14:paraId="42F15520" w14:textId="5EE38833" w:rsidR="007C0F8C" w:rsidRDefault="007C0F8C" w:rsidP="001D1FD6">
            <w:pPr>
              <w:pBdr>
                <w:bottom w:val="double" w:sz="4" w:space="1" w:color="auto"/>
              </w:pBdr>
              <w:tabs>
                <w:tab w:val="decimal" w:pos="704"/>
              </w:tabs>
              <w:jc w:val="right"/>
              <w:rPr>
                <w:rFonts w:cs="Arabic Transparent"/>
                <w:b/>
                <w:sz w:val="18"/>
                <w:szCs w:val="18"/>
              </w:rPr>
            </w:pPr>
            <w:r>
              <w:rPr>
                <w:rFonts w:cs="Arabic Transparent"/>
                <w:b/>
                <w:sz w:val="18"/>
                <w:szCs w:val="18"/>
              </w:rPr>
              <w:t>13,385</w:t>
            </w:r>
          </w:p>
        </w:tc>
        <w:tc>
          <w:tcPr>
            <w:tcW w:w="1196" w:type="pct"/>
            <w:vAlign w:val="bottom"/>
          </w:tcPr>
          <w:p w14:paraId="3F5B75C1" w14:textId="77777777" w:rsidR="007C0F8C" w:rsidRDefault="007C0F8C" w:rsidP="001D1FD6">
            <w:pPr>
              <w:pBdr>
                <w:bottom w:val="double" w:sz="4" w:space="1" w:color="auto"/>
              </w:pBdr>
              <w:tabs>
                <w:tab w:val="decimal" w:pos="704"/>
              </w:tabs>
              <w:jc w:val="right"/>
              <w:rPr>
                <w:rFonts w:cs="Arabic Transparent"/>
                <w:b/>
                <w:sz w:val="18"/>
                <w:szCs w:val="18"/>
              </w:rPr>
            </w:pPr>
            <w:proofErr w:type="spellStart"/>
            <w:r>
              <w:rPr>
                <w:rFonts w:cs="Arabic Transparent"/>
                <w:b/>
                <w:sz w:val="18"/>
                <w:szCs w:val="18"/>
              </w:rPr>
              <w:t>n.a</w:t>
            </w:r>
            <w:proofErr w:type="spellEnd"/>
            <w:r>
              <w:rPr>
                <w:rFonts w:cs="Arabic Transparent"/>
                <w:b/>
                <w:sz w:val="18"/>
                <w:szCs w:val="18"/>
              </w:rPr>
              <w:t>.</w:t>
            </w:r>
          </w:p>
        </w:tc>
        <w:tc>
          <w:tcPr>
            <w:tcW w:w="593" w:type="pct"/>
            <w:vAlign w:val="bottom"/>
          </w:tcPr>
          <w:p w14:paraId="32C151BE" w14:textId="77777777" w:rsidR="007C0F8C" w:rsidRDefault="007C0F8C" w:rsidP="001D1FD6">
            <w:pPr>
              <w:pBdr>
                <w:bottom w:val="double" w:sz="4" w:space="1" w:color="auto"/>
              </w:pBdr>
              <w:tabs>
                <w:tab w:val="decimal" w:pos="704"/>
              </w:tabs>
              <w:jc w:val="right"/>
              <w:rPr>
                <w:rFonts w:cs="Arabic Transparent"/>
                <w:b/>
                <w:sz w:val="18"/>
                <w:szCs w:val="18"/>
              </w:rPr>
            </w:pPr>
            <w:proofErr w:type="spellStart"/>
            <w:r>
              <w:rPr>
                <w:rFonts w:cs="Arabic Transparent"/>
                <w:b/>
                <w:sz w:val="18"/>
                <w:szCs w:val="18"/>
              </w:rPr>
              <w:t>n.a</w:t>
            </w:r>
            <w:proofErr w:type="spellEnd"/>
            <w:r>
              <w:rPr>
                <w:rFonts w:cs="Arabic Transparent"/>
                <w:b/>
                <w:sz w:val="18"/>
                <w:szCs w:val="18"/>
              </w:rPr>
              <w:t>.</w:t>
            </w:r>
          </w:p>
        </w:tc>
      </w:tr>
    </w:tbl>
    <w:p w14:paraId="63A94877" w14:textId="77777777" w:rsidR="00115A39" w:rsidRDefault="00115A39" w:rsidP="001D1FD6">
      <w:pPr>
        <w:spacing w:after="240"/>
        <w:ind w:firstLine="720"/>
        <w:jc w:val="both"/>
        <w:rPr>
          <w:bCs/>
          <w:sz w:val="18"/>
          <w:szCs w:val="18"/>
          <w:lang w:val="en-GB"/>
        </w:rPr>
      </w:pPr>
    </w:p>
    <w:p w14:paraId="196B5B91" w14:textId="6B562A7F" w:rsidR="001D1FD6" w:rsidRDefault="001D1FD6" w:rsidP="001D1FD6">
      <w:pPr>
        <w:spacing w:after="240"/>
        <w:ind w:firstLine="720"/>
        <w:jc w:val="both"/>
        <w:rPr>
          <w:bCs/>
          <w:sz w:val="18"/>
          <w:szCs w:val="18"/>
          <w:lang w:val="en-GB"/>
        </w:rPr>
      </w:pPr>
      <w:r>
        <w:rPr>
          <w:bCs/>
          <w:sz w:val="18"/>
          <w:szCs w:val="18"/>
          <w:lang w:val="en-GB"/>
        </w:rPr>
        <w:t>The Joint Venture’s property portfolio, excluding development land, has been valued by a valuation expert at 30 June 2017 based on a weighted average yield of 5.92% (compared to 6.08% as at 31 December 2016) applied to the contractual rents increased by the estimated rental value on unlet space. A 0.10% variation of this market rate would give rise to a variation of the total Joint Venture’s</w:t>
      </w:r>
      <w:r>
        <w:rPr>
          <w:bCs/>
          <w:sz w:val="18"/>
          <w:szCs w:val="18"/>
        </w:rPr>
        <w:t xml:space="preserve"> </w:t>
      </w:r>
      <w:r>
        <w:rPr>
          <w:bCs/>
          <w:sz w:val="18"/>
          <w:szCs w:val="18"/>
          <w:lang w:val="en-GB"/>
        </w:rPr>
        <w:t>portfolio value of €</w:t>
      </w:r>
      <w:r w:rsidR="00C92AC8">
        <w:rPr>
          <w:bCs/>
          <w:sz w:val="18"/>
          <w:szCs w:val="18"/>
          <w:lang w:val="en-GB"/>
        </w:rPr>
        <w:t xml:space="preserve"> </w:t>
      </w:r>
      <w:r>
        <w:rPr>
          <w:bCs/>
          <w:sz w:val="18"/>
          <w:szCs w:val="18"/>
          <w:lang w:val="en-GB"/>
        </w:rPr>
        <w:t>14.7 million and €</w:t>
      </w:r>
      <w:r w:rsidR="00C92AC8">
        <w:rPr>
          <w:bCs/>
          <w:sz w:val="18"/>
          <w:szCs w:val="18"/>
          <w:lang w:val="en-GB"/>
        </w:rPr>
        <w:t xml:space="preserve"> </w:t>
      </w:r>
      <w:r>
        <w:rPr>
          <w:bCs/>
          <w:sz w:val="18"/>
          <w:szCs w:val="18"/>
          <w:lang w:val="en-GB"/>
        </w:rPr>
        <w:t>10.9 million for the period ended 30 June 2017 and the year ended 31 December 2016 respectively (at 100% share).</w:t>
      </w:r>
      <w:r w:rsidR="00ED004E" w:rsidRPr="00ED004E">
        <w:rPr>
          <w:bCs/>
          <w:sz w:val="18"/>
          <w:szCs w:val="18"/>
        </w:rPr>
        <w:t xml:space="preserve"> </w:t>
      </w:r>
    </w:p>
    <w:p w14:paraId="46A48D09" w14:textId="17AFE9C1" w:rsidR="001D1FD6" w:rsidRDefault="001D1FD6" w:rsidP="001D1FD6">
      <w:pPr>
        <w:spacing w:after="240"/>
        <w:ind w:firstLine="720"/>
        <w:jc w:val="both"/>
        <w:rPr>
          <w:bCs/>
          <w:sz w:val="18"/>
          <w:szCs w:val="18"/>
          <w:lang w:val="en-GB"/>
        </w:rPr>
      </w:pPr>
      <w:r>
        <w:rPr>
          <w:bCs/>
          <w:sz w:val="18"/>
          <w:szCs w:val="18"/>
          <w:lang w:val="en-GB"/>
        </w:rPr>
        <w:t>In addition, the sensitivity of the fair value of the portfolio can be estimated as follows: the effect of a rise (fall) of 1% in rental income results in a rise (fall) in the fair value of the portfolio of approximately €8.9 million and € 6.7 million (all variables remaining constant) for the period ended 30 June 2017 and 31 December 2016 respectively (at 100% share). The effect of a rise (fall) in the weighted average yield of 25 basis points results in a fall (rise) in the fair value of the portfolio of approximately €</w:t>
      </w:r>
      <w:r w:rsidR="00C92AC8">
        <w:rPr>
          <w:bCs/>
          <w:sz w:val="18"/>
          <w:szCs w:val="18"/>
          <w:lang w:val="en-GB"/>
        </w:rPr>
        <w:t xml:space="preserve"> </w:t>
      </w:r>
      <w:r>
        <w:rPr>
          <w:bCs/>
          <w:sz w:val="18"/>
          <w:szCs w:val="18"/>
          <w:lang w:val="en-GB"/>
        </w:rPr>
        <w:t>35.8 million and €</w:t>
      </w:r>
      <w:r w:rsidR="00C92AC8">
        <w:rPr>
          <w:bCs/>
          <w:sz w:val="18"/>
          <w:szCs w:val="18"/>
          <w:lang w:val="en-GB"/>
        </w:rPr>
        <w:t xml:space="preserve"> </w:t>
      </w:r>
      <w:r>
        <w:rPr>
          <w:bCs/>
          <w:sz w:val="18"/>
          <w:szCs w:val="18"/>
          <w:lang w:val="en-GB"/>
        </w:rPr>
        <w:t>26.5 million (all variables remaining constant) for the period ended 30 June 2017 and the year ended 31 December 2016 respectively (at 100% share).</w:t>
      </w:r>
      <w:r w:rsidR="00ED004E" w:rsidRPr="00ED004E">
        <w:rPr>
          <w:bCs/>
          <w:sz w:val="18"/>
          <w:szCs w:val="18"/>
        </w:rPr>
        <w:t xml:space="preserve"> </w:t>
      </w:r>
    </w:p>
    <w:p w14:paraId="31C3776D" w14:textId="562A61D8" w:rsidR="001D1FD6" w:rsidRDefault="001D1FD6" w:rsidP="001D1FD6">
      <w:pPr>
        <w:spacing w:after="240"/>
        <w:ind w:firstLine="720"/>
        <w:jc w:val="both"/>
        <w:rPr>
          <w:bCs/>
          <w:sz w:val="18"/>
          <w:szCs w:val="18"/>
        </w:rPr>
      </w:pPr>
      <w:r>
        <w:rPr>
          <w:bCs/>
          <w:sz w:val="18"/>
          <w:szCs w:val="18"/>
        </w:rPr>
        <w:t xml:space="preserve">The following table sets forth the share of the Joint Venture’s future lease income (at 100% share) on an </w:t>
      </w:r>
      <w:proofErr w:type="spellStart"/>
      <w:r>
        <w:rPr>
          <w:bCs/>
          <w:sz w:val="18"/>
          <w:szCs w:val="18"/>
        </w:rPr>
        <w:t>annualised</w:t>
      </w:r>
      <w:proofErr w:type="spellEnd"/>
      <w:r>
        <w:rPr>
          <w:bCs/>
          <w:sz w:val="18"/>
          <w:szCs w:val="18"/>
        </w:rPr>
        <w:t xml:space="preserve"> basis by remaining maturity as of 30 June 2017 and the year ended 31 December 2016:</w:t>
      </w:r>
    </w:p>
    <w:tbl>
      <w:tblPr>
        <w:tblW w:w="9639" w:type="dxa"/>
        <w:tblLayout w:type="fixed"/>
        <w:tblCellMar>
          <w:left w:w="0" w:type="dxa"/>
          <w:right w:w="0" w:type="dxa"/>
        </w:tblCellMar>
        <w:tblLook w:val="04A0" w:firstRow="1" w:lastRow="0" w:firstColumn="1" w:lastColumn="0" w:noHBand="0" w:noVBand="1"/>
      </w:tblPr>
      <w:tblGrid>
        <w:gridCol w:w="3780"/>
        <w:gridCol w:w="1530"/>
        <w:gridCol w:w="1260"/>
        <w:gridCol w:w="55"/>
        <w:gridCol w:w="1455"/>
        <w:gridCol w:w="1559"/>
      </w:tblGrid>
      <w:tr w:rsidR="00D52B9E" w14:paraId="7BBDDE59" w14:textId="77777777" w:rsidTr="00D52B9E">
        <w:trPr>
          <w:trHeight w:val="285"/>
        </w:trPr>
        <w:tc>
          <w:tcPr>
            <w:tcW w:w="3780" w:type="dxa"/>
            <w:vAlign w:val="center"/>
          </w:tcPr>
          <w:p w14:paraId="32C94C51" w14:textId="77777777" w:rsidR="00D52B9E" w:rsidRDefault="00D52B9E" w:rsidP="001D1FD6">
            <w:pPr>
              <w:spacing w:after="240"/>
              <w:ind w:firstLine="720"/>
              <w:jc w:val="both"/>
              <w:rPr>
                <w:bCs/>
                <w:i/>
                <w:sz w:val="18"/>
                <w:szCs w:val="18"/>
                <w:lang w:val="en-GB"/>
              </w:rPr>
            </w:pPr>
          </w:p>
        </w:tc>
        <w:tc>
          <w:tcPr>
            <w:tcW w:w="2790" w:type="dxa"/>
            <w:gridSpan w:val="2"/>
            <w:vAlign w:val="center"/>
          </w:tcPr>
          <w:p w14:paraId="6F819059" w14:textId="2843C1E4" w:rsidR="00D52B9E" w:rsidRDefault="00C57B27" w:rsidP="00D52B9E">
            <w:pPr>
              <w:spacing w:after="240"/>
              <w:ind w:firstLine="720"/>
              <w:jc w:val="center"/>
              <w:rPr>
                <w:b/>
                <w:bCs/>
                <w:sz w:val="18"/>
                <w:szCs w:val="18"/>
                <w:lang w:val="en-GB"/>
              </w:rPr>
            </w:pPr>
            <w:r>
              <w:rPr>
                <w:b/>
                <w:bCs/>
                <w:sz w:val="18"/>
                <w:szCs w:val="18"/>
                <w:lang w:val="en-GB"/>
              </w:rPr>
              <w:t>As at 30-</w:t>
            </w:r>
            <w:r w:rsidR="00D52B9E">
              <w:rPr>
                <w:b/>
                <w:bCs/>
                <w:sz w:val="18"/>
                <w:szCs w:val="18"/>
                <w:lang w:val="en-GB"/>
              </w:rPr>
              <w:t>Jun</w:t>
            </w:r>
            <w:r w:rsidR="00FF5B25">
              <w:rPr>
                <w:b/>
                <w:bCs/>
                <w:sz w:val="18"/>
                <w:szCs w:val="18"/>
                <w:lang w:val="en-GB"/>
              </w:rPr>
              <w:t>*</w:t>
            </w:r>
          </w:p>
        </w:tc>
        <w:tc>
          <w:tcPr>
            <w:tcW w:w="3069" w:type="dxa"/>
            <w:gridSpan w:val="3"/>
            <w:vAlign w:val="center"/>
          </w:tcPr>
          <w:p w14:paraId="588B86C3" w14:textId="08EC4DA1" w:rsidR="00D52B9E" w:rsidRDefault="00C57B27" w:rsidP="00D52B9E">
            <w:pPr>
              <w:spacing w:after="240"/>
              <w:ind w:firstLine="720"/>
              <w:jc w:val="center"/>
              <w:rPr>
                <w:b/>
                <w:bCs/>
                <w:sz w:val="18"/>
                <w:szCs w:val="18"/>
                <w:lang w:val="en-GB"/>
              </w:rPr>
            </w:pPr>
            <w:r>
              <w:rPr>
                <w:b/>
                <w:bCs/>
                <w:sz w:val="18"/>
                <w:szCs w:val="18"/>
                <w:lang w:val="en-GB"/>
              </w:rPr>
              <w:t>As at 31-Dec</w:t>
            </w:r>
          </w:p>
        </w:tc>
      </w:tr>
      <w:tr w:rsidR="001D1FD6" w14:paraId="0F5199FA" w14:textId="77777777" w:rsidTr="00D52B9E">
        <w:trPr>
          <w:trHeight w:val="263"/>
        </w:trPr>
        <w:tc>
          <w:tcPr>
            <w:tcW w:w="3780" w:type="dxa"/>
            <w:vAlign w:val="center"/>
          </w:tcPr>
          <w:p w14:paraId="6E933D72" w14:textId="77777777" w:rsidR="001D1FD6" w:rsidRDefault="001D1FD6" w:rsidP="001D1FD6">
            <w:pPr>
              <w:spacing w:after="240"/>
              <w:ind w:firstLine="720"/>
              <w:jc w:val="both"/>
              <w:rPr>
                <w:bCs/>
                <w:i/>
                <w:sz w:val="18"/>
                <w:szCs w:val="18"/>
                <w:lang w:val="en-GB"/>
              </w:rPr>
            </w:pPr>
          </w:p>
        </w:tc>
        <w:tc>
          <w:tcPr>
            <w:tcW w:w="2845" w:type="dxa"/>
            <w:gridSpan w:val="3"/>
          </w:tcPr>
          <w:p w14:paraId="21A92525" w14:textId="77777777" w:rsidR="001D1FD6" w:rsidRDefault="001D1FD6" w:rsidP="00D52B9E">
            <w:pPr>
              <w:spacing w:after="240"/>
              <w:ind w:firstLine="720"/>
              <w:jc w:val="center"/>
              <w:rPr>
                <w:b/>
                <w:bCs/>
                <w:sz w:val="18"/>
                <w:szCs w:val="18"/>
                <w:lang w:val="en-GB"/>
              </w:rPr>
            </w:pPr>
            <w:r>
              <w:rPr>
                <w:b/>
                <w:bCs/>
                <w:sz w:val="18"/>
                <w:szCs w:val="18"/>
                <w:lang w:val="en-GB"/>
              </w:rPr>
              <w:t>2017</w:t>
            </w:r>
          </w:p>
        </w:tc>
        <w:tc>
          <w:tcPr>
            <w:tcW w:w="3014" w:type="dxa"/>
            <w:gridSpan w:val="2"/>
          </w:tcPr>
          <w:p w14:paraId="7102B11D" w14:textId="77777777" w:rsidR="001D1FD6" w:rsidRDefault="001D1FD6" w:rsidP="00D52B9E">
            <w:pPr>
              <w:spacing w:after="240"/>
              <w:ind w:firstLine="720"/>
              <w:jc w:val="center"/>
              <w:rPr>
                <w:b/>
                <w:bCs/>
                <w:sz w:val="18"/>
                <w:szCs w:val="18"/>
                <w:lang w:val="en-GB"/>
              </w:rPr>
            </w:pPr>
            <w:r>
              <w:rPr>
                <w:b/>
                <w:bCs/>
                <w:sz w:val="18"/>
                <w:szCs w:val="18"/>
                <w:lang w:val="en-GB"/>
              </w:rPr>
              <w:t>2016</w:t>
            </w:r>
          </w:p>
        </w:tc>
      </w:tr>
      <w:tr w:rsidR="001D1FD6" w14:paraId="4DB97544" w14:textId="77777777" w:rsidTr="001D1FD6">
        <w:trPr>
          <w:trHeight w:val="370"/>
        </w:trPr>
        <w:tc>
          <w:tcPr>
            <w:tcW w:w="3780" w:type="dxa"/>
            <w:vAlign w:val="center"/>
          </w:tcPr>
          <w:p w14:paraId="488CC9C9" w14:textId="77777777" w:rsidR="001D1FD6" w:rsidRDefault="001D1FD6" w:rsidP="001D1FD6">
            <w:pPr>
              <w:spacing w:after="240"/>
              <w:ind w:firstLine="720"/>
              <w:jc w:val="both"/>
              <w:rPr>
                <w:bCs/>
                <w:i/>
                <w:sz w:val="18"/>
                <w:szCs w:val="18"/>
                <w:lang w:val="en-GB"/>
              </w:rPr>
            </w:pPr>
          </w:p>
        </w:tc>
        <w:tc>
          <w:tcPr>
            <w:tcW w:w="1530" w:type="dxa"/>
          </w:tcPr>
          <w:p w14:paraId="5C26062D" w14:textId="77777777" w:rsidR="001D1FD6" w:rsidRDefault="001D1FD6" w:rsidP="001D1FD6">
            <w:pPr>
              <w:spacing w:after="240"/>
              <w:jc w:val="center"/>
              <w:rPr>
                <w:bCs/>
                <w:i/>
                <w:sz w:val="18"/>
                <w:szCs w:val="18"/>
                <w:lang w:val="en-GB"/>
              </w:rPr>
            </w:pPr>
            <w:r>
              <w:rPr>
                <w:bCs/>
                <w:i/>
                <w:sz w:val="18"/>
                <w:szCs w:val="18"/>
                <w:lang w:val="en-GB"/>
              </w:rPr>
              <w:t>(in thousands of €)</w:t>
            </w:r>
          </w:p>
        </w:tc>
        <w:tc>
          <w:tcPr>
            <w:tcW w:w="1315" w:type="dxa"/>
            <w:gridSpan w:val="2"/>
          </w:tcPr>
          <w:p w14:paraId="39C7C43D" w14:textId="77777777" w:rsidR="001D1FD6" w:rsidRDefault="001D1FD6" w:rsidP="001D1FD6">
            <w:pPr>
              <w:spacing w:after="240"/>
              <w:ind w:firstLine="720"/>
              <w:jc w:val="both"/>
              <w:rPr>
                <w:bCs/>
                <w:i/>
                <w:sz w:val="18"/>
                <w:szCs w:val="18"/>
                <w:lang w:val="en-GB"/>
              </w:rPr>
            </w:pPr>
            <w:r>
              <w:rPr>
                <w:bCs/>
                <w:i/>
                <w:sz w:val="18"/>
                <w:szCs w:val="18"/>
                <w:lang w:val="en-GB"/>
              </w:rPr>
              <w:t>%</w:t>
            </w:r>
          </w:p>
        </w:tc>
        <w:tc>
          <w:tcPr>
            <w:tcW w:w="1455" w:type="dxa"/>
          </w:tcPr>
          <w:p w14:paraId="3FC03479" w14:textId="77777777" w:rsidR="001D1FD6" w:rsidRDefault="001D1FD6" w:rsidP="001D1FD6">
            <w:pPr>
              <w:spacing w:after="240"/>
              <w:jc w:val="center"/>
              <w:rPr>
                <w:bCs/>
                <w:i/>
                <w:sz w:val="18"/>
                <w:szCs w:val="18"/>
                <w:lang w:val="en-GB"/>
              </w:rPr>
            </w:pPr>
            <w:r>
              <w:rPr>
                <w:bCs/>
                <w:i/>
                <w:sz w:val="18"/>
                <w:szCs w:val="18"/>
                <w:lang w:val="en-GB"/>
              </w:rPr>
              <w:t>(in thousands of €)</w:t>
            </w:r>
          </w:p>
        </w:tc>
        <w:tc>
          <w:tcPr>
            <w:tcW w:w="1559" w:type="dxa"/>
          </w:tcPr>
          <w:p w14:paraId="4BA9D767" w14:textId="77777777" w:rsidR="001D1FD6" w:rsidRDefault="001D1FD6" w:rsidP="001D1FD6">
            <w:pPr>
              <w:spacing w:after="240"/>
              <w:ind w:firstLine="720"/>
              <w:jc w:val="both"/>
              <w:rPr>
                <w:bCs/>
                <w:i/>
                <w:sz w:val="18"/>
                <w:szCs w:val="18"/>
                <w:lang w:val="en-GB"/>
              </w:rPr>
            </w:pPr>
            <w:r>
              <w:rPr>
                <w:bCs/>
                <w:i/>
                <w:sz w:val="18"/>
                <w:szCs w:val="18"/>
                <w:lang w:val="en-GB"/>
              </w:rPr>
              <w:t>%</w:t>
            </w:r>
          </w:p>
        </w:tc>
      </w:tr>
      <w:tr w:rsidR="001D1FD6" w14:paraId="3613D5C1" w14:textId="77777777" w:rsidTr="001D1FD6">
        <w:trPr>
          <w:trHeight w:val="370"/>
        </w:trPr>
        <w:tc>
          <w:tcPr>
            <w:tcW w:w="3780" w:type="dxa"/>
            <w:vAlign w:val="center"/>
          </w:tcPr>
          <w:p w14:paraId="5ED48C4A" w14:textId="77777777" w:rsidR="001D1FD6" w:rsidRDefault="001D1FD6" w:rsidP="001D1FD6">
            <w:pPr>
              <w:spacing w:after="240"/>
              <w:ind w:firstLine="720"/>
              <w:jc w:val="both"/>
              <w:rPr>
                <w:bCs/>
                <w:sz w:val="18"/>
                <w:szCs w:val="18"/>
                <w:lang w:val="en-GB"/>
              </w:rPr>
            </w:pPr>
            <w:r>
              <w:rPr>
                <w:bCs/>
                <w:sz w:val="18"/>
                <w:szCs w:val="18"/>
                <w:lang w:val="en-GB"/>
              </w:rPr>
              <w:t>Less than one year</w:t>
            </w:r>
            <w:r>
              <w:rPr>
                <w:bCs/>
                <w:sz w:val="18"/>
                <w:szCs w:val="18"/>
                <w:lang w:val="en-GB"/>
              </w:rPr>
              <w:tab/>
            </w:r>
          </w:p>
        </w:tc>
        <w:tc>
          <w:tcPr>
            <w:tcW w:w="1530" w:type="dxa"/>
            <w:vAlign w:val="center"/>
          </w:tcPr>
          <w:p w14:paraId="1B16E3E1" w14:textId="77777777" w:rsidR="001D1FD6" w:rsidRDefault="001D1FD6" w:rsidP="001D1FD6">
            <w:pPr>
              <w:spacing w:after="240"/>
              <w:ind w:firstLine="720"/>
              <w:jc w:val="right"/>
              <w:rPr>
                <w:bCs/>
                <w:sz w:val="18"/>
                <w:szCs w:val="18"/>
                <w:lang w:val="en-GB"/>
              </w:rPr>
            </w:pPr>
            <w:r>
              <w:rPr>
                <w:bCs/>
                <w:sz w:val="18"/>
                <w:szCs w:val="18"/>
                <w:lang w:val="en-GB"/>
              </w:rPr>
              <w:t xml:space="preserve">50,382 </w:t>
            </w:r>
          </w:p>
        </w:tc>
        <w:tc>
          <w:tcPr>
            <w:tcW w:w="1260" w:type="dxa"/>
            <w:vAlign w:val="center"/>
          </w:tcPr>
          <w:p w14:paraId="5830DEEB" w14:textId="77777777" w:rsidR="001D1FD6" w:rsidRDefault="001D1FD6" w:rsidP="001D1FD6">
            <w:pPr>
              <w:spacing w:after="240"/>
              <w:ind w:firstLine="720"/>
              <w:jc w:val="right"/>
              <w:rPr>
                <w:bCs/>
                <w:sz w:val="18"/>
                <w:szCs w:val="18"/>
                <w:lang w:val="en-GB"/>
              </w:rPr>
            </w:pPr>
            <w:r>
              <w:rPr>
                <w:bCs/>
                <w:sz w:val="18"/>
                <w:szCs w:val="18"/>
                <w:lang w:val="en-GB"/>
              </w:rPr>
              <w:t>12%</w:t>
            </w:r>
          </w:p>
        </w:tc>
        <w:tc>
          <w:tcPr>
            <w:tcW w:w="1510" w:type="dxa"/>
            <w:gridSpan w:val="2"/>
            <w:vAlign w:val="center"/>
          </w:tcPr>
          <w:p w14:paraId="65E4AF57" w14:textId="77777777" w:rsidR="001D1FD6" w:rsidRDefault="001D1FD6" w:rsidP="001D1FD6">
            <w:pPr>
              <w:spacing w:after="240"/>
              <w:ind w:firstLine="720"/>
              <w:jc w:val="right"/>
              <w:rPr>
                <w:bCs/>
                <w:sz w:val="18"/>
                <w:szCs w:val="18"/>
                <w:lang w:val="en-GB"/>
              </w:rPr>
            </w:pPr>
            <w:r>
              <w:rPr>
                <w:bCs/>
                <w:sz w:val="18"/>
                <w:szCs w:val="18"/>
                <w:lang w:val="en-GB"/>
              </w:rPr>
              <w:t xml:space="preserve">37,367 </w:t>
            </w:r>
          </w:p>
        </w:tc>
        <w:tc>
          <w:tcPr>
            <w:tcW w:w="1559" w:type="dxa"/>
            <w:vAlign w:val="center"/>
          </w:tcPr>
          <w:p w14:paraId="112791DF" w14:textId="77777777" w:rsidR="001D1FD6" w:rsidRDefault="001D1FD6" w:rsidP="001D1FD6">
            <w:pPr>
              <w:spacing w:after="240"/>
              <w:ind w:firstLine="720"/>
              <w:jc w:val="right"/>
              <w:rPr>
                <w:bCs/>
                <w:sz w:val="18"/>
                <w:szCs w:val="18"/>
                <w:lang w:val="en-GB"/>
              </w:rPr>
            </w:pPr>
            <w:r>
              <w:rPr>
                <w:bCs/>
                <w:sz w:val="18"/>
                <w:szCs w:val="18"/>
                <w:lang w:val="en-GB"/>
              </w:rPr>
              <w:t>12%</w:t>
            </w:r>
          </w:p>
        </w:tc>
      </w:tr>
      <w:tr w:rsidR="001D1FD6" w14:paraId="3B234C9D" w14:textId="77777777" w:rsidTr="001D1FD6">
        <w:trPr>
          <w:trHeight w:hRule="exact" w:val="278"/>
        </w:trPr>
        <w:tc>
          <w:tcPr>
            <w:tcW w:w="3780" w:type="dxa"/>
            <w:vAlign w:val="center"/>
          </w:tcPr>
          <w:p w14:paraId="31FC1A5E" w14:textId="77777777" w:rsidR="001D1FD6" w:rsidRDefault="001D1FD6" w:rsidP="001D1FD6">
            <w:pPr>
              <w:spacing w:after="240"/>
              <w:ind w:firstLine="720"/>
              <w:jc w:val="both"/>
              <w:rPr>
                <w:bCs/>
                <w:sz w:val="18"/>
                <w:szCs w:val="18"/>
                <w:lang w:val="en-GB"/>
              </w:rPr>
            </w:pPr>
            <w:r>
              <w:rPr>
                <w:bCs/>
                <w:sz w:val="18"/>
                <w:szCs w:val="18"/>
                <w:lang w:val="en-GB"/>
              </w:rPr>
              <w:t>Between one and five years</w:t>
            </w:r>
            <w:r>
              <w:rPr>
                <w:bCs/>
                <w:sz w:val="18"/>
                <w:szCs w:val="18"/>
                <w:lang w:val="en-GB"/>
              </w:rPr>
              <w:tab/>
            </w:r>
          </w:p>
        </w:tc>
        <w:tc>
          <w:tcPr>
            <w:tcW w:w="1530" w:type="dxa"/>
            <w:vAlign w:val="center"/>
          </w:tcPr>
          <w:p w14:paraId="2F8C460A" w14:textId="77777777" w:rsidR="001D1FD6" w:rsidRDefault="001D1FD6" w:rsidP="001D1FD6">
            <w:pPr>
              <w:spacing w:after="240"/>
              <w:ind w:firstLine="720"/>
              <w:jc w:val="right"/>
              <w:rPr>
                <w:bCs/>
                <w:sz w:val="18"/>
                <w:szCs w:val="18"/>
                <w:lang w:val="en-GB"/>
              </w:rPr>
            </w:pPr>
            <w:r>
              <w:rPr>
                <w:bCs/>
                <w:sz w:val="18"/>
                <w:szCs w:val="18"/>
                <w:lang w:val="en-GB"/>
              </w:rPr>
              <w:t xml:space="preserve">175,937 </w:t>
            </w:r>
          </w:p>
        </w:tc>
        <w:tc>
          <w:tcPr>
            <w:tcW w:w="1260" w:type="dxa"/>
            <w:vAlign w:val="center"/>
          </w:tcPr>
          <w:p w14:paraId="3367C8D2" w14:textId="77777777" w:rsidR="001D1FD6" w:rsidRDefault="001D1FD6" w:rsidP="001D1FD6">
            <w:pPr>
              <w:spacing w:after="240"/>
              <w:ind w:firstLine="720"/>
              <w:jc w:val="right"/>
              <w:rPr>
                <w:bCs/>
                <w:sz w:val="18"/>
                <w:szCs w:val="18"/>
                <w:lang w:val="en-GB"/>
              </w:rPr>
            </w:pPr>
            <w:r>
              <w:rPr>
                <w:bCs/>
                <w:sz w:val="18"/>
                <w:szCs w:val="18"/>
                <w:lang w:val="en-GB"/>
              </w:rPr>
              <w:t>42%</w:t>
            </w:r>
          </w:p>
        </w:tc>
        <w:tc>
          <w:tcPr>
            <w:tcW w:w="1510" w:type="dxa"/>
            <w:gridSpan w:val="2"/>
            <w:vAlign w:val="center"/>
          </w:tcPr>
          <w:p w14:paraId="2F8FFC4D" w14:textId="77777777" w:rsidR="001D1FD6" w:rsidRDefault="001D1FD6" w:rsidP="001D1FD6">
            <w:pPr>
              <w:spacing w:after="240"/>
              <w:ind w:firstLine="720"/>
              <w:jc w:val="right"/>
              <w:rPr>
                <w:bCs/>
                <w:sz w:val="18"/>
                <w:szCs w:val="18"/>
                <w:lang w:val="en-GB"/>
              </w:rPr>
            </w:pPr>
            <w:r>
              <w:rPr>
                <w:bCs/>
                <w:sz w:val="18"/>
                <w:szCs w:val="18"/>
                <w:lang w:val="en-GB"/>
              </w:rPr>
              <w:t xml:space="preserve">128,873 </w:t>
            </w:r>
          </w:p>
        </w:tc>
        <w:tc>
          <w:tcPr>
            <w:tcW w:w="1559" w:type="dxa"/>
            <w:vAlign w:val="center"/>
          </w:tcPr>
          <w:p w14:paraId="41CEF1E9" w14:textId="77777777" w:rsidR="001D1FD6" w:rsidRDefault="001D1FD6" w:rsidP="001D1FD6">
            <w:pPr>
              <w:spacing w:after="240"/>
              <w:ind w:firstLine="720"/>
              <w:jc w:val="right"/>
              <w:rPr>
                <w:bCs/>
                <w:sz w:val="18"/>
                <w:szCs w:val="18"/>
                <w:lang w:val="en-GB"/>
              </w:rPr>
            </w:pPr>
            <w:r>
              <w:rPr>
                <w:bCs/>
                <w:sz w:val="18"/>
                <w:szCs w:val="18"/>
                <w:lang w:val="en-GB"/>
              </w:rPr>
              <w:t>43%</w:t>
            </w:r>
          </w:p>
        </w:tc>
      </w:tr>
      <w:tr w:rsidR="001D1FD6" w14:paraId="09A1F365" w14:textId="77777777" w:rsidTr="001D1FD6">
        <w:trPr>
          <w:trHeight w:hRule="exact" w:val="279"/>
        </w:trPr>
        <w:tc>
          <w:tcPr>
            <w:tcW w:w="3780" w:type="dxa"/>
            <w:vAlign w:val="center"/>
          </w:tcPr>
          <w:p w14:paraId="543EFC20" w14:textId="77777777" w:rsidR="001D1FD6" w:rsidRDefault="001D1FD6" w:rsidP="001D1FD6">
            <w:pPr>
              <w:spacing w:after="240"/>
              <w:ind w:firstLine="720"/>
              <w:jc w:val="both"/>
              <w:rPr>
                <w:b/>
                <w:bCs/>
                <w:sz w:val="18"/>
                <w:szCs w:val="18"/>
                <w:lang w:val="en-GB"/>
              </w:rPr>
            </w:pPr>
            <w:r>
              <w:rPr>
                <w:bCs/>
                <w:sz w:val="18"/>
                <w:szCs w:val="18"/>
                <w:lang w:val="en-GB"/>
              </w:rPr>
              <w:t>More than five years</w:t>
            </w:r>
            <w:r>
              <w:rPr>
                <w:bCs/>
                <w:sz w:val="18"/>
                <w:szCs w:val="18"/>
                <w:lang w:val="en-GB"/>
              </w:rPr>
              <w:tab/>
            </w:r>
          </w:p>
        </w:tc>
        <w:tc>
          <w:tcPr>
            <w:tcW w:w="1530" w:type="dxa"/>
            <w:vAlign w:val="center"/>
          </w:tcPr>
          <w:p w14:paraId="0F5B3058" w14:textId="77777777" w:rsidR="001D1FD6" w:rsidRDefault="001D1FD6" w:rsidP="001D1FD6">
            <w:pPr>
              <w:spacing w:after="240"/>
              <w:ind w:firstLine="720"/>
              <w:jc w:val="right"/>
              <w:rPr>
                <w:bCs/>
                <w:sz w:val="18"/>
                <w:szCs w:val="18"/>
                <w:lang w:val="en-GB"/>
              </w:rPr>
            </w:pPr>
            <w:r>
              <w:rPr>
                <w:bCs/>
                <w:sz w:val="18"/>
                <w:szCs w:val="18"/>
                <w:lang w:val="en-GB"/>
              </w:rPr>
              <w:t xml:space="preserve">188,067 </w:t>
            </w:r>
          </w:p>
        </w:tc>
        <w:tc>
          <w:tcPr>
            <w:tcW w:w="1260" w:type="dxa"/>
            <w:vAlign w:val="center"/>
          </w:tcPr>
          <w:p w14:paraId="385A55D8" w14:textId="77777777" w:rsidR="001D1FD6" w:rsidRDefault="001D1FD6" w:rsidP="001D1FD6">
            <w:pPr>
              <w:spacing w:after="240"/>
              <w:ind w:firstLine="720"/>
              <w:jc w:val="right"/>
              <w:rPr>
                <w:b/>
                <w:bCs/>
                <w:sz w:val="18"/>
                <w:szCs w:val="18"/>
                <w:lang w:val="en-GB"/>
              </w:rPr>
            </w:pPr>
            <w:r>
              <w:rPr>
                <w:bCs/>
                <w:sz w:val="18"/>
                <w:szCs w:val="18"/>
                <w:lang w:val="en-GB"/>
              </w:rPr>
              <w:t>45%</w:t>
            </w:r>
          </w:p>
        </w:tc>
        <w:tc>
          <w:tcPr>
            <w:tcW w:w="1510" w:type="dxa"/>
            <w:gridSpan w:val="2"/>
            <w:vAlign w:val="center"/>
          </w:tcPr>
          <w:p w14:paraId="7C9C09F2" w14:textId="77777777" w:rsidR="001D1FD6" w:rsidRDefault="001D1FD6" w:rsidP="001D1FD6">
            <w:pPr>
              <w:spacing w:after="240"/>
              <w:ind w:firstLine="720"/>
              <w:jc w:val="right"/>
              <w:rPr>
                <w:b/>
                <w:bCs/>
                <w:sz w:val="18"/>
                <w:szCs w:val="18"/>
                <w:lang w:val="en-GB"/>
              </w:rPr>
            </w:pPr>
            <w:r>
              <w:rPr>
                <w:bCs/>
                <w:sz w:val="18"/>
                <w:szCs w:val="18"/>
                <w:lang w:val="en-GB"/>
              </w:rPr>
              <w:t xml:space="preserve">136,072 </w:t>
            </w:r>
          </w:p>
        </w:tc>
        <w:tc>
          <w:tcPr>
            <w:tcW w:w="1559" w:type="dxa"/>
            <w:vAlign w:val="center"/>
          </w:tcPr>
          <w:p w14:paraId="093677E3" w14:textId="77777777" w:rsidR="001D1FD6" w:rsidRDefault="001D1FD6" w:rsidP="001D1FD6">
            <w:pPr>
              <w:spacing w:after="240"/>
              <w:ind w:firstLine="720"/>
              <w:jc w:val="right"/>
              <w:rPr>
                <w:b/>
                <w:bCs/>
                <w:sz w:val="18"/>
                <w:szCs w:val="18"/>
                <w:lang w:val="en-GB"/>
              </w:rPr>
            </w:pPr>
            <w:r>
              <w:rPr>
                <w:bCs/>
                <w:sz w:val="18"/>
                <w:szCs w:val="18"/>
                <w:lang w:val="en-GB"/>
              </w:rPr>
              <w:t>45%</w:t>
            </w:r>
          </w:p>
        </w:tc>
      </w:tr>
      <w:tr w:rsidR="001D1FD6" w14:paraId="5B2B8B01" w14:textId="77777777" w:rsidTr="001D1FD6">
        <w:trPr>
          <w:trHeight w:hRule="exact" w:val="279"/>
        </w:trPr>
        <w:tc>
          <w:tcPr>
            <w:tcW w:w="3780" w:type="dxa"/>
            <w:vAlign w:val="center"/>
          </w:tcPr>
          <w:p w14:paraId="25031873" w14:textId="77777777" w:rsidR="001D1FD6" w:rsidRDefault="001D1FD6" w:rsidP="001D1FD6">
            <w:pPr>
              <w:spacing w:after="240"/>
              <w:ind w:firstLine="720"/>
              <w:jc w:val="both"/>
              <w:rPr>
                <w:b/>
                <w:bCs/>
                <w:sz w:val="18"/>
                <w:szCs w:val="18"/>
                <w:lang w:val="en-GB"/>
              </w:rPr>
            </w:pPr>
            <w:r>
              <w:rPr>
                <w:b/>
                <w:bCs/>
                <w:sz w:val="18"/>
                <w:szCs w:val="18"/>
                <w:lang w:val="en-GB"/>
              </w:rPr>
              <w:t>Total</w:t>
            </w:r>
          </w:p>
        </w:tc>
        <w:tc>
          <w:tcPr>
            <w:tcW w:w="1530" w:type="dxa"/>
            <w:vAlign w:val="center"/>
          </w:tcPr>
          <w:p w14:paraId="02CDB472" w14:textId="77777777" w:rsidR="001D1FD6" w:rsidRDefault="001D1FD6" w:rsidP="001D1FD6">
            <w:pPr>
              <w:spacing w:after="240"/>
              <w:ind w:firstLine="720"/>
              <w:jc w:val="right"/>
              <w:rPr>
                <w:b/>
                <w:bCs/>
                <w:sz w:val="18"/>
                <w:szCs w:val="18"/>
                <w:u w:val="double"/>
                <w:lang w:val="en-GB"/>
              </w:rPr>
            </w:pPr>
            <w:r>
              <w:rPr>
                <w:b/>
                <w:bCs/>
                <w:sz w:val="18"/>
                <w:szCs w:val="18"/>
                <w:u w:val="double"/>
                <w:lang w:val="en-GB"/>
              </w:rPr>
              <w:t xml:space="preserve">414,386 </w:t>
            </w:r>
          </w:p>
        </w:tc>
        <w:tc>
          <w:tcPr>
            <w:tcW w:w="1260" w:type="dxa"/>
            <w:vAlign w:val="center"/>
          </w:tcPr>
          <w:p w14:paraId="28902387" w14:textId="77777777" w:rsidR="001D1FD6" w:rsidRDefault="001D1FD6" w:rsidP="001D1FD6">
            <w:pPr>
              <w:spacing w:after="240"/>
              <w:ind w:firstLine="720"/>
              <w:jc w:val="right"/>
              <w:rPr>
                <w:b/>
                <w:bCs/>
                <w:sz w:val="18"/>
                <w:szCs w:val="18"/>
                <w:u w:val="double"/>
                <w:lang w:val="en-GB"/>
              </w:rPr>
            </w:pPr>
            <w:r>
              <w:rPr>
                <w:b/>
                <w:bCs/>
                <w:sz w:val="18"/>
                <w:szCs w:val="18"/>
                <w:u w:val="double"/>
                <w:lang w:val="en-GB"/>
              </w:rPr>
              <w:t>100%</w:t>
            </w:r>
          </w:p>
        </w:tc>
        <w:tc>
          <w:tcPr>
            <w:tcW w:w="1510" w:type="dxa"/>
            <w:gridSpan w:val="2"/>
            <w:vAlign w:val="center"/>
          </w:tcPr>
          <w:p w14:paraId="3CAFA8AB" w14:textId="77777777" w:rsidR="001D1FD6" w:rsidRDefault="001D1FD6" w:rsidP="001D1FD6">
            <w:pPr>
              <w:spacing w:after="240"/>
              <w:ind w:firstLine="720"/>
              <w:jc w:val="right"/>
              <w:rPr>
                <w:b/>
                <w:bCs/>
                <w:sz w:val="18"/>
                <w:szCs w:val="18"/>
                <w:u w:val="double"/>
                <w:lang w:val="en-GB"/>
              </w:rPr>
            </w:pPr>
            <w:r>
              <w:rPr>
                <w:b/>
                <w:bCs/>
                <w:sz w:val="18"/>
                <w:szCs w:val="18"/>
                <w:u w:val="double"/>
                <w:lang w:val="en-GB"/>
              </w:rPr>
              <w:t xml:space="preserve">302,312 </w:t>
            </w:r>
          </w:p>
        </w:tc>
        <w:tc>
          <w:tcPr>
            <w:tcW w:w="1559" w:type="dxa"/>
            <w:vAlign w:val="center"/>
          </w:tcPr>
          <w:p w14:paraId="39E6828F" w14:textId="77777777" w:rsidR="001D1FD6" w:rsidRDefault="001D1FD6" w:rsidP="001D1FD6">
            <w:pPr>
              <w:spacing w:after="240"/>
              <w:ind w:firstLine="720"/>
              <w:jc w:val="right"/>
              <w:rPr>
                <w:b/>
                <w:bCs/>
                <w:sz w:val="18"/>
                <w:szCs w:val="18"/>
                <w:u w:val="double"/>
                <w:lang w:val="en-GB"/>
              </w:rPr>
            </w:pPr>
            <w:r>
              <w:rPr>
                <w:b/>
                <w:bCs/>
                <w:sz w:val="18"/>
                <w:szCs w:val="18"/>
                <w:u w:val="double"/>
                <w:lang w:val="en-GB"/>
              </w:rPr>
              <w:t>100%</w:t>
            </w:r>
          </w:p>
        </w:tc>
      </w:tr>
    </w:tbl>
    <w:p w14:paraId="30808426" w14:textId="04873ACD" w:rsidR="001D1FD6" w:rsidRPr="00FF5B25" w:rsidRDefault="00FF5B25" w:rsidP="00FF5B25">
      <w:pPr>
        <w:pStyle w:val="VulcanIIbody"/>
        <w:rPr>
          <w:sz w:val="14"/>
          <w:szCs w:val="14"/>
        </w:rPr>
      </w:pPr>
      <w:r>
        <w:rPr>
          <w:sz w:val="14"/>
          <w:szCs w:val="14"/>
        </w:rPr>
        <w:t>* Including Estonia (held for sale).</w:t>
      </w:r>
    </w:p>
    <w:p w14:paraId="4C17ED45" w14:textId="77777777" w:rsidR="00FF5B25" w:rsidRDefault="00FF5B25" w:rsidP="001D1FD6">
      <w:pPr>
        <w:spacing w:after="240"/>
        <w:jc w:val="both"/>
        <w:rPr>
          <w:bCs/>
          <w:sz w:val="18"/>
          <w:szCs w:val="18"/>
        </w:rPr>
      </w:pPr>
    </w:p>
    <w:p w14:paraId="4D5A7707" w14:textId="77777777" w:rsidR="001D1FD6" w:rsidRDefault="001D1FD6" w:rsidP="001D1FD6">
      <w:pPr>
        <w:spacing w:after="240"/>
        <w:jc w:val="both"/>
        <w:rPr>
          <w:rFonts w:cs="Arabic Transparent"/>
          <w:b/>
          <w:i/>
          <w:color w:val="000000"/>
          <w:sz w:val="18"/>
          <w:szCs w:val="18"/>
          <w:lang w:val="en-GB"/>
        </w:rPr>
      </w:pPr>
      <w:r>
        <w:rPr>
          <w:rFonts w:cs="Arabic Transparent"/>
          <w:b/>
          <w:i/>
          <w:color w:val="000000"/>
          <w:sz w:val="18"/>
          <w:szCs w:val="18"/>
        </w:rPr>
        <w:t>Development portfolio and land</w:t>
      </w:r>
    </w:p>
    <w:p w14:paraId="22951D7D" w14:textId="57E20137" w:rsidR="001D1FD6" w:rsidRDefault="001D1FD6" w:rsidP="001D1FD6">
      <w:pPr>
        <w:spacing w:after="240"/>
        <w:ind w:firstLine="720"/>
        <w:jc w:val="both"/>
        <w:rPr>
          <w:bCs/>
          <w:sz w:val="18"/>
          <w:szCs w:val="18"/>
        </w:rPr>
      </w:pPr>
      <w:r>
        <w:rPr>
          <w:bCs/>
          <w:sz w:val="18"/>
          <w:szCs w:val="18"/>
        </w:rPr>
        <w:t xml:space="preserve">The Group's results of operations depend on a process of developing and completing assets and purchasing a sufficiently large land bank to support the Group's future development activities (i.e. the development of future assets). These projects, when complete, contribute to the Group’s results of operations by increasing the lettable area of the Group’s portfolio and, in turn, increasing the Group’s net rental income generated from the properties. The future costs of developing these projects represent, when committed, a liability for </w:t>
      </w:r>
      <w:r>
        <w:rPr>
          <w:bCs/>
          <w:sz w:val="18"/>
          <w:szCs w:val="18"/>
        </w:rPr>
        <w:lastRenderedPageBreak/>
        <w:t>the Group, which the Group expects to fund through its own resources, i.e. initially through the proceeds of the long-term bonds which the Company has issued over the past few years. Once assets are completed in Germany, the Czech Republic, Slovakia and Hungary these assets are sold to the Joint Venture thereby freeing up the invested own equity which can then be (partially) redeployed to finance the development of new projects or acquisition of new land plots. Because the development of new projects do not generate income until they become operational, the development activities tend to reduce the Group’s cash flows until such projects are completed. Therefore, the Group carefully manages its development activities and seeks to ensure that once a new project is started up it has sufficient funds available or has access to adequate financing to finance the full cycle of the development of such project. The Group has certain investment criteria which it considers in determining whether the Group should go ahead with the development of particular projects. The Group selects projects to be developed on the basis of cost and expected net initial development yield. See “</w:t>
      </w:r>
      <w:r>
        <w:rPr>
          <w:bCs/>
          <w:i/>
          <w:sz w:val="18"/>
          <w:szCs w:val="18"/>
        </w:rPr>
        <w:t>Business—Development Pipeline</w:t>
      </w:r>
      <w:r>
        <w:rPr>
          <w:bCs/>
          <w:sz w:val="18"/>
          <w:szCs w:val="18"/>
        </w:rPr>
        <w:t>”.</w:t>
      </w:r>
    </w:p>
    <w:p w14:paraId="4D9904FF" w14:textId="361FD77B" w:rsidR="001D1FD6" w:rsidRDefault="001D1FD6" w:rsidP="001D1FD6">
      <w:pPr>
        <w:spacing w:after="240"/>
        <w:ind w:firstLine="720"/>
        <w:jc w:val="both"/>
        <w:rPr>
          <w:bCs/>
          <w:sz w:val="18"/>
          <w:szCs w:val="18"/>
        </w:rPr>
      </w:pPr>
      <w:r>
        <w:rPr>
          <w:bCs/>
          <w:sz w:val="18"/>
          <w:szCs w:val="18"/>
        </w:rPr>
        <w:t>As of 30 June 2017, the Group had committed to capital expenditures of €</w:t>
      </w:r>
      <w:r w:rsidR="00C92AC8">
        <w:rPr>
          <w:bCs/>
          <w:sz w:val="18"/>
          <w:szCs w:val="18"/>
        </w:rPr>
        <w:t xml:space="preserve"> </w:t>
      </w:r>
      <w:r>
        <w:rPr>
          <w:bCs/>
          <w:sz w:val="18"/>
          <w:szCs w:val="18"/>
        </w:rPr>
        <w:t>114.1 million</w:t>
      </w:r>
      <w:r w:rsidR="00FF5B25">
        <w:rPr>
          <w:bCs/>
          <w:sz w:val="18"/>
          <w:szCs w:val="18"/>
        </w:rPr>
        <w:t xml:space="preserve"> </w:t>
      </w:r>
      <w:r w:rsidR="00A01869" w:rsidRPr="00A01869">
        <w:rPr>
          <w:bCs/>
          <w:sz w:val="18"/>
          <w:szCs w:val="18"/>
        </w:rPr>
        <w:t>(</w:t>
      </w:r>
      <w:r w:rsidR="00FF5B25" w:rsidRPr="00A01869">
        <w:rPr>
          <w:bCs/>
          <w:sz w:val="18"/>
          <w:szCs w:val="18"/>
        </w:rPr>
        <w:t>including Estonia</w:t>
      </w:r>
      <w:r w:rsidR="00FF5B25">
        <w:rPr>
          <w:bCs/>
          <w:sz w:val="18"/>
          <w:szCs w:val="18"/>
        </w:rPr>
        <w:t>)</w:t>
      </w:r>
      <w:r>
        <w:rPr>
          <w:bCs/>
          <w:sz w:val="18"/>
          <w:szCs w:val="18"/>
        </w:rPr>
        <w:t xml:space="preserve"> related to remaining construction costs of projects currently under construction. These commitments are expected to be funded from cash from operations and available liquidity of the Group. </w:t>
      </w:r>
    </w:p>
    <w:p w14:paraId="02619A82" w14:textId="77777777" w:rsidR="001D1FD6" w:rsidRDefault="001D1FD6" w:rsidP="001D1FD6">
      <w:pPr>
        <w:spacing w:after="240"/>
        <w:ind w:firstLine="720"/>
        <w:jc w:val="both"/>
        <w:rPr>
          <w:bCs/>
          <w:sz w:val="18"/>
          <w:szCs w:val="18"/>
        </w:rPr>
      </w:pPr>
      <w:r>
        <w:rPr>
          <w:bCs/>
          <w:sz w:val="18"/>
          <w:szCs w:val="18"/>
        </w:rPr>
        <w:t xml:space="preserve">All costs associated directly with the purchasing and construction of a property and all subsequent capital expenditure qualifying as acquisition costs are capitalized. Interest and other financial expenses directly attributable to the acquisition, construction or development of projects, that are incurred until the asset is put in use, are </w:t>
      </w:r>
      <w:proofErr w:type="spellStart"/>
      <w:r>
        <w:rPr>
          <w:bCs/>
          <w:sz w:val="18"/>
          <w:szCs w:val="18"/>
        </w:rPr>
        <w:t>capitalised</w:t>
      </w:r>
      <w:proofErr w:type="spellEnd"/>
      <w:r>
        <w:rPr>
          <w:bCs/>
          <w:sz w:val="18"/>
          <w:szCs w:val="18"/>
        </w:rPr>
        <w:t>.</w:t>
      </w:r>
    </w:p>
    <w:p w14:paraId="757127F8" w14:textId="7E4E1FA7" w:rsidR="001D1FD6" w:rsidRDefault="001D1FD6" w:rsidP="001D1FD6">
      <w:pPr>
        <w:spacing w:after="240"/>
        <w:ind w:firstLine="720"/>
        <w:jc w:val="both"/>
        <w:rPr>
          <w:bCs/>
          <w:sz w:val="18"/>
          <w:szCs w:val="18"/>
        </w:rPr>
      </w:pPr>
      <w:r>
        <w:rPr>
          <w:bCs/>
          <w:sz w:val="18"/>
          <w:szCs w:val="18"/>
        </w:rPr>
        <w:t xml:space="preserve">To the extent the Group acquires development land or develops new projects, the Group’s expenses would increase without a parallel growth in rental income until the project reaches an operational phase which may take a certain period. </w:t>
      </w:r>
      <w:r w:rsidR="00D52B9E">
        <w:rPr>
          <w:bCs/>
          <w:sz w:val="18"/>
          <w:szCs w:val="18"/>
        </w:rPr>
        <w:t xml:space="preserve">Subject to market conditions, </w:t>
      </w:r>
      <w:r>
        <w:rPr>
          <w:bCs/>
          <w:sz w:val="18"/>
          <w:szCs w:val="18"/>
        </w:rPr>
        <w:t xml:space="preserve">purchased development land will </w:t>
      </w:r>
      <w:r w:rsidR="00D52B9E">
        <w:rPr>
          <w:bCs/>
          <w:sz w:val="18"/>
          <w:szCs w:val="18"/>
        </w:rPr>
        <w:t xml:space="preserve">usually </w:t>
      </w:r>
      <w:r>
        <w:rPr>
          <w:bCs/>
          <w:sz w:val="18"/>
          <w:szCs w:val="18"/>
        </w:rPr>
        <w:t xml:space="preserve">start to be developed within 12 months after its acquisition by the Group. </w:t>
      </w:r>
      <w:r w:rsidR="00D52B9E">
        <w:rPr>
          <w:bCs/>
          <w:sz w:val="18"/>
          <w:szCs w:val="18"/>
        </w:rPr>
        <w:t>Depending on the surface area that is being developed, a</w:t>
      </w:r>
      <w:r>
        <w:rPr>
          <w:bCs/>
          <w:sz w:val="18"/>
          <w:szCs w:val="18"/>
        </w:rPr>
        <w:t xml:space="preserve"> new project generally takes between 6 to 12 months to complete and to start generating rental income.</w:t>
      </w:r>
    </w:p>
    <w:p w14:paraId="11173E86" w14:textId="77777777" w:rsidR="001D1FD6" w:rsidRDefault="001D1FD6" w:rsidP="001D1FD6">
      <w:pPr>
        <w:spacing w:after="240"/>
        <w:jc w:val="both"/>
        <w:rPr>
          <w:rFonts w:cs="Arabic Transparent"/>
          <w:b/>
          <w:color w:val="000000"/>
          <w:sz w:val="18"/>
          <w:szCs w:val="18"/>
        </w:rPr>
      </w:pPr>
      <w:bookmarkStart w:id="47" w:name="_Hlk491195530"/>
      <w:r>
        <w:rPr>
          <w:rFonts w:cs="Arabic Transparent"/>
          <w:b/>
          <w:color w:val="000000"/>
          <w:sz w:val="18"/>
          <w:szCs w:val="18"/>
        </w:rPr>
        <w:t>Recent Developments and Trends</w:t>
      </w:r>
    </w:p>
    <w:bookmarkEnd w:id="47"/>
    <w:p w14:paraId="6D5751DF" w14:textId="44AA1130" w:rsidR="00A86EF9" w:rsidRPr="00A86EF9" w:rsidRDefault="00A86EF9" w:rsidP="00A86EF9">
      <w:pPr>
        <w:spacing w:after="240"/>
        <w:ind w:firstLine="720"/>
        <w:jc w:val="both"/>
        <w:rPr>
          <w:bCs/>
          <w:sz w:val="18"/>
          <w:szCs w:val="18"/>
        </w:rPr>
      </w:pPr>
      <w:r w:rsidRPr="00A86EF9">
        <w:rPr>
          <w:bCs/>
          <w:sz w:val="18"/>
          <w:szCs w:val="18"/>
        </w:rPr>
        <w:t>The Group has continued to experience contraction in yields which continued throughout the summer months of 2017. Key developments in the Group's business are set out below.</w:t>
      </w:r>
    </w:p>
    <w:p w14:paraId="49ECCA6D" w14:textId="1C7C6680" w:rsidR="00A86EF9" w:rsidRPr="00A86EF9" w:rsidRDefault="00A86EF9" w:rsidP="00A86EF9">
      <w:pPr>
        <w:numPr>
          <w:ilvl w:val="0"/>
          <w:numId w:val="91"/>
        </w:numPr>
        <w:spacing w:after="240"/>
        <w:jc w:val="both"/>
        <w:rPr>
          <w:bCs/>
          <w:sz w:val="18"/>
          <w:szCs w:val="18"/>
          <w:lang w:val="en-GB"/>
        </w:rPr>
      </w:pPr>
      <w:r w:rsidRPr="00A86EF9">
        <w:rPr>
          <w:bCs/>
          <w:sz w:val="18"/>
          <w:szCs w:val="18"/>
          <w:lang w:val="en-GB"/>
        </w:rPr>
        <w:t xml:space="preserve">€ 3.3 million of additional new leases signed bringing the </w:t>
      </w:r>
      <w:r w:rsidR="00E265C4" w:rsidRPr="00E265C4">
        <w:rPr>
          <w:bCs/>
          <w:sz w:val="18"/>
          <w:szCs w:val="18"/>
          <w:lang w:val="en-GB"/>
        </w:rPr>
        <w:t xml:space="preserve">Annualised Committed Leases </w:t>
      </w:r>
      <w:r w:rsidR="00A8264B">
        <w:rPr>
          <w:bCs/>
          <w:sz w:val="18"/>
          <w:szCs w:val="18"/>
          <w:lang w:val="en-GB"/>
        </w:rPr>
        <w:t>as per the end of September 2017</w:t>
      </w:r>
      <w:r w:rsidR="00F53F52">
        <w:rPr>
          <w:bCs/>
          <w:sz w:val="18"/>
          <w:szCs w:val="18"/>
          <w:lang w:val="en-GB"/>
        </w:rPr>
        <w:t xml:space="preserve"> to € 77.2 million (an increase of </w:t>
      </w:r>
      <w:r w:rsidRPr="00A86EF9">
        <w:rPr>
          <w:bCs/>
          <w:sz w:val="18"/>
          <w:szCs w:val="18"/>
          <w:lang w:val="en-GB"/>
        </w:rPr>
        <w:t xml:space="preserve"> € 17.1 million compared to 31 December 2016) with several new leases in advanced / final phase(s) of negotiations</w:t>
      </w:r>
      <w:r>
        <w:rPr>
          <w:bCs/>
          <w:sz w:val="18"/>
          <w:szCs w:val="18"/>
          <w:lang w:val="en-GB"/>
        </w:rPr>
        <w:t>.</w:t>
      </w:r>
    </w:p>
    <w:p w14:paraId="1C1E9F87" w14:textId="3B1DBAAC" w:rsidR="00A86EF9" w:rsidRPr="00A86EF9" w:rsidRDefault="00A86EF9" w:rsidP="00A86EF9">
      <w:pPr>
        <w:numPr>
          <w:ilvl w:val="0"/>
          <w:numId w:val="91"/>
        </w:numPr>
        <w:spacing w:after="240"/>
        <w:jc w:val="both"/>
        <w:rPr>
          <w:bCs/>
          <w:sz w:val="18"/>
          <w:szCs w:val="18"/>
          <w:lang w:val="en-GB"/>
        </w:rPr>
      </w:pPr>
      <w:r w:rsidRPr="00A86EF9">
        <w:rPr>
          <w:bCs/>
          <w:sz w:val="18"/>
          <w:szCs w:val="18"/>
          <w:lang w:val="en-GB"/>
        </w:rPr>
        <w:t xml:space="preserve">328,246 </w:t>
      </w:r>
      <w:r>
        <w:rPr>
          <w:bCs/>
          <w:sz w:val="18"/>
          <w:szCs w:val="18"/>
          <w:lang w:val="en-GB"/>
        </w:rPr>
        <w:t>m²</w:t>
      </w:r>
      <w:r w:rsidRPr="00A86EF9">
        <w:rPr>
          <w:bCs/>
          <w:sz w:val="18"/>
          <w:szCs w:val="18"/>
          <w:lang w:val="en-GB"/>
        </w:rPr>
        <w:t xml:space="preserve"> of new land plots acquired adding 159,208 </w:t>
      </w:r>
      <w:r>
        <w:rPr>
          <w:bCs/>
          <w:sz w:val="18"/>
          <w:szCs w:val="18"/>
          <w:lang w:val="en-GB"/>
        </w:rPr>
        <w:t>m²</w:t>
      </w:r>
      <w:r w:rsidRPr="00A86EF9">
        <w:rPr>
          <w:bCs/>
          <w:sz w:val="18"/>
          <w:szCs w:val="18"/>
          <w:lang w:val="en-GB"/>
        </w:rPr>
        <w:t xml:space="preserve"> of additional development lettable area potential</w:t>
      </w:r>
      <w:r>
        <w:rPr>
          <w:bCs/>
          <w:sz w:val="18"/>
          <w:szCs w:val="18"/>
          <w:lang w:val="en-GB"/>
        </w:rPr>
        <w:t>.</w:t>
      </w:r>
    </w:p>
    <w:p w14:paraId="5DDAAF0B" w14:textId="22F7C840" w:rsidR="00A86EF9" w:rsidRPr="00A86EF9" w:rsidRDefault="00A86EF9" w:rsidP="00A86EF9">
      <w:pPr>
        <w:numPr>
          <w:ilvl w:val="0"/>
          <w:numId w:val="91"/>
        </w:numPr>
        <w:spacing w:after="240"/>
        <w:jc w:val="both"/>
        <w:rPr>
          <w:bCs/>
          <w:sz w:val="18"/>
          <w:szCs w:val="18"/>
          <w:lang w:val="en-GB"/>
        </w:rPr>
      </w:pPr>
      <w:r w:rsidRPr="00A86EF9">
        <w:rPr>
          <w:bCs/>
          <w:sz w:val="18"/>
          <w:szCs w:val="18"/>
          <w:lang w:val="en-GB"/>
        </w:rPr>
        <w:t xml:space="preserve">660,000 </w:t>
      </w:r>
      <w:r>
        <w:rPr>
          <w:bCs/>
          <w:sz w:val="18"/>
          <w:szCs w:val="18"/>
          <w:lang w:val="en-GB"/>
        </w:rPr>
        <w:t>m²</w:t>
      </w:r>
      <w:r w:rsidR="00A8264B">
        <w:rPr>
          <w:bCs/>
          <w:sz w:val="18"/>
          <w:szCs w:val="18"/>
          <w:lang w:val="en-GB"/>
        </w:rPr>
        <w:t xml:space="preserve"> of new land plots occupied</w:t>
      </w:r>
      <w:r w:rsidRPr="00A86EF9">
        <w:rPr>
          <w:bCs/>
          <w:sz w:val="18"/>
          <w:szCs w:val="18"/>
          <w:lang w:val="en-GB"/>
        </w:rPr>
        <w:t xml:space="preserve"> which brings the total land bank under option to 1,300,000 </w:t>
      </w:r>
      <w:r>
        <w:rPr>
          <w:bCs/>
          <w:sz w:val="18"/>
          <w:szCs w:val="18"/>
          <w:lang w:val="en-GB"/>
        </w:rPr>
        <w:t>m²</w:t>
      </w:r>
      <w:r w:rsidRPr="00A86EF9">
        <w:rPr>
          <w:bCs/>
          <w:sz w:val="18"/>
          <w:szCs w:val="18"/>
          <w:lang w:val="en-GB"/>
        </w:rPr>
        <w:t xml:space="preserve"> having a development potential of circa 600,000 </w:t>
      </w:r>
      <w:r>
        <w:rPr>
          <w:bCs/>
          <w:sz w:val="18"/>
          <w:szCs w:val="18"/>
          <w:lang w:val="en-GB"/>
        </w:rPr>
        <w:t>m²</w:t>
      </w:r>
      <w:r w:rsidR="00E265C4">
        <w:rPr>
          <w:bCs/>
          <w:sz w:val="18"/>
          <w:szCs w:val="18"/>
          <w:lang w:val="en-GB"/>
        </w:rPr>
        <w:t xml:space="preserve"> </w:t>
      </w:r>
      <w:r w:rsidRPr="00A86EF9">
        <w:rPr>
          <w:bCs/>
          <w:sz w:val="18"/>
          <w:szCs w:val="18"/>
          <w:lang w:val="en-GB"/>
        </w:rPr>
        <w:t>of future lettable area</w:t>
      </w:r>
      <w:r>
        <w:rPr>
          <w:bCs/>
          <w:sz w:val="18"/>
          <w:szCs w:val="18"/>
          <w:lang w:val="en-GB"/>
        </w:rPr>
        <w:t>;</w:t>
      </w:r>
    </w:p>
    <w:p w14:paraId="297A3142" w14:textId="172F0C06" w:rsidR="00A86EF9" w:rsidRPr="00A86EF9" w:rsidRDefault="00A86EF9" w:rsidP="00A86EF9">
      <w:pPr>
        <w:numPr>
          <w:ilvl w:val="0"/>
          <w:numId w:val="91"/>
        </w:numPr>
        <w:spacing w:after="240"/>
        <w:jc w:val="both"/>
        <w:rPr>
          <w:bCs/>
          <w:sz w:val="18"/>
          <w:szCs w:val="18"/>
          <w:lang w:val="en-GB"/>
        </w:rPr>
      </w:pPr>
      <w:r w:rsidRPr="00A86EF9">
        <w:rPr>
          <w:bCs/>
          <w:sz w:val="18"/>
          <w:szCs w:val="18"/>
          <w:lang w:val="en-GB"/>
        </w:rPr>
        <w:t xml:space="preserve">Completion of the sale of VGP Park </w:t>
      </w:r>
      <w:proofErr w:type="spellStart"/>
      <w:r w:rsidRPr="00A86EF9">
        <w:rPr>
          <w:bCs/>
          <w:sz w:val="18"/>
          <w:szCs w:val="18"/>
          <w:lang w:val="en-GB"/>
        </w:rPr>
        <w:t>Nehatu</w:t>
      </w:r>
      <w:proofErr w:type="spellEnd"/>
      <w:r w:rsidRPr="00A86EF9">
        <w:rPr>
          <w:bCs/>
          <w:sz w:val="18"/>
          <w:szCs w:val="18"/>
          <w:lang w:val="en-GB"/>
        </w:rPr>
        <w:t xml:space="preserve"> (Estonia) which represented 77,000 </w:t>
      </w:r>
      <w:r>
        <w:rPr>
          <w:bCs/>
          <w:sz w:val="18"/>
          <w:szCs w:val="18"/>
          <w:lang w:val="en-GB"/>
        </w:rPr>
        <w:t>m²</w:t>
      </w:r>
      <w:r w:rsidRPr="00A86EF9">
        <w:rPr>
          <w:bCs/>
          <w:sz w:val="18"/>
          <w:szCs w:val="18"/>
          <w:lang w:val="en-GB"/>
        </w:rPr>
        <w:t xml:space="preserve"> of lettable area (5 b</w:t>
      </w:r>
      <w:r>
        <w:rPr>
          <w:bCs/>
          <w:sz w:val="18"/>
          <w:szCs w:val="18"/>
          <w:lang w:val="en-GB"/>
        </w:rPr>
        <w:t>uildings) and € 4.2 million of Annualised Committed L</w:t>
      </w:r>
      <w:r w:rsidRPr="00A86EF9">
        <w:rPr>
          <w:bCs/>
          <w:sz w:val="18"/>
          <w:szCs w:val="18"/>
          <w:lang w:val="en-GB"/>
        </w:rPr>
        <w:t xml:space="preserve">eases). Net proceeds of the sale of circa € 34.5 million </w:t>
      </w:r>
      <w:r>
        <w:rPr>
          <w:bCs/>
          <w:sz w:val="18"/>
          <w:szCs w:val="18"/>
          <w:lang w:val="en-GB"/>
        </w:rPr>
        <w:t xml:space="preserve">are </w:t>
      </w:r>
      <w:r w:rsidRPr="00A86EF9">
        <w:rPr>
          <w:bCs/>
          <w:sz w:val="18"/>
          <w:szCs w:val="18"/>
          <w:lang w:val="en-GB"/>
        </w:rPr>
        <w:t>to be re-applied towards the further expansion of the development activities in the core markets</w:t>
      </w:r>
      <w:r>
        <w:rPr>
          <w:bCs/>
          <w:sz w:val="18"/>
          <w:szCs w:val="18"/>
          <w:lang w:val="en-GB"/>
        </w:rPr>
        <w:t>.</w:t>
      </w:r>
    </w:p>
    <w:p w14:paraId="4FC078E8" w14:textId="72132B71" w:rsidR="00A86EF9" w:rsidRPr="00A86EF9" w:rsidRDefault="00A86EF9" w:rsidP="00A86EF9">
      <w:pPr>
        <w:numPr>
          <w:ilvl w:val="0"/>
          <w:numId w:val="91"/>
        </w:numPr>
        <w:spacing w:after="240"/>
        <w:jc w:val="both"/>
        <w:rPr>
          <w:bCs/>
          <w:sz w:val="18"/>
          <w:szCs w:val="18"/>
          <w:lang w:val="en-GB"/>
        </w:rPr>
      </w:pPr>
      <w:r w:rsidRPr="00A86EF9">
        <w:rPr>
          <w:bCs/>
          <w:sz w:val="18"/>
          <w:szCs w:val="18"/>
          <w:lang w:val="en-GB"/>
        </w:rPr>
        <w:t xml:space="preserve">Development of 6 new projects started up totalling 46,536 </w:t>
      </w:r>
      <w:r>
        <w:rPr>
          <w:bCs/>
          <w:sz w:val="18"/>
          <w:szCs w:val="18"/>
          <w:lang w:val="en-GB"/>
        </w:rPr>
        <w:t>m²</w:t>
      </w:r>
      <w:r w:rsidRPr="00A86EF9">
        <w:rPr>
          <w:bCs/>
          <w:sz w:val="18"/>
          <w:szCs w:val="18"/>
          <w:lang w:val="en-GB"/>
        </w:rPr>
        <w:t xml:space="preserve"> of future lettable area increasing the current buildings under construction to 563,198 </w:t>
      </w:r>
      <w:r>
        <w:rPr>
          <w:bCs/>
          <w:sz w:val="18"/>
          <w:szCs w:val="18"/>
          <w:lang w:val="en-GB"/>
        </w:rPr>
        <w:t>m²</w:t>
      </w:r>
      <w:r w:rsidRPr="00A86EF9">
        <w:rPr>
          <w:bCs/>
          <w:sz w:val="18"/>
          <w:szCs w:val="18"/>
          <w:lang w:val="en-GB"/>
        </w:rPr>
        <w:t xml:space="preserve"> of future lettable area. These buildings under construction on which 76% pre-leases have already been signe</w:t>
      </w:r>
      <w:r w:rsidR="00E265C4">
        <w:rPr>
          <w:bCs/>
          <w:sz w:val="18"/>
          <w:szCs w:val="18"/>
          <w:lang w:val="en-GB"/>
        </w:rPr>
        <w:t>d, represent a total estimated A</w:t>
      </w:r>
      <w:r w:rsidRPr="00A86EF9">
        <w:rPr>
          <w:bCs/>
          <w:sz w:val="18"/>
          <w:szCs w:val="18"/>
          <w:lang w:val="en-GB"/>
        </w:rPr>
        <w:t xml:space="preserve">nnualised </w:t>
      </w:r>
      <w:r w:rsidR="00E265C4">
        <w:rPr>
          <w:bCs/>
          <w:sz w:val="18"/>
          <w:szCs w:val="18"/>
          <w:lang w:val="en-GB"/>
        </w:rPr>
        <w:t>Rent I</w:t>
      </w:r>
      <w:r w:rsidRPr="00A86EF9">
        <w:rPr>
          <w:bCs/>
          <w:sz w:val="18"/>
          <w:szCs w:val="18"/>
          <w:lang w:val="en-GB"/>
        </w:rPr>
        <w:t>ncome of € 26.9 million (assuming full occupancy and current market rental conditions)</w:t>
      </w:r>
      <w:r>
        <w:rPr>
          <w:bCs/>
          <w:sz w:val="18"/>
          <w:szCs w:val="18"/>
          <w:lang w:val="en-GB"/>
        </w:rPr>
        <w:t>.</w:t>
      </w:r>
    </w:p>
    <w:p w14:paraId="25EB4482" w14:textId="5BC8BBCC" w:rsidR="00A86EF9" w:rsidRPr="00A86EF9" w:rsidRDefault="00A86EF9" w:rsidP="00A86EF9">
      <w:pPr>
        <w:numPr>
          <w:ilvl w:val="0"/>
          <w:numId w:val="91"/>
        </w:numPr>
        <w:spacing w:after="240"/>
        <w:jc w:val="both"/>
        <w:rPr>
          <w:bCs/>
          <w:sz w:val="18"/>
          <w:szCs w:val="18"/>
          <w:lang w:val="en-GB"/>
        </w:rPr>
      </w:pPr>
      <w:r w:rsidRPr="00A86EF9">
        <w:rPr>
          <w:bCs/>
          <w:sz w:val="18"/>
          <w:szCs w:val="18"/>
          <w:lang w:val="en-GB"/>
        </w:rPr>
        <w:t xml:space="preserve">The completed buildings (of both the own and </w:t>
      </w:r>
      <w:r>
        <w:rPr>
          <w:bCs/>
          <w:sz w:val="18"/>
          <w:szCs w:val="18"/>
          <w:lang w:val="en-GB"/>
        </w:rPr>
        <w:t>Joint Venture</w:t>
      </w:r>
      <w:r w:rsidRPr="00A86EF9">
        <w:rPr>
          <w:bCs/>
          <w:sz w:val="18"/>
          <w:szCs w:val="18"/>
          <w:lang w:val="en-GB"/>
        </w:rPr>
        <w:t xml:space="preserve"> portfolios) remain 100% let</w:t>
      </w:r>
      <w:r>
        <w:rPr>
          <w:bCs/>
          <w:sz w:val="18"/>
          <w:szCs w:val="18"/>
          <w:lang w:val="en-GB"/>
        </w:rPr>
        <w:t>.</w:t>
      </w:r>
    </w:p>
    <w:p w14:paraId="4DAFFC1A" w14:textId="4D56F93D" w:rsidR="00A86EF9" w:rsidRPr="00A86EF9" w:rsidRDefault="00A86EF9" w:rsidP="00A86EF9">
      <w:pPr>
        <w:numPr>
          <w:ilvl w:val="0"/>
          <w:numId w:val="91"/>
        </w:numPr>
        <w:spacing w:after="240"/>
        <w:jc w:val="both"/>
        <w:rPr>
          <w:bCs/>
          <w:sz w:val="18"/>
          <w:szCs w:val="18"/>
          <w:lang w:val="en-GB"/>
        </w:rPr>
      </w:pPr>
      <w:r w:rsidRPr="00A86EF9">
        <w:rPr>
          <w:bCs/>
          <w:sz w:val="18"/>
          <w:szCs w:val="18"/>
          <w:lang w:val="en-GB"/>
        </w:rPr>
        <w:t xml:space="preserve">The Group is in ongoing negotiations for the acquisition of </w:t>
      </w:r>
      <w:r>
        <w:rPr>
          <w:bCs/>
          <w:sz w:val="18"/>
          <w:szCs w:val="18"/>
          <w:lang w:val="en-GB"/>
        </w:rPr>
        <w:t>4</w:t>
      </w:r>
      <w:r w:rsidRPr="00A86EF9">
        <w:rPr>
          <w:bCs/>
          <w:sz w:val="18"/>
          <w:szCs w:val="18"/>
          <w:lang w:val="en-GB"/>
        </w:rPr>
        <w:t xml:space="preserve"> separate locations in a new European market. The exact location of the new market will be announced as soon as the negotiations are finalized and all permits have been obtained, after which it is expected that shortly thereafter the first developm</w:t>
      </w:r>
      <w:r>
        <w:rPr>
          <w:bCs/>
          <w:sz w:val="18"/>
          <w:szCs w:val="18"/>
          <w:lang w:val="en-GB"/>
        </w:rPr>
        <w:t>ent will be started up.</w:t>
      </w:r>
      <w:r w:rsidR="00AF0D76">
        <w:rPr>
          <w:bCs/>
          <w:sz w:val="18"/>
          <w:szCs w:val="18"/>
          <w:lang w:val="en-GB"/>
        </w:rPr>
        <w:t xml:space="preserve"> Given this and the Group’s historical construction rate, the Group believes a construction rate of </w:t>
      </w:r>
      <w:r w:rsidR="004C1AEF">
        <w:rPr>
          <w:bCs/>
          <w:sz w:val="18"/>
          <w:szCs w:val="18"/>
          <w:lang w:val="en-GB"/>
        </w:rPr>
        <w:t xml:space="preserve">circa </w:t>
      </w:r>
      <w:r w:rsidR="00AF0D76">
        <w:rPr>
          <w:bCs/>
          <w:sz w:val="18"/>
          <w:szCs w:val="18"/>
          <w:lang w:val="en-GB"/>
        </w:rPr>
        <w:t>400,000 m² per year in the i</w:t>
      </w:r>
      <w:r w:rsidR="004C1AEF">
        <w:rPr>
          <w:bCs/>
          <w:sz w:val="18"/>
          <w:szCs w:val="18"/>
          <w:lang w:val="en-GB"/>
        </w:rPr>
        <w:t>mmediately foreseeable future should be</w:t>
      </w:r>
      <w:r w:rsidR="00AF0D76">
        <w:rPr>
          <w:bCs/>
          <w:sz w:val="18"/>
          <w:szCs w:val="18"/>
          <w:lang w:val="en-GB"/>
        </w:rPr>
        <w:t xml:space="preserve"> realistic.</w:t>
      </w:r>
    </w:p>
    <w:p w14:paraId="73675938" w14:textId="77777777" w:rsidR="00A86EF9" w:rsidRPr="00A86EF9" w:rsidRDefault="00A86EF9" w:rsidP="00A86EF9">
      <w:pPr>
        <w:numPr>
          <w:ilvl w:val="0"/>
          <w:numId w:val="91"/>
        </w:numPr>
        <w:spacing w:after="240"/>
        <w:jc w:val="both"/>
        <w:rPr>
          <w:bCs/>
          <w:sz w:val="18"/>
          <w:szCs w:val="18"/>
        </w:rPr>
      </w:pPr>
      <w:r w:rsidRPr="00A86EF9">
        <w:rPr>
          <w:bCs/>
          <w:sz w:val="18"/>
          <w:szCs w:val="18"/>
        </w:rPr>
        <w:t>On 6 July 2017, the Group issued the 2024 Bond.</w:t>
      </w:r>
    </w:p>
    <w:p w14:paraId="6C237DDA" w14:textId="06254816" w:rsidR="00A86EF9" w:rsidRPr="00A86EF9" w:rsidRDefault="00A86EF9" w:rsidP="00A86EF9">
      <w:pPr>
        <w:numPr>
          <w:ilvl w:val="0"/>
          <w:numId w:val="91"/>
        </w:numPr>
        <w:spacing w:after="240"/>
        <w:jc w:val="both"/>
        <w:rPr>
          <w:bCs/>
          <w:sz w:val="18"/>
          <w:szCs w:val="18"/>
        </w:rPr>
      </w:pPr>
      <w:r w:rsidRPr="00A86EF9">
        <w:rPr>
          <w:bCs/>
          <w:sz w:val="18"/>
          <w:szCs w:val="18"/>
        </w:rPr>
        <w:t xml:space="preserve">The bank loan with </w:t>
      </w:r>
      <w:proofErr w:type="spellStart"/>
      <w:r w:rsidRPr="00A86EF9">
        <w:rPr>
          <w:bCs/>
          <w:sz w:val="18"/>
          <w:szCs w:val="18"/>
        </w:rPr>
        <w:t>Swedbank</w:t>
      </w:r>
      <w:proofErr w:type="spellEnd"/>
      <w:r w:rsidRPr="00A86EF9">
        <w:rPr>
          <w:bCs/>
          <w:sz w:val="18"/>
          <w:szCs w:val="18"/>
        </w:rPr>
        <w:t xml:space="preserve"> amounting t</w:t>
      </w:r>
      <w:r>
        <w:rPr>
          <w:bCs/>
          <w:sz w:val="18"/>
          <w:szCs w:val="18"/>
        </w:rPr>
        <w:t>o € 18.6 million was repaid on 14</w:t>
      </w:r>
      <w:r w:rsidRPr="00A86EF9">
        <w:rPr>
          <w:bCs/>
          <w:sz w:val="18"/>
          <w:szCs w:val="18"/>
        </w:rPr>
        <w:t xml:space="preserve"> September 2017 (See “</w:t>
      </w:r>
      <w:r w:rsidRPr="00A86EF9">
        <w:rPr>
          <w:bCs/>
          <w:i/>
          <w:sz w:val="18"/>
          <w:szCs w:val="18"/>
        </w:rPr>
        <w:t>Operating and Financial Review - Liquidity and Capital resources—Indebtedness</w:t>
      </w:r>
      <w:r>
        <w:rPr>
          <w:bCs/>
          <w:sz w:val="18"/>
          <w:szCs w:val="18"/>
        </w:rPr>
        <w:t>”</w:t>
      </w:r>
      <w:r w:rsidRPr="00A86EF9">
        <w:rPr>
          <w:bCs/>
          <w:sz w:val="18"/>
          <w:szCs w:val="18"/>
        </w:rPr>
        <w:t>).</w:t>
      </w:r>
    </w:p>
    <w:p w14:paraId="1D6F9F15" w14:textId="6A9739AD" w:rsidR="00A86EF9" w:rsidRPr="00A86EF9" w:rsidRDefault="00A86EF9" w:rsidP="00A86EF9">
      <w:pPr>
        <w:numPr>
          <w:ilvl w:val="0"/>
          <w:numId w:val="91"/>
        </w:numPr>
        <w:spacing w:after="240"/>
        <w:jc w:val="both"/>
        <w:rPr>
          <w:bCs/>
          <w:sz w:val="18"/>
          <w:szCs w:val="18"/>
        </w:rPr>
      </w:pPr>
      <w:r w:rsidRPr="00A86EF9">
        <w:rPr>
          <w:bCs/>
          <w:sz w:val="18"/>
          <w:szCs w:val="18"/>
        </w:rPr>
        <w:t xml:space="preserve">At the end of September 2017, VGP had 1.1 million </w:t>
      </w:r>
      <w:r>
        <w:rPr>
          <w:bCs/>
          <w:sz w:val="18"/>
          <w:szCs w:val="18"/>
        </w:rPr>
        <w:t xml:space="preserve">m² </w:t>
      </w:r>
      <w:r w:rsidRPr="00A86EF9">
        <w:rPr>
          <w:bCs/>
          <w:sz w:val="18"/>
          <w:szCs w:val="18"/>
        </w:rPr>
        <w:t xml:space="preserve">completed GLA, 0.6 million </w:t>
      </w:r>
      <w:r>
        <w:rPr>
          <w:bCs/>
          <w:sz w:val="18"/>
          <w:szCs w:val="18"/>
        </w:rPr>
        <w:t xml:space="preserve">m² </w:t>
      </w:r>
      <w:r w:rsidRPr="00A86EF9">
        <w:rPr>
          <w:bCs/>
          <w:sz w:val="18"/>
          <w:szCs w:val="18"/>
        </w:rPr>
        <w:t xml:space="preserve">GLA under construction, and 1.6 million </w:t>
      </w:r>
      <w:r>
        <w:rPr>
          <w:bCs/>
          <w:sz w:val="18"/>
          <w:szCs w:val="18"/>
        </w:rPr>
        <w:t>m²</w:t>
      </w:r>
      <w:r w:rsidRPr="00A86EF9">
        <w:rPr>
          <w:bCs/>
          <w:sz w:val="18"/>
          <w:szCs w:val="18"/>
        </w:rPr>
        <w:t xml:space="preserve"> GLA remaining potential for development.</w:t>
      </w:r>
    </w:p>
    <w:p w14:paraId="5E369FED" w14:textId="77777777" w:rsidR="00A86EF9" w:rsidRPr="00A86EF9" w:rsidRDefault="00A86EF9" w:rsidP="00A86EF9">
      <w:pPr>
        <w:spacing w:after="240"/>
        <w:jc w:val="both"/>
        <w:rPr>
          <w:bCs/>
          <w:sz w:val="18"/>
          <w:szCs w:val="18"/>
        </w:rPr>
      </w:pPr>
      <w:r w:rsidRPr="00A86EF9">
        <w:rPr>
          <w:bCs/>
          <w:sz w:val="18"/>
          <w:szCs w:val="18"/>
        </w:rPr>
        <w:t>VGP also noted a number of key accomplishments in its core geographic markets during the third quarter of 2017, including:</w:t>
      </w:r>
    </w:p>
    <w:p w14:paraId="70A222E2" w14:textId="56E78860" w:rsidR="00A86EF9" w:rsidRPr="00A86EF9" w:rsidRDefault="00A86EF9" w:rsidP="00A86EF9">
      <w:pPr>
        <w:numPr>
          <w:ilvl w:val="0"/>
          <w:numId w:val="92"/>
        </w:numPr>
        <w:spacing w:after="240"/>
        <w:jc w:val="both"/>
        <w:rPr>
          <w:bCs/>
          <w:sz w:val="18"/>
          <w:szCs w:val="18"/>
          <w:lang w:val="en-GB"/>
        </w:rPr>
      </w:pPr>
      <w:r w:rsidRPr="00A86EF9">
        <w:rPr>
          <w:bCs/>
          <w:i/>
          <w:sz w:val="18"/>
          <w:szCs w:val="18"/>
          <w:lang w:val="en-GB"/>
        </w:rPr>
        <w:lastRenderedPageBreak/>
        <w:t>Germany</w:t>
      </w:r>
      <w:r w:rsidRPr="00A86EF9">
        <w:rPr>
          <w:bCs/>
          <w:sz w:val="18"/>
          <w:szCs w:val="18"/>
          <w:lang w:val="en-GB"/>
        </w:rPr>
        <w:t>. During the third qua</w:t>
      </w:r>
      <w:r>
        <w:rPr>
          <w:bCs/>
          <w:sz w:val="18"/>
          <w:szCs w:val="18"/>
          <w:lang w:val="en-GB"/>
        </w:rPr>
        <w:t xml:space="preserve">rter through 27 September 2017, VGP acquired 253,511 </w:t>
      </w:r>
      <w:r w:rsidRPr="00A86EF9">
        <w:rPr>
          <w:bCs/>
          <w:sz w:val="18"/>
          <w:szCs w:val="18"/>
          <w:lang w:val="en-GB"/>
        </w:rPr>
        <w:t>m</w:t>
      </w:r>
      <w:r>
        <w:rPr>
          <w:bCs/>
          <w:sz w:val="18"/>
          <w:szCs w:val="18"/>
          <w:lang w:val="en-GB"/>
        </w:rPr>
        <w:t>²</w:t>
      </w:r>
      <w:r w:rsidRPr="00A86EF9">
        <w:rPr>
          <w:bCs/>
          <w:sz w:val="18"/>
          <w:szCs w:val="18"/>
          <w:lang w:val="en-GB"/>
        </w:rPr>
        <w:t xml:space="preserve"> of new land plots to develop </w:t>
      </w:r>
      <w:r>
        <w:rPr>
          <w:bCs/>
          <w:sz w:val="18"/>
          <w:szCs w:val="18"/>
          <w:lang w:val="en-GB"/>
        </w:rPr>
        <w:t>2</w:t>
      </w:r>
      <w:r w:rsidRPr="00A86EF9">
        <w:rPr>
          <w:bCs/>
          <w:sz w:val="18"/>
          <w:szCs w:val="18"/>
          <w:lang w:val="en-GB"/>
        </w:rPr>
        <w:t xml:space="preserve"> new parks. In Halle an der Saale (region of Leipzig) a new land plot of 16.6 hectare was acquired on which VGP intends to develop the new VGP Park Halle. This park will provide for the development of </w:t>
      </w:r>
      <w:r>
        <w:rPr>
          <w:bCs/>
          <w:sz w:val="18"/>
          <w:szCs w:val="18"/>
          <w:lang w:val="en-GB"/>
        </w:rPr>
        <w:t xml:space="preserve">3 </w:t>
      </w:r>
      <w:r w:rsidRPr="00A86EF9">
        <w:rPr>
          <w:bCs/>
          <w:sz w:val="18"/>
          <w:szCs w:val="18"/>
          <w:lang w:val="en-GB"/>
        </w:rPr>
        <w:t>buildings total</w:t>
      </w:r>
      <w:r>
        <w:rPr>
          <w:bCs/>
          <w:sz w:val="18"/>
          <w:szCs w:val="18"/>
          <w:lang w:val="en-GB"/>
        </w:rPr>
        <w:t xml:space="preserve">ling approximately 78,000 </w:t>
      </w:r>
      <w:r w:rsidRPr="00A86EF9">
        <w:rPr>
          <w:bCs/>
          <w:sz w:val="18"/>
          <w:szCs w:val="18"/>
          <w:lang w:val="en-GB"/>
        </w:rPr>
        <w:t>m</w:t>
      </w:r>
      <w:r>
        <w:rPr>
          <w:bCs/>
          <w:sz w:val="18"/>
          <w:szCs w:val="18"/>
          <w:lang w:val="en-GB"/>
        </w:rPr>
        <w:t>²</w:t>
      </w:r>
      <w:r w:rsidRPr="00A86EF9">
        <w:rPr>
          <w:bCs/>
          <w:sz w:val="18"/>
          <w:szCs w:val="18"/>
          <w:lang w:val="en-GB"/>
        </w:rPr>
        <w:t xml:space="preserve"> of future lettable area. VGP was able to immediately secure the first tenant with the lease out of 10,000 </w:t>
      </w:r>
      <w:r>
        <w:rPr>
          <w:bCs/>
          <w:sz w:val="18"/>
          <w:szCs w:val="18"/>
          <w:lang w:val="en-GB"/>
        </w:rPr>
        <w:t xml:space="preserve">m² </w:t>
      </w:r>
      <w:r w:rsidRPr="00A86EF9">
        <w:rPr>
          <w:bCs/>
          <w:sz w:val="18"/>
          <w:szCs w:val="18"/>
          <w:lang w:val="en-GB"/>
        </w:rPr>
        <w:t>under a 10-year lease contract. Construction is expected to commence in Oct</w:t>
      </w:r>
      <w:r>
        <w:rPr>
          <w:bCs/>
          <w:sz w:val="18"/>
          <w:szCs w:val="18"/>
          <w:lang w:val="en-GB"/>
        </w:rPr>
        <w:t>ober 2017.</w:t>
      </w:r>
      <w:r w:rsidRPr="00A86EF9">
        <w:rPr>
          <w:bCs/>
          <w:sz w:val="18"/>
          <w:szCs w:val="18"/>
          <w:lang w:val="en-GB"/>
        </w:rPr>
        <w:t xml:space="preserve"> In </w:t>
      </w:r>
      <w:proofErr w:type="spellStart"/>
      <w:r w:rsidRPr="00A86EF9">
        <w:rPr>
          <w:bCs/>
          <w:sz w:val="18"/>
          <w:szCs w:val="18"/>
          <w:lang w:val="en-GB"/>
        </w:rPr>
        <w:t>Wustermark</w:t>
      </w:r>
      <w:proofErr w:type="spellEnd"/>
      <w:r w:rsidRPr="00A86EF9">
        <w:rPr>
          <w:bCs/>
          <w:sz w:val="18"/>
          <w:szCs w:val="18"/>
          <w:lang w:val="en-GB"/>
        </w:rPr>
        <w:t xml:space="preserve">, in the German state of Brandenburg, VGP acquired 8.8 hectare of land and expects to hand over </w:t>
      </w:r>
      <w:r>
        <w:rPr>
          <w:bCs/>
          <w:sz w:val="18"/>
          <w:szCs w:val="18"/>
          <w:lang w:val="en-GB"/>
        </w:rPr>
        <w:t xml:space="preserve">2 </w:t>
      </w:r>
      <w:r w:rsidRPr="00A86EF9">
        <w:rPr>
          <w:bCs/>
          <w:sz w:val="18"/>
          <w:szCs w:val="18"/>
          <w:lang w:val="en-GB"/>
        </w:rPr>
        <w:t xml:space="preserve">properties to customers in early 2018. These </w:t>
      </w:r>
      <w:r>
        <w:rPr>
          <w:bCs/>
          <w:sz w:val="18"/>
          <w:szCs w:val="18"/>
          <w:lang w:val="en-GB"/>
        </w:rPr>
        <w:t xml:space="preserve">2 buildings, one for 12,000 </w:t>
      </w:r>
      <w:r w:rsidRPr="00A86EF9">
        <w:rPr>
          <w:bCs/>
          <w:sz w:val="18"/>
          <w:szCs w:val="18"/>
          <w:lang w:val="en-GB"/>
        </w:rPr>
        <w:t>m</w:t>
      </w:r>
      <w:r>
        <w:rPr>
          <w:bCs/>
          <w:sz w:val="18"/>
          <w:szCs w:val="18"/>
          <w:lang w:val="en-GB"/>
        </w:rPr>
        <w:t>² and the other for 6,000 m²</w:t>
      </w:r>
      <w:r w:rsidRPr="00A86EF9">
        <w:rPr>
          <w:bCs/>
          <w:sz w:val="18"/>
          <w:szCs w:val="18"/>
          <w:lang w:val="en-GB"/>
        </w:rPr>
        <w:t>, have each been leased out under 10-year lease contracts.</w:t>
      </w:r>
    </w:p>
    <w:p w14:paraId="17212580" w14:textId="69A89FEC" w:rsidR="00A86EF9" w:rsidRPr="00A86EF9" w:rsidRDefault="00A86EF9" w:rsidP="00A86EF9">
      <w:pPr>
        <w:numPr>
          <w:ilvl w:val="0"/>
          <w:numId w:val="92"/>
        </w:numPr>
        <w:spacing w:after="240"/>
        <w:jc w:val="both"/>
        <w:rPr>
          <w:b/>
          <w:bCs/>
          <w:sz w:val="18"/>
          <w:szCs w:val="18"/>
          <w:lang w:val="en-GB"/>
        </w:rPr>
      </w:pPr>
      <w:r w:rsidRPr="00A86EF9">
        <w:rPr>
          <w:bCs/>
          <w:i/>
          <w:sz w:val="18"/>
          <w:szCs w:val="18"/>
          <w:lang w:val="en-GB"/>
        </w:rPr>
        <w:t>Spain.</w:t>
      </w:r>
      <w:r>
        <w:rPr>
          <w:b/>
          <w:bCs/>
          <w:sz w:val="18"/>
          <w:szCs w:val="18"/>
          <w:lang w:val="en-GB"/>
        </w:rPr>
        <w:t xml:space="preserve"> </w:t>
      </w:r>
      <w:r w:rsidRPr="00A86EF9">
        <w:rPr>
          <w:bCs/>
          <w:sz w:val="18"/>
          <w:szCs w:val="18"/>
          <w:lang w:val="en-GB"/>
        </w:rPr>
        <w:t xml:space="preserve">Following the start-up of the development of the first building in VGP Park San Fernando de Henares (Madrid) in June 2017, the first lease agreement was signed with the elevator company ThyssenKrupp for a lettable area of circa 6,700 </w:t>
      </w:r>
      <w:r>
        <w:rPr>
          <w:bCs/>
          <w:sz w:val="18"/>
          <w:szCs w:val="18"/>
          <w:lang w:val="en-GB"/>
        </w:rPr>
        <w:t>m²</w:t>
      </w:r>
      <w:r w:rsidRPr="00A86EF9">
        <w:rPr>
          <w:bCs/>
          <w:sz w:val="18"/>
          <w:szCs w:val="18"/>
          <w:lang w:val="en-GB"/>
        </w:rPr>
        <w:t xml:space="preserve"> </w:t>
      </w:r>
      <w:r>
        <w:rPr>
          <w:bCs/>
          <w:sz w:val="18"/>
          <w:szCs w:val="18"/>
          <w:lang w:val="en-GB"/>
        </w:rPr>
        <w:t>under a 7-year lease agreement.</w:t>
      </w:r>
      <w:r w:rsidRPr="00A86EF9">
        <w:rPr>
          <w:bCs/>
          <w:sz w:val="18"/>
          <w:szCs w:val="18"/>
          <w:lang w:val="en-GB"/>
        </w:rPr>
        <w:t xml:space="preserve"> In VGP Park Mango several negotiations are currently under way. In view of the recorded demand for lettable space in this park and the shortage of grade A logistic buildings in the Barcelona region, VGP is planning to commence the construction of a multi-tenant warehouse in November of 2017.</w:t>
      </w:r>
    </w:p>
    <w:p w14:paraId="6DA85A77" w14:textId="7D667272" w:rsidR="00A86EF9" w:rsidRPr="00A86EF9" w:rsidRDefault="00A86EF9" w:rsidP="00A86EF9">
      <w:pPr>
        <w:numPr>
          <w:ilvl w:val="0"/>
          <w:numId w:val="92"/>
        </w:numPr>
        <w:spacing w:after="240"/>
        <w:jc w:val="both"/>
        <w:rPr>
          <w:bCs/>
          <w:sz w:val="18"/>
          <w:szCs w:val="18"/>
          <w:lang w:val="en-GB"/>
        </w:rPr>
      </w:pPr>
      <w:r w:rsidRPr="00A86EF9">
        <w:rPr>
          <w:bCs/>
          <w:i/>
          <w:sz w:val="18"/>
          <w:szCs w:val="18"/>
          <w:lang w:val="en-GB"/>
        </w:rPr>
        <w:t>Czech Republic.</w:t>
      </w:r>
      <w:r>
        <w:rPr>
          <w:b/>
          <w:bCs/>
          <w:sz w:val="18"/>
          <w:szCs w:val="18"/>
          <w:lang w:val="en-GB"/>
        </w:rPr>
        <w:t xml:space="preserve"> </w:t>
      </w:r>
      <w:r w:rsidRPr="00A86EF9">
        <w:rPr>
          <w:bCs/>
          <w:sz w:val="18"/>
          <w:szCs w:val="18"/>
          <w:lang w:val="en-GB"/>
        </w:rPr>
        <w:t>VGP is currently developing 155,00</w:t>
      </w:r>
      <w:r>
        <w:rPr>
          <w:bCs/>
          <w:sz w:val="18"/>
          <w:szCs w:val="18"/>
          <w:lang w:val="en-GB"/>
        </w:rPr>
        <w:t>0 m²</w:t>
      </w:r>
      <w:r w:rsidRPr="00A86EF9">
        <w:rPr>
          <w:bCs/>
          <w:sz w:val="18"/>
          <w:szCs w:val="18"/>
          <w:lang w:val="en-GB"/>
        </w:rPr>
        <w:t xml:space="preserve"> of new lettable area in w</w:t>
      </w:r>
      <w:r>
        <w:rPr>
          <w:bCs/>
          <w:sz w:val="18"/>
          <w:szCs w:val="18"/>
          <w:lang w:val="en-GB"/>
        </w:rPr>
        <w:t>hich more than 77% are pre-let.</w:t>
      </w:r>
      <w:r w:rsidRPr="00A86EF9">
        <w:rPr>
          <w:bCs/>
          <w:sz w:val="18"/>
          <w:szCs w:val="18"/>
          <w:lang w:val="en-GB"/>
        </w:rPr>
        <w:t xml:space="preserve"> In addition, the last r</w:t>
      </w:r>
      <w:r>
        <w:rPr>
          <w:bCs/>
          <w:sz w:val="18"/>
          <w:szCs w:val="18"/>
          <w:lang w:val="en-GB"/>
        </w:rPr>
        <w:t xml:space="preserve">emaining land plot (of 75,000 </w:t>
      </w:r>
      <w:r w:rsidRPr="00A86EF9">
        <w:rPr>
          <w:bCs/>
          <w:sz w:val="18"/>
          <w:szCs w:val="18"/>
          <w:lang w:val="en-GB"/>
        </w:rPr>
        <w:t>m</w:t>
      </w:r>
      <w:r>
        <w:rPr>
          <w:bCs/>
          <w:sz w:val="18"/>
          <w:szCs w:val="18"/>
          <w:lang w:val="en-GB"/>
        </w:rPr>
        <w:t>²</w:t>
      </w:r>
      <w:r w:rsidRPr="00A86EF9">
        <w:rPr>
          <w:bCs/>
          <w:sz w:val="18"/>
          <w:szCs w:val="18"/>
          <w:lang w:val="en-GB"/>
        </w:rPr>
        <w:t>) of VGP Park Olomouc was acquired in the third quarter of 2017 having a de</w:t>
      </w:r>
      <w:r>
        <w:rPr>
          <w:bCs/>
          <w:sz w:val="18"/>
          <w:szCs w:val="18"/>
          <w:lang w:val="en-GB"/>
        </w:rPr>
        <w:t xml:space="preserve">velopment potential of 33,000 </w:t>
      </w:r>
      <w:r w:rsidRPr="00A86EF9">
        <w:rPr>
          <w:bCs/>
          <w:sz w:val="18"/>
          <w:szCs w:val="18"/>
          <w:lang w:val="en-GB"/>
        </w:rPr>
        <w:t>m</w:t>
      </w:r>
      <w:r>
        <w:rPr>
          <w:bCs/>
          <w:sz w:val="18"/>
          <w:szCs w:val="18"/>
          <w:lang w:val="en-GB"/>
        </w:rPr>
        <w:t>²</w:t>
      </w:r>
      <w:r w:rsidRPr="00A86EF9">
        <w:rPr>
          <w:bCs/>
          <w:sz w:val="18"/>
          <w:szCs w:val="18"/>
          <w:lang w:val="en-GB"/>
        </w:rPr>
        <w:t xml:space="preserve"> of future lettable area. The t</w:t>
      </w:r>
      <w:r>
        <w:rPr>
          <w:bCs/>
          <w:sz w:val="18"/>
          <w:szCs w:val="18"/>
          <w:lang w:val="en-GB"/>
        </w:rPr>
        <w:t xml:space="preserve">otal park consists of 479,753 </w:t>
      </w:r>
      <w:r w:rsidRPr="00A86EF9">
        <w:rPr>
          <w:bCs/>
          <w:sz w:val="18"/>
          <w:szCs w:val="18"/>
          <w:lang w:val="en-GB"/>
        </w:rPr>
        <w:t>m</w:t>
      </w:r>
      <w:r>
        <w:rPr>
          <w:bCs/>
          <w:sz w:val="18"/>
          <w:szCs w:val="18"/>
          <w:lang w:val="en-GB"/>
        </w:rPr>
        <w:t xml:space="preserve">² of land on which 206,000 </w:t>
      </w:r>
      <w:r w:rsidRPr="00A86EF9">
        <w:rPr>
          <w:bCs/>
          <w:sz w:val="18"/>
          <w:szCs w:val="18"/>
          <w:lang w:val="en-GB"/>
        </w:rPr>
        <w:t>m</w:t>
      </w:r>
      <w:r>
        <w:rPr>
          <w:bCs/>
          <w:sz w:val="18"/>
          <w:szCs w:val="18"/>
          <w:lang w:val="en-GB"/>
        </w:rPr>
        <w:t>²</w:t>
      </w:r>
      <w:r w:rsidRPr="00A86EF9">
        <w:rPr>
          <w:bCs/>
          <w:sz w:val="18"/>
          <w:szCs w:val="18"/>
          <w:lang w:val="en-GB"/>
        </w:rPr>
        <w:t xml:space="preserve"> of lettable area can be developed. Two buildings (total</w:t>
      </w:r>
      <w:r>
        <w:rPr>
          <w:bCs/>
          <w:sz w:val="18"/>
          <w:szCs w:val="18"/>
          <w:lang w:val="en-GB"/>
        </w:rPr>
        <w:t xml:space="preserve">ling 34,486 </w:t>
      </w:r>
      <w:r w:rsidRPr="00A86EF9">
        <w:rPr>
          <w:bCs/>
          <w:sz w:val="18"/>
          <w:szCs w:val="18"/>
          <w:lang w:val="en-GB"/>
        </w:rPr>
        <w:t>m</w:t>
      </w:r>
      <w:r>
        <w:rPr>
          <w:bCs/>
          <w:sz w:val="18"/>
          <w:szCs w:val="18"/>
          <w:lang w:val="en-GB"/>
        </w:rPr>
        <w:t>²</w:t>
      </w:r>
      <w:r w:rsidRPr="00A86EF9">
        <w:rPr>
          <w:bCs/>
          <w:sz w:val="18"/>
          <w:szCs w:val="18"/>
          <w:lang w:val="en-GB"/>
        </w:rPr>
        <w:t xml:space="preserve"> lettable area) have been completed and fully let, and </w:t>
      </w:r>
      <w:r>
        <w:rPr>
          <w:bCs/>
          <w:sz w:val="18"/>
          <w:szCs w:val="18"/>
          <w:lang w:val="en-GB"/>
        </w:rPr>
        <w:t xml:space="preserve">3 </w:t>
      </w:r>
      <w:r w:rsidRPr="00A86EF9">
        <w:rPr>
          <w:bCs/>
          <w:sz w:val="18"/>
          <w:szCs w:val="18"/>
          <w:lang w:val="en-GB"/>
        </w:rPr>
        <w:t xml:space="preserve">further buildings are being constructed of which </w:t>
      </w:r>
      <w:r>
        <w:rPr>
          <w:bCs/>
          <w:sz w:val="18"/>
          <w:szCs w:val="18"/>
          <w:lang w:val="en-GB"/>
        </w:rPr>
        <w:t xml:space="preserve">2 </w:t>
      </w:r>
      <w:r w:rsidRPr="00A86EF9">
        <w:rPr>
          <w:bCs/>
          <w:sz w:val="18"/>
          <w:szCs w:val="18"/>
          <w:lang w:val="en-GB"/>
        </w:rPr>
        <w:t>buildings (total</w:t>
      </w:r>
      <w:r>
        <w:rPr>
          <w:bCs/>
          <w:sz w:val="18"/>
          <w:szCs w:val="18"/>
          <w:lang w:val="en-GB"/>
        </w:rPr>
        <w:t xml:space="preserve">ling 16,786 </w:t>
      </w:r>
      <w:r w:rsidRPr="00A86EF9">
        <w:rPr>
          <w:bCs/>
          <w:sz w:val="18"/>
          <w:szCs w:val="18"/>
          <w:lang w:val="en-GB"/>
        </w:rPr>
        <w:t>m</w:t>
      </w:r>
      <w:r>
        <w:rPr>
          <w:bCs/>
          <w:sz w:val="18"/>
          <w:szCs w:val="18"/>
          <w:lang w:val="en-GB"/>
        </w:rPr>
        <w:t>²</w:t>
      </w:r>
      <w:r w:rsidRPr="00A86EF9">
        <w:rPr>
          <w:bCs/>
          <w:sz w:val="18"/>
          <w:szCs w:val="18"/>
          <w:lang w:val="en-GB"/>
        </w:rPr>
        <w:t xml:space="preserve"> of future lettable area) are fully pre-let and </w:t>
      </w:r>
      <w:r>
        <w:rPr>
          <w:bCs/>
          <w:sz w:val="18"/>
          <w:szCs w:val="18"/>
          <w:lang w:val="en-GB"/>
        </w:rPr>
        <w:t xml:space="preserve">for the last building (10,476 </w:t>
      </w:r>
      <w:r w:rsidRPr="00A86EF9">
        <w:rPr>
          <w:bCs/>
          <w:sz w:val="18"/>
          <w:szCs w:val="18"/>
          <w:lang w:val="en-GB"/>
        </w:rPr>
        <w:t>m</w:t>
      </w:r>
      <w:r>
        <w:rPr>
          <w:bCs/>
          <w:sz w:val="18"/>
          <w:szCs w:val="18"/>
          <w:lang w:val="en-GB"/>
        </w:rPr>
        <w:t>²</w:t>
      </w:r>
      <w:r w:rsidRPr="00A86EF9">
        <w:rPr>
          <w:bCs/>
          <w:sz w:val="18"/>
          <w:szCs w:val="18"/>
          <w:lang w:val="en-GB"/>
        </w:rPr>
        <w:t xml:space="preserve"> of future lettable area) negotiations are on-going with potential tenants</w:t>
      </w:r>
      <w:r>
        <w:rPr>
          <w:bCs/>
          <w:sz w:val="18"/>
          <w:szCs w:val="18"/>
          <w:lang w:val="en-GB"/>
        </w:rPr>
        <w:t>.</w:t>
      </w:r>
    </w:p>
    <w:p w14:paraId="6EA3858F" w14:textId="433FB790" w:rsidR="00A86EF9" w:rsidRPr="00A86EF9" w:rsidRDefault="00A86EF9" w:rsidP="00ED3097">
      <w:pPr>
        <w:spacing w:after="240"/>
        <w:ind w:firstLine="720"/>
        <w:jc w:val="both"/>
        <w:rPr>
          <w:bCs/>
          <w:sz w:val="18"/>
          <w:szCs w:val="18"/>
        </w:rPr>
      </w:pPr>
      <w:r w:rsidRPr="00A86EF9">
        <w:rPr>
          <w:bCs/>
          <w:sz w:val="18"/>
          <w:szCs w:val="18"/>
        </w:rPr>
        <w:t>Except a</w:t>
      </w:r>
      <w:r w:rsidR="00ED3097">
        <w:rPr>
          <w:bCs/>
          <w:sz w:val="18"/>
          <w:szCs w:val="18"/>
        </w:rPr>
        <w:t>s stated above in this section “</w:t>
      </w:r>
      <w:r w:rsidRPr="00ED3097">
        <w:rPr>
          <w:bCs/>
          <w:i/>
          <w:sz w:val="18"/>
          <w:szCs w:val="18"/>
        </w:rPr>
        <w:t>Recent Developments and Trends</w:t>
      </w:r>
      <w:r w:rsidR="00ED3097">
        <w:rPr>
          <w:bCs/>
          <w:sz w:val="18"/>
          <w:szCs w:val="18"/>
        </w:rPr>
        <w:t>”</w:t>
      </w:r>
      <w:r w:rsidRPr="00A86EF9">
        <w:rPr>
          <w:bCs/>
          <w:sz w:val="18"/>
          <w:szCs w:val="18"/>
        </w:rPr>
        <w:t>, there has been no material adverse change in the prospects of the Group since 30 June 2017, except for those circumstances or events elsewhere stated or referred to in this Prospectus.</w:t>
      </w:r>
    </w:p>
    <w:p w14:paraId="2D6DBACC" w14:textId="0FEF51BB" w:rsidR="00ED3097" w:rsidRDefault="00A86EF9" w:rsidP="00ED3097">
      <w:pPr>
        <w:spacing w:after="240"/>
        <w:ind w:firstLine="720"/>
        <w:jc w:val="both"/>
        <w:rPr>
          <w:bCs/>
          <w:sz w:val="18"/>
          <w:szCs w:val="18"/>
        </w:rPr>
      </w:pPr>
      <w:r w:rsidRPr="00A86EF9">
        <w:rPr>
          <w:bCs/>
          <w:sz w:val="18"/>
          <w:szCs w:val="18"/>
        </w:rPr>
        <w:t>Except a</w:t>
      </w:r>
      <w:r w:rsidR="00ED3097">
        <w:rPr>
          <w:bCs/>
          <w:sz w:val="18"/>
          <w:szCs w:val="18"/>
        </w:rPr>
        <w:t>s stated above in this section “</w:t>
      </w:r>
      <w:r w:rsidRPr="00ED3097">
        <w:rPr>
          <w:bCs/>
          <w:i/>
          <w:sz w:val="18"/>
          <w:szCs w:val="18"/>
        </w:rPr>
        <w:t>Recent Developments and Trends</w:t>
      </w:r>
      <w:r w:rsidR="00ED3097">
        <w:rPr>
          <w:bCs/>
          <w:sz w:val="18"/>
          <w:szCs w:val="18"/>
        </w:rPr>
        <w:t>”</w:t>
      </w:r>
      <w:r w:rsidRPr="00A86EF9">
        <w:rPr>
          <w:bCs/>
          <w:sz w:val="18"/>
          <w:szCs w:val="18"/>
        </w:rPr>
        <w:t>, there has been no significant change in the financial or trading position of the Company or the Group since 30 June 2017</w:t>
      </w:r>
      <w:r w:rsidR="00ED3097">
        <w:rPr>
          <w:bCs/>
          <w:sz w:val="18"/>
          <w:szCs w:val="18"/>
        </w:rPr>
        <w:t>.</w:t>
      </w:r>
    </w:p>
    <w:p w14:paraId="11B48F17" w14:textId="3BFE7F7D" w:rsidR="001D1FD6" w:rsidRDefault="001D1FD6" w:rsidP="00A86EF9">
      <w:pPr>
        <w:spacing w:after="240"/>
        <w:jc w:val="both"/>
        <w:rPr>
          <w:rFonts w:cs="Arabic Transparent"/>
          <w:b/>
          <w:color w:val="000000"/>
          <w:sz w:val="18"/>
          <w:szCs w:val="18"/>
        </w:rPr>
      </w:pPr>
      <w:r>
        <w:rPr>
          <w:rFonts w:cs="Arabic Transparent"/>
          <w:b/>
          <w:color w:val="000000"/>
          <w:sz w:val="18"/>
          <w:szCs w:val="18"/>
        </w:rPr>
        <w:t>Results of Operations</w:t>
      </w:r>
    </w:p>
    <w:p w14:paraId="56E22A10" w14:textId="77777777" w:rsidR="001D1FD6" w:rsidRDefault="001D1FD6" w:rsidP="001D1FD6">
      <w:pPr>
        <w:spacing w:after="240"/>
        <w:jc w:val="both"/>
        <w:rPr>
          <w:rFonts w:cs="Arabic Transparent"/>
          <w:b/>
          <w:i/>
          <w:color w:val="000000"/>
          <w:sz w:val="18"/>
          <w:szCs w:val="18"/>
        </w:rPr>
      </w:pPr>
      <w:r>
        <w:rPr>
          <w:rFonts w:cs="Arabic Transparent"/>
          <w:b/>
          <w:i/>
          <w:color w:val="000000"/>
          <w:sz w:val="18"/>
          <w:szCs w:val="18"/>
        </w:rPr>
        <w:t>Results of operations for the six months ended 30 June 2017 and 2016</w:t>
      </w:r>
    </w:p>
    <w:p w14:paraId="3D74974E" w14:textId="77777777" w:rsidR="001D1FD6" w:rsidRDefault="001D1FD6" w:rsidP="001D1FD6">
      <w:pPr>
        <w:spacing w:before="240" w:beforeAutospacing="1" w:afterAutospacing="1"/>
        <w:ind w:firstLine="720"/>
        <w:rPr>
          <w:sz w:val="18"/>
          <w:szCs w:val="18"/>
          <w:lang w:val="en-GB"/>
        </w:rPr>
      </w:pPr>
      <w:r>
        <w:rPr>
          <w:sz w:val="18"/>
          <w:szCs w:val="18"/>
          <w:lang w:val="en-GB"/>
        </w:rPr>
        <w:t>The following table sets forth the condensed consolidated income statements of the Group for the six months ended 30 June 2017 and 2016:</w:t>
      </w:r>
    </w:p>
    <w:tbl>
      <w:tblPr>
        <w:tblW w:w="455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6058"/>
        <w:gridCol w:w="1441"/>
        <w:gridCol w:w="1381"/>
      </w:tblGrid>
      <w:tr w:rsidR="001C2B2C" w14:paraId="61BFC2BF" w14:textId="77777777" w:rsidTr="00B322A7">
        <w:trPr>
          <w:cantSplit/>
        </w:trPr>
        <w:tc>
          <w:tcPr>
            <w:tcW w:w="6211" w:type="dxa"/>
          </w:tcPr>
          <w:p w14:paraId="79897F52" w14:textId="77777777" w:rsidR="001C2B2C" w:rsidRDefault="001C2B2C" w:rsidP="00B322A7">
            <w:pPr>
              <w:jc w:val="both"/>
              <w:rPr>
                <w:rFonts w:cs="Arabic Transparent"/>
                <w:sz w:val="18"/>
                <w:szCs w:val="18"/>
                <w:lang w:val="en-GB"/>
              </w:rPr>
            </w:pPr>
          </w:p>
        </w:tc>
        <w:tc>
          <w:tcPr>
            <w:tcW w:w="2884" w:type="dxa"/>
            <w:gridSpan w:val="2"/>
          </w:tcPr>
          <w:p w14:paraId="2AE657B7" w14:textId="77777777" w:rsidR="001C2B2C" w:rsidRDefault="001C2B2C" w:rsidP="00B322A7">
            <w:pPr>
              <w:pBdr>
                <w:bottom w:val="single" w:sz="2" w:space="1" w:color="auto"/>
              </w:pBdr>
              <w:jc w:val="center"/>
              <w:rPr>
                <w:rFonts w:cs="Arabic Transparent"/>
                <w:b/>
                <w:sz w:val="18"/>
                <w:szCs w:val="18"/>
              </w:rPr>
            </w:pPr>
            <w:r>
              <w:rPr>
                <w:rFonts w:cs="Arabic Transparent"/>
                <w:b/>
                <w:sz w:val="18"/>
                <w:szCs w:val="18"/>
              </w:rPr>
              <w:t>For the period ended 30-Jun</w:t>
            </w:r>
          </w:p>
        </w:tc>
      </w:tr>
      <w:tr w:rsidR="001C2B2C" w14:paraId="148C0219" w14:textId="77777777" w:rsidTr="00B322A7">
        <w:trPr>
          <w:cantSplit/>
        </w:trPr>
        <w:tc>
          <w:tcPr>
            <w:tcW w:w="6211" w:type="dxa"/>
            <w:vMerge w:val="restart"/>
          </w:tcPr>
          <w:p w14:paraId="149F0D3B" w14:textId="77777777" w:rsidR="001C2B2C" w:rsidRDefault="001C2B2C" w:rsidP="00B322A7">
            <w:pPr>
              <w:jc w:val="both"/>
              <w:rPr>
                <w:rFonts w:cs="Arabic Transparent"/>
                <w:sz w:val="18"/>
                <w:szCs w:val="18"/>
                <w:lang w:val="en-GB"/>
              </w:rPr>
            </w:pPr>
          </w:p>
        </w:tc>
        <w:tc>
          <w:tcPr>
            <w:tcW w:w="1473" w:type="dxa"/>
          </w:tcPr>
          <w:p w14:paraId="34CB3CDE" w14:textId="77777777" w:rsidR="001C2B2C" w:rsidRDefault="001C2B2C" w:rsidP="00B322A7">
            <w:pPr>
              <w:pBdr>
                <w:bottom w:val="single" w:sz="2" w:space="1" w:color="auto"/>
              </w:pBdr>
              <w:jc w:val="center"/>
              <w:rPr>
                <w:rFonts w:cs="Arabic Transparent"/>
                <w:b/>
                <w:sz w:val="18"/>
                <w:szCs w:val="18"/>
                <w:lang w:val="en-GB"/>
              </w:rPr>
            </w:pPr>
            <w:r>
              <w:rPr>
                <w:rFonts w:cs="Arabic Transparent"/>
                <w:b/>
                <w:sz w:val="18"/>
                <w:szCs w:val="18"/>
              </w:rPr>
              <w:t>2017</w:t>
            </w:r>
            <w:r>
              <w:rPr>
                <w:rFonts w:cs="Arabic Transparent"/>
                <w:b/>
                <w:sz w:val="18"/>
                <w:szCs w:val="18"/>
                <w:lang w:val="en-GB"/>
              </w:rPr>
              <w:br/>
            </w:r>
          </w:p>
        </w:tc>
        <w:tc>
          <w:tcPr>
            <w:tcW w:w="1411" w:type="dxa"/>
          </w:tcPr>
          <w:p w14:paraId="73EADF78" w14:textId="77777777" w:rsidR="001C2B2C" w:rsidRDefault="001C2B2C" w:rsidP="00B322A7">
            <w:pPr>
              <w:pBdr>
                <w:bottom w:val="single" w:sz="2" w:space="1" w:color="auto"/>
              </w:pBdr>
              <w:jc w:val="center"/>
              <w:rPr>
                <w:rFonts w:cs="Arabic Transparent"/>
                <w:b/>
                <w:sz w:val="18"/>
                <w:szCs w:val="18"/>
                <w:lang w:val="en-GB"/>
              </w:rPr>
            </w:pPr>
            <w:r>
              <w:rPr>
                <w:rFonts w:cs="Arabic Transparent"/>
                <w:b/>
                <w:sz w:val="18"/>
                <w:szCs w:val="18"/>
              </w:rPr>
              <w:t>2016</w:t>
            </w:r>
            <w:r>
              <w:rPr>
                <w:rFonts w:cs="Arabic Transparent"/>
                <w:b/>
                <w:sz w:val="18"/>
                <w:szCs w:val="18"/>
                <w:lang w:val="en-GB"/>
              </w:rPr>
              <w:br/>
            </w:r>
          </w:p>
        </w:tc>
      </w:tr>
      <w:tr w:rsidR="001C2B2C" w14:paraId="2D80C866" w14:textId="77777777" w:rsidTr="00B322A7">
        <w:trPr>
          <w:cantSplit/>
        </w:trPr>
        <w:tc>
          <w:tcPr>
            <w:tcW w:w="6211" w:type="dxa"/>
            <w:vMerge/>
          </w:tcPr>
          <w:p w14:paraId="5A39242A" w14:textId="77777777" w:rsidR="001C2B2C" w:rsidRDefault="001C2B2C" w:rsidP="00B322A7">
            <w:pPr>
              <w:jc w:val="both"/>
              <w:rPr>
                <w:rFonts w:cs="Arabic Transparent"/>
                <w:sz w:val="18"/>
                <w:szCs w:val="18"/>
                <w:lang w:val="en-GB"/>
              </w:rPr>
            </w:pPr>
          </w:p>
        </w:tc>
        <w:tc>
          <w:tcPr>
            <w:tcW w:w="2884" w:type="dxa"/>
            <w:gridSpan w:val="2"/>
          </w:tcPr>
          <w:p w14:paraId="5D2D4A1B" w14:textId="77777777" w:rsidR="001C2B2C" w:rsidRDefault="001C2B2C" w:rsidP="00B322A7">
            <w:pPr>
              <w:jc w:val="center"/>
              <w:rPr>
                <w:rFonts w:cs="Arabic Transparent"/>
                <w:sz w:val="18"/>
                <w:szCs w:val="18"/>
                <w:lang w:val="en-GB"/>
              </w:rPr>
            </w:pPr>
            <w:r>
              <w:rPr>
                <w:rFonts w:cs="Arabic Transparent"/>
                <w:sz w:val="18"/>
                <w:szCs w:val="18"/>
              </w:rPr>
              <w:t>(</w:t>
            </w:r>
            <w:r>
              <w:rPr>
                <w:rFonts w:cs="Arabic Transparent"/>
                <w:i/>
                <w:sz w:val="18"/>
                <w:szCs w:val="18"/>
              </w:rPr>
              <w:t xml:space="preserve">in thousands of </w:t>
            </w:r>
            <w:r>
              <w:rPr>
                <w:bCs/>
                <w:i/>
                <w:sz w:val="18"/>
                <w:szCs w:val="18"/>
              </w:rPr>
              <w:t>€</w:t>
            </w:r>
            <w:r>
              <w:rPr>
                <w:rFonts w:cs="Arabic Transparent"/>
                <w:sz w:val="18"/>
                <w:szCs w:val="18"/>
              </w:rPr>
              <w:t>)</w:t>
            </w:r>
          </w:p>
        </w:tc>
      </w:tr>
      <w:tr w:rsidR="001C2B2C" w14:paraId="30D380EA" w14:textId="77777777" w:rsidTr="00B322A7">
        <w:trPr>
          <w:cantSplit/>
        </w:trPr>
        <w:tc>
          <w:tcPr>
            <w:tcW w:w="6211" w:type="dxa"/>
          </w:tcPr>
          <w:p w14:paraId="4094BBAF" w14:textId="77777777" w:rsidR="001C2B2C" w:rsidRDefault="001C2B2C" w:rsidP="00B322A7">
            <w:pPr>
              <w:jc w:val="both"/>
              <w:rPr>
                <w:rFonts w:cs="Arabic Transparent"/>
                <w:sz w:val="18"/>
                <w:szCs w:val="18"/>
                <w:lang w:val="en-GB"/>
              </w:rPr>
            </w:pPr>
          </w:p>
        </w:tc>
        <w:tc>
          <w:tcPr>
            <w:tcW w:w="1473" w:type="dxa"/>
          </w:tcPr>
          <w:p w14:paraId="24F0FF1E" w14:textId="77777777" w:rsidR="001C2B2C" w:rsidRDefault="001C2B2C" w:rsidP="00B322A7">
            <w:pPr>
              <w:jc w:val="center"/>
              <w:rPr>
                <w:rFonts w:cs="Arabic Transparent"/>
                <w:sz w:val="18"/>
                <w:szCs w:val="18"/>
                <w:lang w:val="en-GB"/>
              </w:rPr>
            </w:pPr>
          </w:p>
        </w:tc>
        <w:tc>
          <w:tcPr>
            <w:tcW w:w="1411" w:type="dxa"/>
          </w:tcPr>
          <w:p w14:paraId="4C77F3DF" w14:textId="77777777" w:rsidR="001C2B2C" w:rsidRDefault="001C2B2C" w:rsidP="00B322A7">
            <w:pPr>
              <w:jc w:val="center"/>
              <w:rPr>
                <w:rFonts w:cs="Arabic Transparent"/>
                <w:sz w:val="18"/>
                <w:szCs w:val="18"/>
              </w:rPr>
            </w:pPr>
          </w:p>
        </w:tc>
      </w:tr>
      <w:tr w:rsidR="001C2B2C" w14:paraId="2AD35DCD" w14:textId="77777777" w:rsidTr="00B322A7">
        <w:trPr>
          <w:cantSplit/>
        </w:trPr>
        <w:tc>
          <w:tcPr>
            <w:tcW w:w="6211" w:type="dxa"/>
          </w:tcPr>
          <w:p w14:paraId="3D054EC0" w14:textId="77777777" w:rsidR="001C2B2C" w:rsidRDefault="001C2B2C" w:rsidP="00B322A7">
            <w:pPr>
              <w:jc w:val="both"/>
              <w:rPr>
                <w:rFonts w:cs="Arabic Transparent"/>
                <w:b/>
                <w:i/>
                <w:sz w:val="18"/>
                <w:szCs w:val="18"/>
                <w:lang w:val="en-GB"/>
              </w:rPr>
            </w:pPr>
            <w:r>
              <w:rPr>
                <w:rFonts w:cs="Arabic Transparent"/>
                <w:b/>
                <w:sz w:val="18"/>
                <w:szCs w:val="18"/>
                <w:lang w:val="en-GB"/>
              </w:rPr>
              <w:t>Revenue</w:t>
            </w:r>
            <w:r>
              <w:rPr>
                <w:rFonts w:cs="Arabic Transparent"/>
                <w:b/>
                <w:i/>
                <w:sz w:val="18"/>
                <w:szCs w:val="18"/>
                <w:lang w:val="en-GB"/>
              </w:rPr>
              <w:t xml:space="preserve"> </w:t>
            </w:r>
          </w:p>
        </w:tc>
        <w:tc>
          <w:tcPr>
            <w:tcW w:w="1473" w:type="dxa"/>
          </w:tcPr>
          <w:p w14:paraId="0FAAE901" w14:textId="77777777" w:rsidR="001C2B2C" w:rsidRDefault="001C2B2C" w:rsidP="00B322A7">
            <w:pPr>
              <w:tabs>
                <w:tab w:val="decimal" w:pos="935"/>
              </w:tabs>
              <w:ind w:right="169"/>
              <w:jc w:val="right"/>
              <w:rPr>
                <w:rFonts w:cs="Arabic Transparent"/>
                <w:b/>
                <w:sz w:val="18"/>
                <w:szCs w:val="18"/>
                <w:u w:val="single"/>
              </w:rPr>
            </w:pPr>
            <w:r>
              <w:rPr>
                <w:rFonts w:cs="Arabic Transparent"/>
                <w:b/>
                <w:sz w:val="18"/>
                <w:szCs w:val="18"/>
                <w:u w:val="single"/>
              </w:rPr>
              <w:t>14,296</w:t>
            </w:r>
          </w:p>
        </w:tc>
        <w:tc>
          <w:tcPr>
            <w:tcW w:w="1411" w:type="dxa"/>
          </w:tcPr>
          <w:p w14:paraId="2AB98941" w14:textId="77777777" w:rsidR="001C2B2C" w:rsidRDefault="001C2B2C" w:rsidP="00B322A7">
            <w:pPr>
              <w:tabs>
                <w:tab w:val="decimal" w:pos="874"/>
              </w:tabs>
              <w:ind w:right="166"/>
              <w:jc w:val="right"/>
              <w:rPr>
                <w:rFonts w:cs="Arabic Transparent"/>
                <w:b/>
                <w:sz w:val="18"/>
                <w:szCs w:val="18"/>
                <w:u w:val="single"/>
              </w:rPr>
            </w:pPr>
            <w:r>
              <w:rPr>
                <w:rFonts w:cs="Arabic Transparent"/>
                <w:b/>
                <w:sz w:val="18"/>
                <w:szCs w:val="18"/>
                <w:u w:val="single"/>
              </w:rPr>
              <w:t>17,004</w:t>
            </w:r>
          </w:p>
        </w:tc>
      </w:tr>
      <w:tr w:rsidR="001C2B2C" w14:paraId="40E49A0B" w14:textId="77777777" w:rsidTr="00B322A7">
        <w:trPr>
          <w:cantSplit/>
        </w:trPr>
        <w:tc>
          <w:tcPr>
            <w:tcW w:w="6211" w:type="dxa"/>
            <w:vAlign w:val="center"/>
          </w:tcPr>
          <w:p w14:paraId="09C25D7D" w14:textId="77777777" w:rsidR="001C2B2C" w:rsidRDefault="001C2B2C" w:rsidP="00B322A7">
            <w:pPr>
              <w:tabs>
                <w:tab w:val="right" w:leader="dot" w:pos="5400"/>
              </w:tabs>
              <w:ind w:right="-7"/>
              <w:jc w:val="both"/>
              <w:rPr>
                <w:rFonts w:cs="Arabic Transparent"/>
                <w:sz w:val="18"/>
                <w:szCs w:val="18"/>
                <w:lang w:val="en-GB"/>
              </w:rPr>
            </w:pPr>
            <w:r>
              <w:rPr>
                <w:rFonts w:cs="Arabic Transparent"/>
                <w:sz w:val="18"/>
                <w:szCs w:val="18"/>
              </w:rPr>
              <w:t>Gross rental income.</w:t>
            </w:r>
            <w:r>
              <w:rPr>
                <w:rFonts w:cs="Arabic Transparent"/>
                <w:sz w:val="18"/>
                <w:szCs w:val="18"/>
              </w:rPr>
              <w:tab/>
            </w:r>
            <w:r>
              <w:rPr>
                <w:rFonts w:cs="Arabic Transparent"/>
                <w:sz w:val="18"/>
                <w:szCs w:val="18"/>
                <w:lang w:val="en-GB"/>
              </w:rPr>
              <w:t>…</w:t>
            </w:r>
          </w:p>
        </w:tc>
        <w:tc>
          <w:tcPr>
            <w:tcW w:w="1473" w:type="dxa"/>
            <w:vAlign w:val="bottom"/>
          </w:tcPr>
          <w:p w14:paraId="008939FD" w14:textId="77777777" w:rsidR="001C2B2C" w:rsidRDefault="001C2B2C" w:rsidP="00B322A7">
            <w:pPr>
              <w:tabs>
                <w:tab w:val="decimal" w:pos="935"/>
              </w:tabs>
              <w:ind w:right="169"/>
              <w:jc w:val="right"/>
              <w:rPr>
                <w:sz w:val="18"/>
                <w:szCs w:val="18"/>
                <w:lang w:val="en-GB" w:eastAsia="en-GB"/>
              </w:rPr>
            </w:pPr>
            <w:r>
              <w:rPr>
                <w:sz w:val="18"/>
                <w:szCs w:val="18"/>
                <w:lang w:val="en-GB" w:eastAsia="en-GB"/>
              </w:rPr>
              <w:t>9,111</w:t>
            </w:r>
          </w:p>
        </w:tc>
        <w:tc>
          <w:tcPr>
            <w:tcW w:w="1411" w:type="dxa"/>
            <w:vAlign w:val="bottom"/>
          </w:tcPr>
          <w:p w14:paraId="2B824D84" w14:textId="77777777" w:rsidR="001C2B2C" w:rsidRDefault="001C2B2C" w:rsidP="00B322A7">
            <w:pPr>
              <w:tabs>
                <w:tab w:val="decimal" w:pos="874"/>
              </w:tabs>
              <w:ind w:right="166"/>
              <w:jc w:val="right"/>
              <w:rPr>
                <w:sz w:val="18"/>
                <w:szCs w:val="18"/>
                <w:lang w:val="en-GB" w:eastAsia="en-GB"/>
              </w:rPr>
            </w:pPr>
            <w:r>
              <w:rPr>
                <w:sz w:val="18"/>
                <w:szCs w:val="18"/>
                <w:lang w:val="en-GB" w:eastAsia="en-GB"/>
              </w:rPr>
              <w:t>13,085</w:t>
            </w:r>
          </w:p>
        </w:tc>
      </w:tr>
      <w:tr w:rsidR="001C2B2C" w14:paraId="1CF4D3EC" w14:textId="77777777" w:rsidTr="00B322A7">
        <w:trPr>
          <w:cantSplit/>
        </w:trPr>
        <w:tc>
          <w:tcPr>
            <w:tcW w:w="6211" w:type="dxa"/>
            <w:vAlign w:val="center"/>
          </w:tcPr>
          <w:p w14:paraId="1CF67C37" w14:textId="77777777" w:rsidR="001C2B2C" w:rsidRDefault="001C2B2C" w:rsidP="00B322A7">
            <w:pPr>
              <w:tabs>
                <w:tab w:val="right" w:leader="dot" w:pos="5400"/>
              </w:tabs>
              <w:ind w:right="-7"/>
              <w:jc w:val="both"/>
              <w:rPr>
                <w:rFonts w:cs="Arabic Transparent"/>
                <w:sz w:val="18"/>
                <w:szCs w:val="18"/>
              </w:rPr>
            </w:pPr>
            <w:r>
              <w:rPr>
                <w:rFonts w:cs="Arabic Transparent"/>
                <w:sz w:val="18"/>
                <w:szCs w:val="18"/>
              </w:rPr>
              <w:t>Service charge income</w:t>
            </w:r>
            <w:r>
              <w:rPr>
                <w:rFonts w:cs="Arabic Transparent"/>
                <w:sz w:val="18"/>
                <w:szCs w:val="18"/>
              </w:rPr>
              <w:tab/>
            </w:r>
          </w:p>
        </w:tc>
        <w:tc>
          <w:tcPr>
            <w:tcW w:w="1473" w:type="dxa"/>
            <w:vAlign w:val="bottom"/>
          </w:tcPr>
          <w:p w14:paraId="37080E77" w14:textId="77777777" w:rsidR="001C2B2C" w:rsidRDefault="001C2B2C" w:rsidP="00B322A7">
            <w:pPr>
              <w:tabs>
                <w:tab w:val="decimal" w:pos="935"/>
              </w:tabs>
              <w:ind w:right="169"/>
              <w:jc w:val="right"/>
              <w:rPr>
                <w:sz w:val="18"/>
                <w:szCs w:val="18"/>
                <w:lang w:val="en-GB" w:eastAsia="en-GB"/>
              </w:rPr>
            </w:pPr>
            <w:r>
              <w:rPr>
                <w:sz w:val="18"/>
                <w:szCs w:val="18"/>
                <w:lang w:val="en-GB" w:eastAsia="en-GB"/>
              </w:rPr>
              <w:t>1,409</w:t>
            </w:r>
          </w:p>
        </w:tc>
        <w:tc>
          <w:tcPr>
            <w:tcW w:w="1411" w:type="dxa"/>
            <w:vAlign w:val="bottom"/>
          </w:tcPr>
          <w:p w14:paraId="4B1FC5D2" w14:textId="77777777" w:rsidR="001C2B2C" w:rsidRDefault="001C2B2C" w:rsidP="00B322A7">
            <w:pPr>
              <w:tabs>
                <w:tab w:val="decimal" w:pos="874"/>
              </w:tabs>
              <w:ind w:right="166"/>
              <w:jc w:val="right"/>
              <w:rPr>
                <w:sz w:val="18"/>
                <w:szCs w:val="18"/>
                <w:lang w:val="en-GB" w:eastAsia="en-GB"/>
              </w:rPr>
            </w:pPr>
            <w:r>
              <w:rPr>
                <w:sz w:val="18"/>
                <w:szCs w:val="18"/>
                <w:lang w:val="en-GB" w:eastAsia="en-GB"/>
              </w:rPr>
              <w:t>3,042</w:t>
            </w:r>
          </w:p>
        </w:tc>
      </w:tr>
      <w:tr w:rsidR="001C2B2C" w14:paraId="16BEFB7A" w14:textId="77777777" w:rsidTr="00B322A7">
        <w:trPr>
          <w:cantSplit/>
        </w:trPr>
        <w:tc>
          <w:tcPr>
            <w:tcW w:w="6211" w:type="dxa"/>
            <w:vAlign w:val="center"/>
          </w:tcPr>
          <w:p w14:paraId="7772B4E9" w14:textId="77777777" w:rsidR="001C2B2C" w:rsidRDefault="001C2B2C" w:rsidP="00B322A7">
            <w:pPr>
              <w:tabs>
                <w:tab w:val="right" w:leader="dot" w:pos="5400"/>
              </w:tabs>
              <w:ind w:right="-7"/>
              <w:jc w:val="both"/>
              <w:rPr>
                <w:rFonts w:cs="Arabic Transparent"/>
                <w:sz w:val="18"/>
                <w:szCs w:val="18"/>
              </w:rPr>
            </w:pPr>
            <w:r>
              <w:rPr>
                <w:rFonts w:cs="Arabic Transparent"/>
                <w:sz w:val="18"/>
                <w:szCs w:val="18"/>
              </w:rPr>
              <w:t>Service charge expenses</w:t>
            </w:r>
            <w:r>
              <w:rPr>
                <w:rFonts w:cs="Arabic Transparent"/>
                <w:sz w:val="18"/>
                <w:szCs w:val="18"/>
              </w:rPr>
              <w:tab/>
            </w:r>
          </w:p>
        </w:tc>
        <w:tc>
          <w:tcPr>
            <w:tcW w:w="1473" w:type="dxa"/>
            <w:vAlign w:val="bottom"/>
          </w:tcPr>
          <w:p w14:paraId="069346FC" w14:textId="77777777" w:rsidR="001C2B2C" w:rsidRDefault="001C2B2C" w:rsidP="00B322A7">
            <w:pPr>
              <w:tabs>
                <w:tab w:val="decimal" w:pos="935"/>
              </w:tabs>
              <w:ind w:right="169"/>
              <w:jc w:val="right"/>
              <w:rPr>
                <w:sz w:val="18"/>
                <w:szCs w:val="18"/>
                <w:lang w:val="en-GB" w:eastAsia="en-GB"/>
              </w:rPr>
            </w:pPr>
            <w:r>
              <w:rPr>
                <w:sz w:val="18"/>
                <w:szCs w:val="18"/>
                <w:lang w:val="en-GB" w:eastAsia="en-GB"/>
              </w:rPr>
              <w:t>(1,267)</w:t>
            </w:r>
          </w:p>
        </w:tc>
        <w:tc>
          <w:tcPr>
            <w:tcW w:w="1411" w:type="dxa"/>
            <w:vAlign w:val="bottom"/>
          </w:tcPr>
          <w:p w14:paraId="5B16DA3B" w14:textId="77777777" w:rsidR="001C2B2C" w:rsidRDefault="001C2B2C" w:rsidP="00B322A7">
            <w:pPr>
              <w:tabs>
                <w:tab w:val="decimal" w:pos="874"/>
              </w:tabs>
              <w:ind w:right="166"/>
              <w:jc w:val="right"/>
              <w:rPr>
                <w:sz w:val="18"/>
                <w:szCs w:val="18"/>
                <w:lang w:val="en-GB" w:eastAsia="en-GB"/>
              </w:rPr>
            </w:pPr>
            <w:r>
              <w:rPr>
                <w:sz w:val="18"/>
                <w:szCs w:val="18"/>
                <w:lang w:val="en-GB" w:eastAsia="en-GB"/>
              </w:rPr>
              <w:t>(2,447)</w:t>
            </w:r>
          </w:p>
        </w:tc>
      </w:tr>
      <w:tr w:rsidR="001C2B2C" w14:paraId="784CC107" w14:textId="77777777" w:rsidTr="00B322A7">
        <w:trPr>
          <w:cantSplit/>
        </w:trPr>
        <w:tc>
          <w:tcPr>
            <w:tcW w:w="6211" w:type="dxa"/>
            <w:vAlign w:val="center"/>
          </w:tcPr>
          <w:p w14:paraId="37C23C55" w14:textId="77777777" w:rsidR="001C2B2C" w:rsidRDefault="001C2B2C" w:rsidP="00B322A7">
            <w:pPr>
              <w:tabs>
                <w:tab w:val="right" w:leader="dot" w:pos="5400"/>
              </w:tabs>
              <w:ind w:right="-7"/>
              <w:jc w:val="both"/>
              <w:rPr>
                <w:rFonts w:cs="Arabic Transparent"/>
                <w:sz w:val="18"/>
                <w:szCs w:val="18"/>
              </w:rPr>
            </w:pPr>
            <w:r>
              <w:rPr>
                <w:rFonts w:cs="Arabic Transparent"/>
                <w:sz w:val="18"/>
                <w:szCs w:val="18"/>
              </w:rPr>
              <w:t>Property operating expenses</w:t>
            </w:r>
            <w:r>
              <w:rPr>
                <w:rFonts w:cs="Arabic Transparent"/>
                <w:sz w:val="18"/>
                <w:szCs w:val="18"/>
              </w:rPr>
              <w:tab/>
            </w:r>
          </w:p>
        </w:tc>
        <w:tc>
          <w:tcPr>
            <w:tcW w:w="1473" w:type="dxa"/>
            <w:vAlign w:val="bottom"/>
          </w:tcPr>
          <w:p w14:paraId="31914785" w14:textId="77777777" w:rsidR="001C2B2C" w:rsidRDefault="001C2B2C" w:rsidP="00B322A7">
            <w:pPr>
              <w:tabs>
                <w:tab w:val="decimal" w:pos="935"/>
              </w:tabs>
              <w:ind w:right="169"/>
              <w:jc w:val="right"/>
              <w:rPr>
                <w:sz w:val="18"/>
                <w:szCs w:val="18"/>
                <w:lang w:val="en-GB" w:eastAsia="en-GB"/>
              </w:rPr>
            </w:pPr>
            <w:r>
              <w:rPr>
                <w:sz w:val="18"/>
                <w:szCs w:val="18"/>
                <w:lang w:val="en-GB" w:eastAsia="en-GB"/>
              </w:rPr>
              <w:t>(655)</w:t>
            </w:r>
          </w:p>
        </w:tc>
        <w:tc>
          <w:tcPr>
            <w:tcW w:w="1411" w:type="dxa"/>
            <w:vAlign w:val="bottom"/>
          </w:tcPr>
          <w:p w14:paraId="2D718D76" w14:textId="77777777" w:rsidR="001C2B2C" w:rsidRDefault="001C2B2C" w:rsidP="00B322A7">
            <w:pPr>
              <w:tabs>
                <w:tab w:val="decimal" w:pos="874"/>
              </w:tabs>
              <w:ind w:right="166"/>
              <w:jc w:val="right"/>
              <w:rPr>
                <w:sz w:val="18"/>
                <w:szCs w:val="18"/>
                <w:lang w:val="en-GB" w:eastAsia="en-GB"/>
              </w:rPr>
            </w:pPr>
            <w:r>
              <w:rPr>
                <w:sz w:val="18"/>
                <w:szCs w:val="18"/>
                <w:lang w:val="en-GB" w:eastAsia="en-GB"/>
              </w:rPr>
              <w:t>(1,099)</w:t>
            </w:r>
          </w:p>
        </w:tc>
      </w:tr>
      <w:tr w:rsidR="001C2B2C" w14:paraId="74AD1E09" w14:textId="77777777" w:rsidTr="00B322A7">
        <w:trPr>
          <w:cantSplit/>
        </w:trPr>
        <w:tc>
          <w:tcPr>
            <w:tcW w:w="6211" w:type="dxa"/>
            <w:vAlign w:val="center"/>
          </w:tcPr>
          <w:p w14:paraId="33962F97" w14:textId="77777777" w:rsidR="001C2B2C" w:rsidRDefault="001C2B2C" w:rsidP="00B322A7">
            <w:pPr>
              <w:tabs>
                <w:tab w:val="right" w:leader="dot" w:pos="5400"/>
              </w:tabs>
              <w:ind w:right="-7"/>
              <w:jc w:val="both"/>
              <w:rPr>
                <w:rFonts w:cs="Arabic Transparent"/>
                <w:b/>
                <w:sz w:val="18"/>
                <w:szCs w:val="18"/>
                <w:lang w:val="en-GB"/>
              </w:rPr>
            </w:pPr>
            <w:r>
              <w:rPr>
                <w:rFonts w:cs="Arabic Transparent"/>
                <w:b/>
                <w:sz w:val="18"/>
                <w:szCs w:val="18"/>
              </w:rPr>
              <w:t>Net rental income</w:t>
            </w:r>
            <w:r>
              <w:rPr>
                <w:rFonts w:cs="Arabic Transparent"/>
                <w:b/>
                <w:sz w:val="18"/>
                <w:szCs w:val="18"/>
              </w:rPr>
              <w:tab/>
            </w:r>
          </w:p>
        </w:tc>
        <w:tc>
          <w:tcPr>
            <w:tcW w:w="1473" w:type="dxa"/>
            <w:vAlign w:val="bottom"/>
          </w:tcPr>
          <w:p w14:paraId="23AC8C0C" w14:textId="77777777" w:rsidR="001C2B2C" w:rsidRDefault="001C2B2C" w:rsidP="00B322A7">
            <w:pPr>
              <w:tabs>
                <w:tab w:val="decimal" w:pos="935"/>
              </w:tabs>
              <w:ind w:right="169"/>
              <w:jc w:val="right"/>
              <w:rPr>
                <w:b/>
                <w:bCs/>
                <w:sz w:val="18"/>
                <w:szCs w:val="18"/>
                <w:u w:val="single"/>
                <w:lang w:val="en-GB" w:eastAsia="en-GB"/>
              </w:rPr>
            </w:pPr>
            <w:r>
              <w:rPr>
                <w:b/>
                <w:bCs/>
                <w:sz w:val="18"/>
                <w:szCs w:val="18"/>
                <w:u w:val="single"/>
                <w:lang w:val="en-GB" w:eastAsia="en-GB"/>
              </w:rPr>
              <w:t>8,598</w:t>
            </w:r>
          </w:p>
        </w:tc>
        <w:tc>
          <w:tcPr>
            <w:tcW w:w="1411" w:type="dxa"/>
            <w:vAlign w:val="bottom"/>
          </w:tcPr>
          <w:p w14:paraId="2D857A2F" w14:textId="77777777" w:rsidR="001C2B2C" w:rsidRDefault="001C2B2C" w:rsidP="00B322A7">
            <w:pPr>
              <w:tabs>
                <w:tab w:val="decimal" w:pos="874"/>
              </w:tabs>
              <w:ind w:right="166"/>
              <w:jc w:val="right"/>
              <w:rPr>
                <w:b/>
                <w:bCs/>
                <w:sz w:val="18"/>
                <w:szCs w:val="18"/>
                <w:u w:val="single"/>
                <w:lang w:val="en-GB" w:eastAsia="en-GB"/>
              </w:rPr>
            </w:pPr>
            <w:r>
              <w:rPr>
                <w:b/>
                <w:bCs/>
                <w:sz w:val="18"/>
                <w:szCs w:val="18"/>
                <w:u w:val="single"/>
                <w:lang w:val="en-GB" w:eastAsia="en-GB"/>
              </w:rPr>
              <w:t>12,581</w:t>
            </w:r>
          </w:p>
        </w:tc>
      </w:tr>
      <w:tr w:rsidR="001C2B2C" w14:paraId="190BCF04" w14:textId="77777777" w:rsidTr="00B322A7">
        <w:trPr>
          <w:cantSplit/>
        </w:trPr>
        <w:tc>
          <w:tcPr>
            <w:tcW w:w="6211" w:type="dxa"/>
            <w:vAlign w:val="center"/>
          </w:tcPr>
          <w:p w14:paraId="30662B9E" w14:textId="77777777" w:rsidR="001C2B2C" w:rsidRDefault="001C2B2C" w:rsidP="00B322A7">
            <w:pPr>
              <w:tabs>
                <w:tab w:val="right" w:leader="dot" w:pos="5400"/>
              </w:tabs>
              <w:ind w:right="-7"/>
              <w:jc w:val="both"/>
              <w:rPr>
                <w:rFonts w:cs="Arabic Transparent"/>
                <w:sz w:val="18"/>
                <w:szCs w:val="18"/>
                <w:lang w:val="en-GB"/>
              </w:rPr>
            </w:pPr>
            <w:r>
              <w:rPr>
                <w:rFonts w:cs="Arabic Transparent"/>
                <w:sz w:val="18"/>
                <w:szCs w:val="18"/>
              </w:rPr>
              <w:t>Property and development management income</w:t>
            </w:r>
            <w:r>
              <w:rPr>
                <w:rFonts w:cs="Arabic Transparent"/>
                <w:sz w:val="18"/>
                <w:szCs w:val="18"/>
              </w:rPr>
              <w:tab/>
            </w:r>
          </w:p>
        </w:tc>
        <w:tc>
          <w:tcPr>
            <w:tcW w:w="1473" w:type="dxa"/>
            <w:vAlign w:val="bottom"/>
          </w:tcPr>
          <w:p w14:paraId="5AA4190C" w14:textId="77777777" w:rsidR="001C2B2C" w:rsidRDefault="001C2B2C" w:rsidP="00B322A7">
            <w:pPr>
              <w:tabs>
                <w:tab w:val="decimal" w:pos="935"/>
              </w:tabs>
              <w:ind w:right="169"/>
              <w:jc w:val="right"/>
              <w:rPr>
                <w:sz w:val="18"/>
                <w:szCs w:val="18"/>
                <w:lang w:val="en-GB" w:eastAsia="en-GB"/>
              </w:rPr>
            </w:pPr>
            <w:r>
              <w:rPr>
                <w:sz w:val="18"/>
                <w:szCs w:val="18"/>
                <w:lang w:val="en-GB" w:eastAsia="en-GB"/>
              </w:rPr>
              <w:t>3,495</w:t>
            </w:r>
          </w:p>
        </w:tc>
        <w:tc>
          <w:tcPr>
            <w:tcW w:w="1411" w:type="dxa"/>
            <w:vAlign w:val="bottom"/>
          </w:tcPr>
          <w:p w14:paraId="6461DA97" w14:textId="77777777" w:rsidR="001C2B2C" w:rsidRDefault="001C2B2C" w:rsidP="00B322A7">
            <w:pPr>
              <w:tabs>
                <w:tab w:val="decimal" w:pos="874"/>
              </w:tabs>
              <w:ind w:right="166"/>
              <w:jc w:val="right"/>
              <w:rPr>
                <w:sz w:val="18"/>
                <w:szCs w:val="18"/>
                <w:lang w:val="en-GB" w:eastAsia="en-GB"/>
              </w:rPr>
            </w:pPr>
            <w:r>
              <w:rPr>
                <w:sz w:val="18"/>
                <w:szCs w:val="18"/>
                <w:lang w:val="en-GB" w:eastAsia="en-GB"/>
              </w:rPr>
              <w:t>638</w:t>
            </w:r>
          </w:p>
        </w:tc>
      </w:tr>
      <w:tr w:rsidR="001C2B2C" w14:paraId="405C18E4" w14:textId="77777777" w:rsidTr="00B322A7">
        <w:trPr>
          <w:cantSplit/>
        </w:trPr>
        <w:tc>
          <w:tcPr>
            <w:tcW w:w="6211" w:type="dxa"/>
            <w:vAlign w:val="center"/>
          </w:tcPr>
          <w:p w14:paraId="75117F1A" w14:textId="77777777" w:rsidR="001C2B2C" w:rsidRDefault="001C2B2C" w:rsidP="00B322A7">
            <w:pPr>
              <w:tabs>
                <w:tab w:val="right" w:leader="dot" w:pos="5400"/>
              </w:tabs>
              <w:ind w:right="-7"/>
              <w:jc w:val="both"/>
              <w:rPr>
                <w:rFonts w:cs="Arabic Transparent"/>
                <w:sz w:val="18"/>
                <w:szCs w:val="18"/>
                <w:lang w:val="en-GB"/>
              </w:rPr>
            </w:pPr>
            <w:r>
              <w:rPr>
                <w:rFonts w:cs="Arabic Transparent"/>
                <w:sz w:val="18"/>
                <w:szCs w:val="18"/>
              </w:rPr>
              <w:t>Facility management income</w:t>
            </w:r>
            <w:r>
              <w:rPr>
                <w:rFonts w:cs="Arabic Transparent"/>
                <w:sz w:val="18"/>
                <w:szCs w:val="18"/>
              </w:rPr>
              <w:tab/>
            </w:r>
          </w:p>
        </w:tc>
        <w:tc>
          <w:tcPr>
            <w:tcW w:w="1473" w:type="dxa"/>
            <w:vAlign w:val="bottom"/>
          </w:tcPr>
          <w:p w14:paraId="3B46008E" w14:textId="77777777" w:rsidR="001C2B2C" w:rsidRDefault="001C2B2C" w:rsidP="00B322A7">
            <w:pPr>
              <w:tabs>
                <w:tab w:val="decimal" w:pos="935"/>
              </w:tabs>
              <w:ind w:right="169"/>
              <w:jc w:val="right"/>
              <w:rPr>
                <w:sz w:val="18"/>
                <w:szCs w:val="18"/>
                <w:lang w:val="en-GB" w:eastAsia="en-GB"/>
              </w:rPr>
            </w:pPr>
            <w:r>
              <w:rPr>
                <w:sz w:val="18"/>
                <w:szCs w:val="18"/>
                <w:lang w:val="en-GB" w:eastAsia="en-GB"/>
              </w:rPr>
              <w:t>281</w:t>
            </w:r>
          </w:p>
        </w:tc>
        <w:tc>
          <w:tcPr>
            <w:tcW w:w="1411" w:type="dxa"/>
            <w:vAlign w:val="bottom"/>
          </w:tcPr>
          <w:p w14:paraId="07902806" w14:textId="77777777" w:rsidR="001C2B2C" w:rsidRDefault="001C2B2C" w:rsidP="00B322A7">
            <w:pPr>
              <w:tabs>
                <w:tab w:val="decimal" w:pos="874"/>
              </w:tabs>
              <w:ind w:right="166"/>
              <w:jc w:val="right"/>
              <w:rPr>
                <w:sz w:val="18"/>
                <w:szCs w:val="18"/>
                <w:lang w:val="en-GB" w:eastAsia="en-GB"/>
              </w:rPr>
            </w:pPr>
            <w:r>
              <w:rPr>
                <w:sz w:val="18"/>
                <w:szCs w:val="18"/>
                <w:lang w:val="en-GB" w:eastAsia="en-GB"/>
              </w:rPr>
              <w:t>239</w:t>
            </w:r>
          </w:p>
        </w:tc>
      </w:tr>
      <w:tr w:rsidR="001C2B2C" w14:paraId="7E93F2AE" w14:textId="77777777" w:rsidTr="00B322A7">
        <w:trPr>
          <w:cantSplit/>
        </w:trPr>
        <w:tc>
          <w:tcPr>
            <w:tcW w:w="6211" w:type="dxa"/>
            <w:vAlign w:val="center"/>
          </w:tcPr>
          <w:p w14:paraId="2833AAD6" w14:textId="77777777" w:rsidR="001C2B2C" w:rsidRDefault="001C2B2C" w:rsidP="00B322A7">
            <w:pPr>
              <w:tabs>
                <w:tab w:val="right" w:leader="dot" w:pos="5400"/>
              </w:tabs>
              <w:ind w:right="-7"/>
              <w:jc w:val="both"/>
              <w:rPr>
                <w:rFonts w:cs="Arabic Transparent"/>
                <w:sz w:val="18"/>
                <w:szCs w:val="18"/>
                <w:lang w:val="en-GB"/>
              </w:rPr>
            </w:pPr>
            <w:r>
              <w:rPr>
                <w:rFonts w:cs="Arabic Transparent"/>
                <w:sz w:val="18"/>
                <w:szCs w:val="18"/>
              </w:rPr>
              <w:t>Net valuation gains / (losses) on investment properties</w:t>
            </w:r>
            <w:r>
              <w:rPr>
                <w:rFonts w:cs="Arabic Transparent"/>
                <w:sz w:val="18"/>
                <w:szCs w:val="18"/>
              </w:rPr>
              <w:tab/>
            </w:r>
          </w:p>
        </w:tc>
        <w:tc>
          <w:tcPr>
            <w:tcW w:w="1473" w:type="dxa"/>
            <w:vAlign w:val="bottom"/>
          </w:tcPr>
          <w:p w14:paraId="612D9C92" w14:textId="77777777" w:rsidR="001C2B2C" w:rsidRDefault="001C2B2C" w:rsidP="00B322A7">
            <w:pPr>
              <w:tabs>
                <w:tab w:val="decimal" w:pos="935"/>
              </w:tabs>
              <w:ind w:right="169"/>
              <w:jc w:val="right"/>
              <w:rPr>
                <w:sz w:val="18"/>
                <w:szCs w:val="18"/>
                <w:lang w:val="en-GB" w:eastAsia="en-GB"/>
              </w:rPr>
            </w:pPr>
            <w:r>
              <w:rPr>
                <w:sz w:val="18"/>
                <w:szCs w:val="18"/>
                <w:lang w:val="en-GB" w:eastAsia="en-GB"/>
              </w:rPr>
              <w:t>59,864</w:t>
            </w:r>
          </w:p>
        </w:tc>
        <w:tc>
          <w:tcPr>
            <w:tcW w:w="1411" w:type="dxa"/>
            <w:vAlign w:val="bottom"/>
          </w:tcPr>
          <w:p w14:paraId="2DDC7C29" w14:textId="77777777" w:rsidR="001C2B2C" w:rsidRDefault="001C2B2C" w:rsidP="00B322A7">
            <w:pPr>
              <w:tabs>
                <w:tab w:val="decimal" w:pos="874"/>
              </w:tabs>
              <w:ind w:right="166"/>
              <w:jc w:val="right"/>
              <w:rPr>
                <w:sz w:val="18"/>
                <w:szCs w:val="18"/>
                <w:lang w:val="en-GB" w:eastAsia="en-GB"/>
              </w:rPr>
            </w:pPr>
            <w:r>
              <w:rPr>
                <w:sz w:val="18"/>
                <w:szCs w:val="18"/>
                <w:lang w:val="en-GB" w:eastAsia="en-GB"/>
              </w:rPr>
              <w:t>65,127</w:t>
            </w:r>
          </w:p>
        </w:tc>
      </w:tr>
      <w:tr w:rsidR="001C2B2C" w14:paraId="7B9B129F" w14:textId="77777777" w:rsidTr="00B322A7">
        <w:trPr>
          <w:cantSplit/>
        </w:trPr>
        <w:tc>
          <w:tcPr>
            <w:tcW w:w="6211" w:type="dxa"/>
            <w:vAlign w:val="center"/>
          </w:tcPr>
          <w:p w14:paraId="0CD1E97C" w14:textId="77777777" w:rsidR="001C2B2C" w:rsidRDefault="001C2B2C" w:rsidP="00B322A7">
            <w:pPr>
              <w:tabs>
                <w:tab w:val="right" w:leader="dot" w:pos="5400"/>
              </w:tabs>
              <w:ind w:right="-7"/>
              <w:jc w:val="both"/>
              <w:rPr>
                <w:rFonts w:cs="Arabic Transparent"/>
                <w:sz w:val="18"/>
                <w:szCs w:val="18"/>
                <w:lang w:val="en-GB"/>
              </w:rPr>
            </w:pPr>
            <w:r>
              <w:rPr>
                <w:rFonts w:cs="Arabic Transparent"/>
                <w:sz w:val="18"/>
                <w:szCs w:val="18"/>
              </w:rPr>
              <w:t>Administration expenses</w:t>
            </w:r>
            <w:r>
              <w:rPr>
                <w:rFonts w:cs="Arabic Transparent"/>
                <w:sz w:val="18"/>
                <w:szCs w:val="18"/>
              </w:rPr>
              <w:tab/>
            </w:r>
          </w:p>
        </w:tc>
        <w:tc>
          <w:tcPr>
            <w:tcW w:w="1473" w:type="dxa"/>
            <w:vAlign w:val="bottom"/>
          </w:tcPr>
          <w:p w14:paraId="6BF6FFA7" w14:textId="77777777" w:rsidR="001C2B2C" w:rsidRDefault="001C2B2C" w:rsidP="00B322A7">
            <w:pPr>
              <w:tabs>
                <w:tab w:val="decimal" w:pos="935"/>
              </w:tabs>
              <w:ind w:right="169"/>
              <w:jc w:val="right"/>
              <w:rPr>
                <w:sz w:val="18"/>
                <w:szCs w:val="18"/>
                <w:lang w:val="en-GB" w:eastAsia="en-GB"/>
              </w:rPr>
            </w:pPr>
            <w:r>
              <w:rPr>
                <w:sz w:val="18"/>
                <w:szCs w:val="18"/>
                <w:lang w:val="en-GB" w:eastAsia="en-GB"/>
              </w:rPr>
              <w:t>(9,660)</w:t>
            </w:r>
          </w:p>
        </w:tc>
        <w:tc>
          <w:tcPr>
            <w:tcW w:w="1411" w:type="dxa"/>
            <w:vAlign w:val="bottom"/>
          </w:tcPr>
          <w:p w14:paraId="7DBAA00D" w14:textId="77777777" w:rsidR="001C2B2C" w:rsidRDefault="001C2B2C" w:rsidP="00B322A7">
            <w:pPr>
              <w:tabs>
                <w:tab w:val="decimal" w:pos="874"/>
              </w:tabs>
              <w:ind w:right="166"/>
              <w:jc w:val="right"/>
              <w:rPr>
                <w:sz w:val="18"/>
                <w:szCs w:val="18"/>
                <w:lang w:val="en-GB" w:eastAsia="en-GB"/>
              </w:rPr>
            </w:pPr>
            <w:r>
              <w:rPr>
                <w:sz w:val="18"/>
                <w:szCs w:val="18"/>
                <w:lang w:val="en-GB" w:eastAsia="en-GB"/>
              </w:rPr>
              <w:t>(4,904)</w:t>
            </w:r>
          </w:p>
        </w:tc>
      </w:tr>
      <w:tr w:rsidR="001C2B2C" w14:paraId="51BB79CE" w14:textId="77777777" w:rsidTr="00B322A7">
        <w:trPr>
          <w:cantSplit/>
        </w:trPr>
        <w:tc>
          <w:tcPr>
            <w:tcW w:w="6211" w:type="dxa"/>
            <w:vAlign w:val="center"/>
          </w:tcPr>
          <w:p w14:paraId="0726605E" w14:textId="77777777" w:rsidR="001C2B2C" w:rsidRDefault="001C2B2C" w:rsidP="00B322A7">
            <w:pPr>
              <w:tabs>
                <w:tab w:val="right" w:leader="dot" w:pos="5400"/>
              </w:tabs>
              <w:ind w:right="-7"/>
              <w:jc w:val="both"/>
              <w:rPr>
                <w:rFonts w:cs="Arabic Transparent"/>
                <w:sz w:val="18"/>
                <w:szCs w:val="18"/>
                <w:lang w:val="en-GB"/>
              </w:rPr>
            </w:pPr>
            <w:r>
              <w:rPr>
                <w:rFonts w:cs="Arabic Transparent"/>
                <w:sz w:val="18"/>
                <w:szCs w:val="18"/>
              </w:rPr>
              <w:t>Other income</w:t>
            </w:r>
            <w:r>
              <w:rPr>
                <w:rFonts w:cs="Arabic Transparent"/>
                <w:sz w:val="18"/>
                <w:szCs w:val="18"/>
              </w:rPr>
              <w:tab/>
            </w:r>
          </w:p>
        </w:tc>
        <w:tc>
          <w:tcPr>
            <w:tcW w:w="1473" w:type="dxa"/>
            <w:vAlign w:val="bottom"/>
          </w:tcPr>
          <w:p w14:paraId="664B9A56" w14:textId="77777777" w:rsidR="001C2B2C" w:rsidRDefault="001C2B2C" w:rsidP="00B322A7">
            <w:pPr>
              <w:tabs>
                <w:tab w:val="decimal" w:pos="935"/>
              </w:tabs>
              <w:ind w:right="169"/>
              <w:jc w:val="right"/>
              <w:rPr>
                <w:sz w:val="18"/>
                <w:szCs w:val="18"/>
                <w:lang w:val="en-GB" w:eastAsia="en-GB"/>
              </w:rPr>
            </w:pPr>
            <w:r>
              <w:rPr>
                <w:sz w:val="18"/>
                <w:szCs w:val="18"/>
                <w:lang w:val="en-GB" w:eastAsia="en-GB"/>
              </w:rPr>
              <w:t>370</w:t>
            </w:r>
          </w:p>
        </w:tc>
        <w:tc>
          <w:tcPr>
            <w:tcW w:w="1411" w:type="dxa"/>
            <w:vAlign w:val="bottom"/>
          </w:tcPr>
          <w:p w14:paraId="7D6CCB2D" w14:textId="77777777" w:rsidR="001C2B2C" w:rsidRDefault="001C2B2C" w:rsidP="00B322A7">
            <w:pPr>
              <w:tabs>
                <w:tab w:val="decimal" w:pos="874"/>
              </w:tabs>
              <w:ind w:right="166"/>
              <w:jc w:val="right"/>
              <w:rPr>
                <w:sz w:val="18"/>
                <w:szCs w:val="18"/>
                <w:lang w:val="en-GB" w:eastAsia="en-GB"/>
              </w:rPr>
            </w:pPr>
            <w:r>
              <w:rPr>
                <w:sz w:val="18"/>
                <w:szCs w:val="18"/>
                <w:lang w:val="en-GB" w:eastAsia="en-GB"/>
              </w:rPr>
              <w:t>233</w:t>
            </w:r>
          </w:p>
        </w:tc>
      </w:tr>
      <w:tr w:rsidR="001C2B2C" w14:paraId="31EBC991" w14:textId="77777777" w:rsidTr="00B322A7">
        <w:trPr>
          <w:cantSplit/>
        </w:trPr>
        <w:tc>
          <w:tcPr>
            <w:tcW w:w="6211" w:type="dxa"/>
            <w:vAlign w:val="center"/>
          </w:tcPr>
          <w:p w14:paraId="203CA270" w14:textId="77777777" w:rsidR="001C2B2C" w:rsidRDefault="001C2B2C" w:rsidP="00B322A7">
            <w:pPr>
              <w:tabs>
                <w:tab w:val="right" w:leader="dot" w:pos="5400"/>
              </w:tabs>
              <w:ind w:right="-7"/>
              <w:jc w:val="both"/>
              <w:rPr>
                <w:rFonts w:cs="Arabic Transparent"/>
                <w:sz w:val="18"/>
                <w:szCs w:val="18"/>
                <w:lang w:val="en-GB"/>
              </w:rPr>
            </w:pPr>
            <w:r>
              <w:rPr>
                <w:rFonts w:cs="Arabic Transparent"/>
                <w:sz w:val="18"/>
                <w:szCs w:val="18"/>
              </w:rPr>
              <w:t>Other expenses</w:t>
            </w:r>
            <w:r>
              <w:rPr>
                <w:rFonts w:cs="Arabic Transparent"/>
                <w:sz w:val="18"/>
                <w:szCs w:val="18"/>
              </w:rPr>
              <w:tab/>
            </w:r>
          </w:p>
        </w:tc>
        <w:tc>
          <w:tcPr>
            <w:tcW w:w="1473" w:type="dxa"/>
            <w:vAlign w:val="bottom"/>
          </w:tcPr>
          <w:p w14:paraId="51306AEB" w14:textId="77777777" w:rsidR="001C2B2C" w:rsidRDefault="001C2B2C" w:rsidP="00B322A7">
            <w:pPr>
              <w:tabs>
                <w:tab w:val="decimal" w:pos="935"/>
              </w:tabs>
              <w:ind w:right="169"/>
              <w:jc w:val="right"/>
              <w:rPr>
                <w:sz w:val="18"/>
                <w:szCs w:val="18"/>
                <w:lang w:val="en-GB" w:eastAsia="en-GB"/>
              </w:rPr>
            </w:pPr>
            <w:r>
              <w:rPr>
                <w:sz w:val="18"/>
                <w:szCs w:val="18"/>
                <w:lang w:val="en-GB" w:eastAsia="en-GB"/>
              </w:rPr>
              <w:t>(439)</w:t>
            </w:r>
          </w:p>
        </w:tc>
        <w:tc>
          <w:tcPr>
            <w:tcW w:w="1411" w:type="dxa"/>
            <w:vAlign w:val="bottom"/>
          </w:tcPr>
          <w:p w14:paraId="4982971B" w14:textId="77777777" w:rsidR="001C2B2C" w:rsidRDefault="001C2B2C" w:rsidP="00B322A7">
            <w:pPr>
              <w:tabs>
                <w:tab w:val="decimal" w:pos="874"/>
              </w:tabs>
              <w:ind w:right="166"/>
              <w:jc w:val="right"/>
              <w:rPr>
                <w:sz w:val="18"/>
                <w:szCs w:val="18"/>
                <w:lang w:val="en-GB" w:eastAsia="en-GB"/>
              </w:rPr>
            </w:pPr>
            <w:r>
              <w:rPr>
                <w:sz w:val="18"/>
                <w:szCs w:val="18"/>
                <w:lang w:val="en-GB" w:eastAsia="en-GB"/>
              </w:rPr>
              <w:t>(587)</w:t>
            </w:r>
          </w:p>
        </w:tc>
      </w:tr>
      <w:tr w:rsidR="001C2B2C" w14:paraId="48D37D22" w14:textId="77777777" w:rsidTr="00B322A7">
        <w:trPr>
          <w:cantSplit/>
        </w:trPr>
        <w:tc>
          <w:tcPr>
            <w:tcW w:w="6211" w:type="dxa"/>
            <w:vAlign w:val="center"/>
          </w:tcPr>
          <w:p w14:paraId="3DA08296" w14:textId="77777777" w:rsidR="001C2B2C" w:rsidRDefault="001C2B2C" w:rsidP="00B322A7">
            <w:pPr>
              <w:tabs>
                <w:tab w:val="right" w:leader="dot" w:pos="5400"/>
              </w:tabs>
              <w:ind w:right="-7"/>
              <w:jc w:val="both"/>
              <w:rPr>
                <w:rFonts w:cs="Arabic Transparent"/>
                <w:sz w:val="18"/>
                <w:szCs w:val="18"/>
              </w:rPr>
            </w:pPr>
            <w:r>
              <w:rPr>
                <w:rFonts w:cs="Arabic Transparent"/>
                <w:sz w:val="18"/>
                <w:szCs w:val="18"/>
              </w:rPr>
              <w:t>Share in result of associates</w:t>
            </w:r>
          </w:p>
        </w:tc>
        <w:tc>
          <w:tcPr>
            <w:tcW w:w="1473" w:type="dxa"/>
            <w:vAlign w:val="bottom"/>
          </w:tcPr>
          <w:p w14:paraId="51BE9633" w14:textId="77777777" w:rsidR="001C2B2C" w:rsidRDefault="001C2B2C" w:rsidP="00B322A7">
            <w:pPr>
              <w:tabs>
                <w:tab w:val="decimal" w:pos="935"/>
              </w:tabs>
              <w:ind w:right="169"/>
              <w:jc w:val="right"/>
              <w:rPr>
                <w:sz w:val="18"/>
                <w:szCs w:val="18"/>
                <w:lang w:val="en-GB" w:eastAsia="en-GB"/>
              </w:rPr>
            </w:pPr>
            <w:r>
              <w:rPr>
                <w:sz w:val="18"/>
                <w:szCs w:val="18"/>
                <w:lang w:val="en-GB" w:eastAsia="en-GB"/>
              </w:rPr>
              <w:t>15,167</w:t>
            </w:r>
          </w:p>
        </w:tc>
        <w:tc>
          <w:tcPr>
            <w:tcW w:w="1411" w:type="dxa"/>
            <w:vAlign w:val="bottom"/>
          </w:tcPr>
          <w:p w14:paraId="1794F6F9" w14:textId="77777777" w:rsidR="001C2B2C" w:rsidRDefault="001C2B2C" w:rsidP="00B322A7">
            <w:pPr>
              <w:tabs>
                <w:tab w:val="decimal" w:pos="874"/>
              </w:tabs>
              <w:ind w:right="166"/>
              <w:jc w:val="right"/>
              <w:rPr>
                <w:sz w:val="18"/>
                <w:szCs w:val="18"/>
                <w:lang w:val="en-GB" w:eastAsia="en-GB"/>
              </w:rPr>
            </w:pPr>
            <w:r>
              <w:rPr>
                <w:sz w:val="18"/>
                <w:szCs w:val="18"/>
                <w:lang w:val="en-GB" w:eastAsia="en-GB"/>
              </w:rPr>
              <w:t>(3,279)</w:t>
            </w:r>
          </w:p>
        </w:tc>
      </w:tr>
      <w:tr w:rsidR="001C2B2C" w14:paraId="24BFCEC4" w14:textId="77777777" w:rsidTr="00B322A7">
        <w:trPr>
          <w:cantSplit/>
        </w:trPr>
        <w:tc>
          <w:tcPr>
            <w:tcW w:w="6211" w:type="dxa"/>
            <w:vAlign w:val="center"/>
          </w:tcPr>
          <w:p w14:paraId="7474508C" w14:textId="77777777" w:rsidR="001C2B2C" w:rsidRDefault="001C2B2C" w:rsidP="00B322A7">
            <w:pPr>
              <w:tabs>
                <w:tab w:val="right" w:leader="dot" w:pos="5400"/>
              </w:tabs>
              <w:ind w:right="-7"/>
              <w:jc w:val="both"/>
              <w:rPr>
                <w:rFonts w:cs="Arabic Transparent"/>
                <w:b/>
                <w:sz w:val="18"/>
                <w:szCs w:val="18"/>
                <w:lang w:val="en-GB"/>
              </w:rPr>
            </w:pPr>
            <w:r>
              <w:rPr>
                <w:rFonts w:cs="Arabic Transparent"/>
                <w:b/>
                <w:sz w:val="18"/>
                <w:szCs w:val="18"/>
              </w:rPr>
              <w:t>Operating profit / (loss)</w:t>
            </w:r>
            <w:r>
              <w:rPr>
                <w:rFonts w:cs="Arabic Transparent"/>
                <w:b/>
                <w:sz w:val="18"/>
                <w:szCs w:val="18"/>
              </w:rPr>
              <w:tab/>
            </w:r>
          </w:p>
        </w:tc>
        <w:tc>
          <w:tcPr>
            <w:tcW w:w="1473" w:type="dxa"/>
            <w:vAlign w:val="bottom"/>
          </w:tcPr>
          <w:p w14:paraId="2D430AD7" w14:textId="77777777" w:rsidR="001C2B2C" w:rsidRDefault="001C2B2C" w:rsidP="00B322A7">
            <w:pPr>
              <w:tabs>
                <w:tab w:val="decimal" w:pos="935"/>
              </w:tabs>
              <w:ind w:right="169"/>
              <w:jc w:val="right"/>
              <w:rPr>
                <w:b/>
                <w:bCs/>
                <w:sz w:val="18"/>
                <w:szCs w:val="18"/>
                <w:u w:val="single"/>
                <w:lang w:val="en-GB" w:eastAsia="en-GB"/>
              </w:rPr>
            </w:pPr>
            <w:r>
              <w:rPr>
                <w:b/>
                <w:bCs/>
                <w:sz w:val="18"/>
                <w:szCs w:val="18"/>
                <w:u w:val="single"/>
                <w:lang w:val="en-GB" w:eastAsia="en-GB"/>
              </w:rPr>
              <w:t>77,676</w:t>
            </w:r>
          </w:p>
        </w:tc>
        <w:tc>
          <w:tcPr>
            <w:tcW w:w="1411" w:type="dxa"/>
            <w:vAlign w:val="bottom"/>
          </w:tcPr>
          <w:p w14:paraId="000396E0" w14:textId="77777777" w:rsidR="001C2B2C" w:rsidRDefault="001C2B2C" w:rsidP="00B322A7">
            <w:pPr>
              <w:tabs>
                <w:tab w:val="decimal" w:pos="874"/>
              </w:tabs>
              <w:ind w:right="166"/>
              <w:jc w:val="right"/>
              <w:rPr>
                <w:b/>
                <w:bCs/>
                <w:sz w:val="18"/>
                <w:szCs w:val="18"/>
                <w:u w:val="single"/>
                <w:lang w:val="en-GB" w:eastAsia="en-GB"/>
              </w:rPr>
            </w:pPr>
            <w:r>
              <w:rPr>
                <w:b/>
                <w:bCs/>
                <w:sz w:val="18"/>
                <w:szCs w:val="18"/>
                <w:u w:val="single"/>
                <w:lang w:val="en-GB" w:eastAsia="en-GB"/>
              </w:rPr>
              <w:t>70,048</w:t>
            </w:r>
          </w:p>
        </w:tc>
      </w:tr>
      <w:tr w:rsidR="001C2B2C" w14:paraId="18317CFB" w14:textId="77777777" w:rsidTr="00B322A7">
        <w:trPr>
          <w:cantSplit/>
        </w:trPr>
        <w:tc>
          <w:tcPr>
            <w:tcW w:w="6211" w:type="dxa"/>
            <w:vAlign w:val="center"/>
          </w:tcPr>
          <w:p w14:paraId="6D6C024E" w14:textId="77777777" w:rsidR="001C2B2C" w:rsidRDefault="001C2B2C" w:rsidP="00B322A7">
            <w:pPr>
              <w:tabs>
                <w:tab w:val="right" w:leader="dot" w:pos="5400"/>
              </w:tabs>
              <w:ind w:right="-7"/>
              <w:jc w:val="both"/>
              <w:rPr>
                <w:rFonts w:cs="Arabic Transparent"/>
                <w:sz w:val="18"/>
                <w:szCs w:val="18"/>
                <w:lang w:val="en-GB"/>
              </w:rPr>
            </w:pPr>
            <w:r>
              <w:rPr>
                <w:rFonts w:cs="Arabic Transparent"/>
                <w:sz w:val="18"/>
                <w:szCs w:val="18"/>
              </w:rPr>
              <w:t>Financial income</w:t>
            </w:r>
            <w:r>
              <w:rPr>
                <w:rFonts w:cs="Arabic Transparent"/>
                <w:sz w:val="18"/>
                <w:szCs w:val="18"/>
              </w:rPr>
              <w:tab/>
            </w:r>
          </w:p>
        </w:tc>
        <w:tc>
          <w:tcPr>
            <w:tcW w:w="1473" w:type="dxa"/>
            <w:vAlign w:val="bottom"/>
          </w:tcPr>
          <w:p w14:paraId="63A14E7A" w14:textId="77777777" w:rsidR="001C2B2C" w:rsidRDefault="001C2B2C" w:rsidP="00B322A7">
            <w:pPr>
              <w:tabs>
                <w:tab w:val="decimal" w:pos="935"/>
              </w:tabs>
              <w:ind w:right="169"/>
              <w:jc w:val="right"/>
              <w:rPr>
                <w:sz w:val="18"/>
                <w:szCs w:val="18"/>
                <w:lang w:val="en-GB" w:eastAsia="en-GB"/>
              </w:rPr>
            </w:pPr>
            <w:r>
              <w:rPr>
                <w:sz w:val="18"/>
                <w:szCs w:val="18"/>
                <w:lang w:val="en-GB" w:eastAsia="en-GB"/>
              </w:rPr>
              <w:t>4,208</w:t>
            </w:r>
          </w:p>
        </w:tc>
        <w:tc>
          <w:tcPr>
            <w:tcW w:w="1411" w:type="dxa"/>
            <w:vAlign w:val="bottom"/>
          </w:tcPr>
          <w:p w14:paraId="3E4C825A" w14:textId="77777777" w:rsidR="001C2B2C" w:rsidRDefault="001C2B2C" w:rsidP="00B322A7">
            <w:pPr>
              <w:tabs>
                <w:tab w:val="decimal" w:pos="874"/>
              </w:tabs>
              <w:ind w:right="166"/>
              <w:jc w:val="right"/>
              <w:rPr>
                <w:sz w:val="18"/>
                <w:szCs w:val="18"/>
                <w:lang w:val="en-GB" w:eastAsia="en-GB"/>
              </w:rPr>
            </w:pPr>
            <w:r>
              <w:rPr>
                <w:sz w:val="18"/>
                <w:szCs w:val="18"/>
                <w:lang w:val="en-GB" w:eastAsia="en-GB"/>
              </w:rPr>
              <w:t>558</w:t>
            </w:r>
          </w:p>
        </w:tc>
      </w:tr>
      <w:tr w:rsidR="001C2B2C" w14:paraId="3D96DA3E" w14:textId="77777777" w:rsidTr="00B322A7">
        <w:trPr>
          <w:cantSplit/>
        </w:trPr>
        <w:tc>
          <w:tcPr>
            <w:tcW w:w="6211" w:type="dxa"/>
            <w:vAlign w:val="center"/>
          </w:tcPr>
          <w:p w14:paraId="3D946B32" w14:textId="77777777" w:rsidR="001C2B2C" w:rsidRDefault="001C2B2C" w:rsidP="00B322A7">
            <w:pPr>
              <w:tabs>
                <w:tab w:val="right" w:leader="dot" w:pos="5400"/>
              </w:tabs>
              <w:ind w:right="-7"/>
              <w:jc w:val="both"/>
              <w:rPr>
                <w:rFonts w:cs="Arabic Transparent"/>
                <w:sz w:val="18"/>
                <w:szCs w:val="18"/>
              </w:rPr>
            </w:pPr>
            <w:r>
              <w:rPr>
                <w:rFonts w:cs="Arabic Transparent"/>
                <w:sz w:val="18"/>
                <w:szCs w:val="18"/>
              </w:rPr>
              <w:t>Financial expenses</w:t>
            </w:r>
            <w:r>
              <w:rPr>
                <w:rFonts w:cs="Arabic Transparent"/>
                <w:sz w:val="18"/>
                <w:szCs w:val="18"/>
              </w:rPr>
              <w:tab/>
            </w:r>
          </w:p>
        </w:tc>
        <w:tc>
          <w:tcPr>
            <w:tcW w:w="1473" w:type="dxa"/>
            <w:vAlign w:val="bottom"/>
          </w:tcPr>
          <w:p w14:paraId="01E137FB" w14:textId="77777777" w:rsidR="001C2B2C" w:rsidRDefault="001C2B2C" w:rsidP="00B322A7">
            <w:pPr>
              <w:tabs>
                <w:tab w:val="decimal" w:pos="935"/>
              </w:tabs>
              <w:ind w:right="169"/>
              <w:jc w:val="right"/>
              <w:rPr>
                <w:sz w:val="18"/>
                <w:szCs w:val="18"/>
                <w:lang w:val="en-GB" w:eastAsia="en-GB"/>
              </w:rPr>
            </w:pPr>
            <w:r>
              <w:rPr>
                <w:sz w:val="18"/>
                <w:szCs w:val="18"/>
                <w:lang w:val="en-GB" w:eastAsia="en-GB"/>
              </w:rPr>
              <w:t>(9,184)</w:t>
            </w:r>
          </w:p>
        </w:tc>
        <w:tc>
          <w:tcPr>
            <w:tcW w:w="1411" w:type="dxa"/>
            <w:vAlign w:val="bottom"/>
          </w:tcPr>
          <w:p w14:paraId="382D515B" w14:textId="77777777" w:rsidR="001C2B2C" w:rsidRDefault="001C2B2C" w:rsidP="00B322A7">
            <w:pPr>
              <w:tabs>
                <w:tab w:val="decimal" w:pos="874"/>
              </w:tabs>
              <w:ind w:right="166"/>
              <w:jc w:val="right"/>
              <w:rPr>
                <w:sz w:val="18"/>
                <w:szCs w:val="18"/>
                <w:lang w:val="en-GB" w:eastAsia="en-GB"/>
              </w:rPr>
            </w:pPr>
            <w:r>
              <w:rPr>
                <w:sz w:val="18"/>
                <w:szCs w:val="18"/>
                <w:lang w:val="en-GB" w:eastAsia="en-GB"/>
              </w:rPr>
              <w:t>(15,156)</w:t>
            </w:r>
          </w:p>
        </w:tc>
      </w:tr>
      <w:tr w:rsidR="001C2B2C" w14:paraId="6B992799" w14:textId="77777777" w:rsidTr="00B322A7">
        <w:trPr>
          <w:cantSplit/>
        </w:trPr>
        <w:tc>
          <w:tcPr>
            <w:tcW w:w="6211" w:type="dxa"/>
            <w:vAlign w:val="center"/>
          </w:tcPr>
          <w:p w14:paraId="5F3F4042" w14:textId="77777777" w:rsidR="001C2B2C" w:rsidRDefault="001C2B2C" w:rsidP="00B322A7">
            <w:pPr>
              <w:tabs>
                <w:tab w:val="right" w:leader="dot" w:pos="5400"/>
              </w:tabs>
              <w:ind w:right="-7"/>
              <w:jc w:val="both"/>
              <w:rPr>
                <w:rFonts w:cs="Arabic Transparent"/>
                <w:b/>
                <w:sz w:val="18"/>
                <w:szCs w:val="18"/>
                <w:lang w:val="en-GB"/>
              </w:rPr>
            </w:pPr>
            <w:r>
              <w:rPr>
                <w:rFonts w:cs="Arabic Transparent"/>
                <w:b/>
                <w:sz w:val="18"/>
                <w:szCs w:val="18"/>
              </w:rPr>
              <w:t>Net financial result</w:t>
            </w:r>
            <w:r>
              <w:rPr>
                <w:rFonts w:cs="Arabic Transparent"/>
                <w:b/>
                <w:sz w:val="18"/>
                <w:szCs w:val="18"/>
              </w:rPr>
              <w:tab/>
            </w:r>
          </w:p>
        </w:tc>
        <w:tc>
          <w:tcPr>
            <w:tcW w:w="1473" w:type="dxa"/>
            <w:vAlign w:val="bottom"/>
          </w:tcPr>
          <w:p w14:paraId="1891059C" w14:textId="77777777" w:rsidR="001C2B2C" w:rsidRDefault="001C2B2C" w:rsidP="00B322A7">
            <w:pPr>
              <w:tabs>
                <w:tab w:val="decimal" w:pos="935"/>
              </w:tabs>
              <w:ind w:right="169"/>
              <w:jc w:val="right"/>
              <w:rPr>
                <w:b/>
                <w:bCs/>
                <w:sz w:val="18"/>
                <w:szCs w:val="18"/>
                <w:u w:val="single"/>
                <w:lang w:val="en-GB" w:eastAsia="en-GB"/>
              </w:rPr>
            </w:pPr>
            <w:r>
              <w:rPr>
                <w:b/>
                <w:bCs/>
                <w:sz w:val="18"/>
                <w:szCs w:val="18"/>
                <w:u w:val="single"/>
                <w:lang w:val="en-GB" w:eastAsia="en-GB"/>
              </w:rPr>
              <w:t>(4,976)</w:t>
            </w:r>
          </w:p>
        </w:tc>
        <w:tc>
          <w:tcPr>
            <w:tcW w:w="1411" w:type="dxa"/>
            <w:vAlign w:val="bottom"/>
          </w:tcPr>
          <w:p w14:paraId="0E90FF27" w14:textId="77777777" w:rsidR="001C2B2C" w:rsidRDefault="001C2B2C" w:rsidP="00B322A7">
            <w:pPr>
              <w:tabs>
                <w:tab w:val="decimal" w:pos="874"/>
              </w:tabs>
              <w:ind w:right="166"/>
              <w:jc w:val="right"/>
              <w:rPr>
                <w:b/>
                <w:bCs/>
                <w:sz w:val="18"/>
                <w:szCs w:val="18"/>
                <w:u w:val="single"/>
                <w:lang w:val="en-GB" w:eastAsia="en-GB"/>
              </w:rPr>
            </w:pPr>
            <w:r>
              <w:rPr>
                <w:b/>
                <w:bCs/>
                <w:sz w:val="18"/>
                <w:szCs w:val="18"/>
                <w:u w:val="single"/>
                <w:lang w:val="en-GB" w:eastAsia="en-GB"/>
              </w:rPr>
              <w:t>(14,598)</w:t>
            </w:r>
          </w:p>
        </w:tc>
      </w:tr>
      <w:tr w:rsidR="001C2B2C" w14:paraId="4A3B91AA" w14:textId="77777777" w:rsidTr="00B322A7">
        <w:trPr>
          <w:cantSplit/>
        </w:trPr>
        <w:tc>
          <w:tcPr>
            <w:tcW w:w="6211" w:type="dxa"/>
            <w:vAlign w:val="center"/>
          </w:tcPr>
          <w:p w14:paraId="6D910DC4" w14:textId="77777777" w:rsidR="001C2B2C" w:rsidRDefault="001C2B2C" w:rsidP="00B322A7">
            <w:pPr>
              <w:tabs>
                <w:tab w:val="right" w:leader="dot" w:pos="5400"/>
              </w:tabs>
              <w:ind w:right="-7"/>
              <w:jc w:val="both"/>
              <w:rPr>
                <w:rFonts w:cs="Arabic Transparent"/>
                <w:b/>
                <w:sz w:val="18"/>
                <w:szCs w:val="18"/>
                <w:lang w:val="en-GB"/>
              </w:rPr>
            </w:pPr>
            <w:r>
              <w:rPr>
                <w:rFonts w:cs="Arabic Transparent"/>
                <w:b/>
                <w:sz w:val="18"/>
                <w:szCs w:val="18"/>
              </w:rPr>
              <w:t xml:space="preserve">Profit before taxes </w:t>
            </w:r>
            <w:r>
              <w:rPr>
                <w:rFonts w:cs="Arabic Transparent"/>
                <w:b/>
                <w:sz w:val="18"/>
                <w:szCs w:val="18"/>
              </w:rPr>
              <w:tab/>
            </w:r>
          </w:p>
        </w:tc>
        <w:tc>
          <w:tcPr>
            <w:tcW w:w="1473" w:type="dxa"/>
            <w:vAlign w:val="bottom"/>
          </w:tcPr>
          <w:p w14:paraId="70CA1BB3" w14:textId="77777777" w:rsidR="001C2B2C" w:rsidRDefault="001C2B2C" w:rsidP="00B322A7">
            <w:pPr>
              <w:tabs>
                <w:tab w:val="decimal" w:pos="935"/>
              </w:tabs>
              <w:ind w:right="169"/>
              <w:jc w:val="right"/>
              <w:rPr>
                <w:b/>
                <w:bCs/>
                <w:sz w:val="18"/>
                <w:szCs w:val="18"/>
                <w:u w:val="single"/>
                <w:lang w:val="en-GB" w:eastAsia="en-GB"/>
              </w:rPr>
            </w:pPr>
            <w:r>
              <w:rPr>
                <w:b/>
                <w:bCs/>
                <w:sz w:val="18"/>
                <w:szCs w:val="18"/>
                <w:u w:val="single"/>
                <w:lang w:val="en-GB" w:eastAsia="en-GB"/>
              </w:rPr>
              <w:t>72,700</w:t>
            </w:r>
          </w:p>
        </w:tc>
        <w:tc>
          <w:tcPr>
            <w:tcW w:w="1411" w:type="dxa"/>
            <w:vAlign w:val="bottom"/>
          </w:tcPr>
          <w:p w14:paraId="149599D7" w14:textId="77777777" w:rsidR="001C2B2C" w:rsidRDefault="001C2B2C" w:rsidP="00B322A7">
            <w:pPr>
              <w:tabs>
                <w:tab w:val="decimal" w:pos="874"/>
              </w:tabs>
              <w:ind w:right="166"/>
              <w:jc w:val="right"/>
              <w:rPr>
                <w:b/>
                <w:bCs/>
                <w:sz w:val="18"/>
                <w:szCs w:val="18"/>
                <w:u w:val="single"/>
                <w:lang w:val="en-GB" w:eastAsia="en-GB"/>
              </w:rPr>
            </w:pPr>
            <w:r>
              <w:rPr>
                <w:b/>
                <w:bCs/>
                <w:sz w:val="18"/>
                <w:szCs w:val="18"/>
                <w:u w:val="single"/>
                <w:lang w:val="en-GB" w:eastAsia="en-GB"/>
              </w:rPr>
              <w:t>55,450</w:t>
            </w:r>
          </w:p>
        </w:tc>
      </w:tr>
      <w:tr w:rsidR="001C2B2C" w14:paraId="68040B79" w14:textId="77777777" w:rsidTr="00B322A7">
        <w:trPr>
          <w:cantSplit/>
        </w:trPr>
        <w:tc>
          <w:tcPr>
            <w:tcW w:w="6211" w:type="dxa"/>
            <w:vAlign w:val="center"/>
          </w:tcPr>
          <w:p w14:paraId="6A500850" w14:textId="77777777" w:rsidR="001C2B2C" w:rsidRDefault="001C2B2C" w:rsidP="00B322A7">
            <w:pPr>
              <w:tabs>
                <w:tab w:val="right" w:leader="dot" w:pos="5400"/>
              </w:tabs>
              <w:ind w:right="-7"/>
              <w:jc w:val="both"/>
              <w:rPr>
                <w:rFonts w:cs="Arabic Transparent"/>
                <w:sz w:val="18"/>
                <w:szCs w:val="18"/>
              </w:rPr>
            </w:pPr>
            <w:r>
              <w:rPr>
                <w:rFonts w:cs="Arabic Transparent"/>
                <w:sz w:val="18"/>
                <w:szCs w:val="18"/>
              </w:rPr>
              <w:t>Taxes</w:t>
            </w:r>
            <w:r>
              <w:rPr>
                <w:rFonts w:cs="Arabic Transparent"/>
                <w:sz w:val="18"/>
                <w:szCs w:val="18"/>
              </w:rPr>
              <w:tab/>
            </w:r>
          </w:p>
        </w:tc>
        <w:tc>
          <w:tcPr>
            <w:tcW w:w="1473" w:type="dxa"/>
            <w:vAlign w:val="bottom"/>
          </w:tcPr>
          <w:p w14:paraId="1B5BD1F0" w14:textId="77777777" w:rsidR="001C2B2C" w:rsidRDefault="001C2B2C" w:rsidP="00B322A7">
            <w:pPr>
              <w:tabs>
                <w:tab w:val="decimal" w:pos="935"/>
              </w:tabs>
              <w:ind w:right="169"/>
              <w:jc w:val="right"/>
              <w:rPr>
                <w:sz w:val="18"/>
                <w:szCs w:val="18"/>
                <w:lang w:val="en-GB" w:eastAsia="en-GB"/>
              </w:rPr>
            </w:pPr>
            <w:r>
              <w:rPr>
                <w:sz w:val="18"/>
                <w:szCs w:val="18"/>
                <w:lang w:val="en-GB" w:eastAsia="en-GB"/>
              </w:rPr>
              <w:t>(10,243)</w:t>
            </w:r>
          </w:p>
        </w:tc>
        <w:tc>
          <w:tcPr>
            <w:tcW w:w="1411" w:type="dxa"/>
            <w:vAlign w:val="bottom"/>
          </w:tcPr>
          <w:p w14:paraId="2C9194BE" w14:textId="77777777" w:rsidR="001C2B2C" w:rsidRDefault="001C2B2C" w:rsidP="00B322A7">
            <w:pPr>
              <w:tabs>
                <w:tab w:val="decimal" w:pos="874"/>
              </w:tabs>
              <w:ind w:right="166"/>
              <w:jc w:val="right"/>
              <w:rPr>
                <w:sz w:val="18"/>
                <w:szCs w:val="18"/>
                <w:lang w:val="en-GB" w:eastAsia="en-GB"/>
              </w:rPr>
            </w:pPr>
            <w:r>
              <w:rPr>
                <w:sz w:val="18"/>
                <w:szCs w:val="18"/>
                <w:lang w:val="en-GB" w:eastAsia="en-GB"/>
              </w:rPr>
              <w:t>(12,712)</w:t>
            </w:r>
          </w:p>
        </w:tc>
      </w:tr>
      <w:tr w:rsidR="001C2B2C" w14:paraId="4380E3FB" w14:textId="77777777" w:rsidTr="00B322A7">
        <w:trPr>
          <w:cantSplit/>
        </w:trPr>
        <w:tc>
          <w:tcPr>
            <w:tcW w:w="6211" w:type="dxa"/>
            <w:vAlign w:val="center"/>
          </w:tcPr>
          <w:p w14:paraId="7E39019C" w14:textId="77777777" w:rsidR="001C2B2C" w:rsidRDefault="001C2B2C" w:rsidP="00B322A7">
            <w:pPr>
              <w:tabs>
                <w:tab w:val="right" w:leader="dot" w:pos="5400"/>
              </w:tabs>
              <w:ind w:right="-7"/>
              <w:jc w:val="both"/>
              <w:rPr>
                <w:rFonts w:cs="Arabic Transparent"/>
                <w:sz w:val="18"/>
                <w:szCs w:val="18"/>
              </w:rPr>
            </w:pPr>
            <w:r>
              <w:rPr>
                <w:rFonts w:cs="Arabic Transparent"/>
                <w:sz w:val="18"/>
                <w:szCs w:val="18"/>
              </w:rPr>
              <w:t>Profit for the period</w:t>
            </w:r>
            <w:r>
              <w:rPr>
                <w:rFonts w:cs="Arabic Transparent"/>
                <w:sz w:val="18"/>
                <w:szCs w:val="18"/>
              </w:rPr>
              <w:tab/>
            </w:r>
          </w:p>
        </w:tc>
        <w:tc>
          <w:tcPr>
            <w:tcW w:w="1473" w:type="dxa"/>
            <w:vAlign w:val="bottom"/>
          </w:tcPr>
          <w:p w14:paraId="6BFFCA03" w14:textId="77777777" w:rsidR="001C2B2C" w:rsidRDefault="001C2B2C" w:rsidP="00B322A7">
            <w:pPr>
              <w:tabs>
                <w:tab w:val="decimal" w:pos="935"/>
              </w:tabs>
              <w:ind w:right="169"/>
              <w:jc w:val="right"/>
              <w:rPr>
                <w:b/>
                <w:bCs/>
                <w:sz w:val="18"/>
                <w:szCs w:val="18"/>
                <w:u w:val="double"/>
                <w:lang w:val="en-GB" w:eastAsia="en-GB"/>
              </w:rPr>
            </w:pPr>
            <w:r>
              <w:rPr>
                <w:b/>
                <w:bCs/>
                <w:sz w:val="18"/>
                <w:szCs w:val="18"/>
                <w:u w:val="double"/>
                <w:lang w:val="en-GB" w:eastAsia="en-GB"/>
              </w:rPr>
              <w:t>62,457</w:t>
            </w:r>
          </w:p>
        </w:tc>
        <w:tc>
          <w:tcPr>
            <w:tcW w:w="1411" w:type="dxa"/>
            <w:vAlign w:val="bottom"/>
          </w:tcPr>
          <w:p w14:paraId="4EF5B72C" w14:textId="77777777" w:rsidR="001C2B2C" w:rsidRDefault="001C2B2C" w:rsidP="00B322A7">
            <w:pPr>
              <w:tabs>
                <w:tab w:val="decimal" w:pos="874"/>
              </w:tabs>
              <w:ind w:right="166"/>
              <w:jc w:val="right"/>
              <w:rPr>
                <w:b/>
                <w:bCs/>
                <w:sz w:val="18"/>
                <w:szCs w:val="18"/>
                <w:u w:val="double"/>
                <w:lang w:val="en-GB" w:eastAsia="en-GB"/>
              </w:rPr>
            </w:pPr>
            <w:r>
              <w:rPr>
                <w:b/>
                <w:bCs/>
                <w:sz w:val="18"/>
                <w:szCs w:val="18"/>
                <w:u w:val="double"/>
                <w:lang w:val="en-GB" w:eastAsia="en-GB"/>
              </w:rPr>
              <w:t>42,738</w:t>
            </w:r>
          </w:p>
        </w:tc>
      </w:tr>
    </w:tbl>
    <w:p w14:paraId="5DD066A9" w14:textId="77777777" w:rsidR="001D1FD6" w:rsidRDefault="001D1FD6" w:rsidP="001D1FD6">
      <w:pPr>
        <w:jc w:val="both"/>
        <w:rPr>
          <w:rFonts w:cs="Arabic Transparent"/>
          <w:sz w:val="18"/>
          <w:szCs w:val="18"/>
          <w:lang w:val="en-GB"/>
        </w:rPr>
      </w:pPr>
    </w:p>
    <w:p w14:paraId="1EFF4EF1" w14:textId="77777777" w:rsidR="001D1FD6" w:rsidRDefault="001D1FD6" w:rsidP="001D1FD6">
      <w:pPr>
        <w:spacing w:before="240" w:after="240"/>
        <w:jc w:val="both"/>
        <w:rPr>
          <w:rFonts w:cs="Arabic Transparent"/>
          <w:i/>
          <w:sz w:val="18"/>
          <w:szCs w:val="18"/>
        </w:rPr>
      </w:pPr>
      <w:r>
        <w:rPr>
          <w:rFonts w:cs="Arabic Transparent"/>
          <w:i/>
          <w:sz w:val="18"/>
          <w:szCs w:val="18"/>
        </w:rPr>
        <w:t>Revenue</w:t>
      </w:r>
    </w:p>
    <w:p w14:paraId="43843C75" w14:textId="1D56F779" w:rsidR="001D1FD6" w:rsidRDefault="001D1FD6" w:rsidP="001D1FD6">
      <w:pPr>
        <w:spacing w:after="240"/>
        <w:ind w:firstLine="720"/>
        <w:jc w:val="both"/>
        <w:rPr>
          <w:bCs/>
          <w:sz w:val="18"/>
          <w:szCs w:val="18"/>
        </w:rPr>
      </w:pPr>
      <w:r>
        <w:rPr>
          <w:bCs/>
          <w:sz w:val="18"/>
          <w:szCs w:val="18"/>
        </w:rPr>
        <w:lastRenderedPageBreak/>
        <w:t>Revenue decreased by €</w:t>
      </w:r>
      <w:r w:rsidR="00FF1CB1">
        <w:rPr>
          <w:bCs/>
          <w:sz w:val="18"/>
          <w:szCs w:val="18"/>
        </w:rPr>
        <w:t xml:space="preserve"> </w:t>
      </w:r>
      <w:r>
        <w:rPr>
          <w:bCs/>
          <w:sz w:val="18"/>
          <w:szCs w:val="18"/>
        </w:rPr>
        <w:t>2.7 million or 16%, to €</w:t>
      </w:r>
      <w:r w:rsidR="00FF1CB1">
        <w:rPr>
          <w:bCs/>
          <w:sz w:val="18"/>
          <w:szCs w:val="18"/>
        </w:rPr>
        <w:t xml:space="preserve"> </w:t>
      </w:r>
      <w:r>
        <w:rPr>
          <w:bCs/>
          <w:sz w:val="18"/>
          <w:szCs w:val="18"/>
        </w:rPr>
        <w:t>14.3 million for the period ended 30 June 2017 from €</w:t>
      </w:r>
      <w:r w:rsidR="00FF1CB1">
        <w:rPr>
          <w:bCs/>
          <w:sz w:val="18"/>
          <w:szCs w:val="18"/>
        </w:rPr>
        <w:t xml:space="preserve"> </w:t>
      </w:r>
      <w:r>
        <w:rPr>
          <w:bCs/>
          <w:sz w:val="18"/>
          <w:szCs w:val="18"/>
        </w:rPr>
        <w:t>17.0 million for the period ended 30 June 2016.</w:t>
      </w:r>
    </w:p>
    <w:p w14:paraId="4310243A" w14:textId="77777777" w:rsidR="001D1FD6" w:rsidRDefault="001D1FD6" w:rsidP="001D1FD6">
      <w:pPr>
        <w:spacing w:after="240"/>
        <w:jc w:val="both"/>
        <w:rPr>
          <w:rFonts w:cs="Arabic Transparent"/>
          <w:i/>
          <w:sz w:val="18"/>
          <w:szCs w:val="18"/>
        </w:rPr>
      </w:pPr>
      <w:r>
        <w:rPr>
          <w:rFonts w:cs="Arabic Transparent"/>
          <w:i/>
          <w:sz w:val="18"/>
          <w:szCs w:val="18"/>
        </w:rPr>
        <w:t xml:space="preserve">Gross rental income </w:t>
      </w:r>
    </w:p>
    <w:p w14:paraId="5D4AA919" w14:textId="77777777" w:rsidR="001D1FD6" w:rsidRDefault="001D1FD6" w:rsidP="001D1FD6">
      <w:pPr>
        <w:spacing w:after="240"/>
        <w:ind w:firstLine="720"/>
        <w:jc w:val="both"/>
        <w:rPr>
          <w:bCs/>
          <w:sz w:val="18"/>
          <w:szCs w:val="18"/>
        </w:rPr>
      </w:pPr>
      <w:r>
        <w:rPr>
          <w:bCs/>
          <w:sz w:val="18"/>
          <w:szCs w:val="18"/>
        </w:rPr>
        <w:t>Gross rental income, which is the revenue generated by the Group on the operating leases associated with its properties, forms the largest component of the Group's revenue. These operating leases are generally for terms of more than five years.</w:t>
      </w:r>
    </w:p>
    <w:p w14:paraId="144610BB" w14:textId="03954E5F" w:rsidR="001D1FD6" w:rsidRDefault="001D1FD6" w:rsidP="001D1FD6">
      <w:pPr>
        <w:spacing w:after="240"/>
        <w:ind w:firstLine="720"/>
        <w:jc w:val="both"/>
        <w:rPr>
          <w:bCs/>
          <w:sz w:val="18"/>
          <w:szCs w:val="18"/>
        </w:rPr>
      </w:pPr>
      <w:r>
        <w:rPr>
          <w:bCs/>
          <w:sz w:val="18"/>
          <w:szCs w:val="18"/>
        </w:rPr>
        <w:t>Gross rental income decreased by €</w:t>
      </w:r>
      <w:r w:rsidR="00FF1CB1">
        <w:rPr>
          <w:bCs/>
          <w:sz w:val="18"/>
          <w:szCs w:val="18"/>
        </w:rPr>
        <w:t xml:space="preserve"> </w:t>
      </w:r>
      <w:r>
        <w:rPr>
          <w:bCs/>
          <w:sz w:val="18"/>
          <w:szCs w:val="18"/>
        </w:rPr>
        <w:t>4.0 million</w:t>
      </w:r>
      <w:r w:rsidR="00A8264B">
        <w:rPr>
          <w:bCs/>
          <w:sz w:val="18"/>
          <w:szCs w:val="18"/>
        </w:rPr>
        <w:t>,</w:t>
      </w:r>
      <w:r>
        <w:rPr>
          <w:bCs/>
          <w:sz w:val="18"/>
          <w:szCs w:val="18"/>
        </w:rPr>
        <w:t xml:space="preserve"> or 30%, to €</w:t>
      </w:r>
      <w:r w:rsidR="00FF1CB1">
        <w:rPr>
          <w:bCs/>
          <w:sz w:val="18"/>
          <w:szCs w:val="18"/>
        </w:rPr>
        <w:t xml:space="preserve"> </w:t>
      </w:r>
      <w:r>
        <w:rPr>
          <w:bCs/>
          <w:sz w:val="18"/>
          <w:szCs w:val="18"/>
        </w:rPr>
        <w:t>9.1 million for the period ended 30 June 2017 from €</w:t>
      </w:r>
      <w:r w:rsidR="00FF1CB1">
        <w:rPr>
          <w:bCs/>
          <w:sz w:val="18"/>
          <w:szCs w:val="18"/>
        </w:rPr>
        <w:t xml:space="preserve"> </w:t>
      </w:r>
      <w:r>
        <w:rPr>
          <w:bCs/>
          <w:sz w:val="18"/>
          <w:szCs w:val="18"/>
        </w:rPr>
        <w:t xml:space="preserve">13.1 million for the period ended 30 June 2016. This decrease reflected primarily the impact of the income generating assets delivered by the Group during first half of 2017, the deconsolidation of VGP European Logistics assets from the Group's portfolio in May 2016 and the Third JV Closing in May 2017, as </w:t>
      </w:r>
      <w:r w:rsidR="00AF1A25">
        <w:rPr>
          <w:bCs/>
          <w:sz w:val="18"/>
          <w:szCs w:val="18"/>
        </w:rPr>
        <w:t xml:space="preserve">a </w:t>
      </w:r>
      <w:r>
        <w:rPr>
          <w:bCs/>
          <w:sz w:val="18"/>
          <w:szCs w:val="18"/>
        </w:rPr>
        <w:t>result of which assets that were owned directly by the Group were transferred to the Joint Venture. Gross rental income in 2017 attributable to the portfolio sold in the third close in May 2017 for the period prior to its sale (for 1 January 2017 to 31 May 2017) was €</w:t>
      </w:r>
      <w:r w:rsidR="00FF1CB1">
        <w:rPr>
          <w:bCs/>
          <w:sz w:val="18"/>
          <w:szCs w:val="18"/>
        </w:rPr>
        <w:t xml:space="preserve"> </w:t>
      </w:r>
      <w:r>
        <w:rPr>
          <w:bCs/>
          <w:sz w:val="18"/>
          <w:szCs w:val="18"/>
        </w:rPr>
        <w:t xml:space="preserve">1.7 million. </w:t>
      </w:r>
    </w:p>
    <w:p w14:paraId="5EFC97F2" w14:textId="35FF7E8F" w:rsidR="001D1FD6" w:rsidRDefault="001D1FD6" w:rsidP="001D1FD6">
      <w:pPr>
        <w:spacing w:after="240"/>
        <w:ind w:firstLine="720"/>
        <w:jc w:val="both"/>
        <w:rPr>
          <w:bCs/>
          <w:sz w:val="18"/>
          <w:szCs w:val="18"/>
        </w:rPr>
      </w:pPr>
      <w:r>
        <w:rPr>
          <w:bCs/>
          <w:sz w:val="18"/>
          <w:szCs w:val="18"/>
        </w:rPr>
        <w:t>Following the entering into the Joint Venture, the Group believes that the analysis of the gross rental income on a ‘look-through’ basis (with the Joint Venture included at share) provides a more meaningful analysis of the net rent evolution. Taking into account VGP</w:t>
      </w:r>
      <w:r w:rsidR="006967D0">
        <w:rPr>
          <w:bCs/>
          <w:sz w:val="18"/>
          <w:szCs w:val="18"/>
        </w:rPr>
        <w:t>’s share of the Joint Venture, G</w:t>
      </w:r>
      <w:r>
        <w:rPr>
          <w:bCs/>
          <w:sz w:val="18"/>
          <w:szCs w:val="18"/>
        </w:rPr>
        <w:t xml:space="preserve">ross </w:t>
      </w:r>
      <w:r w:rsidR="006967D0">
        <w:rPr>
          <w:bCs/>
          <w:sz w:val="18"/>
          <w:szCs w:val="18"/>
        </w:rPr>
        <w:t>R</w:t>
      </w:r>
      <w:r>
        <w:rPr>
          <w:bCs/>
          <w:sz w:val="18"/>
          <w:szCs w:val="18"/>
        </w:rPr>
        <w:t xml:space="preserve">ental </w:t>
      </w:r>
      <w:r w:rsidR="006967D0">
        <w:rPr>
          <w:bCs/>
          <w:sz w:val="18"/>
          <w:szCs w:val="18"/>
        </w:rPr>
        <w:t>I</w:t>
      </w:r>
      <w:r>
        <w:rPr>
          <w:bCs/>
          <w:sz w:val="18"/>
          <w:szCs w:val="18"/>
        </w:rPr>
        <w:t>ncome in total has increased by € 3.4 million, or 23.7% compared to the same period in 2016 (See also note 1 of the supplementary notes accompanying the Interim Financial Statements).</w:t>
      </w:r>
    </w:p>
    <w:p w14:paraId="1B5DF9BB" w14:textId="1344CCBB" w:rsidR="001D1FD6" w:rsidRDefault="001D1FD6" w:rsidP="001D1FD6">
      <w:pPr>
        <w:spacing w:before="240" w:after="240"/>
        <w:ind w:firstLine="720"/>
        <w:jc w:val="both"/>
        <w:rPr>
          <w:sz w:val="18"/>
          <w:szCs w:val="18"/>
        </w:rPr>
      </w:pPr>
      <w:r>
        <w:rPr>
          <w:sz w:val="18"/>
          <w:szCs w:val="18"/>
          <w:lang w:val="en-GB"/>
        </w:rPr>
        <w:t xml:space="preserve">As at 30 June 2017, the Group, together with the </w:t>
      </w:r>
      <w:r w:rsidRPr="00A01869">
        <w:rPr>
          <w:sz w:val="18"/>
          <w:szCs w:val="18"/>
          <w:lang w:val="en-GB"/>
        </w:rPr>
        <w:t>Joint Venture</w:t>
      </w:r>
      <w:r w:rsidR="00FF5B25" w:rsidRPr="00A01869">
        <w:rPr>
          <w:sz w:val="18"/>
          <w:szCs w:val="18"/>
          <w:lang w:val="en-GB"/>
        </w:rPr>
        <w:t xml:space="preserve"> (at 100%)</w:t>
      </w:r>
      <w:r w:rsidRPr="00A01869">
        <w:rPr>
          <w:sz w:val="18"/>
          <w:szCs w:val="18"/>
          <w:lang w:val="en-GB"/>
        </w:rPr>
        <w:t>, had</w:t>
      </w:r>
      <w:r>
        <w:rPr>
          <w:sz w:val="18"/>
          <w:szCs w:val="18"/>
          <w:lang w:val="en-GB"/>
        </w:rPr>
        <w:t xml:space="preserve"> </w:t>
      </w:r>
      <w:r w:rsidR="007A3C71" w:rsidRPr="007A3C71">
        <w:rPr>
          <w:sz w:val="18"/>
          <w:szCs w:val="18"/>
          <w:lang w:val="en-GB"/>
        </w:rPr>
        <w:t>Annualised Committed Leases</w:t>
      </w:r>
      <w:r w:rsidR="007A3C71">
        <w:rPr>
          <w:sz w:val="18"/>
          <w:szCs w:val="18"/>
          <w:lang w:val="en-GB"/>
        </w:rPr>
        <w:t xml:space="preserve"> </w:t>
      </w:r>
      <w:r>
        <w:rPr>
          <w:sz w:val="18"/>
          <w:szCs w:val="18"/>
          <w:lang w:val="en-GB"/>
        </w:rPr>
        <w:t xml:space="preserve">of </w:t>
      </w:r>
      <w:r>
        <w:rPr>
          <w:color w:val="000000"/>
          <w:sz w:val="18"/>
          <w:szCs w:val="18"/>
          <w:lang w:val="en-GB"/>
        </w:rPr>
        <w:t>€</w:t>
      </w:r>
      <w:r w:rsidR="00FF1CB1">
        <w:rPr>
          <w:color w:val="000000"/>
          <w:sz w:val="18"/>
          <w:szCs w:val="18"/>
          <w:lang w:val="en-GB"/>
        </w:rPr>
        <w:t xml:space="preserve"> </w:t>
      </w:r>
      <w:r>
        <w:rPr>
          <w:color w:val="000000"/>
          <w:sz w:val="18"/>
          <w:szCs w:val="18"/>
          <w:lang w:val="en-GB"/>
        </w:rPr>
        <w:t>78.2 million</w:t>
      </w:r>
      <w:r>
        <w:rPr>
          <w:sz w:val="18"/>
          <w:szCs w:val="18"/>
          <w:vertAlign w:val="superscript"/>
          <w:lang w:val="en-GB"/>
        </w:rPr>
        <w:footnoteReference w:id="6"/>
      </w:r>
      <w:r>
        <w:rPr>
          <w:color w:val="000000"/>
          <w:sz w:val="18"/>
          <w:szCs w:val="18"/>
          <w:lang w:val="en-GB"/>
        </w:rPr>
        <w:t xml:space="preserve"> </w:t>
      </w:r>
      <w:r>
        <w:rPr>
          <w:rFonts w:cs="Arabic Transparent"/>
          <w:sz w:val="18"/>
          <w:szCs w:val="18"/>
        </w:rPr>
        <w:t xml:space="preserve">calculated as </w:t>
      </w:r>
      <w:proofErr w:type="spellStart"/>
      <w:r>
        <w:rPr>
          <w:rFonts w:cs="Arabic Transparent"/>
          <w:sz w:val="18"/>
          <w:szCs w:val="18"/>
        </w:rPr>
        <w:t>annualised</w:t>
      </w:r>
      <w:proofErr w:type="spellEnd"/>
      <w:r>
        <w:rPr>
          <w:rFonts w:cs="Arabic Transparent"/>
          <w:sz w:val="18"/>
          <w:szCs w:val="18"/>
        </w:rPr>
        <w:t xml:space="preserve"> rental income generated or to be generated by executed leases and future lease agreements, an increase from </w:t>
      </w:r>
      <w:r>
        <w:rPr>
          <w:color w:val="000000"/>
          <w:sz w:val="18"/>
          <w:szCs w:val="18"/>
          <w:lang w:val="en-GB"/>
        </w:rPr>
        <w:t>€</w:t>
      </w:r>
      <w:r>
        <w:rPr>
          <w:sz w:val="18"/>
          <w:szCs w:val="18"/>
          <w:lang w:val="en-GB"/>
        </w:rPr>
        <w:t xml:space="preserve"> 64.3 million</w:t>
      </w:r>
      <w:r>
        <w:rPr>
          <w:sz w:val="18"/>
          <w:szCs w:val="18"/>
          <w:vertAlign w:val="superscript"/>
          <w:lang w:val="en-GB"/>
        </w:rPr>
        <w:footnoteReference w:id="7"/>
      </w:r>
      <w:r>
        <w:rPr>
          <w:sz w:val="18"/>
          <w:szCs w:val="18"/>
          <w:lang w:val="en-GB"/>
        </w:rPr>
        <w:t xml:space="preserve"> as at 31 December 2016</w:t>
      </w:r>
      <w:r>
        <w:rPr>
          <w:sz w:val="18"/>
          <w:szCs w:val="18"/>
        </w:rPr>
        <w:t>. The increase reflected the underlying growth of lettable area in the portfolio.</w:t>
      </w:r>
    </w:p>
    <w:p w14:paraId="29D5B9FD" w14:textId="77777777" w:rsidR="001D1FD6" w:rsidRDefault="001D1FD6" w:rsidP="001D1FD6">
      <w:pPr>
        <w:spacing w:after="240"/>
        <w:jc w:val="both"/>
        <w:rPr>
          <w:rFonts w:cs="Arabic Transparent"/>
          <w:i/>
          <w:sz w:val="18"/>
          <w:szCs w:val="18"/>
        </w:rPr>
      </w:pPr>
      <w:r>
        <w:rPr>
          <w:rFonts w:cs="Arabic Transparent"/>
          <w:i/>
          <w:sz w:val="18"/>
          <w:szCs w:val="18"/>
        </w:rPr>
        <w:t>Service charge income and expense, net</w:t>
      </w:r>
    </w:p>
    <w:p w14:paraId="074CF229" w14:textId="5FCABA18" w:rsidR="001D1FD6" w:rsidRDefault="001D1FD6" w:rsidP="001D1FD6">
      <w:pPr>
        <w:spacing w:after="240"/>
        <w:ind w:firstLine="720"/>
        <w:jc w:val="both"/>
        <w:rPr>
          <w:bCs/>
          <w:sz w:val="18"/>
          <w:szCs w:val="18"/>
        </w:rPr>
      </w:pPr>
      <w:r>
        <w:rPr>
          <w:bCs/>
          <w:sz w:val="18"/>
          <w:szCs w:val="18"/>
        </w:rPr>
        <w:t>Service charge income and expense is presented on a net basis. The Group generally seeks to recharge amounts it pays for services such as energy, maintenance, cleaning, security, garbage management and usage of infrastructure at its properties to its tenants. Service charge income decreased by €</w:t>
      </w:r>
      <w:r w:rsidR="00C92AC8">
        <w:rPr>
          <w:bCs/>
          <w:sz w:val="18"/>
          <w:szCs w:val="18"/>
        </w:rPr>
        <w:t xml:space="preserve"> </w:t>
      </w:r>
      <w:r>
        <w:rPr>
          <w:bCs/>
          <w:sz w:val="18"/>
          <w:szCs w:val="18"/>
        </w:rPr>
        <w:t>0.5 million or 76%, to €</w:t>
      </w:r>
      <w:r w:rsidR="00C92AC8">
        <w:rPr>
          <w:bCs/>
          <w:sz w:val="18"/>
          <w:szCs w:val="18"/>
        </w:rPr>
        <w:t xml:space="preserve"> </w:t>
      </w:r>
      <w:r>
        <w:rPr>
          <w:bCs/>
          <w:sz w:val="18"/>
          <w:szCs w:val="18"/>
        </w:rPr>
        <w:t>0.1 million for the period ended 30 June 2017 from €</w:t>
      </w:r>
      <w:r w:rsidR="00C92AC8">
        <w:rPr>
          <w:bCs/>
          <w:sz w:val="18"/>
          <w:szCs w:val="18"/>
        </w:rPr>
        <w:t xml:space="preserve"> </w:t>
      </w:r>
      <w:r>
        <w:rPr>
          <w:bCs/>
          <w:sz w:val="18"/>
          <w:szCs w:val="18"/>
        </w:rPr>
        <w:t>0.6 million for the period ended 30 June 2016. The net decrease in service charge income reflected the decrease in rental income mainly attributable to the sale of the Seed Portfolio in May 2016.</w:t>
      </w:r>
      <w:r w:rsidR="00224CC9">
        <w:rPr>
          <w:bCs/>
          <w:sz w:val="18"/>
          <w:szCs w:val="18"/>
        </w:rPr>
        <w:t xml:space="preserve"> </w:t>
      </w:r>
    </w:p>
    <w:p w14:paraId="2DF2BACE" w14:textId="77777777" w:rsidR="001D1FD6" w:rsidRDefault="001D1FD6" w:rsidP="001D1FD6">
      <w:pPr>
        <w:spacing w:after="240"/>
        <w:jc w:val="both"/>
        <w:rPr>
          <w:rFonts w:cs="Arabic Transparent"/>
          <w:i/>
          <w:sz w:val="18"/>
          <w:szCs w:val="18"/>
        </w:rPr>
      </w:pPr>
      <w:r>
        <w:rPr>
          <w:rFonts w:cs="Arabic Transparent"/>
          <w:i/>
          <w:sz w:val="18"/>
          <w:szCs w:val="18"/>
        </w:rPr>
        <w:t xml:space="preserve">Property operating expenses </w:t>
      </w:r>
    </w:p>
    <w:p w14:paraId="53F5353F" w14:textId="41BEF029" w:rsidR="001D1FD6" w:rsidRDefault="001D1FD6" w:rsidP="001D1FD6">
      <w:pPr>
        <w:spacing w:after="240"/>
        <w:ind w:firstLine="720"/>
        <w:jc w:val="both"/>
        <w:rPr>
          <w:bCs/>
          <w:sz w:val="18"/>
          <w:szCs w:val="18"/>
        </w:rPr>
      </w:pPr>
      <w:r>
        <w:rPr>
          <w:bCs/>
          <w:sz w:val="18"/>
          <w:szCs w:val="18"/>
        </w:rPr>
        <w:t>Property operating expenses decreased by €</w:t>
      </w:r>
      <w:r w:rsidR="00C92AC8">
        <w:rPr>
          <w:bCs/>
          <w:sz w:val="18"/>
          <w:szCs w:val="18"/>
        </w:rPr>
        <w:t xml:space="preserve"> </w:t>
      </w:r>
      <w:r>
        <w:rPr>
          <w:bCs/>
          <w:sz w:val="18"/>
          <w:szCs w:val="18"/>
        </w:rPr>
        <w:t>0.4 million or 40%, to €</w:t>
      </w:r>
      <w:r w:rsidR="00C92AC8">
        <w:rPr>
          <w:bCs/>
          <w:sz w:val="18"/>
          <w:szCs w:val="18"/>
        </w:rPr>
        <w:t xml:space="preserve"> </w:t>
      </w:r>
      <w:r>
        <w:rPr>
          <w:bCs/>
          <w:sz w:val="18"/>
          <w:szCs w:val="18"/>
        </w:rPr>
        <w:t>0.7 million for the period ended 30 June 2017 from €</w:t>
      </w:r>
      <w:r w:rsidR="00C92AC8">
        <w:rPr>
          <w:bCs/>
          <w:sz w:val="18"/>
          <w:szCs w:val="18"/>
        </w:rPr>
        <w:t xml:space="preserve"> </w:t>
      </w:r>
      <w:r>
        <w:rPr>
          <w:bCs/>
          <w:sz w:val="18"/>
          <w:szCs w:val="18"/>
        </w:rPr>
        <w:t>1.1 million for the period ended 30 June 2016, reflecting increases in repair and maintenance, fees paid to real estate agents, property taxes and others.</w:t>
      </w:r>
    </w:p>
    <w:p w14:paraId="01088583" w14:textId="77777777" w:rsidR="001D1FD6" w:rsidRDefault="001D1FD6" w:rsidP="001D1FD6">
      <w:pPr>
        <w:spacing w:after="240"/>
        <w:jc w:val="both"/>
        <w:rPr>
          <w:rFonts w:cs="Arabic Transparent"/>
          <w:i/>
          <w:sz w:val="18"/>
          <w:szCs w:val="18"/>
        </w:rPr>
      </w:pPr>
      <w:r>
        <w:rPr>
          <w:rFonts w:cs="Arabic Transparent"/>
          <w:i/>
          <w:sz w:val="18"/>
          <w:szCs w:val="18"/>
        </w:rPr>
        <w:t>Net rental income</w:t>
      </w:r>
    </w:p>
    <w:p w14:paraId="3EF69AFA" w14:textId="6B71D8E4" w:rsidR="001D1FD6" w:rsidRDefault="001D1FD6" w:rsidP="001D1FD6">
      <w:pPr>
        <w:spacing w:after="240"/>
        <w:ind w:firstLine="720"/>
        <w:jc w:val="both"/>
        <w:rPr>
          <w:bCs/>
          <w:sz w:val="18"/>
          <w:szCs w:val="18"/>
        </w:rPr>
      </w:pPr>
      <w:r>
        <w:rPr>
          <w:bCs/>
          <w:sz w:val="18"/>
          <w:szCs w:val="18"/>
        </w:rPr>
        <w:t>Net rental income decreased by €</w:t>
      </w:r>
      <w:r w:rsidR="00C92AC8">
        <w:rPr>
          <w:bCs/>
          <w:sz w:val="18"/>
          <w:szCs w:val="18"/>
        </w:rPr>
        <w:t xml:space="preserve"> </w:t>
      </w:r>
      <w:r>
        <w:rPr>
          <w:bCs/>
          <w:sz w:val="18"/>
          <w:szCs w:val="18"/>
        </w:rPr>
        <w:t>4.0 million</w:t>
      </w:r>
      <w:r w:rsidR="00A8264B">
        <w:rPr>
          <w:bCs/>
          <w:sz w:val="18"/>
          <w:szCs w:val="18"/>
        </w:rPr>
        <w:t>,</w:t>
      </w:r>
      <w:r>
        <w:rPr>
          <w:bCs/>
          <w:sz w:val="18"/>
          <w:szCs w:val="18"/>
        </w:rPr>
        <w:t xml:space="preserve"> or 32%, to €8.6 million for the period ended 30 June 2017 from €</w:t>
      </w:r>
      <w:r w:rsidR="00C92AC8">
        <w:rPr>
          <w:bCs/>
          <w:sz w:val="18"/>
          <w:szCs w:val="18"/>
        </w:rPr>
        <w:t xml:space="preserve"> </w:t>
      </w:r>
      <w:r>
        <w:rPr>
          <w:bCs/>
          <w:sz w:val="18"/>
          <w:szCs w:val="18"/>
        </w:rPr>
        <w:t>12.6 million for the period ended 30 June 2016. Taking into account VGP</w:t>
      </w:r>
      <w:r w:rsidR="006967D0">
        <w:rPr>
          <w:bCs/>
          <w:sz w:val="18"/>
          <w:szCs w:val="18"/>
        </w:rPr>
        <w:t>’s share of the Joint Venture, N</w:t>
      </w:r>
      <w:r>
        <w:rPr>
          <w:bCs/>
          <w:sz w:val="18"/>
          <w:szCs w:val="18"/>
        </w:rPr>
        <w:t xml:space="preserve">et </w:t>
      </w:r>
      <w:r w:rsidR="006967D0">
        <w:rPr>
          <w:bCs/>
          <w:sz w:val="18"/>
          <w:szCs w:val="18"/>
        </w:rPr>
        <w:t>R</w:t>
      </w:r>
      <w:r>
        <w:rPr>
          <w:bCs/>
          <w:sz w:val="18"/>
          <w:szCs w:val="18"/>
        </w:rPr>
        <w:t xml:space="preserve">ental </w:t>
      </w:r>
      <w:r w:rsidR="006967D0">
        <w:rPr>
          <w:bCs/>
          <w:sz w:val="18"/>
          <w:szCs w:val="18"/>
        </w:rPr>
        <w:t>I</w:t>
      </w:r>
      <w:r>
        <w:rPr>
          <w:bCs/>
          <w:sz w:val="18"/>
          <w:szCs w:val="18"/>
        </w:rPr>
        <w:t>ncome in total has increased by €</w:t>
      </w:r>
      <w:r w:rsidR="00C92AC8">
        <w:rPr>
          <w:bCs/>
          <w:sz w:val="18"/>
          <w:szCs w:val="18"/>
        </w:rPr>
        <w:t xml:space="preserve"> </w:t>
      </w:r>
      <w:r>
        <w:rPr>
          <w:bCs/>
          <w:sz w:val="18"/>
          <w:szCs w:val="18"/>
        </w:rPr>
        <w:t>2.6 million, or 20% compared to the same period in 2016.</w:t>
      </w:r>
    </w:p>
    <w:p w14:paraId="591150DE" w14:textId="77777777" w:rsidR="001D1FD6" w:rsidRDefault="001D1FD6" w:rsidP="001D1FD6">
      <w:pPr>
        <w:spacing w:after="240"/>
        <w:jc w:val="both"/>
        <w:rPr>
          <w:rFonts w:cs="Arabic Transparent"/>
          <w:i/>
          <w:sz w:val="18"/>
          <w:szCs w:val="18"/>
        </w:rPr>
      </w:pPr>
      <w:r>
        <w:rPr>
          <w:rFonts w:cs="Arabic Transparent"/>
          <w:i/>
          <w:sz w:val="18"/>
          <w:szCs w:val="18"/>
        </w:rPr>
        <w:t xml:space="preserve">Property and development management income </w:t>
      </w:r>
    </w:p>
    <w:p w14:paraId="08583024" w14:textId="6335EEB6" w:rsidR="001D1FD6" w:rsidRDefault="002C7466" w:rsidP="001D1FD6">
      <w:pPr>
        <w:spacing w:after="240"/>
        <w:ind w:firstLine="720"/>
        <w:jc w:val="both"/>
        <w:rPr>
          <w:bCs/>
          <w:sz w:val="18"/>
          <w:szCs w:val="18"/>
        </w:rPr>
      </w:pPr>
      <w:r>
        <w:rPr>
          <w:bCs/>
          <w:sz w:val="18"/>
          <w:szCs w:val="18"/>
        </w:rPr>
        <w:t xml:space="preserve">Property and development management income increased by € </w:t>
      </w:r>
      <w:r w:rsidR="000A117A">
        <w:rPr>
          <w:bCs/>
          <w:sz w:val="18"/>
          <w:szCs w:val="18"/>
        </w:rPr>
        <w:t>2.9</w:t>
      </w:r>
      <w:r>
        <w:rPr>
          <w:bCs/>
          <w:sz w:val="18"/>
          <w:szCs w:val="18"/>
        </w:rPr>
        <w:t xml:space="preserve"> million</w:t>
      </w:r>
      <w:r w:rsidR="00A8264B">
        <w:rPr>
          <w:bCs/>
          <w:sz w:val="18"/>
          <w:szCs w:val="18"/>
        </w:rPr>
        <w:t>,</w:t>
      </w:r>
      <w:r>
        <w:rPr>
          <w:bCs/>
          <w:sz w:val="18"/>
          <w:szCs w:val="18"/>
        </w:rPr>
        <w:t xml:space="preserve"> or </w:t>
      </w:r>
      <w:r w:rsidR="000A117A">
        <w:rPr>
          <w:bCs/>
          <w:sz w:val="18"/>
          <w:szCs w:val="18"/>
        </w:rPr>
        <w:t>448%, to € 3.5</w:t>
      </w:r>
      <w:r>
        <w:rPr>
          <w:bCs/>
          <w:sz w:val="18"/>
          <w:szCs w:val="18"/>
        </w:rPr>
        <w:t xml:space="preserve"> million </w:t>
      </w:r>
      <w:r w:rsidR="000A117A">
        <w:rPr>
          <w:bCs/>
          <w:sz w:val="18"/>
          <w:szCs w:val="18"/>
        </w:rPr>
        <w:t xml:space="preserve">for the period ended 30 June 2017 from </w:t>
      </w:r>
      <w:r w:rsidR="000A117A" w:rsidRPr="000A117A">
        <w:rPr>
          <w:bCs/>
          <w:sz w:val="18"/>
          <w:szCs w:val="18"/>
        </w:rPr>
        <w:t xml:space="preserve">€ </w:t>
      </w:r>
      <w:r w:rsidR="000A117A">
        <w:rPr>
          <w:bCs/>
          <w:sz w:val="18"/>
          <w:szCs w:val="18"/>
        </w:rPr>
        <w:t>0.6</w:t>
      </w:r>
      <w:r w:rsidR="000A117A" w:rsidRPr="000A117A">
        <w:rPr>
          <w:bCs/>
          <w:sz w:val="18"/>
          <w:szCs w:val="18"/>
        </w:rPr>
        <w:t xml:space="preserve"> million</w:t>
      </w:r>
      <w:r w:rsidR="000A117A">
        <w:rPr>
          <w:bCs/>
          <w:sz w:val="18"/>
          <w:szCs w:val="18"/>
        </w:rPr>
        <w:t xml:space="preserve"> for the period ended 30 June 2016 due to the services provided to the Joint Venture.</w:t>
      </w:r>
    </w:p>
    <w:p w14:paraId="3A3B803D" w14:textId="77777777" w:rsidR="001D1FD6" w:rsidRDefault="001D1FD6" w:rsidP="001D1FD6">
      <w:pPr>
        <w:spacing w:after="240"/>
        <w:jc w:val="both"/>
        <w:rPr>
          <w:rFonts w:cs="Arabic Transparent"/>
          <w:i/>
          <w:sz w:val="18"/>
          <w:szCs w:val="18"/>
        </w:rPr>
      </w:pPr>
      <w:r>
        <w:rPr>
          <w:rFonts w:cs="Arabic Transparent"/>
          <w:i/>
          <w:sz w:val="18"/>
          <w:szCs w:val="18"/>
        </w:rPr>
        <w:t xml:space="preserve">Facility management income </w:t>
      </w:r>
    </w:p>
    <w:p w14:paraId="17B36F9E" w14:textId="51605CFC" w:rsidR="001D1FD6" w:rsidRDefault="001D1FD6" w:rsidP="001D1FD6">
      <w:pPr>
        <w:spacing w:after="240"/>
        <w:ind w:firstLine="720"/>
        <w:jc w:val="both"/>
        <w:rPr>
          <w:bCs/>
          <w:sz w:val="18"/>
          <w:szCs w:val="18"/>
        </w:rPr>
      </w:pPr>
      <w:r>
        <w:rPr>
          <w:bCs/>
          <w:sz w:val="18"/>
          <w:szCs w:val="18"/>
        </w:rPr>
        <w:t>Facility management income remained virtually unchanged and amounted to €</w:t>
      </w:r>
      <w:r w:rsidR="00C92AC8">
        <w:rPr>
          <w:bCs/>
          <w:sz w:val="18"/>
          <w:szCs w:val="18"/>
        </w:rPr>
        <w:t xml:space="preserve"> </w:t>
      </w:r>
      <w:r>
        <w:rPr>
          <w:bCs/>
          <w:sz w:val="18"/>
          <w:szCs w:val="18"/>
        </w:rPr>
        <w:t>281,000 for the period ended 30 June 2017 compared to €</w:t>
      </w:r>
      <w:r w:rsidR="00C92AC8">
        <w:rPr>
          <w:bCs/>
          <w:sz w:val="18"/>
          <w:szCs w:val="18"/>
        </w:rPr>
        <w:t xml:space="preserve"> </w:t>
      </w:r>
      <w:r>
        <w:rPr>
          <w:bCs/>
          <w:sz w:val="18"/>
          <w:szCs w:val="18"/>
        </w:rPr>
        <w:t>239,000 for the period ended 30 June 2016.</w:t>
      </w:r>
    </w:p>
    <w:p w14:paraId="59CDB080" w14:textId="77777777" w:rsidR="001D1FD6" w:rsidRDefault="001D1FD6" w:rsidP="001D1FD6">
      <w:pPr>
        <w:spacing w:after="240"/>
        <w:jc w:val="both"/>
        <w:rPr>
          <w:rFonts w:cs="Arabic Transparent"/>
          <w:i/>
          <w:sz w:val="18"/>
          <w:szCs w:val="18"/>
        </w:rPr>
      </w:pPr>
      <w:r>
        <w:rPr>
          <w:rFonts w:cs="Arabic Transparent"/>
          <w:i/>
          <w:sz w:val="18"/>
          <w:szCs w:val="18"/>
        </w:rPr>
        <w:t xml:space="preserve">Net valuation gains/(losses) on investment properties </w:t>
      </w:r>
    </w:p>
    <w:p w14:paraId="42F90FDE" w14:textId="07733648" w:rsidR="001D1FD6" w:rsidRDefault="001D1FD6" w:rsidP="001D1FD6">
      <w:pPr>
        <w:spacing w:after="240"/>
        <w:ind w:firstLine="720"/>
        <w:jc w:val="both"/>
        <w:rPr>
          <w:bCs/>
          <w:sz w:val="18"/>
          <w:szCs w:val="18"/>
        </w:rPr>
      </w:pPr>
      <w:r>
        <w:rPr>
          <w:bCs/>
          <w:sz w:val="18"/>
          <w:szCs w:val="18"/>
        </w:rPr>
        <w:t>Net valuation gains/(losses) on investment properties decreased by €</w:t>
      </w:r>
      <w:r w:rsidR="00C92AC8">
        <w:rPr>
          <w:bCs/>
          <w:sz w:val="18"/>
          <w:szCs w:val="18"/>
        </w:rPr>
        <w:t xml:space="preserve"> </w:t>
      </w:r>
      <w:r>
        <w:rPr>
          <w:bCs/>
          <w:sz w:val="18"/>
          <w:szCs w:val="18"/>
        </w:rPr>
        <w:t>5.3 million or 8%, to € 59.9 million for the period ended 30 June 2017 from €</w:t>
      </w:r>
      <w:r w:rsidR="00C92AC8">
        <w:rPr>
          <w:bCs/>
          <w:sz w:val="18"/>
          <w:szCs w:val="18"/>
        </w:rPr>
        <w:t xml:space="preserve"> </w:t>
      </w:r>
      <w:r>
        <w:rPr>
          <w:bCs/>
          <w:sz w:val="18"/>
          <w:szCs w:val="18"/>
        </w:rPr>
        <w:t>65.1 million for the period ended 30 June 2016. The net valuation gains on investment properties is composed of (</w:t>
      </w:r>
      <w:proofErr w:type="spellStart"/>
      <w:r>
        <w:rPr>
          <w:bCs/>
          <w:sz w:val="18"/>
          <w:szCs w:val="18"/>
        </w:rPr>
        <w:t>i</w:t>
      </w:r>
      <w:proofErr w:type="spellEnd"/>
      <w:r>
        <w:rPr>
          <w:bCs/>
          <w:sz w:val="18"/>
          <w:szCs w:val="18"/>
        </w:rPr>
        <w:t>) unrealized valuation gain on the own portfolio, (ii) unrealized valuation gain on the assets under construction for the Joint Venture, and (iii) realized valuation gain on disposal group held for sale.</w:t>
      </w:r>
    </w:p>
    <w:p w14:paraId="67E28AAB" w14:textId="73D7835D" w:rsidR="001D1FD6" w:rsidRDefault="001D1FD6" w:rsidP="001D1FD6">
      <w:pPr>
        <w:spacing w:after="240"/>
        <w:ind w:firstLine="720"/>
        <w:jc w:val="both"/>
        <w:rPr>
          <w:bCs/>
          <w:sz w:val="18"/>
          <w:szCs w:val="18"/>
        </w:rPr>
      </w:pPr>
      <w:r>
        <w:rPr>
          <w:bCs/>
          <w:sz w:val="18"/>
          <w:szCs w:val="18"/>
        </w:rPr>
        <w:t>The unrealized valuation gain on the own portfolio increased by €</w:t>
      </w:r>
      <w:r w:rsidR="00C92AC8">
        <w:rPr>
          <w:bCs/>
          <w:sz w:val="18"/>
          <w:szCs w:val="18"/>
        </w:rPr>
        <w:t xml:space="preserve"> </w:t>
      </w:r>
      <w:r>
        <w:rPr>
          <w:bCs/>
          <w:sz w:val="18"/>
          <w:szCs w:val="18"/>
        </w:rPr>
        <w:t>11.2 million or 44%, to €</w:t>
      </w:r>
      <w:r w:rsidR="00C92AC8">
        <w:rPr>
          <w:bCs/>
          <w:sz w:val="18"/>
          <w:szCs w:val="18"/>
        </w:rPr>
        <w:t xml:space="preserve"> </w:t>
      </w:r>
      <w:r>
        <w:rPr>
          <w:bCs/>
          <w:sz w:val="18"/>
          <w:szCs w:val="18"/>
        </w:rPr>
        <w:t>36.8 million for the period ended 30 June 2017 from €</w:t>
      </w:r>
      <w:r w:rsidR="00C92AC8">
        <w:rPr>
          <w:bCs/>
          <w:sz w:val="18"/>
          <w:szCs w:val="18"/>
        </w:rPr>
        <w:t xml:space="preserve"> </w:t>
      </w:r>
      <w:r>
        <w:rPr>
          <w:bCs/>
          <w:sz w:val="18"/>
          <w:szCs w:val="18"/>
        </w:rPr>
        <w:t xml:space="preserve">25.5 million for the period ended 30 June 2016. This increase resulted primarily from the revaluation of new projects the construction of which started during the first half of 2017. The valuation of the own property portfolio, excluding land, remained </w:t>
      </w:r>
      <w:r>
        <w:rPr>
          <w:bCs/>
          <w:sz w:val="18"/>
          <w:szCs w:val="18"/>
        </w:rPr>
        <w:lastRenderedPageBreak/>
        <w:t>fairly stable and was valued by valuation experts at 30 June 2017 based on a weighted average yield of 6.48%, compared to 6.49% as at 31 December 2016.</w:t>
      </w:r>
    </w:p>
    <w:p w14:paraId="78EEA5D9" w14:textId="62E10A55" w:rsidR="001D1FD6" w:rsidRDefault="001D1FD6" w:rsidP="001D1FD6">
      <w:pPr>
        <w:spacing w:after="240"/>
        <w:ind w:firstLine="720"/>
        <w:jc w:val="both"/>
        <w:rPr>
          <w:bCs/>
          <w:sz w:val="18"/>
          <w:szCs w:val="18"/>
        </w:rPr>
      </w:pPr>
      <w:r>
        <w:rPr>
          <w:bCs/>
          <w:sz w:val="18"/>
          <w:szCs w:val="18"/>
        </w:rPr>
        <w:t xml:space="preserve">Unrealized valuation gains on the assets under construction </w:t>
      </w:r>
      <w:r w:rsidR="00ED3097">
        <w:rPr>
          <w:bCs/>
          <w:sz w:val="18"/>
          <w:szCs w:val="18"/>
        </w:rPr>
        <w:t>to be offered to</w:t>
      </w:r>
      <w:r>
        <w:rPr>
          <w:bCs/>
          <w:sz w:val="18"/>
          <w:szCs w:val="18"/>
        </w:rPr>
        <w:t xml:space="preserve"> the Joint Venture increased by €</w:t>
      </w:r>
      <w:r w:rsidR="00C92AC8">
        <w:rPr>
          <w:bCs/>
          <w:sz w:val="18"/>
          <w:szCs w:val="18"/>
        </w:rPr>
        <w:t xml:space="preserve"> </w:t>
      </w:r>
      <w:r>
        <w:rPr>
          <w:bCs/>
          <w:sz w:val="18"/>
          <w:szCs w:val="18"/>
        </w:rPr>
        <w:t>5.3 million or 30%, to €</w:t>
      </w:r>
      <w:r w:rsidR="00C57B27">
        <w:rPr>
          <w:bCs/>
          <w:sz w:val="18"/>
          <w:szCs w:val="18"/>
        </w:rPr>
        <w:t xml:space="preserve"> </w:t>
      </w:r>
      <w:r>
        <w:rPr>
          <w:bCs/>
          <w:sz w:val="18"/>
          <w:szCs w:val="18"/>
        </w:rPr>
        <w:t>22.7 million for the period ended 30 June 2017 from €</w:t>
      </w:r>
      <w:r w:rsidR="00C57B27">
        <w:rPr>
          <w:bCs/>
          <w:sz w:val="18"/>
          <w:szCs w:val="18"/>
        </w:rPr>
        <w:t xml:space="preserve"> </w:t>
      </w:r>
      <w:r>
        <w:rPr>
          <w:bCs/>
          <w:sz w:val="18"/>
          <w:szCs w:val="18"/>
        </w:rPr>
        <w:t>17.5 million for the period ended 30 June 2016. The valuation of the Joint Venture portfolio, excluding land, was based on a weighted average yield of 5.92%, as at 30 June 2017 applied to contractual rents increased by the estimated rental value on unlet space compared to 6.08% as at 31 December 2016. Finally, the realized valuation gains on the disposal group held for sale i.e. on the assets to be sold (as per 30 June 2017) to the Joint Venture, decreased by €</w:t>
      </w:r>
      <w:r w:rsidR="00C57B27">
        <w:rPr>
          <w:bCs/>
          <w:sz w:val="18"/>
          <w:szCs w:val="18"/>
        </w:rPr>
        <w:t xml:space="preserve"> </w:t>
      </w:r>
      <w:r>
        <w:rPr>
          <w:bCs/>
          <w:sz w:val="18"/>
          <w:szCs w:val="18"/>
        </w:rPr>
        <w:t>21.8 million or 98%, to €</w:t>
      </w:r>
      <w:r w:rsidR="00C57B27">
        <w:rPr>
          <w:bCs/>
          <w:sz w:val="18"/>
          <w:szCs w:val="18"/>
        </w:rPr>
        <w:t xml:space="preserve"> </w:t>
      </w:r>
      <w:r>
        <w:rPr>
          <w:bCs/>
          <w:sz w:val="18"/>
          <w:szCs w:val="18"/>
        </w:rPr>
        <w:t>0.3 million for the period ended 30 June 2017 from €</w:t>
      </w:r>
      <w:r w:rsidR="00C57B27">
        <w:rPr>
          <w:bCs/>
          <w:sz w:val="18"/>
          <w:szCs w:val="18"/>
        </w:rPr>
        <w:t xml:space="preserve"> </w:t>
      </w:r>
      <w:r>
        <w:rPr>
          <w:bCs/>
          <w:sz w:val="18"/>
          <w:szCs w:val="18"/>
        </w:rPr>
        <w:t>22.1 million for the period ended 30 June 2016. The decrease in valuation gains reflects the decreased portfolio size following the sale of the Seed Portfolio to the JV in May 2016.</w:t>
      </w:r>
    </w:p>
    <w:p w14:paraId="765D6CF7" w14:textId="77777777" w:rsidR="001D1FD6" w:rsidRDefault="001D1FD6" w:rsidP="001D1FD6">
      <w:pPr>
        <w:spacing w:after="240"/>
        <w:jc w:val="both"/>
        <w:rPr>
          <w:rFonts w:cs="Arabic Transparent"/>
          <w:i/>
          <w:sz w:val="18"/>
          <w:szCs w:val="18"/>
        </w:rPr>
      </w:pPr>
      <w:r>
        <w:rPr>
          <w:rFonts w:cs="Arabic Transparent"/>
          <w:i/>
          <w:sz w:val="18"/>
          <w:szCs w:val="18"/>
        </w:rPr>
        <w:t>Administration expenses</w:t>
      </w:r>
    </w:p>
    <w:p w14:paraId="792A38BD" w14:textId="38F95FF9" w:rsidR="001D1FD6" w:rsidRDefault="001D1FD6" w:rsidP="00ED3097">
      <w:pPr>
        <w:spacing w:after="240"/>
        <w:ind w:firstLine="720"/>
        <w:jc w:val="both"/>
        <w:rPr>
          <w:bCs/>
          <w:sz w:val="18"/>
          <w:szCs w:val="18"/>
        </w:rPr>
      </w:pPr>
      <w:r>
        <w:rPr>
          <w:bCs/>
          <w:sz w:val="18"/>
          <w:szCs w:val="18"/>
        </w:rPr>
        <w:t>Administration expenses consist of the Group's expenses for wages and salaries, audit, legal and other advisors, other expenses and depreciation. Administration expenses increased by €</w:t>
      </w:r>
      <w:r w:rsidR="00C92AC8">
        <w:rPr>
          <w:bCs/>
          <w:sz w:val="18"/>
          <w:szCs w:val="18"/>
        </w:rPr>
        <w:t xml:space="preserve"> </w:t>
      </w:r>
      <w:r>
        <w:rPr>
          <w:bCs/>
          <w:sz w:val="18"/>
          <w:szCs w:val="18"/>
        </w:rPr>
        <w:t>4.8 million to €</w:t>
      </w:r>
      <w:r w:rsidR="00C92AC8">
        <w:rPr>
          <w:bCs/>
          <w:sz w:val="18"/>
          <w:szCs w:val="18"/>
        </w:rPr>
        <w:t xml:space="preserve"> </w:t>
      </w:r>
      <w:r>
        <w:rPr>
          <w:bCs/>
          <w:sz w:val="18"/>
          <w:szCs w:val="18"/>
        </w:rPr>
        <w:t>9.7 million for the period ended 30 June 2017 from €</w:t>
      </w:r>
      <w:r w:rsidR="00C92AC8">
        <w:rPr>
          <w:bCs/>
          <w:sz w:val="18"/>
          <w:szCs w:val="18"/>
        </w:rPr>
        <w:t xml:space="preserve"> </w:t>
      </w:r>
      <w:r>
        <w:rPr>
          <w:bCs/>
          <w:sz w:val="18"/>
          <w:szCs w:val="18"/>
        </w:rPr>
        <w:t>4.9 million for the period ended 30 June 2016 primarily due to a €</w:t>
      </w:r>
      <w:r w:rsidR="00C92AC8">
        <w:rPr>
          <w:bCs/>
          <w:sz w:val="18"/>
          <w:szCs w:val="18"/>
        </w:rPr>
        <w:t xml:space="preserve"> </w:t>
      </w:r>
      <w:r>
        <w:rPr>
          <w:bCs/>
          <w:sz w:val="18"/>
          <w:szCs w:val="18"/>
        </w:rPr>
        <w:t>3.5 million increase in wages and salaries following the strong growth of the VGP team and variable remuneration as approved by the remuneration committee and an additional accrual of €</w:t>
      </w:r>
      <w:r w:rsidR="00C92AC8">
        <w:rPr>
          <w:bCs/>
          <w:sz w:val="18"/>
          <w:szCs w:val="18"/>
        </w:rPr>
        <w:t xml:space="preserve"> </w:t>
      </w:r>
      <w:r>
        <w:rPr>
          <w:bCs/>
          <w:sz w:val="18"/>
          <w:szCs w:val="18"/>
        </w:rPr>
        <w:t xml:space="preserve">2.0 million of profit sharing of Little Rock SA. </w:t>
      </w:r>
      <w:r w:rsidR="00ED3097">
        <w:rPr>
          <w:bCs/>
          <w:sz w:val="18"/>
          <w:szCs w:val="18"/>
        </w:rPr>
        <w:t>See “</w:t>
      </w:r>
      <w:r w:rsidR="00ED3097" w:rsidRPr="00ED3097">
        <w:rPr>
          <w:bCs/>
          <w:i/>
          <w:sz w:val="18"/>
          <w:szCs w:val="18"/>
        </w:rPr>
        <w:t>Major Shareholders and Related Party Transaction – Related Party Transactions – Shareholders – Management Services Agreement</w:t>
      </w:r>
      <w:r w:rsidR="00ED3097">
        <w:rPr>
          <w:bCs/>
          <w:sz w:val="18"/>
          <w:szCs w:val="18"/>
        </w:rPr>
        <w:t>”</w:t>
      </w:r>
      <w:r w:rsidR="00ED3097" w:rsidRPr="00ED3097">
        <w:rPr>
          <w:bCs/>
          <w:sz w:val="18"/>
          <w:szCs w:val="18"/>
        </w:rPr>
        <w:t>.</w:t>
      </w:r>
    </w:p>
    <w:p w14:paraId="63CF91FC" w14:textId="77777777" w:rsidR="001D1FD6" w:rsidRDefault="001D1FD6" w:rsidP="001D1FD6">
      <w:pPr>
        <w:spacing w:after="240"/>
        <w:jc w:val="both"/>
        <w:rPr>
          <w:rFonts w:cs="Arabic Transparent"/>
          <w:i/>
          <w:sz w:val="18"/>
          <w:szCs w:val="18"/>
        </w:rPr>
      </w:pPr>
      <w:r>
        <w:rPr>
          <w:rFonts w:cs="Arabic Transparent"/>
          <w:i/>
          <w:sz w:val="18"/>
          <w:szCs w:val="18"/>
        </w:rPr>
        <w:t>Other income / Other expenses (net)</w:t>
      </w:r>
    </w:p>
    <w:p w14:paraId="2D205CF8" w14:textId="1A3FEE29" w:rsidR="001D1FD6" w:rsidRDefault="001D1FD6" w:rsidP="001D1FD6">
      <w:pPr>
        <w:spacing w:after="240"/>
        <w:ind w:firstLine="720"/>
        <w:jc w:val="both"/>
        <w:rPr>
          <w:bCs/>
          <w:sz w:val="18"/>
          <w:szCs w:val="18"/>
        </w:rPr>
      </w:pPr>
      <w:r>
        <w:rPr>
          <w:bCs/>
          <w:sz w:val="18"/>
          <w:szCs w:val="18"/>
        </w:rPr>
        <w:t>Other expenses (net) decreased by €</w:t>
      </w:r>
      <w:r w:rsidR="00C57B27">
        <w:rPr>
          <w:bCs/>
          <w:sz w:val="18"/>
          <w:szCs w:val="18"/>
        </w:rPr>
        <w:t xml:space="preserve"> </w:t>
      </w:r>
      <w:r>
        <w:rPr>
          <w:bCs/>
          <w:sz w:val="18"/>
          <w:szCs w:val="18"/>
        </w:rPr>
        <w:t>0.3 million or 81%, to €</w:t>
      </w:r>
      <w:r w:rsidR="00C57B27">
        <w:rPr>
          <w:bCs/>
          <w:sz w:val="18"/>
          <w:szCs w:val="18"/>
        </w:rPr>
        <w:t xml:space="preserve"> </w:t>
      </w:r>
      <w:r>
        <w:rPr>
          <w:bCs/>
          <w:sz w:val="18"/>
          <w:szCs w:val="18"/>
        </w:rPr>
        <w:t>0.1 million for the period ended 30 June 2017 from €</w:t>
      </w:r>
      <w:r w:rsidR="00C57B27">
        <w:rPr>
          <w:bCs/>
          <w:sz w:val="18"/>
          <w:szCs w:val="18"/>
        </w:rPr>
        <w:t xml:space="preserve"> </w:t>
      </w:r>
      <w:r>
        <w:rPr>
          <w:bCs/>
          <w:sz w:val="18"/>
          <w:szCs w:val="18"/>
        </w:rPr>
        <w:t>0.4 million for the period ended 30 June 2016.</w:t>
      </w:r>
    </w:p>
    <w:p w14:paraId="4D9B6990" w14:textId="77777777" w:rsidR="001D1FD6" w:rsidRDefault="001D1FD6" w:rsidP="001D1FD6">
      <w:pPr>
        <w:spacing w:after="240"/>
        <w:jc w:val="both"/>
        <w:rPr>
          <w:rFonts w:cs="Arabic Transparent"/>
          <w:i/>
          <w:sz w:val="18"/>
          <w:szCs w:val="18"/>
        </w:rPr>
      </w:pPr>
      <w:r>
        <w:rPr>
          <w:rFonts w:cs="Arabic Transparent"/>
          <w:i/>
          <w:sz w:val="18"/>
          <w:szCs w:val="18"/>
        </w:rPr>
        <w:t xml:space="preserve">Share in result of Joint Venture and associates </w:t>
      </w:r>
    </w:p>
    <w:p w14:paraId="5E2DA07D" w14:textId="17BE2166" w:rsidR="001D1FD6" w:rsidRDefault="001D1FD6" w:rsidP="001D1FD6">
      <w:pPr>
        <w:spacing w:after="240"/>
        <w:ind w:firstLine="720"/>
        <w:jc w:val="both"/>
        <w:rPr>
          <w:bCs/>
          <w:sz w:val="18"/>
          <w:szCs w:val="18"/>
        </w:rPr>
      </w:pPr>
      <w:r>
        <w:rPr>
          <w:bCs/>
          <w:sz w:val="18"/>
          <w:szCs w:val="18"/>
        </w:rPr>
        <w:t>Share in result of Joint Venture and associates increased by €</w:t>
      </w:r>
      <w:r w:rsidR="00C92AC8">
        <w:rPr>
          <w:bCs/>
          <w:sz w:val="18"/>
          <w:szCs w:val="18"/>
        </w:rPr>
        <w:t xml:space="preserve"> </w:t>
      </w:r>
      <w:r>
        <w:rPr>
          <w:bCs/>
          <w:sz w:val="18"/>
          <w:szCs w:val="18"/>
        </w:rPr>
        <w:t>18.4 million, to € 15.2 million for the period ended 30 June 2017 from a loss of € 3.3 million for the period ended 30 June 2016. This increase reflects the participation of the Group in the Joint Venture, which was established during the first quarter of 2016. The increase is mainly driven by the result of the Joint Venture for the period ended 30 June 2017 which reached €</w:t>
      </w:r>
      <w:r w:rsidR="00C92AC8">
        <w:rPr>
          <w:bCs/>
          <w:sz w:val="18"/>
          <w:szCs w:val="18"/>
        </w:rPr>
        <w:t xml:space="preserve"> </w:t>
      </w:r>
      <w:r>
        <w:rPr>
          <w:bCs/>
          <w:sz w:val="18"/>
          <w:szCs w:val="18"/>
        </w:rPr>
        <w:t>15.2 million (at share), in accordance with the increased scale of its operations.</w:t>
      </w:r>
      <w:r w:rsidR="00224CC9">
        <w:rPr>
          <w:bCs/>
          <w:sz w:val="18"/>
          <w:szCs w:val="18"/>
        </w:rPr>
        <w:t xml:space="preserve"> </w:t>
      </w:r>
    </w:p>
    <w:p w14:paraId="1772B9D3" w14:textId="77777777" w:rsidR="001D1FD6" w:rsidRDefault="001D1FD6" w:rsidP="001D1FD6">
      <w:pPr>
        <w:spacing w:after="240"/>
        <w:jc w:val="both"/>
        <w:rPr>
          <w:rFonts w:cs="Arabic Transparent"/>
          <w:i/>
          <w:sz w:val="18"/>
          <w:szCs w:val="18"/>
        </w:rPr>
      </w:pPr>
      <w:r>
        <w:rPr>
          <w:rFonts w:cs="Arabic Transparent"/>
          <w:i/>
          <w:sz w:val="18"/>
          <w:szCs w:val="18"/>
        </w:rPr>
        <w:t>Operating profit</w:t>
      </w:r>
    </w:p>
    <w:p w14:paraId="274F8209" w14:textId="598011F2" w:rsidR="001D1FD6" w:rsidRDefault="001D1FD6" w:rsidP="001D1FD6">
      <w:pPr>
        <w:spacing w:after="240"/>
        <w:ind w:firstLine="720"/>
        <w:jc w:val="both"/>
        <w:rPr>
          <w:bCs/>
          <w:sz w:val="18"/>
          <w:szCs w:val="18"/>
        </w:rPr>
      </w:pPr>
      <w:r>
        <w:rPr>
          <w:bCs/>
          <w:sz w:val="18"/>
          <w:szCs w:val="18"/>
        </w:rPr>
        <w:t>Operating profit increased by €</w:t>
      </w:r>
      <w:r w:rsidR="00C92AC8">
        <w:rPr>
          <w:bCs/>
          <w:sz w:val="18"/>
          <w:szCs w:val="18"/>
        </w:rPr>
        <w:t xml:space="preserve"> </w:t>
      </w:r>
      <w:r>
        <w:rPr>
          <w:bCs/>
          <w:sz w:val="18"/>
          <w:szCs w:val="18"/>
        </w:rPr>
        <w:t>7.6 million or 11%, to €</w:t>
      </w:r>
      <w:r w:rsidR="00C92AC8">
        <w:rPr>
          <w:bCs/>
          <w:sz w:val="18"/>
          <w:szCs w:val="18"/>
        </w:rPr>
        <w:t xml:space="preserve"> </w:t>
      </w:r>
      <w:r>
        <w:rPr>
          <w:bCs/>
          <w:sz w:val="18"/>
          <w:szCs w:val="18"/>
        </w:rPr>
        <w:t>77.7 million for the period ended 30 June 2017 from €</w:t>
      </w:r>
      <w:r w:rsidR="00C92AC8">
        <w:rPr>
          <w:bCs/>
          <w:sz w:val="18"/>
          <w:szCs w:val="18"/>
        </w:rPr>
        <w:t xml:space="preserve"> </w:t>
      </w:r>
      <w:r>
        <w:rPr>
          <w:bCs/>
          <w:sz w:val="18"/>
          <w:szCs w:val="18"/>
        </w:rPr>
        <w:t xml:space="preserve">70.0 million for the period ended 30 June 2016. </w:t>
      </w:r>
    </w:p>
    <w:p w14:paraId="303C5775" w14:textId="77777777" w:rsidR="001D1FD6" w:rsidRDefault="001D1FD6" w:rsidP="001D1FD6">
      <w:pPr>
        <w:spacing w:after="240"/>
        <w:jc w:val="both"/>
        <w:rPr>
          <w:rFonts w:cs="Arabic Transparent"/>
          <w:i/>
          <w:sz w:val="18"/>
          <w:szCs w:val="18"/>
        </w:rPr>
      </w:pPr>
      <w:r>
        <w:rPr>
          <w:rFonts w:cs="Arabic Transparent"/>
          <w:i/>
          <w:sz w:val="18"/>
          <w:szCs w:val="18"/>
        </w:rPr>
        <w:t>Net financial result</w:t>
      </w:r>
    </w:p>
    <w:p w14:paraId="15F3E239" w14:textId="77777777" w:rsidR="001D1FD6" w:rsidRDefault="001D1FD6" w:rsidP="001D1FD6">
      <w:pPr>
        <w:spacing w:after="240"/>
        <w:ind w:firstLine="720"/>
        <w:jc w:val="both"/>
        <w:rPr>
          <w:bCs/>
          <w:sz w:val="18"/>
          <w:szCs w:val="18"/>
        </w:rPr>
      </w:pPr>
      <w:r>
        <w:rPr>
          <w:bCs/>
          <w:sz w:val="18"/>
          <w:szCs w:val="18"/>
        </w:rPr>
        <w:t>The Group's net financial result was an expense of € 5.0 million and € 14.6 million for the periods ended 30 June 2017 and 30 June 2016, respectively.</w:t>
      </w:r>
    </w:p>
    <w:p w14:paraId="483A5975" w14:textId="0B4F65AE" w:rsidR="001D1FD6" w:rsidRDefault="001D1FD6" w:rsidP="001D1FD6">
      <w:pPr>
        <w:spacing w:after="240"/>
        <w:ind w:firstLine="720"/>
        <w:jc w:val="both"/>
        <w:rPr>
          <w:bCs/>
          <w:sz w:val="18"/>
          <w:szCs w:val="18"/>
        </w:rPr>
      </w:pPr>
      <w:r>
        <w:rPr>
          <w:bCs/>
          <w:sz w:val="18"/>
          <w:szCs w:val="18"/>
        </w:rPr>
        <w:t>Financial income increased by €</w:t>
      </w:r>
      <w:r w:rsidR="00083D19">
        <w:rPr>
          <w:bCs/>
          <w:sz w:val="18"/>
          <w:szCs w:val="18"/>
        </w:rPr>
        <w:t xml:space="preserve"> </w:t>
      </w:r>
      <w:r>
        <w:rPr>
          <w:bCs/>
          <w:sz w:val="18"/>
          <w:szCs w:val="18"/>
        </w:rPr>
        <w:t>3.7 million or 654%, to €</w:t>
      </w:r>
      <w:r w:rsidR="00083D19">
        <w:rPr>
          <w:bCs/>
          <w:sz w:val="18"/>
          <w:szCs w:val="18"/>
        </w:rPr>
        <w:t xml:space="preserve"> </w:t>
      </w:r>
      <w:r>
        <w:rPr>
          <w:bCs/>
          <w:sz w:val="18"/>
          <w:szCs w:val="18"/>
        </w:rPr>
        <w:t>4.2 million for the period ended 30 June 2017 from €</w:t>
      </w:r>
      <w:r w:rsidR="00083D19">
        <w:rPr>
          <w:bCs/>
          <w:sz w:val="18"/>
          <w:szCs w:val="18"/>
        </w:rPr>
        <w:t xml:space="preserve"> </w:t>
      </w:r>
      <w:r>
        <w:rPr>
          <w:bCs/>
          <w:sz w:val="18"/>
          <w:szCs w:val="18"/>
        </w:rPr>
        <w:t>0.6 million for the period ended 30 June 2016. This increase primarily reflected increased interest income on loans granted to the Joint Venture during the year. As at 30 June 2017, these loans amounted to €</w:t>
      </w:r>
      <w:r w:rsidR="00C92AC8">
        <w:rPr>
          <w:bCs/>
          <w:sz w:val="18"/>
          <w:szCs w:val="18"/>
        </w:rPr>
        <w:t xml:space="preserve"> </w:t>
      </w:r>
      <w:r>
        <w:rPr>
          <w:bCs/>
          <w:sz w:val="18"/>
          <w:szCs w:val="18"/>
        </w:rPr>
        <w:t>105.6 million</w:t>
      </w:r>
      <w:r w:rsidR="00115A39">
        <w:rPr>
          <w:bCs/>
          <w:sz w:val="18"/>
          <w:szCs w:val="18"/>
        </w:rPr>
        <w:t xml:space="preserve"> (compared to € 107.5 million as at 30 June 2016). These loans were granted on 31 May 2016 in connection with the First JV Closing </w:t>
      </w:r>
      <w:r w:rsidR="00506D69">
        <w:rPr>
          <w:bCs/>
          <w:sz w:val="18"/>
          <w:szCs w:val="18"/>
        </w:rPr>
        <w:t>and accordingly had only a limited contribution</w:t>
      </w:r>
      <w:r w:rsidR="00115A39">
        <w:rPr>
          <w:bCs/>
          <w:sz w:val="18"/>
          <w:szCs w:val="18"/>
        </w:rPr>
        <w:t xml:space="preserve"> to the interest income</w:t>
      </w:r>
      <w:r w:rsidR="00506D69">
        <w:rPr>
          <w:bCs/>
          <w:sz w:val="18"/>
          <w:szCs w:val="18"/>
        </w:rPr>
        <w:t xml:space="preserve"> for the period ended 30 June 2016</w:t>
      </w:r>
      <w:r>
        <w:rPr>
          <w:bCs/>
          <w:sz w:val="18"/>
          <w:szCs w:val="18"/>
        </w:rPr>
        <w:t>.</w:t>
      </w:r>
      <w:r w:rsidR="00224CC9">
        <w:rPr>
          <w:bCs/>
          <w:sz w:val="18"/>
          <w:szCs w:val="18"/>
        </w:rPr>
        <w:t xml:space="preserve"> </w:t>
      </w:r>
    </w:p>
    <w:p w14:paraId="0186B28D" w14:textId="77777777" w:rsidR="001D1FD6" w:rsidRDefault="001D1FD6" w:rsidP="001D1FD6">
      <w:pPr>
        <w:spacing w:after="240"/>
        <w:ind w:firstLine="720"/>
        <w:jc w:val="both"/>
        <w:rPr>
          <w:bCs/>
          <w:sz w:val="18"/>
          <w:szCs w:val="18"/>
        </w:rPr>
      </w:pPr>
      <w:r>
        <w:rPr>
          <w:bCs/>
          <w:sz w:val="18"/>
          <w:szCs w:val="18"/>
        </w:rPr>
        <w:t>Financial expenses increased by € 6.0 million or 39%, to € 9.2 million for the period ended 30 June 2017 from € 15.2 million for the period ended 30 June 2016, primarily reflecting increased interest expense on the Group's bonds following issuance of € 225 million in aggregate principal amount of new bonds in September 2016 and € 80 million in aggregate principal amount of new bonds in March 2017.</w:t>
      </w:r>
    </w:p>
    <w:p w14:paraId="277C84EB" w14:textId="77777777" w:rsidR="001D1FD6" w:rsidRDefault="001D1FD6" w:rsidP="001D1FD6">
      <w:pPr>
        <w:spacing w:after="240"/>
        <w:jc w:val="both"/>
        <w:rPr>
          <w:rFonts w:cs="Arabic Transparent"/>
          <w:i/>
          <w:sz w:val="18"/>
          <w:szCs w:val="18"/>
        </w:rPr>
      </w:pPr>
      <w:r>
        <w:rPr>
          <w:rFonts w:cs="Arabic Transparent"/>
          <w:i/>
          <w:sz w:val="18"/>
          <w:szCs w:val="18"/>
        </w:rPr>
        <w:t>Profit before taxes</w:t>
      </w:r>
    </w:p>
    <w:p w14:paraId="6F03FFF7" w14:textId="3506F18C" w:rsidR="001D1FD6" w:rsidRDefault="001D1FD6" w:rsidP="001D1FD6">
      <w:pPr>
        <w:spacing w:after="240"/>
        <w:ind w:firstLine="720"/>
        <w:jc w:val="both"/>
        <w:rPr>
          <w:bCs/>
          <w:sz w:val="18"/>
          <w:szCs w:val="18"/>
        </w:rPr>
      </w:pPr>
      <w:r>
        <w:rPr>
          <w:bCs/>
          <w:sz w:val="18"/>
          <w:szCs w:val="18"/>
        </w:rPr>
        <w:t>Profit before taxes increased by €</w:t>
      </w:r>
      <w:r w:rsidR="00C92AC8">
        <w:rPr>
          <w:bCs/>
          <w:sz w:val="18"/>
          <w:szCs w:val="18"/>
        </w:rPr>
        <w:t xml:space="preserve"> </w:t>
      </w:r>
      <w:r>
        <w:rPr>
          <w:bCs/>
          <w:sz w:val="18"/>
          <w:szCs w:val="18"/>
        </w:rPr>
        <w:t>17.3 million or 31%, to €</w:t>
      </w:r>
      <w:r w:rsidR="00083D19">
        <w:rPr>
          <w:bCs/>
          <w:sz w:val="18"/>
          <w:szCs w:val="18"/>
        </w:rPr>
        <w:t xml:space="preserve"> </w:t>
      </w:r>
      <w:r>
        <w:rPr>
          <w:bCs/>
          <w:sz w:val="18"/>
          <w:szCs w:val="18"/>
        </w:rPr>
        <w:t>72.7 million for the period ended 30 June 2017 from € 55.5 million for the period ended 30 June 2016.</w:t>
      </w:r>
    </w:p>
    <w:p w14:paraId="077F8ED9" w14:textId="77777777" w:rsidR="001D1FD6" w:rsidRDefault="001D1FD6" w:rsidP="001D1FD6">
      <w:pPr>
        <w:spacing w:after="240"/>
        <w:jc w:val="both"/>
        <w:rPr>
          <w:rFonts w:cs="Arabic Transparent"/>
          <w:i/>
          <w:sz w:val="18"/>
          <w:szCs w:val="18"/>
        </w:rPr>
      </w:pPr>
      <w:r>
        <w:rPr>
          <w:rFonts w:cs="Arabic Transparent"/>
          <w:i/>
          <w:sz w:val="18"/>
          <w:szCs w:val="18"/>
        </w:rPr>
        <w:t>Taxes</w:t>
      </w:r>
    </w:p>
    <w:p w14:paraId="4397CA1D" w14:textId="665E08B1" w:rsidR="001D1FD6" w:rsidRDefault="001D1FD6" w:rsidP="001D1FD6">
      <w:pPr>
        <w:spacing w:after="240"/>
        <w:ind w:firstLine="720"/>
        <w:jc w:val="both"/>
        <w:rPr>
          <w:bCs/>
          <w:sz w:val="18"/>
          <w:szCs w:val="18"/>
        </w:rPr>
      </w:pPr>
      <w:r>
        <w:rPr>
          <w:bCs/>
          <w:sz w:val="18"/>
          <w:szCs w:val="18"/>
        </w:rPr>
        <w:t>Taxes decreased by €</w:t>
      </w:r>
      <w:r w:rsidR="00083D19">
        <w:rPr>
          <w:bCs/>
          <w:sz w:val="18"/>
          <w:szCs w:val="18"/>
        </w:rPr>
        <w:t xml:space="preserve"> </w:t>
      </w:r>
      <w:r>
        <w:rPr>
          <w:bCs/>
          <w:sz w:val="18"/>
          <w:szCs w:val="18"/>
        </w:rPr>
        <w:t>2.5 million or 19%, to €</w:t>
      </w:r>
      <w:r w:rsidR="00083D19">
        <w:rPr>
          <w:bCs/>
          <w:sz w:val="18"/>
          <w:szCs w:val="18"/>
        </w:rPr>
        <w:t xml:space="preserve"> </w:t>
      </w:r>
      <w:r>
        <w:rPr>
          <w:bCs/>
          <w:sz w:val="18"/>
          <w:szCs w:val="18"/>
        </w:rPr>
        <w:t>10.2 million for the period ended 30 June 2017 from €</w:t>
      </w:r>
      <w:r w:rsidR="00083D19">
        <w:rPr>
          <w:bCs/>
          <w:sz w:val="18"/>
          <w:szCs w:val="18"/>
        </w:rPr>
        <w:t xml:space="preserve"> </w:t>
      </w:r>
      <w:r>
        <w:rPr>
          <w:bCs/>
          <w:sz w:val="18"/>
          <w:szCs w:val="18"/>
        </w:rPr>
        <w:t>12.7 million for the period ended 30 June 2016. The decrease was mainly due to a decrease in deferred taxes following a € 3.9 million reversal of deferred taxes as at 30 June 2017 in respect of the disposal of VGP Estonia</w:t>
      </w:r>
      <w:r w:rsidR="000A3CC8">
        <w:rPr>
          <w:bCs/>
          <w:sz w:val="18"/>
          <w:szCs w:val="18"/>
        </w:rPr>
        <w:t xml:space="preserve"> (VGP Park </w:t>
      </w:r>
      <w:proofErr w:type="spellStart"/>
      <w:r w:rsidR="000A3CC8">
        <w:rPr>
          <w:bCs/>
          <w:sz w:val="18"/>
          <w:szCs w:val="18"/>
        </w:rPr>
        <w:t>Nehatu</w:t>
      </w:r>
      <w:proofErr w:type="spellEnd"/>
      <w:r w:rsidR="000A3CC8">
        <w:rPr>
          <w:bCs/>
          <w:sz w:val="18"/>
          <w:szCs w:val="18"/>
        </w:rPr>
        <w:t xml:space="preserve"> (Estonia))</w:t>
      </w:r>
      <w:r w:rsidR="00083D19">
        <w:rPr>
          <w:bCs/>
          <w:sz w:val="18"/>
          <w:szCs w:val="18"/>
        </w:rPr>
        <w:t xml:space="preserve"> for which no deferred tax will apply upon completion of the transaction</w:t>
      </w:r>
      <w:r>
        <w:rPr>
          <w:bCs/>
          <w:sz w:val="18"/>
          <w:szCs w:val="18"/>
        </w:rPr>
        <w:t xml:space="preserve">. Current tax remained virtually unchanged at € 0.3 million. The Group's effective tax rate was 17.8% and 24.4% for the periods ended 30 June 2017 and 30 June 2016, respectively. </w:t>
      </w:r>
    </w:p>
    <w:p w14:paraId="3131859D" w14:textId="77777777" w:rsidR="001D1FD6" w:rsidRDefault="001D1FD6" w:rsidP="001D1FD6">
      <w:pPr>
        <w:spacing w:after="240"/>
        <w:jc w:val="both"/>
        <w:rPr>
          <w:rFonts w:cs="Arabic Transparent"/>
          <w:i/>
          <w:sz w:val="18"/>
          <w:szCs w:val="18"/>
        </w:rPr>
      </w:pPr>
      <w:r>
        <w:rPr>
          <w:rFonts w:cs="Arabic Transparent"/>
          <w:i/>
          <w:sz w:val="18"/>
          <w:szCs w:val="18"/>
        </w:rPr>
        <w:t xml:space="preserve">Profit for the period </w:t>
      </w:r>
    </w:p>
    <w:p w14:paraId="47BD6FCA" w14:textId="5F212772" w:rsidR="001D1FD6" w:rsidRDefault="001D1FD6" w:rsidP="00083D19">
      <w:pPr>
        <w:spacing w:after="240"/>
        <w:ind w:firstLine="720"/>
        <w:jc w:val="both"/>
        <w:rPr>
          <w:rFonts w:cs="Arabic Transparent"/>
          <w:b/>
          <w:color w:val="000000"/>
          <w:sz w:val="18"/>
          <w:szCs w:val="18"/>
        </w:rPr>
      </w:pPr>
      <w:r>
        <w:rPr>
          <w:bCs/>
          <w:sz w:val="18"/>
          <w:szCs w:val="18"/>
        </w:rPr>
        <w:lastRenderedPageBreak/>
        <w:t>Profit for the period increased by € 19.7 million or 46%, to € 62.5 million for the period ended 30 June 2017 from € 42.7 million for the period ended 30 June 2016.</w:t>
      </w:r>
    </w:p>
    <w:p w14:paraId="49766988" w14:textId="77777777" w:rsidR="001D1FD6" w:rsidRDefault="001D1FD6" w:rsidP="001D1FD6">
      <w:pPr>
        <w:spacing w:after="240"/>
        <w:jc w:val="both"/>
        <w:rPr>
          <w:rFonts w:cs="Arabic Transparent"/>
          <w:b/>
          <w:i/>
          <w:color w:val="000000"/>
          <w:sz w:val="18"/>
          <w:szCs w:val="18"/>
        </w:rPr>
      </w:pPr>
      <w:r>
        <w:rPr>
          <w:rFonts w:cs="Arabic Transparent"/>
          <w:b/>
          <w:i/>
          <w:color w:val="000000"/>
          <w:sz w:val="18"/>
          <w:szCs w:val="18"/>
        </w:rPr>
        <w:t>Results of operations for the years ended 31 December 2016, 2015 and 2014</w:t>
      </w:r>
    </w:p>
    <w:p w14:paraId="5EBB5561" w14:textId="39FA23DA" w:rsidR="001D1FD6" w:rsidRDefault="001D1FD6" w:rsidP="001D1FD6">
      <w:pPr>
        <w:spacing w:after="240"/>
        <w:ind w:firstLine="720"/>
        <w:jc w:val="both"/>
        <w:rPr>
          <w:bCs/>
          <w:sz w:val="18"/>
          <w:szCs w:val="18"/>
        </w:rPr>
      </w:pPr>
      <w:r>
        <w:rPr>
          <w:bCs/>
          <w:sz w:val="18"/>
          <w:szCs w:val="18"/>
        </w:rPr>
        <w:t>The following table sets forth the consolidated income statements of the group for the years ended 31 December 2016</w:t>
      </w:r>
      <w:bookmarkStart w:id="48" w:name="_Hlk491196472"/>
      <w:r>
        <w:rPr>
          <w:bCs/>
          <w:sz w:val="18"/>
          <w:szCs w:val="18"/>
        </w:rPr>
        <w:t>, 2015 and 2014</w:t>
      </w:r>
      <w:r w:rsidR="00083D19">
        <w:rPr>
          <w:bCs/>
          <w:sz w:val="18"/>
          <w:szCs w:val="18"/>
        </w:rPr>
        <w:t xml:space="preserve"> (for </w:t>
      </w:r>
      <w:r w:rsidR="00083D19" w:rsidRPr="00083D19">
        <w:rPr>
          <w:bCs/>
          <w:sz w:val="18"/>
          <w:szCs w:val="18"/>
        </w:rPr>
        <w:t xml:space="preserve">comparative reasons the 2014 property and facility management income </w:t>
      </w:r>
      <w:r w:rsidR="00083D19">
        <w:rPr>
          <w:bCs/>
          <w:sz w:val="18"/>
          <w:szCs w:val="18"/>
        </w:rPr>
        <w:t xml:space="preserve">was restated </w:t>
      </w:r>
      <w:r w:rsidR="00083D19" w:rsidRPr="00083D19">
        <w:rPr>
          <w:bCs/>
          <w:sz w:val="18"/>
          <w:szCs w:val="18"/>
        </w:rPr>
        <w:t>as property and development management income</w:t>
      </w:r>
      <w:r w:rsidR="00083D19">
        <w:rPr>
          <w:bCs/>
          <w:sz w:val="18"/>
          <w:szCs w:val="18"/>
        </w:rPr>
        <w:t xml:space="preserve"> and t</w:t>
      </w:r>
      <w:r w:rsidR="00083D19" w:rsidRPr="00083D19">
        <w:rPr>
          <w:bCs/>
          <w:sz w:val="18"/>
          <w:szCs w:val="18"/>
        </w:rPr>
        <w:t>he 2014 development income was restated as facility management income</w:t>
      </w:r>
      <w:r w:rsidR="00083D19">
        <w:rPr>
          <w:bCs/>
          <w:sz w:val="18"/>
          <w:szCs w:val="18"/>
        </w:rPr>
        <w:t>)</w:t>
      </w:r>
      <w:bookmarkStart w:id="49" w:name="_Hlk491168972"/>
      <w:r w:rsidR="00115A39">
        <w:rPr>
          <w:bCs/>
          <w:sz w:val="18"/>
          <w:szCs w:val="18"/>
        </w:rPr>
        <w:t>:</w:t>
      </w:r>
    </w:p>
    <w:tbl>
      <w:tblPr>
        <w:tblW w:w="507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6066"/>
        <w:gridCol w:w="1273"/>
        <w:gridCol w:w="1274"/>
        <w:gridCol w:w="1274"/>
      </w:tblGrid>
      <w:tr w:rsidR="001C2B2C" w14:paraId="222143AD" w14:textId="77777777" w:rsidTr="00B322A7">
        <w:trPr>
          <w:cantSplit/>
        </w:trPr>
        <w:tc>
          <w:tcPr>
            <w:tcW w:w="6222" w:type="dxa"/>
          </w:tcPr>
          <w:p w14:paraId="648B7852" w14:textId="77777777" w:rsidR="001C2B2C" w:rsidRDefault="001C2B2C" w:rsidP="00B322A7">
            <w:pPr>
              <w:jc w:val="both"/>
              <w:rPr>
                <w:rFonts w:cs="Arabic Transparent"/>
                <w:sz w:val="18"/>
                <w:szCs w:val="18"/>
                <w:lang w:val="en-GB"/>
              </w:rPr>
            </w:pPr>
            <w:bookmarkStart w:id="50" w:name="_Hlk491197559"/>
            <w:bookmarkEnd w:id="48"/>
            <w:bookmarkEnd w:id="49"/>
          </w:p>
        </w:tc>
        <w:tc>
          <w:tcPr>
            <w:tcW w:w="3905" w:type="dxa"/>
            <w:gridSpan w:val="3"/>
          </w:tcPr>
          <w:p w14:paraId="5593CCB6" w14:textId="77777777" w:rsidR="001C2B2C" w:rsidRDefault="001C2B2C" w:rsidP="00B322A7">
            <w:pPr>
              <w:pBdr>
                <w:bottom w:val="single" w:sz="2" w:space="1" w:color="auto"/>
              </w:pBdr>
              <w:jc w:val="center"/>
              <w:rPr>
                <w:rFonts w:cs="Arabic Transparent"/>
                <w:b/>
                <w:sz w:val="18"/>
                <w:szCs w:val="18"/>
              </w:rPr>
            </w:pPr>
            <w:r>
              <w:rPr>
                <w:rFonts w:cs="Arabic Transparent"/>
                <w:b/>
                <w:sz w:val="18"/>
                <w:szCs w:val="18"/>
              </w:rPr>
              <w:t>For the year ended 31-Dec</w:t>
            </w:r>
          </w:p>
        </w:tc>
      </w:tr>
      <w:tr w:rsidR="001C2B2C" w14:paraId="74D34E2E" w14:textId="77777777" w:rsidTr="00B322A7">
        <w:trPr>
          <w:cantSplit/>
        </w:trPr>
        <w:tc>
          <w:tcPr>
            <w:tcW w:w="6222" w:type="dxa"/>
            <w:vMerge w:val="restart"/>
          </w:tcPr>
          <w:p w14:paraId="712E0A5A" w14:textId="77777777" w:rsidR="001C2B2C" w:rsidRDefault="001C2B2C" w:rsidP="00B322A7">
            <w:pPr>
              <w:jc w:val="both"/>
              <w:rPr>
                <w:rFonts w:cs="Arabic Transparent"/>
                <w:sz w:val="18"/>
                <w:szCs w:val="18"/>
                <w:lang w:val="en-GB"/>
              </w:rPr>
            </w:pPr>
          </w:p>
        </w:tc>
        <w:tc>
          <w:tcPr>
            <w:tcW w:w="1301" w:type="dxa"/>
          </w:tcPr>
          <w:p w14:paraId="0E501BFB" w14:textId="77777777" w:rsidR="001C2B2C" w:rsidRDefault="001C2B2C" w:rsidP="00B322A7">
            <w:pPr>
              <w:pBdr>
                <w:bottom w:val="single" w:sz="2" w:space="1" w:color="auto"/>
              </w:pBdr>
              <w:jc w:val="center"/>
              <w:rPr>
                <w:rFonts w:cs="Arabic Transparent"/>
                <w:b/>
                <w:sz w:val="18"/>
                <w:szCs w:val="18"/>
                <w:lang w:val="en-GB"/>
              </w:rPr>
            </w:pPr>
            <w:r>
              <w:rPr>
                <w:rFonts w:cs="Arabic Transparent"/>
                <w:b/>
                <w:sz w:val="18"/>
                <w:szCs w:val="18"/>
              </w:rPr>
              <w:t>2016</w:t>
            </w:r>
            <w:r>
              <w:rPr>
                <w:rFonts w:cs="Arabic Transparent"/>
                <w:b/>
                <w:sz w:val="18"/>
                <w:szCs w:val="18"/>
                <w:lang w:val="en-GB"/>
              </w:rPr>
              <w:br/>
            </w:r>
          </w:p>
        </w:tc>
        <w:tc>
          <w:tcPr>
            <w:tcW w:w="1302" w:type="dxa"/>
          </w:tcPr>
          <w:p w14:paraId="324E1445" w14:textId="77777777" w:rsidR="001C2B2C" w:rsidRDefault="001C2B2C" w:rsidP="00B322A7">
            <w:pPr>
              <w:pBdr>
                <w:bottom w:val="single" w:sz="2" w:space="1" w:color="auto"/>
              </w:pBdr>
              <w:jc w:val="center"/>
              <w:rPr>
                <w:rFonts w:cs="Arabic Transparent"/>
                <w:b/>
                <w:sz w:val="18"/>
                <w:szCs w:val="18"/>
                <w:lang w:val="en-GB"/>
              </w:rPr>
            </w:pPr>
            <w:r>
              <w:rPr>
                <w:rFonts w:cs="Arabic Transparent"/>
                <w:b/>
                <w:sz w:val="18"/>
                <w:szCs w:val="18"/>
              </w:rPr>
              <w:t xml:space="preserve">2015 </w:t>
            </w:r>
            <w:r>
              <w:rPr>
                <w:rFonts w:cs="Arabic Transparent"/>
                <w:b/>
                <w:sz w:val="18"/>
                <w:szCs w:val="18"/>
              </w:rPr>
              <w:br/>
            </w:r>
          </w:p>
        </w:tc>
        <w:tc>
          <w:tcPr>
            <w:tcW w:w="1302" w:type="dxa"/>
          </w:tcPr>
          <w:p w14:paraId="786C7BB9" w14:textId="77777777" w:rsidR="001C2B2C" w:rsidRDefault="001C2B2C" w:rsidP="00B322A7">
            <w:pPr>
              <w:pBdr>
                <w:bottom w:val="single" w:sz="2" w:space="1" w:color="auto"/>
              </w:pBdr>
              <w:jc w:val="center"/>
              <w:rPr>
                <w:rFonts w:cs="Arabic Transparent"/>
                <w:b/>
                <w:sz w:val="18"/>
                <w:szCs w:val="18"/>
                <w:lang w:val="en-GB"/>
              </w:rPr>
            </w:pPr>
            <w:r>
              <w:rPr>
                <w:rFonts w:cs="Arabic Transparent"/>
                <w:b/>
                <w:sz w:val="18"/>
                <w:szCs w:val="18"/>
              </w:rPr>
              <w:t>2014</w:t>
            </w:r>
            <w:r>
              <w:rPr>
                <w:rFonts w:cs="Arabic Transparent"/>
                <w:b/>
                <w:sz w:val="18"/>
                <w:szCs w:val="18"/>
                <w:lang w:val="en-GB"/>
              </w:rPr>
              <w:br/>
            </w:r>
          </w:p>
        </w:tc>
      </w:tr>
      <w:tr w:rsidR="001C2B2C" w14:paraId="743C6887" w14:textId="77777777" w:rsidTr="00B322A7">
        <w:trPr>
          <w:cantSplit/>
        </w:trPr>
        <w:tc>
          <w:tcPr>
            <w:tcW w:w="6222" w:type="dxa"/>
            <w:vMerge/>
          </w:tcPr>
          <w:p w14:paraId="696B4327" w14:textId="77777777" w:rsidR="001C2B2C" w:rsidRDefault="001C2B2C" w:rsidP="00B322A7">
            <w:pPr>
              <w:jc w:val="both"/>
              <w:rPr>
                <w:rFonts w:cs="Arabic Transparent"/>
                <w:sz w:val="18"/>
                <w:szCs w:val="18"/>
                <w:lang w:val="en-GB"/>
              </w:rPr>
            </w:pPr>
          </w:p>
        </w:tc>
        <w:tc>
          <w:tcPr>
            <w:tcW w:w="1301" w:type="dxa"/>
          </w:tcPr>
          <w:p w14:paraId="52FC2687" w14:textId="77777777" w:rsidR="001C2B2C" w:rsidRDefault="001C2B2C" w:rsidP="00B322A7">
            <w:pPr>
              <w:jc w:val="center"/>
              <w:rPr>
                <w:rFonts w:cs="Arabic Transparent"/>
                <w:sz w:val="18"/>
                <w:szCs w:val="18"/>
                <w:lang w:val="en-GB"/>
              </w:rPr>
            </w:pPr>
          </w:p>
        </w:tc>
        <w:tc>
          <w:tcPr>
            <w:tcW w:w="1302" w:type="dxa"/>
          </w:tcPr>
          <w:p w14:paraId="2E5EF072" w14:textId="77777777" w:rsidR="001C2B2C" w:rsidRDefault="001C2B2C" w:rsidP="00B322A7">
            <w:pPr>
              <w:jc w:val="center"/>
              <w:rPr>
                <w:rFonts w:cs="Arabic Transparent"/>
                <w:sz w:val="18"/>
                <w:szCs w:val="18"/>
                <w:lang w:val="en-GB"/>
              </w:rPr>
            </w:pPr>
            <w:r>
              <w:rPr>
                <w:rFonts w:cs="Arabic Transparent"/>
                <w:sz w:val="18"/>
                <w:szCs w:val="18"/>
              </w:rPr>
              <w:t>(</w:t>
            </w:r>
            <w:r>
              <w:rPr>
                <w:rFonts w:cs="Arabic Transparent"/>
                <w:i/>
                <w:sz w:val="18"/>
                <w:szCs w:val="18"/>
              </w:rPr>
              <w:t xml:space="preserve">in thousands of </w:t>
            </w:r>
            <w:r>
              <w:rPr>
                <w:bCs/>
                <w:i/>
                <w:sz w:val="18"/>
                <w:szCs w:val="18"/>
              </w:rPr>
              <w:t>€</w:t>
            </w:r>
            <w:r>
              <w:rPr>
                <w:rFonts w:cs="Arabic Transparent"/>
                <w:sz w:val="18"/>
                <w:szCs w:val="18"/>
              </w:rPr>
              <w:t>)</w:t>
            </w:r>
          </w:p>
        </w:tc>
        <w:tc>
          <w:tcPr>
            <w:tcW w:w="1302" w:type="dxa"/>
          </w:tcPr>
          <w:p w14:paraId="0B3B125E" w14:textId="77777777" w:rsidR="001C2B2C" w:rsidRDefault="001C2B2C" w:rsidP="00B322A7">
            <w:pPr>
              <w:jc w:val="center"/>
              <w:rPr>
                <w:rFonts w:cs="Arabic Transparent"/>
                <w:sz w:val="18"/>
                <w:szCs w:val="18"/>
                <w:lang w:val="en-GB"/>
              </w:rPr>
            </w:pPr>
          </w:p>
        </w:tc>
      </w:tr>
      <w:tr w:rsidR="001C2B2C" w14:paraId="281E1B3B" w14:textId="77777777" w:rsidTr="00B322A7">
        <w:trPr>
          <w:cantSplit/>
        </w:trPr>
        <w:tc>
          <w:tcPr>
            <w:tcW w:w="6222" w:type="dxa"/>
          </w:tcPr>
          <w:p w14:paraId="4C82EEB7" w14:textId="77777777" w:rsidR="001C2B2C" w:rsidRDefault="001C2B2C" w:rsidP="00B322A7">
            <w:pPr>
              <w:jc w:val="both"/>
              <w:rPr>
                <w:rFonts w:cs="Arabic Transparent"/>
                <w:b/>
                <w:i/>
                <w:sz w:val="18"/>
                <w:szCs w:val="18"/>
                <w:lang w:val="en-GB"/>
              </w:rPr>
            </w:pPr>
            <w:r>
              <w:rPr>
                <w:rFonts w:cs="Arabic Transparent"/>
                <w:b/>
                <w:sz w:val="18"/>
                <w:szCs w:val="18"/>
                <w:lang w:val="en-GB"/>
              </w:rPr>
              <w:t>Revenue</w:t>
            </w:r>
            <w:r>
              <w:rPr>
                <w:rFonts w:cs="Arabic Transparent"/>
                <w:b/>
                <w:i/>
                <w:sz w:val="18"/>
                <w:szCs w:val="18"/>
                <w:lang w:val="en-GB"/>
              </w:rPr>
              <w:t xml:space="preserve"> </w:t>
            </w:r>
          </w:p>
        </w:tc>
        <w:tc>
          <w:tcPr>
            <w:tcW w:w="1301" w:type="dxa"/>
          </w:tcPr>
          <w:p w14:paraId="560CBD11" w14:textId="77777777" w:rsidR="001C2B2C" w:rsidRDefault="001C2B2C" w:rsidP="00B322A7">
            <w:pPr>
              <w:tabs>
                <w:tab w:val="decimal" w:pos="870"/>
              </w:tabs>
              <w:jc w:val="both"/>
              <w:rPr>
                <w:rFonts w:cs="Arabic Transparent"/>
                <w:b/>
                <w:sz w:val="18"/>
                <w:szCs w:val="18"/>
                <w:u w:val="single"/>
              </w:rPr>
            </w:pPr>
            <w:r>
              <w:rPr>
                <w:rFonts w:cs="Arabic Transparent"/>
                <w:b/>
                <w:sz w:val="18"/>
                <w:szCs w:val="18"/>
                <w:u w:val="single"/>
              </w:rPr>
              <w:t>24,739</w:t>
            </w:r>
          </w:p>
        </w:tc>
        <w:tc>
          <w:tcPr>
            <w:tcW w:w="1302" w:type="dxa"/>
          </w:tcPr>
          <w:p w14:paraId="41BE262B" w14:textId="77777777" w:rsidR="001C2B2C" w:rsidRDefault="001C2B2C" w:rsidP="00B322A7">
            <w:pPr>
              <w:tabs>
                <w:tab w:val="decimal" w:pos="870"/>
              </w:tabs>
              <w:jc w:val="both"/>
              <w:rPr>
                <w:rFonts w:cs="Arabic Transparent"/>
                <w:b/>
                <w:sz w:val="18"/>
                <w:szCs w:val="18"/>
                <w:u w:val="single"/>
              </w:rPr>
            </w:pPr>
            <w:r>
              <w:rPr>
                <w:rFonts w:cs="Arabic Transparent"/>
                <w:b/>
                <w:sz w:val="18"/>
                <w:szCs w:val="18"/>
                <w:u w:val="single"/>
              </w:rPr>
              <w:t>23,118</w:t>
            </w:r>
          </w:p>
        </w:tc>
        <w:tc>
          <w:tcPr>
            <w:tcW w:w="1302" w:type="dxa"/>
          </w:tcPr>
          <w:p w14:paraId="36CB162A" w14:textId="77777777" w:rsidR="001C2B2C" w:rsidRDefault="001C2B2C" w:rsidP="00B322A7">
            <w:pPr>
              <w:tabs>
                <w:tab w:val="decimal" w:pos="870"/>
              </w:tabs>
              <w:jc w:val="both"/>
              <w:rPr>
                <w:rFonts w:cs="Arabic Transparent"/>
                <w:b/>
                <w:sz w:val="18"/>
                <w:szCs w:val="18"/>
                <w:u w:val="single"/>
              </w:rPr>
            </w:pPr>
            <w:r>
              <w:rPr>
                <w:rFonts w:cs="Arabic Transparent"/>
                <w:b/>
                <w:sz w:val="18"/>
                <w:szCs w:val="18"/>
                <w:u w:val="single"/>
              </w:rPr>
              <w:t>15,114</w:t>
            </w:r>
          </w:p>
        </w:tc>
      </w:tr>
      <w:tr w:rsidR="001C2B2C" w14:paraId="25155DFA" w14:textId="77777777" w:rsidTr="00B322A7">
        <w:trPr>
          <w:cantSplit/>
        </w:trPr>
        <w:tc>
          <w:tcPr>
            <w:tcW w:w="6222" w:type="dxa"/>
            <w:vAlign w:val="center"/>
          </w:tcPr>
          <w:p w14:paraId="26077556" w14:textId="77777777" w:rsidR="001C2B2C" w:rsidRDefault="001C2B2C" w:rsidP="00B322A7">
            <w:pPr>
              <w:tabs>
                <w:tab w:val="right" w:leader="dot" w:pos="5400"/>
              </w:tabs>
              <w:ind w:right="-7"/>
              <w:jc w:val="both"/>
              <w:rPr>
                <w:rFonts w:cs="Arabic Transparent"/>
                <w:sz w:val="18"/>
                <w:szCs w:val="18"/>
                <w:lang w:val="en-GB"/>
              </w:rPr>
            </w:pPr>
            <w:r>
              <w:rPr>
                <w:rFonts w:cs="Arabic Transparent"/>
                <w:sz w:val="18"/>
                <w:szCs w:val="18"/>
              </w:rPr>
              <w:t>Gross rental income</w:t>
            </w:r>
            <w:r>
              <w:rPr>
                <w:rFonts w:cs="Arabic Transparent"/>
                <w:sz w:val="18"/>
                <w:szCs w:val="18"/>
              </w:rPr>
              <w:tab/>
            </w:r>
            <w:r>
              <w:rPr>
                <w:rFonts w:cs="Arabic Transparent"/>
                <w:sz w:val="18"/>
                <w:szCs w:val="18"/>
                <w:lang w:val="en-GB"/>
              </w:rPr>
              <w:t>…</w:t>
            </w:r>
          </w:p>
        </w:tc>
        <w:tc>
          <w:tcPr>
            <w:tcW w:w="1301" w:type="dxa"/>
            <w:vAlign w:val="center"/>
          </w:tcPr>
          <w:p w14:paraId="072D21FD" w14:textId="77777777" w:rsidR="001C2B2C" w:rsidRDefault="001C2B2C" w:rsidP="00B322A7">
            <w:pPr>
              <w:tabs>
                <w:tab w:val="decimal" w:pos="857"/>
              </w:tabs>
              <w:jc w:val="both"/>
              <w:rPr>
                <w:rFonts w:cs="Arabic Transparent"/>
                <w:sz w:val="18"/>
                <w:szCs w:val="18"/>
                <w:lang w:val="en-GB"/>
              </w:rPr>
            </w:pPr>
            <w:r>
              <w:rPr>
                <w:rFonts w:cs="Arabic Transparent"/>
                <w:sz w:val="18"/>
                <w:szCs w:val="18"/>
                <w:lang w:val="en-GB"/>
              </w:rPr>
              <w:t>16,806</w:t>
            </w:r>
          </w:p>
        </w:tc>
        <w:tc>
          <w:tcPr>
            <w:tcW w:w="1302" w:type="dxa"/>
            <w:vAlign w:val="center"/>
          </w:tcPr>
          <w:p w14:paraId="697D8DCC" w14:textId="77777777" w:rsidR="001C2B2C" w:rsidRDefault="001C2B2C" w:rsidP="00B322A7">
            <w:pPr>
              <w:tabs>
                <w:tab w:val="decimal" w:pos="870"/>
              </w:tabs>
              <w:jc w:val="both"/>
              <w:rPr>
                <w:rFonts w:cs="Arabic Transparent"/>
                <w:sz w:val="18"/>
                <w:szCs w:val="18"/>
                <w:lang w:val="en-GB"/>
              </w:rPr>
            </w:pPr>
            <w:r>
              <w:rPr>
                <w:rFonts w:cs="Arabic Transparent"/>
                <w:sz w:val="18"/>
                <w:szCs w:val="18"/>
                <w:lang w:val="en-GB"/>
              </w:rPr>
              <w:t>17,073</w:t>
            </w:r>
          </w:p>
        </w:tc>
        <w:tc>
          <w:tcPr>
            <w:tcW w:w="1302" w:type="dxa"/>
            <w:vAlign w:val="center"/>
          </w:tcPr>
          <w:p w14:paraId="10B5AF5E" w14:textId="77777777" w:rsidR="001C2B2C" w:rsidRDefault="001C2B2C" w:rsidP="00B322A7">
            <w:pPr>
              <w:tabs>
                <w:tab w:val="decimal" w:pos="883"/>
              </w:tabs>
              <w:jc w:val="both"/>
              <w:rPr>
                <w:rFonts w:cs="Arabic Transparent"/>
                <w:sz w:val="18"/>
                <w:szCs w:val="18"/>
                <w:lang w:val="en-GB"/>
              </w:rPr>
            </w:pPr>
            <w:r>
              <w:rPr>
                <w:rFonts w:cs="Arabic Transparent"/>
                <w:sz w:val="18"/>
                <w:szCs w:val="18"/>
                <w:lang w:val="en-GB"/>
              </w:rPr>
              <w:t>9,596</w:t>
            </w:r>
          </w:p>
        </w:tc>
      </w:tr>
      <w:tr w:rsidR="001C2B2C" w14:paraId="0E18E973" w14:textId="77777777" w:rsidTr="00B322A7">
        <w:trPr>
          <w:cantSplit/>
        </w:trPr>
        <w:tc>
          <w:tcPr>
            <w:tcW w:w="6222" w:type="dxa"/>
            <w:vAlign w:val="center"/>
          </w:tcPr>
          <w:p w14:paraId="3FC2F578" w14:textId="77777777" w:rsidR="001C2B2C" w:rsidRDefault="001C2B2C" w:rsidP="00B322A7">
            <w:pPr>
              <w:tabs>
                <w:tab w:val="right" w:leader="dot" w:pos="5400"/>
              </w:tabs>
              <w:ind w:right="-7"/>
              <w:jc w:val="both"/>
              <w:rPr>
                <w:rFonts w:cs="Arabic Transparent"/>
                <w:sz w:val="18"/>
                <w:szCs w:val="18"/>
              </w:rPr>
            </w:pPr>
            <w:r>
              <w:rPr>
                <w:rFonts w:cs="Arabic Transparent"/>
                <w:sz w:val="18"/>
                <w:szCs w:val="18"/>
              </w:rPr>
              <w:t>Service charge income</w:t>
            </w:r>
            <w:r>
              <w:rPr>
                <w:rFonts w:cs="Arabic Transparent"/>
                <w:sz w:val="18"/>
                <w:szCs w:val="18"/>
              </w:rPr>
              <w:tab/>
            </w:r>
          </w:p>
        </w:tc>
        <w:tc>
          <w:tcPr>
            <w:tcW w:w="1301" w:type="dxa"/>
            <w:vAlign w:val="center"/>
          </w:tcPr>
          <w:p w14:paraId="354FD888" w14:textId="77777777" w:rsidR="001C2B2C" w:rsidRDefault="001C2B2C" w:rsidP="00B322A7">
            <w:pPr>
              <w:tabs>
                <w:tab w:val="decimal" w:pos="857"/>
              </w:tabs>
              <w:jc w:val="both"/>
              <w:rPr>
                <w:rFonts w:cs="Arabic Transparent"/>
                <w:sz w:val="18"/>
                <w:szCs w:val="18"/>
              </w:rPr>
            </w:pPr>
            <w:r>
              <w:rPr>
                <w:rFonts w:cs="Arabic Transparent"/>
                <w:sz w:val="18"/>
                <w:szCs w:val="18"/>
              </w:rPr>
              <w:t>4,108</w:t>
            </w:r>
          </w:p>
        </w:tc>
        <w:tc>
          <w:tcPr>
            <w:tcW w:w="1302" w:type="dxa"/>
            <w:vAlign w:val="center"/>
          </w:tcPr>
          <w:p w14:paraId="5332AE60" w14:textId="77777777" w:rsidR="001C2B2C" w:rsidRDefault="001C2B2C" w:rsidP="00B322A7">
            <w:pPr>
              <w:tabs>
                <w:tab w:val="decimal" w:pos="870"/>
              </w:tabs>
              <w:jc w:val="both"/>
              <w:rPr>
                <w:rFonts w:cs="Arabic Transparent"/>
                <w:sz w:val="18"/>
                <w:szCs w:val="18"/>
              </w:rPr>
            </w:pPr>
            <w:r>
              <w:rPr>
                <w:rFonts w:cs="Arabic Transparent"/>
                <w:sz w:val="18"/>
                <w:szCs w:val="18"/>
              </w:rPr>
              <w:t>3,498</w:t>
            </w:r>
          </w:p>
        </w:tc>
        <w:tc>
          <w:tcPr>
            <w:tcW w:w="1302" w:type="dxa"/>
            <w:vAlign w:val="center"/>
          </w:tcPr>
          <w:p w14:paraId="5A5871F7" w14:textId="77777777" w:rsidR="001C2B2C" w:rsidRDefault="001C2B2C" w:rsidP="00B322A7">
            <w:pPr>
              <w:tabs>
                <w:tab w:val="decimal" w:pos="883"/>
              </w:tabs>
              <w:jc w:val="both"/>
              <w:rPr>
                <w:rFonts w:cs="Arabic Transparent"/>
                <w:sz w:val="18"/>
                <w:szCs w:val="18"/>
              </w:rPr>
            </w:pPr>
            <w:r>
              <w:rPr>
                <w:rFonts w:cs="Arabic Transparent"/>
                <w:sz w:val="18"/>
                <w:szCs w:val="18"/>
              </w:rPr>
              <w:t>2,110</w:t>
            </w:r>
          </w:p>
        </w:tc>
      </w:tr>
      <w:tr w:rsidR="001C2B2C" w14:paraId="567B3E5A" w14:textId="77777777" w:rsidTr="00B322A7">
        <w:trPr>
          <w:cantSplit/>
        </w:trPr>
        <w:tc>
          <w:tcPr>
            <w:tcW w:w="6222" w:type="dxa"/>
            <w:vAlign w:val="center"/>
          </w:tcPr>
          <w:p w14:paraId="6CC096A6" w14:textId="77777777" w:rsidR="001C2B2C" w:rsidRDefault="001C2B2C" w:rsidP="00B322A7">
            <w:pPr>
              <w:tabs>
                <w:tab w:val="right" w:leader="dot" w:pos="5400"/>
              </w:tabs>
              <w:ind w:right="-7"/>
              <w:jc w:val="both"/>
              <w:rPr>
                <w:rFonts w:cs="Arabic Transparent"/>
                <w:sz w:val="18"/>
                <w:szCs w:val="18"/>
              </w:rPr>
            </w:pPr>
            <w:r>
              <w:rPr>
                <w:rFonts w:cs="Arabic Transparent"/>
                <w:sz w:val="18"/>
                <w:szCs w:val="18"/>
              </w:rPr>
              <w:t>Service charge expenses</w:t>
            </w:r>
            <w:r>
              <w:rPr>
                <w:rFonts w:cs="Arabic Transparent"/>
                <w:sz w:val="18"/>
                <w:szCs w:val="18"/>
              </w:rPr>
              <w:tab/>
            </w:r>
          </w:p>
        </w:tc>
        <w:tc>
          <w:tcPr>
            <w:tcW w:w="1301" w:type="dxa"/>
            <w:vAlign w:val="center"/>
          </w:tcPr>
          <w:p w14:paraId="33604F26" w14:textId="77777777" w:rsidR="001C2B2C" w:rsidRDefault="001C2B2C" w:rsidP="00B322A7">
            <w:pPr>
              <w:tabs>
                <w:tab w:val="decimal" w:pos="857"/>
              </w:tabs>
              <w:jc w:val="both"/>
              <w:rPr>
                <w:rFonts w:cs="Arabic Transparent"/>
                <w:sz w:val="18"/>
                <w:szCs w:val="18"/>
              </w:rPr>
            </w:pPr>
            <w:r>
              <w:rPr>
                <w:rFonts w:cs="Arabic Transparent"/>
                <w:sz w:val="18"/>
                <w:szCs w:val="18"/>
              </w:rPr>
              <w:t>(3,073)</w:t>
            </w:r>
          </w:p>
        </w:tc>
        <w:tc>
          <w:tcPr>
            <w:tcW w:w="1302" w:type="dxa"/>
            <w:vAlign w:val="center"/>
          </w:tcPr>
          <w:p w14:paraId="10C92D90" w14:textId="77777777" w:rsidR="001C2B2C" w:rsidRDefault="001C2B2C" w:rsidP="00B322A7">
            <w:pPr>
              <w:tabs>
                <w:tab w:val="decimal" w:pos="870"/>
              </w:tabs>
              <w:jc w:val="both"/>
              <w:rPr>
                <w:rFonts w:cs="Arabic Transparent"/>
                <w:sz w:val="18"/>
                <w:szCs w:val="18"/>
              </w:rPr>
            </w:pPr>
            <w:r>
              <w:rPr>
                <w:rFonts w:cs="Arabic Transparent"/>
                <w:sz w:val="18"/>
                <w:szCs w:val="18"/>
              </w:rPr>
              <w:t>(3,076)</w:t>
            </w:r>
          </w:p>
        </w:tc>
        <w:tc>
          <w:tcPr>
            <w:tcW w:w="1302" w:type="dxa"/>
            <w:vAlign w:val="center"/>
          </w:tcPr>
          <w:p w14:paraId="10E5AF1A" w14:textId="77777777" w:rsidR="001C2B2C" w:rsidRDefault="001C2B2C" w:rsidP="00B322A7">
            <w:pPr>
              <w:tabs>
                <w:tab w:val="decimal" w:pos="883"/>
              </w:tabs>
              <w:jc w:val="both"/>
              <w:rPr>
                <w:rFonts w:cs="Arabic Transparent"/>
                <w:sz w:val="18"/>
                <w:szCs w:val="18"/>
              </w:rPr>
            </w:pPr>
            <w:r>
              <w:rPr>
                <w:rFonts w:cs="Arabic Transparent"/>
                <w:sz w:val="18"/>
                <w:szCs w:val="18"/>
              </w:rPr>
              <w:t>(1,679)</w:t>
            </w:r>
          </w:p>
        </w:tc>
      </w:tr>
      <w:tr w:rsidR="001C2B2C" w14:paraId="3A513979" w14:textId="77777777" w:rsidTr="00B322A7">
        <w:trPr>
          <w:cantSplit/>
        </w:trPr>
        <w:tc>
          <w:tcPr>
            <w:tcW w:w="6222" w:type="dxa"/>
            <w:vAlign w:val="center"/>
          </w:tcPr>
          <w:p w14:paraId="5113EE97" w14:textId="77777777" w:rsidR="001C2B2C" w:rsidRDefault="001C2B2C" w:rsidP="00B322A7">
            <w:pPr>
              <w:tabs>
                <w:tab w:val="right" w:leader="dot" w:pos="5400"/>
              </w:tabs>
              <w:ind w:right="-7"/>
              <w:jc w:val="both"/>
              <w:rPr>
                <w:rFonts w:cs="Arabic Transparent"/>
                <w:sz w:val="18"/>
                <w:szCs w:val="18"/>
              </w:rPr>
            </w:pPr>
            <w:r>
              <w:rPr>
                <w:rFonts w:cs="Arabic Transparent"/>
                <w:sz w:val="18"/>
                <w:szCs w:val="18"/>
              </w:rPr>
              <w:t>Property operating expenses</w:t>
            </w:r>
            <w:r>
              <w:rPr>
                <w:rFonts w:cs="Arabic Transparent"/>
                <w:sz w:val="18"/>
                <w:szCs w:val="18"/>
              </w:rPr>
              <w:tab/>
            </w:r>
          </w:p>
        </w:tc>
        <w:tc>
          <w:tcPr>
            <w:tcW w:w="1301" w:type="dxa"/>
            <w:vAlign w:val="center"/>
          </w:tcPr>
          <w:p w14:paraId="04B50647" w14:textId="77777777" w:rsidR="001C2B2C" w:rsidRDefault="001C2B2C" w:rsidP="00B322A7">
            <w:pPr>
              <w:tabs>
                <w:tab w:val="decimal" w:pos="857"/>
              </w:tabs>
              <w:jc w:val="both"/>
              <w:rPr>
                <w:rFonts w:cs="Arabic Transparent"/>
                <w:sz w:val="18"/>
                <w:szCs w:val="18"/>
              </w:rPr>
            </w:pPr>
            <w:r>
              <w:rPr>
                <w:rFonts w:cs="Arabic Transparent"/>
                <w:sz w:val="18"/>
                <w:szCs w:val="18"/>
              </w:rPr>
              <w:t>(1,703)</w:t>
            </w:r>
          </w:p>
        </w:tc>
        <w:tc>
          <w:tcPr>
            <w:tcW w:w="1302" w:type="dxa"/>
            <w:vAlign w:val="center"/>
          </w:tcPr>
          <w:p w14:paraId="2FBE8917" w14:textId="77777777" w:rsidR="001C2B2C" w:rsidRDefault="001C2B2C" w:rsidP="00B322A7">
            <w:pPr>
              <w:tabs>
                <w:tab w:val="decimal" w:pos="870"/>
              </w:tabs>
              <w:jc w:val="both"/>
              <w:rPr>
                <w:rFonts w:cs="Arabic Transparent"/>
                <w:sz w:val="18"/>
                <w:szCs w:val="18"/>
              </w:rPr>
            </w:pPr>
            <w:r>
              <w:rPr>
                <w:rFonts w:cs="Arabic Transparent"/>
                <w:sz w:val="18"/>
                <w:szCs w:val="18"/>
              </w:rPr>
              <w:t>(972)</w:t>
            </w:r>
          </w:p>
        </w:tc>
        <w:tc>
          <w:tcPr>
            <w:tcW w:w="1302" w:type="dxa"/>
            <w:vAlign w:val="center"/>
          </w:tcPr>
          <w:p w14:paraId="3B9E1325" w14:textId="77777777" w:rsidR="001C2B2C" w:rsidRDefault="001C2B2C" w:rsidP="00B322A7">
            <w:pPr>
              <w:tabs>
                <w:tab w:val="decimal" w:pos="883"/>
              </w:tabs>
              <w:jc w:val="both"/>
              <w:rPr>
                <w:rFonts w:cs="Arabic Transparent"/>
                <w:sz w:val="18"/>
                <w:szCs w:val="18"/>
              </w:rPr>
            </w:pPr>
            <w:r>
              <w:rPr>
                <w:rFonts w:cs="Arabic Transparent"/>
                <w:sz w:val="18"/>
                <w:szCs w:val="18"/>
              </w:rPr>
              <w:t>(1,513)</w:t>
            </w:r>
          </w:p>
        </w:tc>
      </w:tr>
      <w:tr w:rsidR="001C2B2C" w14:paraId="3350DA26" w14:textId="77777777" w:rsidTr="00B322A7">
        <w:trPr>
          <w:cantSplit/>
        </w:trPr>
        <w:tc>
          <w:tcPr>
            <w:tcW w:w="6222" w:type="dxa"/>
            <w:vAlign w:val="center"/>
          </w:tcPr>
          <w:p w14:paraId="5916B84A" w14:textId="77777777" w:rsidR="001C2B2C" w:rsidRDefault="001C2B2C" w:rsidP="00B322A7">
            <w:pPr>
              <w:tabs>
                <w:tab w:val="right" w:leader="dot" w:pos="5400"/>
              </w:tabs>
              <w:ind w:right="-7"/>
              <w:jc w:val="both"/>
              <w:rPr>
                <w:rFonts w:cs="Arabic Transparent"/>
                <w:b/>
                <w:sz w:val="18"/>
                <w:szCs w:val="18"/>
                <w:lang w:val="en-GB"/>
              </w:rPr>
            </w:pPr>
            <w:r>
              <w:rPr>
                <w:rFonts w:cs="Arabic Transparent"/>
                <w:b/>
                <w:sz w:val="18"/>
                <w:szCs w:val="18"/>
              </w:rPr>
              <w:t>Net rental income</w:t>
            </w:r>
            <w:r>
              <w:rPr>
                <w:rFonts w:cs="Arabic Transparent"/>
                <w:b/>
                <w:sz w:val="18"/>
                <w:szCs w:val="18"/>
              </w:rPr>
              <w:tab/>
            </w:r>
          </w:p>
        </w:tc>
        <w:tc>
          <w:tcPr>
            <w:tcW w:w="1301" w:type="dxa"/>
          </w:tcPr>
          <w:p w14:paraId="57A8C6D9" w14:textId="77777777" w:rsidR="001C2B2C" w:rsidRDefault="001C2B2C" w:rsidP="00B322A7">
            <w:pPr>
              <w:tabs>
                <w:tab w:val="decimal" w:pos="870"/>
              </w:tabs>
              <w:jc w:val="both"/>
              <w:rPr>
                <w:rFonts w:cs="Arabic Transparent"/>
                <w:b/>
                <w:sz w:val="18"/>
                <w:szCs w:val="18"/>
                <w:u w:val="single"/>
              </w:rPr>
            </w:pPr>
            <w:r>
              <w:rPr>
                <w:rFonts w:cs="Arabic Transparent"/>
                <w:b/>
                <w:sz w:val="18"/>
                <w:szCs w:val="18"/>
                <w:u w:val="single"/>
              </w:rPr>
              <w:t>16,138</w:t>
            </w:r>
          </w:p>
        </w:tc>
        <w:tc>
          <w:tcPr>
            <w:tcW w:w="1302" w:type="dxa"/>
          </w:tcPr>
          <w:p w14:paraId="00E1561E" w14:textId="77777777" w:rsidR="001C2B2C" w:rsidRDefault="001C2B2C" w:rsidP="00B322A7">
            <w:pPr>
              <w:tabs>
                <w:tab w:val="decimal" w:pos="870"/>
              </w:tabs>
              <w:jc w:val="both"/>
              <w:rPr>
                <w:rFonts w:cs="Arabic Transparent"/>
                <w:b/>
                <w:sz w:val="18"/>
                <w:szCs w:val="18"/>
                <w:u w:val="single"/>
              </w:rPr>
            </w:pPr>
            <w:r>
              <w:rPr>
                <w:rFonts w:cs="Arabic Transparent"/>
                <w:b/>
                <w:sz w:val="18"/>
                <w:szCs w:val="18"/>
                <w:u w:val="single"/>
              </w:rPr>
              <w:t>16,523</w:t>
            </w:r>
          </w:p>
        </w:tc>
        <w:tc>
          <w:tcPr>
            <w:tcW w:w="1302" w:type="dxa"/>
          </w:tcPr>
          <w:p w14:paraId="5FB163DC" w14:textId="77777777" w:rsidR="001C2B2C" w:rsidRDefault="001C2B2C" w:rsidP="00B322A7">
            <w:pPr>
              <w:tabs>
                <w:tab w:val="decimal" w:pos="870"/>
              </w:tabs>
              <w:jc w:val="both"/>
              <w:rPr>
                <w:rFonts w:cs="Arabic Transparent"/>
                <w:b/>
                <w:sz w:val="18"/>
                <w:szCs w:val="18"/>
                <w:u w:val="single"/>
              </w:rPr>
            </w:pPr>
            <w:r>
              <w:rPr>
                <w:rFonts w:cs="Arabic Transparent"/>
                <w:b/>
                <w:sz w:val="18"/>
                <w:szCs w:val="18"/>
                <w:u w:val="single"/>
              </w:rPr>
              <w:t>8,514</w:t>
            </w:r>
          </w:p>
        </w:tc>
      </w:tr>
      <w:tr w:rsidR="001C2B2C" w14:paraId="3CEC5F48" w14:textId="77777777" w:rsidTr="00B322A7">
        <w:trPr>
          <w:cantSplit/>
        </w:trPr>
        <w:tc>
          <w:tcPr>
            <w:tcW w:w="6222" w:type="dxa"/>
            <w:vAlign w:val="center"/>
          </w:tcPr>
          <w:p w14:paraId="3FCD9FF9" w14:textId="77777777" w:rsidR="001C2B2C" w:rsidRDefault="001C2B2C" w:rsidP="00B322A7">
            <w:pPr>
              <w:tabs>
                <w:tab w:val="right" w:leader="dot" w:pos="5400"/>
              </w:tabs>
              <w:ind w:right="-7"/>
              <w:jc w:val="both"/>
              <w:rPr>
                <w:rFonts w:cs="Arabic Transparent"/>
                <w:sz w:val="18"/>
                <w:szCs w:val="18"/>
                <w:lang w:val="en-GB"/>
              </w:rPr>
            </w:pPr>
            <w:r>
              <w:rPr>
                <w:rFonts w:cs="Arabic Transparent"/>
                <w:sz w:val="18"/>
                <w:szCs w:val="18"/>
              </w:rPr>
              <w:t>Property and development management income</w:t>
            </w:r>
            <w:r>
              <w:rPr>
                <w:rFonts w:cs="Arabic Transparent"/>
                <w:sz w:val="18"/>
                <w:szCs w:val="18"/>
              </w:rPr>
              <w:tab/>
            </w:r>
          </w:p>
        </w:tc>
        <w:tc>
          <w:tcPr>
            <w:tcW w:w="1301" w:type="dxa"/>
            <w:vAlign w:val="center"/>
          </w:tcPr>
          <w:p w14:paraId="4E7EE7D3" w14:textId="77777777" w:rsidR="001C2B2C" w:rsidRDefault="001C2B2C" w:rsidP="00B322A7">
            <w:pPr>
              <w:tabs>
                <w:tab w:val="decimal" w:pos="857"/>
              </w:tabs>
              <w:jc w:val="both"/>
              <w:rPr>
                <w:rFonts w:cs="Arabic Transparent"/>
                <w:sz w:val="18"/>
                <w:szCs w:val="18"/>
                <w:lang w:val="en-GB"/>
              </w:rPr>
            </w:pPr>
            <w:r>
              <w:rPr>
                <w:rFonts w:cs="Arabic Transparent"/>
                <w:sz w:val="18"/>
                <w:szCs w:val="18"/>
                <w:lang w:val="en-GB"/>
              </w:rPr>
              <w:t>3,141</w:t>
            </w:r>
          </w:p>
        </w:tc>
        <w:tc>
          <w:tcPr>
            <w:tcW w:w="1302" w:type="dxa"/>
            <w:vAlign w:val="center"/>
          </w:tcPr>
          <w:p w14:paraId="759077B8" w14:textId="77777777" w:rsidR="001C2B2C" w:rsidRPr="001C2B2C" w:rsidRDefault="001C2B2C" w:rsidP="00B322A7">
            <w:pPr>
              <w:tabs>
                <w:tab w:val="decimal" w:pos="870"/>
              </w:tabs>
              <w:jc w:val="both"/>
              <w:rPr>
                <w:rFonts w:cs="Arabic Transparent"/>
                <w:sz w:val="18"/>
                <w:szCs w:val="18"/>
                <w:lang w:val="en-GB"/>
              </w:rPr>
            </w:pPr>
            <w:r w:rsidRPr="001C2B2C">
              <w:rPr>
                <w:rFonts w:cs="Arabic Transparent"/>
                <w:sz w:val="18"/>
                <w:szCs w:val="18"/>
                <w:lang w:val="en-GB"/>
              </w:rPr>
              <w:t>1,433</w:t>
            </w:r>
          </w:p>
        </w:tc>
        <w:tc>
          <w:tcPr>
            <w:tcW w:w="1302" w:type="dxa"/>
            <w:vAlign w:val="center"/>
          </w:tcPr>
          <w:p w14:paraId="424DC787" w14:textId="77777777" w:rsidR="001C2B2C" w:rsidRDefault="001C2B2C" w:rsidP="00B322A7">
            <w:pPr>
              <w:tabs>
                <w:tab w:val="decimal" w:pos="883"/>
              </w:tabs>
              <w:jc w:val="both"/>
              <w:rPr>
                <w:rFonts w:cs="Arabic Transparent"/>
                <w:sz w:val="18"/>
                <w:szCs w:val="18"/>
                <w:lang w:val="en-GB"/>
              </w:rPr>
            </w:pPr>
            <w:r>
              <w:rPr>
                <w:rFonts w:cs="Arabic Transparent"/>
                <w:sz w:val="18"/>
                <w:szCs w:val="18"/>
                <w:lang w:val="en-GB"/>
              </w:rPr>
              <w:t>2,175</w:t>
            </w:r>
          </w:p>
        </w:tc>
      </w:tr>
      <w:tr w:rsidR="001C2B2C" w14:paraId="250499FB" w14:textId="77777777" w:rsidTr="00B322A7">
        <w:trPr>
          <w:cantSplit/>
        </w:trPr>
        <w:tc>
          <w:tcPr>
            <w:tcW w:w="6222" w:type="dxa"/>
            <w:vAlign w:val="center"/>
          </w:tcPr>
          <w:p w14:paraId="531033CF" w14:textId="77777777" w:rsidR="001C2B2C" w:rsidRDefault="001C2B2C" w:rsidP="00B322A7">
            <w:pPr>
              <w:tabs>
                <w:tab w:val="right" w:leader="dot" w:pos="5400"/>
              </w:tabs>
              <w:ind w:right="-7"/>
              <w:jc w:val="both"/>
              <w:rPr>
                <w:rFonts w:cs="Arabic Transparent"/>
                <w:sz w:val="18"/>
                <w:szCs w:val="18"/>
                <w:lang w:val="en-GB"/>
              </w:rPr>
            </w:pPr>
            <w:r>
              <w:rPr>
                <w:rFonts w:cs="Arabic Transparent"/>
                <w:sz w:val="18"/>
                <w:szCs w:val="18"/>
              </w:rPr>
              <w:t>Facility management income</w:t>
            </w:r>
            <w:r>
              <w:rPr>
                <w:rFonts w:cs="Arabic Transparent"/>
                <w:sz w:val="18"/>
                <w:szCs w:val="18"/>
              </w:rPr>
              <w:tab/>
            </w:r>
          </w:p>
        </w:tc>
        <w:tc>
          <w:tcPr>
            <w:tcW w:w="1301" w:type="dxa"/>
            <w:vAlign w:val="center"/>
          </w:tcPr>
          <w:p w14:paraId="2FA06032" w14:textId="77777777" w:rsidR="001C2B2C" w:rsidRDefault="001C2B2C" w:rsidP="00B322A7">
            <w:pPr>
              <w:tabs>
                <w:tab w:val="decimal" w:pos="857"/>
              </w:tabs>
              <w:jc w:val="both"/>
              <w:rPr>
                <w:rFonts w:cs="Arabic Transparent"/>
                <w:sz w:val="18"/>
                <w:szCs w:val="18"/>
                <w:lang w:val="en-GB"/>
              </w:rPr>
            </w:pPr>
            <w:r>
              <w:rPr>
                <w:rFonts w:cs="Arabic Transparent"/>
                <w:sz w:val="18"/>
                <w:szCs w:val="18"/>
                <w:lang w:val="en-GB"/>
              </w:rPr>
              <w:t>684</w:t>
            </w:r>
          </w:p>
        </w:tc>
        <w:tc>
          <w:tcPr>
            <w:tcW w:w="1302" w:type="dxa"/>
            <w:vAlign w:val="center"/>
          </w:tcPr>
          <w:p w14:paraId="36972965" w14:textId="77777777" w:rsidR="001C2B2C" w:rsidRPr="001C2B2C" w:rsidRDefault="001C2B2C" w:rsidP="00B322A7">
            <w:pPr>
              <w:tabs>
                <w:tab w:val="decimal" w:pos="870"/>
              </w:tabs>
              <w:jc w:val="both"/>
              <w:rPr>
                <w:rFonts w:cs="Arabic Transparent"/>
                <w:sz w:val="18"/>
                <w:szCs w:val="18"/>
                <w:lang w:val="en-GB"/>
              </w:rPr>
            </w:pPr>
            <w:r w:rsidRPr="001C2B2C">
              <w:rPr>
                <w:rFonts w:cs="Arabic Transparent"/>
                <w:sz w:val="18"/>
                <w:szCs w:val="18"/>
                <w:lang w:val="en-GB"/>
              </w:rPr>
              <w:t>1,114</w:t>
            </w:r>
          </w:p>
        </w:tc>
        <w:tc>
          <w:tcPr>
            <w:tcW w:w="1302" w:type="dxa"/>
            <w:vAlign w:val="center"/>
          </w:tcPr>
          <w:p w14:paraId="601BC941" w14:textId="77777777" w:rsidR="001C2B2C" w:rsidRDefault="001C2B2C" w:rsidP="00B322A7">
            <w:pPr>
              <w:tabs>
                <w:tab w:val="decimal" w:pos="883"/>
              </w:tabs>
              <w:jc w:val="both"/>
              <w:rPr>
                <w:rFonts w:cs="Arabic Transparent"/>
                <w:sz w:val="18"/>
                <w:szCs w:val="18"/>
                <w:lang w:val="en-GB"/>
              </w:rPr>
            </w:pPr>
            <w:r>
              <w:rPr>
                <w:rFonts w:cs="Arabic Transparent"/>
                <w:sz w:val="18"/>
                <w:szCs w:val="18"/>
                <w:lang w:val="en-GB"/>
              </w:rPr>
              <w:t>1,233</w:t>
            </w:r>
          </w:p>
        </w:tc>
      </w:tr>
      <w:tr w:rsidR="001C2B2C" w14:paraId="7B2F5C7B" w14:textId="77777777" w:rsidTr="00B322A7">
        <w:trPr>
          <w:cantSplit/>
        </w:trPr>
        <w:tc>
          <w:tcPr>
            <w:tcW w:w="6222" w:type="dxa"/>
            <w:vAlign w:val="center"/>
          </w:tcPr>
          <w:p w14:paraId="3C940415" w14:textId="77777777" w:rsidR="001C2B2C" w:rsidRDefault="001C2B2C" w:rsidP="00B322A7">
            <w:pPr>
              <w:tabs>
                <w:tab w:val="right" w:leader="dot" w:pos="5400"/>
              </w:tabs>
              <w:ind w:right="-7"/>
              <w:jc w:val="both"/>
              <w:rPr>
                <w:rFonts w:cs="Arabic Transparent"/>
                <w:sz w:val="18"/>
                <w:szCs w:val="18"/>
                <w:lang w:val="en-GB"/>
              </w:rPr>
            </w:pPr>
            <w:r>
              <w:rPr>
                <w:rFonts w:cs="Arabic Transparent"/>
                <w:sz w:val="18"/>
                <w:szCs w:val="18"/>
              </w:rPr>
              <w:t>Net valuation gains / (losses) on investment properties</w:t>
            </w:r>
            <w:r>
              <w:rPr>
                <w:rFonts w:cs="Arabic Transparent"/>
                <w:sz w:val="18"/>
                <w:szCs w:val="18"/>
              </w:rPr>
              <w:tab/>
            </w:r>
          </w:p>
        </w:tc>
        <w:tc>
          <w:tcPr>
            <w:tcW w:w="1301" w:type="dxa"/>
          </w:tcPr>
          <w:p w14:paraId="156D6190" w14:textId="77777777" w:rsidR="001C2B2C" w:rsidRDefault="001C2B2C" w:rsidP="00B322A7">
            <w:pPr>
              <w:tabs>
                <w:tab w:val="decimal" w:pos="870"/>
              </w:tabs>
              <w:jc w:val="both"/>
              <w:rPr>
                <w:rFonts w:cs="Arabic Transparent"/>
                <w:sz w:val="18"/>
                <w:szCs w:val="18"/>
              </w:rPr>
            </w:pPr>
            <w:r>
              <w:rPr>
                <w:rFonts w:cs="Arabic Transparent"/>
                <w:sz w:val="18"/>
                <w:szCs w:val="18"/>
              </w:rPr>
              <w:t>118,900</w:t>
            </w:r>
          </w:p>
        </w:tc>
        <w:tc>
          <w:tcPr>
            <w:tcW w:w="1302" w:type="dxa"/>
          </w:tcPr>
          <w:p w14:paraId="2044932D" w14:textId="77777777" w:rsidR="001C2B2C" w:rsidRPr="001C2B2C" w:rsidRDefault="001C2B2C" w:rsidP="00B322A7">
            <w:pPr>
              <w:tabs>
                <w:tab w:val="decimal" w:pos="870"/>
              </w:tabs>
              <w:jc w:val="both"/>
              <w:rPr>
                <w:rFonts w:cs="Arabic Transparent"/>
                <w:sz w:val="18"/>
                <w:szCs w:val="18"/>
              </w:rPr>
            </w:pPr>
            <w:r w:rsidRPr="001C2B2C">
              <w:rPr>
                <w:rFonts w:cs="Arabic Transparent"/>
                <w:sz w:val="18"/>
                <w:szCs w:val="18"/>
              </w:rPr>
              <w:t>103,981</w:t>
            </w:r>
          </w:p>
        </w:tc>
        <w:tc>
          <w:tcPr>
            <w:tcW w:w="1302" w:type="dxa"/>
          </w:tcPr>
          <w:p w14:paraId="01CEF23A" w14:textId="77777777" w:rsidR="001C2B2C" w:rsidRDefault="001C2B2C" w:rsidP="00B322A7">
            <w:pPr>
              <w:tabs>
                <w:tab w:val="decimal" w:pos="870"/>
              </w:tabs>
              <w:jc w:val="both"/>
              <w:rPr>
                <w:rFonts w:cs="Arabic Transparent"/>
                <w:sz w:val="18"/>
                <w:szCs w:val="18"/>
              </w:rPr>
            </w:pPr>
            <w:r>
              <w:rPr>
                <w:rFonts w:cs="Arabic Transparent"/>
                <w:sz w:val="18"/>
                <w:szCs w:val="18"/>
              </w:rPr>
              <w:t>53,920</w:t>
            </w:r>
          </w:p>
        </w:tc>
      </w:tr>
      <w:tr w:rsidR="001C2B2C" w14:paraId="27215768" w14:textId="77777777" w:rsidTr="00B322A7">
        <w:trPr>
          <w:cantSplit/>
        </w:trPr>
        <w:tc>
          <w:tcPr>
            <w:tcW w:w="6222" w:type="dxa"/>
            <w:vAlign w:val="center"/>
          </w:tcPr>
          <w:p w14:paraId="62FBCA7A" w14:textId="77777777" w:rsidR="001C2B2C" w:rsidRDefault="001C2B2C" w:rsidP="00B322A7">
            <w:pPr>
              <w:tabs>
                <w:tab w:val="right" w:leader="dot" w:pos="5400"/>
              </w:tabs>
              <w:ind w:right="-7"/>
              <w:jc w:val="both"/>
              <w:rPr>
                <w:rFonts w:cs="Arabic Transparent"/>
                <w:sz w:val="18"/>
                <w:szCs w:val="18"/>
                <w:lang w:val="en-GB"/>
              </w:rPr>
            </w:pPr>
            <w:r>
              <w:rPr>
                <w:rFonts w:cs="Arabic Transparent"/>
                <w:sz w:val="18"/>
                <w:szCs w:val="18"/>
              </w:rPr>
              <w:t>Administration expenses</w:t>
            </w:r>
            <w:r>
              <w:rPr>
                <w:rFonts w:cs="Arabic Transparent"/>
                <w:sz w:val="18"/>
                <w:szCs w:val="18"/>
              </w:rPr>
              <w:tab/>
            </w:r>
          </w:p>
        </w:tc>
        <w:tc>
          <w:tcPr>
            <w:tcW w:w="1301" w:type="dxa"/>
            <w:vAlign w:val="center"/>
          </w:tcPr>
          <w:p w14:paraId="70939B89" w14:textId="77777777" w:rsidR="001C2B2C" w:rsidRDefault="001C2B2C" w:rsidP="00B322A7">
            <w:pPr>
              <w:tabs>
                <w:tab w:val="decimal" w:pos="857"/>
              </w:tabs>
              <w:jc w:val="both"/>
              <w:rPr>
                <w:rFonts w:cs="Arabic Transparent"/>
                <w:sz w:val="18"/>
                <w:szCs w:val="18"/>
                <w:lang w:val="en-GB"/>
              </w:rPr>
            </w:pPr>
            <w:r>
              <w:rPr>
                <w:rFonts w:cs="Arabic Transparent"/>
                <w:sz w:val="18"/>
                <w:szCs w:val="18"/>
                <w:lang w:val="en-GB"/>
              </w:rPr>
              <w:t>(15,446)</w:t>
            </w:r>
          </w:p>
        </w:tc>
        <w:tc>
          <w:tcPr>
            <w:tcW w:w="1302" w:type="dxa"/>
            <w:vAlign w:val="center"/>
          </w:tcPr>
          <w:p w14:paraId="69C2C237" w14:textId="77777777" w:rsidR="001C2B2C" w:rsidRPr="001C2B2C" w:rsidRDefault="001C2B2C" w:rsidP="00B322A7">
            <w:pPr>
              <w:tabs>
                <w:tab w:val="decimal" w:pos="870"/>
              </w:tabs>
              <w:jc w:val="both"/>
              <w:rPr>
                <w:rFonts w:cs="Arabic Transparent"/>
                <w:sz w:val="18"/>
                <w:szCs w:val="18"/>
                <w:lang w:val="en-GB"/>
              </w:rPr>
            </w:pPr>
            <w:r w:rsidRPr="001C2B2C">
              <w:rPr>
                <w:rFonts w:cs="Arabic Transparent"/>
                <w:sz w:val="18"/>
                <w:szCs w:val="18"/>
                <w:lang w:val="en-GB"/>
              </w:rPr>
              <w:t>(13,451)</w:t>
            </w:r>
          </w:p>
        </w:tc>
        <w:tc>
          <w:tcPr>
            <w:tcW w:w="1302" w:type="dxa"/>
            <w:vAlign w:val="center"/>
          </w:tcPr>
          <w:p w14:paraId="6FA1A419" w14:textId="77777777" w:rsidR="001C2B2C" w:rsidRDefault="001C2B2C" w:rsidP="00B322A7">
            <w:pPr>
              <w:tabs>
                <w:tab w:val="decimal" w:pos="883"/>
              </w:tabs>
              <w:jc w:val="both"/>
              <w:rPr>
                <w:rFonts w:cs="Arabic Transparent"/>
                <w:sz w:val="18"/>
                <w:szCs w:val="18"/>
                <w:lang w:val="en-GB"/>
              </w:rPr>
            </w:pPr>
            <w:r>
              <w:rPr>
                <w:rFonts w:cs="Arabic Transparent"/>
                <w:sz w:val="18"/>
                <w:szCs w:val="18"/>
                <w:lang w:val="en-GB"/>
              </w:rPr>
              <w:t>(6,556)</w:t>
            </w:r>
          </w:p>
        </w:tc>
      </w:tr>
      <w:tr w:rsidR="001C2B2C" w14:paraId="503A9A0D" w14:textId="77777777" w:rsidTr="00B322A7">
        <w:trPr>
          <w:cantSplit/>
        </w:trPr>
        <w:tc>
          <w:tcPr>
            <w:tcW w:w="6222" w:type="dxa"/>
            <w:vAlign w:val="center"/>
          </w:tcPr>
          <w:p w14:paraId="4523023A" w14:textId="77777777" w:rsidR="001C2B2C" w:rsidRDefault="001C2B2C" w:rsidP="00B322A7">
            <w:pPr>
              <w:tabs>
                <w:tab w:val="right" w:leader="dot" w:pos="5400"/>
              </w:tabs>
              <w:ind w:right="-7"/>
              <w:jc w:val="both"/>
              <w:rPr>
                <w:rFonts w:cs="Arabic Transparent"/>
                <w:sz w:val="18"/>
                <w:szCs w:val="18"/>
                <w:lang w:val="en-GB"/>
              </w:rPr>
            </w:pPr>
            <w:r>
              <w:rPr>
                <w:rFonts w:cs="Arabic Transparent"/>
                <w:sz w:val="18"/>
                <w:szCs w:val="18"/>
              </w:rPr>
              <w:t>Other income</w:t>
            </w:r>
            <w:r>
              <w:rPr>
                <w:rFonts w:cs="Arabic Transparent"/>
                <w:sz w:val="18"/>
                <w:szCs w:val="18"/>
              </w:rPr>
              <w:tab/>
            </w:r>
          </w:p>
        </w:tc>
        <w:tc>
          <w:tcPr>
            <w:tcW w:w="1301" w:type="dxa"/>
            <w:vAlign w:val="center"/>
          </w:tcPr>
          <w:p w14:paraId="6B1955EA" w14:textId="77777777" w:rsidR="001C2B2C" w:rsidRDefault="001C2B2C" w:rsidP="00B322A7">
            <w:pPr>
              <w:tabs>
                <w:tab w:val="decimal" w:pos="857"/>
              </w:tabs>
              <w:jc w:val="both"/>
              <w:rPr>
                <w:rFonts w:cs="Arabic Transparent"/>
                <w:sz w:val="18"/>
                <w:szCs w:val="18"/>
                <w:lang w:val="en-GB"/>
              </w:rPr>
            </w:pPr>
            <w:r>
              <w:rPr>
                <w:rFonts w:cs="Arabic Transparent"/>
                <w:sz w:val="18"/>
                <w:szCs w:val="18"/>
                <w:lang w:val="en-GB"/>
              </w:rPr>
              <w:t>483</w:t>
            </w:r>
          </w:p>
        </w:tc>
        <w:tc>
          <w:tcPr>
            <w:tcW w:w="1302" w:type="dxa"/>
            <w:vAlign w:val="center"/>
          </w:tcPr>
          <w:p w14:paraId="4601F2F6" w14:textId="77777777" w:rsidR="001C2B2C" w:rsidRPr="001C2B2C" w:rsidRDefault="001C2B2C" w:rsidP="00B322A7">
            <w:pPr>
              <w:tabs>
                <w:tab w:val="decimal" w:pos="870"/>
              </w:tabs>
              <w:jc w:val="both"/>
              <w:rPr>
                <w:rFonts w:cs="Arabic Transparent"/>
                <w:sz w:val="18"/>
                <w:szCs w:val="18"/>
                <w:lang w:val="en-GB"/>
              </w:rPr>
            </w:pPr>
            <w:r w:rsidRPr="001C2B2C">
              <w:rPr>
                <w:rFonts w:cs="Arabic Transparent"/>
                <w:sz w:val="18"/>
                <w:szCs w:val="18"/>
                <w:lang w:val="en-GB"/>
              </w:rPr>
              <w:t>487</w:t>
            </w:r>
          </w:p>
        </w:tc>
        <w:tc>
          <w:tcPr>
            <w:tcW w:w="1302" w:type="dxa"/>
            <w:vAlign w:val="center"/>
          </w:tcPr>
          <w:p w14:paraId="53D29212" w14:textId="77777777" w:rsidR="001C2B2C" w:rsidRDefault="001C2B2C" w:rsidP="00B322A7">
            <w:pPr>
              <w:tabs>
                <w:tab w:val="decimal" w:pos="883"/>
              </w:tabs>
              <w:jc w:val="both"/>
              <w:rPr>
                <w:rFonts w:cs="Arabic Transparent"/>
                <w:sz w:val="18"/>
                <w:szCs w:val="18"/>
                <w:lang w:val="en-GB"/>
              </w:rPr>
            </w:pPr>
            <w:r>
              <w:rPr>
                <w:rFonts w:cs="Arabic Transparent"/>
                <w:sz w:val="18"/>
                <w:szCs w:val="18"/>
                <w:lang w:val="en-GB"/>
              </w:rPr>
              <w:t>348</w:t>
            </w:r>
          </w:p>
        </w:tc>
      </w:tr>
      <w:tr w:rsidR="001C2B2C" w14:paraId="39160B01" w14:textId="77777777" w:rsidTr="00B322A7">
        <w:trPr>
          <w:cantSplit/>
        </w:trPr>
        <w:tc>
          <w:tcPr>
            <w:tcW w:w="6222" w:type="dxa"/>
            <w:vAlign w:val="center"/>
          </w:tcPr>
          <w:p w14:paraId="7334B292" w14:textId="77777777" w:rsidR="001C2B2C" w:rsidRDefault="001C2B2C" w:rsidP="00B322A7">
            <w:pPr>
              <w:tabs>
                <w:tab w:val="right" w:leader="dot" w:pos="5400"/>
              </w:tabs>
              <w:ind w:right="-7"/>
              <w:jc w:val="both"/>
              <w:rPr>
                <w:rFonts w:cs="Arabic Transparent"/>
                <w:sz w:val="18"/>
                <w:szCs w:val="18"/>
                <w:lang w:val="en-GB"/>
              </w:rPr>
            </w:pPr>
            <w:r>
              <w:rPr>
                <w:rFonts w:cs="Arabic Transparent"/>
                <w:sz w:val="18"/>
                <w:szCs w:val="18"/>
              </w:rPr>
              <w:t>Other expenses</w:t>
            </w:r>
            <w:r>
              <w:rPr>
                <w:rFonts w:cs="Arabic Transparent"/>
                <w:sz w:val="18"/>
                <w:szCs w:val="18"/>
              </w:rPr>
              <w:tab/>
            </w:r>
          </w:p>
        </w:tc>
        <w:tc>
          <w:tcPr>
            <w:tcW w:w="1301" w:type="dxa"/>
            <w:vAlign w:val="center"/>
          </w:tcPr>
          <w:p w14:paraId="47B380AD" w14:textId="77777777" w:rsidR="001C2B2C" w:rsidRDefault="001C2B2C" w:rsidP="00B322A7">
            <w:pPr>
              <w:tabs>
                <w:tab w:val="decimal" w:pos="857"/>
              </w:tabs>
              <w:jc w:val="both"/>
              <w:rPr>
                <w:rFonts w:cs="Arabic Transparent"/>
                <w:sz w:val="18"/>
                <w:szCs w:val="18"/>
                <w:lang w:val="en-GB"/>
              </w:rPr>
            </w:pPr>
            <w:r>
              <w:rPr>
                <w:rFonts w:cs="Arabic Transparent"/>
                <w:sz w:val="18"/>
                <w:szCs w:val="18"/>
                <w:lang w:val="en-GB"/>
              </w:rPr>
              <w:t>(1,815)</w:t>
            </w:r>
          </w:p>
        </w:tc>
        <w:tc>
          <w:tcPr>
            <w:tcW w:w="1302" w:type="dxa"/>
            <w:vAlign w:val="center"/>
          </w:tcPr>
          <w:p w14:paraId="4C5C4D94" w14:textId="77777777" w:rsidR="001C2B2C" w:rsidRPr="001C2B2C" w:rsidRDefault="001C2B2C" w:rsidP="00B322A7">
            <w:pPr>
              <w:tabs>
                <w:tab w:val="decimal" w:pos="870"/>
              </w:tabs>
              <w:jc w:val="both"/>
              <w:rPr>
                <w:rFonts w:cs="Arabic Transparent"/>
                <w:sz w:val="18"/>
                <w:szCs w:val="18"/>
                <w:lang w:val="en-GB"/>
              </w:rPr>
            </w:pPr>
            <w:r w:rsidRPr="001C2B2C">
              <w:rPr>
                <w:rFonts w:cs="Arabic Transparent"/>
                <w:sz w:val="18"/>
                <w:szCs w:val="18"/>
                <w:lang w:val="en-GB"/>
              </w:rPr>
              <w:t>(1,034)</w:t>
            </w:r>
          </w:p>
        </w:tc>
        <w:tc>
          <w:tcPr>
            <w:tcW w:w="1302" w:type="dxa"/>
            <w:vAlign w:val="center"/>
          </w:tcPr>
          <w:p w14:paraId="0C1913B7" w14:textId="77777777" w:rsidR="001C2B2C" w:rsidRDefault="001C2B2C" w:rsidP="00B322A7">
            <w:pPr>
              <w:tabs>
                <w:tab w:val="decimal" w:pos="883"/>
              </w:tabs>
              <w:jc w:val="both"/>
              <w:rPr>
                <w:rFonts w:cs="Arabic Transparent"/>
                <w:sz w:val="18"/>
                <w:szCs w:val="18"/>
                <w:lang w:val="en-GB"/>
              </w:rPr>
            </w:pPr>
            <w:r>
              <w:rPr>
                <w:rFonts w:cs="Arabic Transparent"/>
                <w:sz w:val="18"/>
                <w:szCs w:val="18"/>
                <w:lang w:val="en-GB"/>
              </w:rPr>
              <w:t>(881)</w:t>
            </w:r>
          </w:p>
        </w:tc>
      </w:tr>
      <w:tr w:rsidR="001C2B2C" w14:paraId="18F46EC6" w14:textId="77777777" w:rsidTr="00B322A7">
        <w:trPr>
          <w:cantSplit/>
        </w:trPr>
        <w:tc>
          <w:tcPr>
            <w:tcW w:w="6222" w:type="dxa"/>
            <w:vAlign w:val="center"/>
          </w:tcPr>
          <w:p w14:paraId="1DB0EFB2" w14:textId="77777777" w:rsidR="001C2B2C" w:rsidRDefault="001C2B2C" w:rsidP="00B322A7">
            <w:pPr>
              <w:tabs>
                <w:tab w:val="right" w:leader="dot" w:pos="5400"/>
              </w:tabs>
              <w:ind w:right="-7"/>
              <w:jc w:val="both"/>
              <w:rPr>
                <w:rFonts w:cs="Arabic Transparent"/>
                <w:sz w:val="18"/>
                <w:szCs w:val="18"/>
              </w:rPr>
            </w:pPr>
            <w:r>
              <w:rPr>
                <w:rFonts w:cs="Arabic Transparent"/>
                <w:sz w:val="18"/>
                <w:szCs w:val="18"/>
              </w:rPr>
              <w:t>Share in result of associates</w:t>
            </w:r>
          </w:p>
        </w:tc>
        <w:tc>
          <w:tcPr>
            <w:tcW w:w="1301" w:type="dxa"/>
            <w:vAlign w:val="center"/>
          </w:tcPr>
          <w:p w14:paraId="27E83A56" w14:textId="77777777" w:rsidR="001C2B2C" w:rsidRDefault="001C2B2C" w:rsidP="00B322A7">
            <w:pPr>
              <w:tabs>
                <w:tab w:val="decimal" w:pos="857"/>
              </w:tabs>
              <w:jc w:val="both"/>
              <w:rPr>
                <w:rFonts w:cs="Arabic Transparent"/>
                <w:sz w:val="18"/>
                <w:szCs w:val="18"/>
              </w:rPr>
            </w:pPr>
            <w:r>
              <w:rPr>
                <w:rFonts w:cs="Arabic Transparent"/>
                <w:sz w:val="18"/>
                <w:szCs w:val="18"/>
              </w:rPr>
              <w:t>7,897</w:t>
            </w:r>
          </w:p>
        </w:tc>
        <w:tc>
          <w:tcPr>
            <w:tcW w:w="1302" w:type="dxa"/>
            <w:vAlign w:val="center"/>
          </w:tcPr>
          <w:p w14:paraId="1312B156" w14:textId="77777777" w:rsidR="001C2B2C" w:rsidRPr="001C2B2C" w:rsidRDefault="001C2B2C" w:rsidP="00B322A7">
            <w:pPr>
              <w:tabs>
                <w:tab w:val="decimal" w:pos="870"/>
              </w:tabs>
              <w:jc w:val="both"/>
              <w:rPr>
                <w:rFonts w:cs="Arabic Transparent"/>
                <w:sz w:val="18"/>
                <w:szCs w:val="18"/>
              </w:rPr>
            </w:pPr>
            <w:r w:rsidRPr="001C2B2C">
              <w:rPr>
                <w:rFonts w:cs="Arabic Transparent"/>
                <w:sz w:val="18"/>
                <w:szCs w:val="18"/>
              </w:rPr>
              <w:t>191</w:t>
            </w:r>
          </w:p>
        </w:tc>
        <w:tc>
          <w:tcPr>
            <w:tcW w:w="1302" w:type="dxa"/>
            <w:vAlign w:val="center"/>
          </w:tcPr>
          <w:p w14:paraId="4F29FDA4" w14:textId="77777777" w:rsidR="001C2B2C" w:rsidRDefault="001C2B2C" w:rsidP="00B322A7">
            <w:pPr>
              <w:tabs>
                <w:tab w:val="decimal" w:pos="883"/>
              </w:tabs>
              <w:jc w:val="both"/>
              <w:rPr>
                <w:rFonts w:cs="Arabic Transparent"/>
                <w:sz w:val="18"/>
                <w:szCs w:val="18"/>
              </w:rPr>
            </w:pPr>
            <w:r>
              <w:rPr>
                <w:rFonts w:cs="Arabic Transparent"/>
                <w:sz w:val="18"/>
                <w:szCs w:val="18"/>
              </w:rPr>
              <w:t>14,473</w:t>
            </w:r>
          </w:p>
        </w:tc>
      </w:tr>
      <w:tr w:rsidR="001C2B2C" w14:paraId="15204E71" w14:textId="77777777" w:rsidTr="00B322A7">
        <w:trPr>
          <w:cantSplit/>
        </w:trPr>
        <w:tc>
          <w:tcPr>
            <w:tcW w:w="6222" w:type="dxa"/>
            <w:vAlign w:val="center"/>
          </w:tcPr>
          <w:p w14:paraId="744A4E82" w14:textId="77777777" w:rsidR="001C2B2C" w:rsidRDefault="001C2B2C" w:rsidP="00B322A7">
            <w:pPr>
              <w:tabs>
                <w:tab w:val="right" w:leader="dot" w:pos="5400"/>
              </w:tabs>
              <w:ind w:right="-7"/>
              <w:jc w:val="both"/>
              <w:rPr>
                <w:rFonts w:cs="Arabic Transparent"/>
                <w:b/>
                <w:sz w:val="18"/>
                <w:szCs w:val="18"/>
                <w:lang w:val="en-GB"/>
              </w:rPr>
            </w:pPr>
            <w:r>
              <w:rPr>
                <w:rFonts w:cs="Arabic Transparent"/>
                <w:b/>
                <w:sz w:val="18"/>
                <w:szCs w:val="18"/>
              </w:rPr>
              <w:t>Operating profit / (loss)</w:t>
            </w:r>
            <w:r>
              <w:rPr>
                <w:rFonts w:cs="Arabic Transparent"/>
                <w:b/>
                <w:sz w:val="18"/>
                <w:szCs w:val="18"/>
              </w:rPr>
              <w:tab/>
            </w:r>
          </w:p>
        </w:tc>
        <w:tc>
          <w:tcPr>
            <w:tcW w:w="1301" w:type="dxa"/>
            <w:vAlign w:val="center"/>
          </w:tcPr>
          <w:p w14:paraId="61B2D459" w14:textId="77777777" w:rsidR="001C2B2C" w:rsidRDefault="001C2B2C" w:rsidP="00B322A7">
            <w:pPr>
              <w:pBdr>
                <w:bottom w:val="single" w:sz="2" w:space="1" w:color="auto"/>
              </w:pBdr>
              <w:tabs>
                <w:tab w:val="decimal" w:pos="857"/>
              </w:tabs>
              <w:jc w:val="both"/>
              <w:rPr>
                <w:rFonts w:cs="Arabic Transparent"/>
                <w:b/>
                <w:sz w:val="18"/>
                <w:szCs w:val="18"/>
                <w:lang w:val="en-GB"/>
              </w:rPr>
            </w:pPr>
            <w:r>
              <w:rPr>
                <w:rFonts w:cs="Arabic Transparent"/>
                <w:b/>
                <w:sz w:val="18"/>
                <w:szCs w:val="18"/>
                <w:lang w:val="en-GB"/>
              </w:rPr>
              <w:t>129,982</w:t>
            </w:r>
          </w:p>
        </w:tc>
        <w:tc>
          <w:tcPr>
            <w:tcW w:w="1302" w:type="dxa"/>
            <w:vAlign w:val="center"/>
          </w:tcPr>
          <w:p w14:paraId="248955BE" w14:textId="77777777" w:rsidR="001C2B2C" w:rsidRPr="001C2B2C" w:rsidRDefault="001C2B2C" w:rsidP="00B322A7">
            <w:pPr>
              <w:pBdr>
                <w:bottom w:val="single" w:sz="2" w:space="1" w:color="auto"/>
              </w:pBdr>
              <w:tabs>
                <w:tab w:val="decimal" w:pos="870"/>
              </w:tabs>
              <w:jc w:val="both"/>
              <w:rPr>
                <w:rFonts w:cs="Arabic Transparent"/>
                <w:b/>
                <w:sz w:val="18"/>
                <w:szCs w:val="18"/>
                <w:lang w:val="en-GB"/>
              </w:rPr>
            </w:pPr>
            <w:r w:rsidRPr="001C2B2C">
              <w:rPr>
                <w:rFonts w:cs="Arabic Transparent"/>
                <w:b/>
                <w:sz w:val="18"/>
                <w:szCs w:val="18"/>
                <w:lang w:val="en-GB"/>
              </w:rPr>
              <w:t>109,244</w:t>
            </w:r>
          </w:p>
        </w:tc>
        <w:tc>
          <w:tcPr>
            <w:tcW w:w="1302" w:type="dxa"/>
            <w:vAlign w:val="center"/>
          </w:tcPr>
          <w:p w14:paraId="43AB13B8" w14:textId="77777777" w:rsidR="001C2B2C" w:rsidRDefault="001C2B2C" w:rsidP="00B322A7">
            <w:pPr>
              <w:pBdr>
                <w:bottom w:val="single" w:sz="2" w:space="1" w:color="auto"/>
              </w:pBdr>
              <w:tabs>
                <w:tab w:val="decimal" w:pos="883"/>
              </w:tabs>
              <w:jc w:val="both"/>
              <w:rPr>
                <w:rFonts w:cs="Arabic Transparent"/>
                <w:b/>
                <w:sz w:val="18"/>
                <w:szCs w:val="18"/>
                <w:lang w:val="en-GB"/>
              </w:rPr>
            </w:pPr>
            <w:r>
              <w:rPr>
                <w:rFonts w:cs="Arabic Transparent"/>
                <w:b/>
                <w:sz w:val="18"/>
                <w:szCs w:val="18"/>
                <w:lang w:val="en-GB"/>
              </w:rPr>
              <w:t>73,225</w:t>
            </w:r>
          </w:p>
        </w:tc>
      </w:tr>
      <w:tr w:rsidR="001C2B2C" w14:paraId="2DBF664F" w14:textId="77777777" w:rsidTr="00B322A7">
        <w:trPr>
          <w:cantSplit/>
        </w:trPr>
        <w:tc>
          <w:tcPr>
            <w:tcW w:w="6222" w:type="dxa"/>
            <w:vAlign w:val="center"/>
          </w:tcPr>
          <w:p w14:paraId="136DFB4D" w14:textId="77777777" w:rsidR="001C2B2C" w:rsidRDefault="001C2B2C" w:rsidP="00B322A7">
            <w:pPr>
              <w:tabs>
                <w:tab w:val="right" w:leader="dot" w:pos="5400"/>
              </w:tabs>
              <w:ind w:right="-7"/>
              <w:jc w:val="both"/>
              <w:rPr>
                <w:rFonts w:cs="Arabic Transparent"/>
                <w:sz w:val="18"/>
                <w:szCs w:val="18"/>
                <w:lang w:val="en-GB"/>
              </w:rPr>
            </w:pPr>
            <w:r>
              <w:rPr>
                <w:rFonts w:cs="Arabic Transparent"/>
                <w:sz w:val="18"/>
                <w:szCs w:val="18"/>
              </w:rPr>
              <w:t>Financial income</w:t>
            </w:r>
            <w:r>
              <w:rPr>
                <w:rFonts w:cs="Arabic Transparent"/>
                <w:sz w:val="18"/>
                <w:szCs w:val="18"/>
              </w:rPr>
              <w:tab/>
            </w:r>
          </w:p>
        </w:tc>
        <w:tc>
          <w:tcPr>
            <w:tcW w:w="1301" w:type="dxa"/>
            <w:vAlign w:val="center"/>
          </w:tcPr>
          <w:p w14:paraId="7D4E7FED" w14:textId="77777777" w:rsidR="001C2B2C" w:rsidRDefault="001C2B2C" w:rsidP="00B322A7">
            <w:pPr>
              <w:tabs>
                <w:tab w:val="decimal" w:pos="857"/>
              </w:tabs>
              <w:jc w:val="both"/>
              <w:rPr>
                <w:rFonts w:cs="Arabic Transparent"/>
                <w:sz w:val="18"/>
                <w:szCs w:val="18"/>
                <w:lang w:val="en-GB"/>
              </w:rPr>
            </w:pPr>
            <w:r>
              <w:rPr>
                <w:rFonts w:cs="Arabic Transparent"/>
                <w:sz w:val="18"/>
                <w:szCs w:val="18"/>
                <w:lang w:val="en-GB"/>
              </w:rPr>
              <w:t>2,814</w:t>
            </w:r>
          </w:p>
        </w:tc>
        <w:tc>
          <w:tcPr>
            <w:tcW w:w="1302" w:type="dxa"/>
            <w:vAlign w:val="center"/>
          </w:tcPr>
          <w:p w14:paraId="478EA7D3" w14:textId="77777777" w:rsidR="001C2B2C" w:rsidRPr="001C2B2C" w:rsidRDefault="001C2B2C" w:rsidP="00B322A7">
            <w:pPr>
              <w:tabs>
                <w:tab w:val="decimal" w:pos="870"/>
              </w:tabs>
              <w:jc w:val="both"/>
              <w:rPr>
                <w:rFonts w:cs="Arabic Transparent"/>
                <w:sz w:val="18"/>
                <w:szCs w:val="18"/>
                <w:lang w:val="en-GB"/>
              </w:rPr>
            </w:pPr>
            <w:r w:rsidRPr="001C2B2C">
              <w:rPr>
                <w:rFonts w:cs="Arabic Transparent"/>
                <w:sz w:val="18"/>
                <w:szCs w:val="18"/>
                <w:lang w:val="en-GB"/>
              </w:rPr>
              <w:t>466</w:t>
            </w:r>
          </w:p>
        </w:tc>
        <w:tc>
          <w:tcPr>
            <w:tcW w:w="1302" w:type="dxa"/>
            <w:vAlign w:val="center"/>
          </w:tcPr>
          <w:p w14:paraId="46C925E4" w14:textId="77777777" w:rsidR="001C2B2C" w:rsidRDefault="001C2B2C" w:rsidP="00B322A7">
            <w:pPr>
              <w:tabs>
                <w:tab w:val="decimal" w:pos="883"/>
              </w:tabs>
              <w:jc w:val="both"/>
              <w:rPr>
                <w:rFonts w:cs="Arabic Transparent"/>
                <w:sz w:val="18"/>
                <w:szCs w:val="18"/>
                <w:lang w:val="en-GB"/>
              </w:rPr>
            </w:pPr>
            <w:r>
              <w:rPr>
                <w:rFonts w:cs="Arabic Transparent"/>
                <w:sz w:val="18"/>
                <w:szCs w:val="18"/>
                <w:lang w:val="en-GB"/>
              </w:rPr>
              <w:t>2,880</w:t>
            </w:r>
          </w:p>
        </w:tc>
      </w:tr>
      <w:tr w:rsidR="001C2B2C" w14:paraId="3D5EC45D" w14:textId="77777777" w:rsidTr="00B322A7">
        <w:trPr>
          <w:cantSplit/>
        </w:trPr>
        <w:tc>
          <w:tcPr>
            <w:tcW w:w="6222" w:type="dxa"/>
            <w:vAlign w:val="center"/>
          </w:tcPr>
          <w:p w14:paraId="22C4AD4F" w14:textId="77777777" w:rsidR="001C2B2C" w:rsidRDefault="001C2B2C" w:rsidP="00B322A7">
            <w:pPr>
              <w:tabs>
                <w:tab w:val="right" w:leader="dot" w:pos="5400"/>
              </w:tabs>
              <w:ind w:right="-7"/>
              <w:jc w:val="both"/>
              <w:rPr>
                <w:rFonts w:cs="Arabic Transparent"/>
                <w:sz w:val="18"/>
                <w:szCs w:val="18"/>
              </w:rPr>
            </w:pPr>
            <w:r>
              <w:rPr>
                <w:rFonts w:cs="Arabic Transparent"/>
                <w:sz w:val="18"/>
                <w:szCs w:val="18"/>
              </w:rPr>
              <w:t>Financial expenses</w:t>
            </w:r>
            <w:r>
              <w:rPr>
                <w:rFonts w:cs="Arabic Transparent"/>
                <w:sz w:val="18"/>
                <w:szCs w:val="18"/>
              </w:rPr>
              <w:tab/>
            </w:r>
          </w:p>
        </w:tc>
        <w:tc>
          <w:tcPr>
            <w:tcW w:w="1301" w:type="dxa"/>
            <w:vAlign w:val="center"/>
          </w:tcPr>
          <w:p w14:paraId="6E39638C" w14:textId="77777777" w:rsidR="001C2B2C" w:rsidRDefault="001C2B2C" w:rsidP="00B322A7">
            <w:pPr>
              <w:tabs>
                <w:tab w:val="decimal" w:pos="857"/>
              </w:tabs>
              <w:jc w:val="both"/>
              <w:rPr>
                <w:rFonts w:cs="Arabic Transparent"/>
                <w:sz w:val="18"/>
                <w:szCs w:val="18"/>
              </w:rPr>
            </w:pPr>
            <w:r>
              <w:rPr>
                <w:rFonts w:cs="Arabic Transparent"/>
                <w:sz w:val="18"/>
                <w:szCs w:val="18"/>
              </w:rPr>
              <w:t>(19,720)</w:t>
            </w:r>
          </w:p>
        </w:tc>
        <w:tc>
          <w:tcPr>
            <w:tcW w:w="1302" w:type="dxa"/>
            <w:vAlign w:val="center"/>
          </w:tcPr>
          <w:p w14:paraId="2AACE660" w14:textId="77777777" w:rsidR="001C2B2C" w:rsidRDefault="001C2B2C" w:rsidP="00B322A7">
            <w:pPr>
              <w:tabs>
                <w:tab w:val="decimal" w:pos="870"/>
              </w:tabs>
              <w:jc w:val="both"/>
              <w:rPr>
                <w:rFonts w:cs="Arabic Transparent"/>
                <w:sz w:val="18"/>
                <w:szCs w:val="18"/>
              </w:rPr>
            </w:pPr>
            <w:r>
              <w:rPr>
                <w:rFonts w:cs="Arabic Transparent"/>
                <w:sz w:val="18"/>
                <w:szCs w:val="18"/>
              </w:rPr>
              <w:t>(10,620)</w:t>
            </w:r>
          </w:p>
        </w:tc>
        <w:tc>
          <w:tcPr>
            <w:tcW w:w="1302" w:type="dxa"/>
            <w:vAlign w:val="center"/>
          </w:tcPr>
          <w:p w14:paraId="460EB5BC" w14:textId="77777777" w:rsidR="001C2B2C" w:rsidRDefault="001C2B2C" w:rsidP="00B322A7">
            <w:pPr>
              <w:tabs>
                <w:tab w:val="decimal" w:pos="883"/>
              </w:tabs>
              <w:jc w:val="both"/>
              <w:rPr>
                <w:rFonts w:cs="Arabic Transparent"/>
                <w:sz w:val="18"/>
                <w:szCs w:val="18"/>
              </w:rPr>
            </w:pPr>
            <w:r>
              <w:rPr>
                <w:rFonts w:cs="Arabic Transparent"/>
                <w:sz w:val="18"/>
                <w:szCs w:val="18"/>
              </w:rPr>
              <w:t>(10,555)</w:t>
            </w:r>
          </w:p>
        </w:tc>
      </w:tr>
      <w:tr w:rsidR="001C2B2C" w14:paraId="0E5A58DF" w14:textId="77777777" w:rsidTr="00B322A7">
        <w:trPr>
          <w:cantSplit/>
        </w:trPr>
        <w:tc>
          <w:tcPr>
            <w:tcW w:w="6222" w:type="dxa"/>
            <w:vAlign w:val="center"/>
          </w:tcPr>
          <w:p w14:paraId="77A0002B" w14:textId="77777777" w:rsidR="001C2B2C" w:rsidRDefault="001C2B2C" w:rsidP="00B322A7">
            <w:pPr>
              <w:tabs>
                <w:tab w:val="right" w:leader="dot" w:pos="5400"/>
              </w:tabs>
              <w:ind w:right="-7"/>
              <w:jc w:val="both"/>
              <w:rPr>
                <w:rFonts w:cs="Arabic Transparent"/>
                <w:b/>
                <w:sz w:val="18"/>
                <w:szCs w:val="18"/>
                <w:lang w:val="en-GB"/>
              </w:rPr>
            </w:pPr>
            <w:r>
              <w:rPr>
                <w:rFonts w:cs="Arabic Transparent"/>
                <w:b/>
                <w:sz w:val="18"/>
                <w:szCs w:val="18"/>
              </w:rPr>
              <w:t>Net financial result</w:t>
            </w:r>
            <w:r>
              <w:rPr>
                <w:rFonts w:cs="Arabic Transparent"/>
                <w:b/>
                <w:sz w:val="18"/>
                <w:szCs w:val="18"/>
              </w:rPr>
              <w:tab/>
            </w:r>
          </w:p>
        </w:tc>
        <w:tc>
          <w:tcPr>
            <w:tcW w:w="1301" w:type="dxa"/>
            <w:vAlign w:val="center"/>
          </w:tcPr>
          <w:p w14:paraId="50337066" w14:textId="77777777" w:rsidR="001C2B2C" w:rsidRDefault="001C2B2C" w:rsidP="00B322A7">
            <w:pPr>
              <w:pBdr>
                <w:bottom w:val="single" w:sz="2" w:space="1" w:color="auto"/>
              </w:pBdr>
              <w:tabs>
                <w:tab w:val="decimal" w:pos="857"/>
              </w:tabs>
              <w:jc w:val="both"/>
              <w:rPr>
                <w:rFonts w:cs="Arabic Transparent"/>
                <w:b/>
                <w:sz w:val="18"/>
                <w:szCs w:val="18"/>
                <w:lang w:val="en-GB"/>
              </w:rPr>
            </w:pPr>
            <w:r>
              <w:rPr>
                <w:rFonts w:cs="Arabic Transparent"/>
                <w:b/>
                <w:sz w:val="18"/>
                <w:szCs w:val="18"/>
                <w:lang w:val="en-GB"/>
              </w:rPr>
              <w:t>(16,906)</w:t>
            </w:r>
          </w:p>
        </w:tc>
        <w:tc>
          <w:tcPr>
            <w:tcW w:w="1302" w:type="dxa"/>
            <w:vAlign w:val="center"/>
          </w:tcPr>
          <w:p w14:paraId="606BDFC8" w14:textId="77777777" w:rsidR="001C2B2C" w:rsidRDefault="001C2B2C" w:rsidP="00B322A7">
            <w:pPr>
              <w:pBdr>
                <w:bottom w:val="single" w:sz="2" w:space="1" w:color="auto"/>
              </w:pBdr>
              <w:tabs>
                <w:tab w:val="decimal" w:pos="870"/>
              </w:tabs>
              <w:jc w:val="both"/>
              <w:rPr>
                <w:rFonts w:cs="Arabic Transparent"/>
                <w:b/>
                <w:sz w:val="18"/>
                <w:szCs w:val="18"/>
                <w:lang w:val="en-GB"/>
              </w:rPr>
            </w:pPr>
            <w:r>
              <w:rPr>
                <w:rFonts w:cs="Arabic Transparent"/>
                <w:b/>
                <w:sz w:val="18"/>
                <w:szCs w:val="18"/>
                <w:lang w:val="en-GB"/>
              </w:rPr>
              <w:t>(10,154)</w:t>
            </w:r>
          </w:p>
        </w:tc>
        <w:tc>
          <w:tcPr>
            <w:tcW w:w="1302" w:type="dxa"/>
            <w:vAlign w:val="center"/>
          </w:tcPr>
          <w:p w14:paraId="2574D69F" w14:textId="77777777" w:rsidR="001C2B2C" w:rsidRDefault="001C2B2C" w:rsidP="00B322A7">
            <w:pPr>
              <w:pBdr>
                <w:bottom w:val="single" w:sz="2" w:space="1" w:color="auto"/>
              </w:pBdr>
              <w:tabs>
                <w:tab w:val="decimal" w:pos="883"/>
              </w:tabs>
              <w:jc w:val="both"/>
              <w:rPr>
                <w:rFonts w:cs="Arabic Transparent"/>
                <w:b/>
                <w:sz w:val="18"/>
                <w:szCs w:val="18"/>
                <w:lang w:val="en-GB"/>
              </w:rPr>
            </w:pPr>
            <w:r>
              <w:rPr>
                <w:rFonts w:cs="Arabic Transparent"/>
                <w:b/>
                <w:sz w:val="18"/>
                <w:szCs w:val="18"/>
                <w:lang w:val="en-GB"/>
              </w:rPr>
              <w:t>(7,675)</w:t>
            </w:r>
          </w:p>
        </w:tc>
      </w:tr>
      <w:tr w:rsidR="001C2B2C" w14:paraId="16EB13C9" w14:textId="77777777" w:rsidTr="00B322A7">
        <w:trPr>
          <w:cantSplit/>
        </w:trPr>
        <w:tc>
          <w:tcPr>
            <w:tcW w:w="6222" w:type="dxa"/>
            <w:vAlign w:val="center"/>
          </w:tcPr>
          <w:p w14:paraId="3B1024F3" w14:textId="77777777" w:rsidR="001C2B2C" w:rsidRDefault="001C2B2C" w:rsidP="00B322A7">
            <w:pPr>
              <w:tabs>
                <w:tab w:val="right" w:leader="dot" w:pos="5400"/>
              </w:tabs>
              <w:ind w:right="-7"/>
              <w:jc w:val="both"/>
              <w:rPr>
                <w:rFonts w:cs="Arabic Transparent"/>
                <w:b/>
                <w:sz w:val="18"/>
                <w:szCs w:val="18"/>
                <w:lang w:val="en-GB"/>
              </w:rPr>
            </w:pPr>
            <w:r>
              <w:rPr>
                <w:rFonts w:cs="Arabic Transparent"/>
                <w:b/>
                <w:sz w:val="18"/>
                <w:szCs w:val="18"/>
              </w:rPr>
              <w:t xml:space="preserve">Profit before taxes </w:t>
            </w:r>
            <w:r>
              <w:rPr>
                <w:rFonts w:cs="Arabic Transparent"/>
                <w:b/>
                <w:sz w:val="18"/>
                <w:szCs w:val="18"/>
              </w:rPr>
              <w:tab/>
            </w:r>
          </w:p>
        </w:tc>
        <w:tc>
          <w:tcPr>
            <w:tcW w:w="1301" w:type="dxa"/>
            <w:vAlign w:val="center"/>
          </w:tcPr>
          <w:p w14:paraId="7566521F" w14:textId="77777777" w:rsidR="001C2B2C" w:rsidRDefault="001C2B2C" w:rsidP="00B322A7">
            <w:pPr>
              <w:tabs>
                <w:tab w:val="decimal" w:pos="857"/>
              </w:tabs>
              <w:jc w:val="both"/>
              <w:rPr>
                <w:rFonts w:cs="Arabic Transparent"/>
                <w:b/>
                <w:sz w:val="18"/>
                <w:szCs w:val="18"/>
                <w:u w:val="single"/>
              </w:rPr>
            </w:pPr>
            <w:r>
              <w:rPr>
                <w:rFonts w:cs="Arabic Transparent"/>
                <w:b/>
                <w:sz w:val="18"/>
                <w:szCs w:val="18"/>
                <w:u w:val="single"/>
              </w:rPr>
              <w:t>113,076</w:t>
            </w:r>
          </w:p>
        </w:tc>
        <w:tc>
          <w:tcPr>
            <w:tcW w:w="1302" w:type="dxa"/>
            <w:vAlign w:val="center"/>
          </w:tcPr>
          <w:p w14:paraId="716952EA" w14:textId="77777777" w:rsidR="001C2B2C" w:rsidRDefault="001C2B2C" w:rsidP="00B322A7">
            <w:pPr>
              <w:tabs>
                <w:tab w:val="decimal" w:pos="870"/>
              </w:tabs>
              <w:jc w:val="both"/>
              <w:rPr>
                <w:rFonts w:cs="Arabic Transparent"/>
                <w:b/>
                <w:sz w:val="18"/>
                <w:szCs w:val="18"/>
                <w:u w:val="single"/>
              </w:rPr>
            </w:pPr>
            <w:r>
              <w:rPr>
                <w:rFonts w:cs="Arabic Transparent"/>
                <w:b/>
                <w:sz w:val="18"/>
                <w:szCs w:val="18"/>
                <w:u w:val="single"/>
              </w:rPr>
              <w:t>99,090</w:t>
            </w:r>
          </w:p>
        </w:tc>
        <w:tc>
          <w:tcPr>
            <w:tcW w:w="1302" w:type="dxa"/>
            <w:vAlign w:val="center"/>
          </w:tcPr>
          <w:p w14:paraId="709ECB53" w14:textId="77777777" w:rsidR="001C2B2C" w:rsidRDefault="001C2B2C" w:rsidP="00B322A7">
            <w:pPr>
              <w:tabs>
                <w:tab w:val="decimal" w:pos="883"/>
              </w:tabs>
              <w:jc w:val="both"/>
              <w:rPr>
                <w:rFonts w:cs="Arabic Transparent"/>
                <w:b/>
                <w:sz w:val="18"/>
                <w:szCs w:val="18"/>
                <w:u w:val="single"/>
              </w:rPr>
            </w:pPr>
            <w:r>
              <w:rPr>
                <w:rFonts w:cs="Arabic Transparent"/>
                <w:b/>
                <w:sz w:val="18"/>
                <w:szCs w:val="18"/>
                <w:u w:val="single"/>
              </w:rPr>
              <w:t>65,550</w:t>
            </w:r>
          </w:p>
        </w:tc>
      </w:tr>
      <w:tr w:rsidR="001C2B2C" w14:paraId="0A584A0E" w14:textId="77777777" w:rsidTr="00B322A7">
        <w:trPr>
          <w:cantSplit/>
        </w:trPr>
        <w:tc>
          <w:tcPr>
            <w:tcW w:w="6222" w:type="dxa"/>
            <w:vAlign w:val="center"/>
          </w:tcPr>
          <w:p w14:paraId="5362B765" w14:textId="77777777" w:rsidR="001C2B2C" w:rsidRDefault="001C2B2C" w:rsidP="00B322A7">
            <w:pPr>
              <w:tabs>
                <w:tab w:val="right" w:leader="dot" w:pos="5400"/>
              </w:tabs>
              <w:ind w:right="-7"/>
              <w:jc w:val="both"/>
              <w:rPr>
                <w:rFonts w:cs="Arabic Transparent"/>
                <w:sz w:val="18"/>
                <w:szCs w:val="18"/>
              </w:rPr>
            </w:pPr>
            <w:r>
              <w:rPr>
                <w:rFonts w:cs="Arabic Transparent"/>
                <w:sz w:val="18"/>
                <w:szCs w:val="18"/>
              </w:rPr>
              <w:t>Taxes</w:t>
            </w:r>
            <w:r>
              <w:rPr>
                <w:rFonts w:cs="Arabic Transparent"/>
                <w:sz w:val="18"/>
                <w:szCs w:val="18"/>
              </w:rPr>
              <w:tab/>
            </w:r>
          </w:p>
        </w:tc>
        <w:tc>
          <w:tcPr>
            <w:tcW w:w="1301" w:type="dxa"/>
            <w:vAlign w:val="center"/>
          </w:tcPr>
          <w:p w14:paraId="0D22926F" w14:textId="77777777" w:rsidR="001C2B2C" w:rsidRDefault="001C2B2C" w:rsidP="00B322A7">
            <w:pPr>
              <w:tabs>
                <w:tab w:val="decimal" w:pos="857"/>
              </w:tabs>
              <w:jc w:val="both"/>
              <w:rPr>
                <w:rFonts w:cs="Arabic Transparent"/>
                <w:sz w:val="18"/>
                <w:szCs w:val="18"/>
                <w:u w:val="single"/>
              </w:rPr>
            </w:pPr>
            <w:r>
              <w:rPr>
                <w:rFonts w:cs="Arabic Transparent"/>
                <w:sz w:val="18"/>
                <w:szCs w:val="18"/>
                <w:u w:val="single"/>
              </w:rPr>
              <w:t>(21,790)</w:t>
            </w:r>
          </w:p>
        </w:tc>
        <w:tc>
          <w:tcPr>
            <w:tcW w:w="1302" w:type="dxa"/>
            <w:vAlign w:val="center"/>
          </w:tcPr>
          <w:p w14:paraId="02585FA7" w14:textId="77777777" w:rsidR="001C2B2C" w:rsidRDefault="001C2B2C" w:rsidP="00B322A7">
            <w:pPr>
              <w:tabs>
                <w:tab w:val="decimal" w:pos="870"/>
              </w:tabs>
              <w:jc w:val="both"/>
              <w:rPr>
                <w:rFonts w:cs="Arabic Transparent"/>
                <w:sz w:val="18"/>
                <w:szCs w:val="18"/>
                <w:u w:val="single"/>
              </w:rPr>
            </w:pPr>
            <w:r>
              <w:rPr>
                <w:rFonts w:cs="Arabic Transparent"/>
                <w:sz w:val="18"/>
                <w:szCs w:val="18"/>
                <w:u w:val="single"/>
              </w:rPr>
              <w:t>(12,529)</w:t>
            </w:r>
          </w:p>
        </w:tc>
        <w:tc>
          <w:tcPr>
            <w:tcW w:w="1302" w:type="dxa"/>
            <w:vAlign w:val="center"/>
          </w:tcPr>
          <w:p w14:paraId="135A4D68" w14:textId="77777777" w:rsidR="001C2B2C" w:rsidRDefault="001C2B2C" w:rsidP="00B322A7">
            <w:pPr>
              <w:tabs>
                <w:tab w:val="decimal" w:pos="883"/>
              </w:tabs>
              <w:jc w:val="both"/>
              <w:rPr>
                <w:rFonts w:cs="Arabic Transparent"/>
                <w:sz w:val="18"/>
                <w:szCs w:val="18"/>
                <w:u w:val="single"/>
              </w:rPr>
            </w:pPr>
            <w:r>
              <w:rPr>
                <w:rFonts w:cs="Arabic Transparent"/>
                <w:sz w:val="18"/>
                <w:szCs w:val="18"/>
                <w:u w:val="single"/>
              </w:rPr>
              <w:t>(16,191)</w:t>
            </w:r>
          </w:p>
        </w:tc>
      </w:tr>
      <w:tr w:rsidR="001C2B2C" w14:paraId="690338A8" w14:textId="77777777" w:rsidTr="00B322A7">
        <w:trPr>
          <w:cantSplit/>
        </w:trPr>
        <w:tc>
          <w:tcPr>
            <w:tcW w:w="6222" w:type="dxa"/>
            <w:vAlign w:val="center"/>
          </w:tcPr>
          <w:p w14:paraId="781DB933" w14:textId="77777777" w:rsidR="001C2B2C" w:rsidRDefault="001C2B2C" w:rsidP="00B322A7">
            <w:pPr>
              <w:tabs>
                <w:tab w:val="right" w:leader="dot" w:pos="5400"/>
              </w:tabs>
              <w:ind w:right="-7"/>
              <w:jc w:val="both"/>
              <w:rPr>
                <w:rFonts w:cs="Arabic Transparent"/>
                <w:sz w:val="18"/>
                <w:szCs w:val="18"/>
              </w:rPr>
            </w:pPr>
            <w:r>
              <w:rPr>
                <w:rFonts w:cs="Arabic Transparent"/>
                <w:sz w:val="18"/>
                <w:szCs w:val="18"/>
              </w:rPr>
              <w:t>Profit for the year</w:t>
            </w:r>
            <w:r>
              <w:rPr>
                <w:rFonts w:cs="Arabic Transparent"/>
                <w:sz w:val="18"/>
                <w:szCs w:val="18"/>
              </w:rPr>
              <w:tab/>
            </w:r>
          </w:p>
        </w:tc>
        <w:tc>
          <w:tcPr>
            <w:tcW w:w="1301" w:type="dxa"/>
            <w:vAlign w:val="center"/>
          </w:tcPr>
          <w:p w14:paraId="2756C99F" w14:textId="77777777" w:rsidR="001C2B2C" w:rsidRDefault="001C2B2C" w:rsidP="00B322A7">
            <w:pPr>
              <w:pBdr>
                <w:bottom w:val="double" w:sz="4" w:space="1" w:color="auto"/>
              </w:pBdr>
              <w:tabs>
                <w:tab w:val="decimal" w:pos="857"/>
              </w:tabs>
              <w:jc w:val="both"/>
              <w:rPr>
                <w:rFonts w:cs="Arabic Transparent"/>
                <w:b/>
                <w:sz w:val="18"/>
                <w:szCs w:val="18"/>
                <w:lang w:val="en-GB"/>
              </w:rPr>
            </w:pPr>
            <w:r>
              <w:rPr>
                <w:rFonts w:cs="Arabic Transparent"/>
                <w:b/>
                <w:sz w:val="18"/>
                <w:szCs w:val="18"/>
                <w:lang w:val="en-GB"/>
              </w:rPr>
              <w:t>91,286</w:t>
            </w:r>
          </w:p>
        </w:tc>
        <w:tc>
          <w:tcPr>
            <w:tcW w:w="1302" w:type="dxa"/>
            <w:vAlign w:val="center"/>
          </w:tcPr>
          <w:p w14:paraId="4781A869" w14:textId="77777777" w:rsidR="001C2B2C" w:rsidRDefault="001C2B2C" w:rsidP="00B322A7">
            <w:pPr>
              <w:pBdr>
                <w:bottom w:val="double" w:sz="4" w:space="1" w:color="auto"/>
              </w:pBdr>
              <w:tabs>
                <w:tab w:val="decimal" w:pos="870"/>
              </w:tabs>
              <w:jc w:val="both"/>
              <w:rPr>
                <w:rFonts w:cs="Arabic Transparent"/>
                <w:b/>
                <w:sz w:val="18"/>
                <w:szCs w:val="18"/>
                <w:lang w:val="en-GB"/>
              </w:rPr>
            </w:pPr>
            <w:r>
              <w:rPr>
                <w:rFonts w:cs="Arabic Transparent"/>
                <w:b/>
                <w:sz w:val="18"/>
                <w:szCs w:val="18"/>
                <w:lang w:val="en-GB"/>
              </w:rPr>
              <w:t>86,561</w:t>
            </w:r>
          </w:p>
        </w:tc>
        <w:tc>
          <w:tcPr>
            <w:tcW w:w="1302" w:type="dxa"/>
            <w:vAlign w:val="center"/>
          </w:tcPr>
          <w:p w14:paraId="5426A134" w14:textId="77777777" w:rsidR="001C2B2C" w:rsidRDefault="001C2B2C" w:rsidP="00B322A7">
            <w:pPr>
              <w:pBdr>
                <w:bottom w:val="double" w:sz="4" w:space="1" w:color="auto"/>
              </w:pBdr>
              <w:tabs>
                <w:tab w:val="decimal" w:pos="883"/>
              </w:tabs>
              <w:jc w:val="both"/>
              <w:rPr>
                <w:rFonts w:cs="Arabic Transparent"/>
                <w:b/>
                <w:sz w:val="18"/>
                <w:szCs w:val="18"/>
                <w:lang w:val="en-GB"/>
              </w:rPr>
            </w:pPr>
            <w:r>
              <w:rPr>
                <w:rFonts w:cs="Arabic Transparent"/>
                <w:b/>
                <w:sz w:val="18"/>
                <w:szCs w:val="18"/>
                <w:lang w:val="en-GB"/>
              </w:rPr>
              <w:t>49,359</w:t>
            </w:r>
          </w:p>
        </w:tc>
      </w:tr>
    </w:tbl>
    <w:p w14:paraId="11F83F84" w14:textId="77777777" w:rsidR="001C2B2C" w:rsidRDefault="001C2B2C" w:rsidP="001D1FD6">
      <w:pPr>
        <w:spacing w:before="240" w:after="240"/>
        <w:jc w:val="both"/>
        <w:rPr>
          <w:rFonts w:cs="Arabic Transparent"/>
          <w:i/>
          <w:sz w:val="18"/>
          <w:szCs w:val="18"/>
        </w:rPr>
      </w:pPr>
    </w:p>
    <w:p w14:paraId="62F09D7E" w14:textId="61584266" w:rsidR="001D1FD6" w:rsidRDefault="001D1FD6" w:rsidP="001D1FD6">
      <w:pPr>
        <w:spacing w:before="240" w:after="240"/>
        <w:jc w:val="both"/>
        <w:rPr>
          <w:rFonts w:cs="Arabic Transparent"/>
          <w:i/>
          <w:sz w:val="18"/>
          <w:szCs w:val="18"/>
        </w:rPr>
      </w:pPr>
      <w:r>
        <w:rPr>
          <w:rFonts w:cs="Arabic Transparent"/>
          <w:i/>
          <w:sz w:val="18"/>
          <w:szCs w:val="18"/>
        </w:rPr>
        <w:t>Revenue</w:t>
      </w:r>
    </w:p>
    <w:p w14:paraId="43D6DEEA" w14:textId="48FABD11" w:rsidR="001D1FD6" w:rsidRDefault="001D1FD6" w:rsidP="001D1FD6">
      <w:pPr>
        <w:spacing w:after="240"/>
        <w:ind w:firstLine="720"/>
        <w:jc w:val="both"/>
        <w:rPr>
          <w:bCs/>
          <w:sz w:val="18"/>
          <w:szCs w:val="18"/>
        </w:rPr>
      </w:pPr>
      <w:r>
        <w:rPr>
          <w:bCs/>
          <w:sz w:val="18"/>
          <w:szCs w:val="18"/>
        </w:rPr>
        <w:t>Revenue increased by €</w:t>
      </w:r>
      <w:r w:rsidR="00C92AC8">
        <w:rPr>
          <w:bCs/>
          <w:sz w:val="18"/>
          <w:szCs w:val="18"/>
        </w:rPr>
        <w:t xml:space="preserve"> </w:t>
      </w:r>
      <w:r>
        <w:rPr>
          <w:bCs/>
          <w:sz w:val="18"/>
          <w:szCs w:val="18"/>
        </w:rPr>
        <w:t>1.6 million or 7%, to €</w:t>
      </w:r>
      <w:r w:rsidR="00C92AC8">
        <w:rPr>
          <w:bCs/>
          <w:sz w:val="18"/>
          <w:szCs w:val="18"/>
        </w:rPr>
        <w:t xml:space="preserve"> </w:t>
      </w:r>
      <w:r>
        <w:rPr>
          <w:bCs/>
          <w:sz w:val="18"/>
          <w:szCs w:val="18"/>
        </w:rPr>
        <w:t>24.7 million in 2016 from €</w:t>
      </w:r>
      <w:r w:rsidR="00C92AC8">
        <w:rPr>
          <w:bCs/>
          <w:sz w:val="18"/>
          <w:szCs w:val="18"/>
        </w:rPr>
        <w:t xml:space="preserve"> </w:t>
      </w:r>
      <w:r>
        <w:rPr>
          <w:bCs/>
          <w:sz w:val="18"/>
          <w:szCs w:val="18"/>
        </w:rPr>
        <w:t>23.1 million in 2015, and by €8.0 million, or 53%, from €</w:t>
      </w:r>
      <w:r w:rsidR="00C92AC8">
        <w:rPr>
          <w:bCs/>
          <w:sz w:val="18"/>
          <w:szCs w:val="18"/>
        </w:rPr>
        <w:t xml:space="preserve"> </w:t>
      </w:r>
      <w:r>
        <w:rPr>
          <w:bCs/>
          <w:sz w:val="18"/>
          <w:szCs w:val="18"/>
        </w:rPr>
        <w:t xml:space="preserve">15.1 million in 2014. </w:t>
      </w:r>
    </w:p>
    <w:p w14:paraId="25327F51" w14:textId="77777777" w:rsidR="001D1FD6" w:rsidRDefault="001D1FD6" w:rsidP="001D1FD6">
      <w:pPr>
        <w:spacing w:after="240"/>
        <w:jc w:val="both"/>
        <w:rPr>
          <w:rFonts w:cs="Arabic Transparent"/>
          <w:i/>
          <w:sz w:val="18"/>
          <w:szCs w:val="18"/>
        </w:rPr>
      </w:pPr>
      <w:r>
        <w:rPr>
          <w:rFonts w:cs="Arabic Transparent"/>
          <w:i/>
          <w:sz w:val="18"/>
          <w:szCs w:val="18"/>
        </w:rPr>
        <w:t xml:space="preserve">Gross rental income </w:t>
      </w:r>
    </w:p>
    <w:p w14:paraId="1D4B04C5" w14:textId="77777777" w:rsidR="001D1FD6" w:rsidRDefault="001D1FD6" w:rsidP="001D1FD6">
      <w:pPr>
        <w:spacing w:after="240"/>
        <w:ind w:firstLine="720"/>
        <w:jc w:val="both"/>
        <w:rPr>
          <w:bCs/>
          <w:sz w:val="18"/>
          <w:szCs w:val="18"/>
        </w:rPr>
      </w:pPr>
      <w:r>
        <w:rPr>
          <w:bCs/>
          <w:sz w:val="18"/>
          <w:szCs w:val="18"/>
        </w:rPr>
        <w:t>Gross rental income, which is the revenue generated by the Group on the operating leases associated with its properties, forms the largest component of the Group's revenue. These operating leases are generally for terms of more than five years.</w:t>
      </w:r>
    </w:p>
    <w:p w14:paraId="6202B1D6" w14:textId="18EE2863" w:rsidR="001D1FD6" w:rsidRDefault="001D1FD6" w:rsidP="001D1FD6">
      <w:pPr>
        <w:spacing w:after="240"/>
        <w:ind w:firstLine="720"/>
        <w:jc w:val="both"/>
        <w:rPr>
          <w:bCs/>
          <w:sz w:val="18"/>
          <w:szCs w:val="18"/>
        </w:rPr>
      </w:pPr>
      <w:r>
        <w:rPr>
          <w:bCs/>
          <w:sz w:val="18"/>
          <w:szCs w:val="18"/>
        </w:rPr>
        <w:t>Gross rental income decreased by €</w:t>
      </w:r>
      <w:r w:rsidR="00C92AC8">
        <w:rPr>
          <w:bCs/>
          <w:sz w:val="18"/>
          <w:szCs w:val="18"/>
        </w:rPr>
        <w:t xml:space="preserve"> </w:t>
      </w:r>
      <w:r>
        <w:rPr>
          <w:bCs/>
          <w:sz w:val="18"/>
          <w:szCs w:val="18"/>
        </w:rPr>
        <w:t>0.3 million or 2%, to €</w:t>
      </w:r>
      <w:r w:rsidR="00C92AC8">
        <w:rPr>
          <w:bCs/>
          <w:sz w:val="18"/>
          <w:szCs w:val="18"/>
        </w:rPr>
        <w:t xml:space="preserve"> </w:t>
      </w:r>
      <w:r>
        <w:rPr>
          <w:bCs/>
          <w:sz w:val="18"/>
          <w:szCs w:val="18"/>
        </w:rPr>
        <w:t>16.8 million in 2016 from €</w:t>
      </w:r>
      <w:r w:rsidR="00C92AC8">
        <w:rPr>
          <w:bCs/>
          <w:sz w:val="18"/>
          <w:szCs w:val="18"/>
        </w:rPr>
        <w:t xml:space="preserve"> </w:t>
      </w:r>
      <w:r>
        <w:rPr>
          <w:bCs/>
          <w:sz w:val="18"/>
          <w:szCs w:val="18"/>
        </w:rPr>
        <w:t>17.1 million in 2015. This decrease reflected primarily the impact of the income generating assets delivered by the Group during 2016 and the sale of the Seed Portfolio to the Joint Venture with effect from 31 May 2016. Gross rental income in 2016 attributable to the Seed Portfolio for the period prior to its sale (for 1 January 2016 to 31 May 2016) was €</w:t>
      </w:r>
      <w:r w:rsidR="00C92AC8">
        <w:rPr>
          <w:bCs/>
          <w:sz w:val="18"/>
          <w:szCs w:val="18"/>
        </w:rPr>
        <w:t xml:space="preserve"> </w:t>
      </w:r>
      <w:r>
        <w:rPr>
          <w:bCs/>
          <w:sz w:val="18"/>
          <w:szCs w:val="18"/>
        </w:rPr>
        <w:t>10.2 million.</w:t>
      </w:r>
      <w:r w:rsidR="00FF2ECC">
        <w:rPr>
          <w:bCs/>
          <w:sz w:val="18"/>
          <w:szCs w:val="18"/>
        </w:rPr>
        <w:t xml:space="preserve"> </w:t>
      </w:r>
    </w:p>
    <w:p w14:paraId="1C6D4865" w14:textId="5792B770" w:rsidR="001D1FD6" w:rsidRDefault="001D1FD6" w:rsidP="001D1FD6">
      <w:pPr>
        <w:spacing w:after="240"/>
        <w:ind w:firstLine="720"/>
        <w:jc w:val="both"/>
        <w:rPr>
          <w:bCs/>
          <w:sz w:val="18"/>
          <w:szCs w:val="18"/>
        </w:rPr>
      </w:pPr>
      <w:r>
        <w:rPr>
          <w:bCs/>
          <w:sz w:val="18"/>
          <w:szCs w:val="18"/>
        </w:rPr>
        <w:t>Following entering into the Joint Venture, the Group believes that the analysis of the gross rental income on a ‘look-through’ basis (with the Joint Venture included at share) provides a more meaningful analysis of the net rent evolution. Therefore, taking into account VGP’s share of the Joint Venture, gross rental income in total increased by €</w:t>
      </w:r>
      <w:r w:rsidR="00C57B27">
        <w:rPr>
          <w:bCs/>
          <w:sz w:val="18"/>
          <w:szCs w:val="18"/>
        </w:rPr>
        <w:t xml:space="preserve"> </w:t>
      </w:r>
      <w:r>
        <w:rPr>
          <w:bCs/>
          <w:sz w:val="18"/>
          <w:szCs w:val="18"/>
        </w:rPr>
        <w:t>3.4 million, or 24% compared to the same period in 2016.</w:t>
      </w:r>
    </w:p>
    <w:p w14:paraId="277F0284" w14:textId="30693CD6" w:rsidR="001D1FD6" w:rsidRDefault="001D1FD6" w:rsidP="001D1FD6">
      <w:pPr>
        <w:spacing w:after="240"/>
        <w:ind w:firstLine="720"/>
        <w:jc w:val="both"/>
        <w:rPr>
          <w:bCs/>
          <w:sz w:val="18"/>
          <w:szCs w:val="18"/>
        </w:rPr>
      </w:pPr>
      <w:r>
        <w:rPr>
          <w:bCs/>
          <w:sz w:val="18"/>
          <w:szCs w:val="18"/>
        </w:rPr>
        <w:t xml:space="preserve">At the end of 2016, the Group, together with the Joint Venture, had </w:t>
      </w:r>
      <w:r w:rsidR="00AF1A25">
        <w:rPr>
          <w:bCs/>
          <w:sz w:val="18"/>
          <w:szCs w:val="18"/>
        </w:rPr>
        <w:t xml:space="preserve">an </w:t>
      </w:r>
      <w:proofErr w:type="spellStart"/>
      <w:r w:rsidR="00AF1A25">
        <w:rPr>
          <w:bCs/>
          <w:sz w:val="18"/>
          <w:szCs w:val="18"/>
        </w:rPr>
        <w:t>Annual</w:t>
      </w:r>
      <w:r w:rsidR="000078A9">
        <w:rPr>
          <w:bCs/>
          <w:sz w:val="18"/>
          <w:szCs w:val="18"/>
        </w:rPr>
        <w:t>ised</w:t>
      </w:r>
      <w:proofErr w:type="spellEnd"/>
      <w:r w:rsidR="000078A9">
        <w:rPr>
          <w:bCs/>
          <w:sz w:val="18"/>
          <w:szCs w:val="18"/>
        </w:rPr>
        <w:t xml:space="preserve"> Rent Income</w:t>
      </w:r>
      <w:r w:rsidR="007A3C71">
        <w:rPr>
          <w:bCs/>
          <w:sz w:val="18"/>
          <w:szCs w:val="18"/>
        </w:rPr>
        <w:t xml:space="preserve"> </w:t>
      </w:r>
      <w:r>
        <w:rPr>
          <w:bCs/>
          <w:sz w:val="18"/>
          <w:szCs w:val="18"/>
        </w:rPr>
        <w:t>of €</w:t>
      </w:r>
      <w:r w:rsidR="00C57B27">
        <w:rPr>
          <w:bCs/>
          <w:sz w:val="18"/>
          <w:szCs w:val="18"/>
        </w:rPr>
        <w:t xml:space="preserve"> </w:t>
      </w:r>
      <w:r>
        <w:rPr>
          <w:bCs/>
          <w:sz w:val="18"/>
          <w:szCs w:val="18"/>
        </w:rPr>
        <w:t>64.3 million</w:t>
      </w:r>
      <w:r>
        <w:rPr>
          <w:bCs/>
          <w:sz w:val="18"/>
          <w:szCs w:val="18"/>
          <w:vertAlign w:val="superscript"/>
        </w:rPr>
        <w:footnoteReference w:id="8"/>
      </w:r>
      <w:r>
        <w:rPr>
          <w:bCs/>
          <w:sz w:val="18"/>
          <w:szCs w:val="18"/>
        </w:rPr>
        <w:t xml:space="preserve"> calculated as </w:t>
      </w:r>
      <w:proofErr w:type="spellStart"/>
      <w:r>
        <w:rPr>
          <w:bCs/>
          <w:sz w:val="18"/>
          <w:szCs w:val="18"/>
        </w:rPr>
        <w:t>annualised</w:t>
      </w:r>
      <w:proofErr w:type="spellEnd"/>
      <w:r>
        <w:rPr>
          <w:bCs/>
          <w:sz w:val="18"/>
          <w:szCs w:val="18"/>
        </w:rPr>
        <w:t xml:space="preserve"> rental income generated or to be generated by executed leases and future lease agreements, an increase from €</w:t>
      </w:r>
      <w:r w:rsidR="00C92AC8">
        <w:rPr>
          <w:bCs/>
          <w:sz w:val="18"/>
          <w:szCs w:val="18"/>
        </w:rPr>
        <w:t xml:space="preserve"> </w:t>
      </w:r>
      <w:r>
        <w:rPr>
          <w:bCs/>
          <w:sz w:val="18"/>
          <w:szCs w:val="18"/>
        </w:rPr>
        <w:t>38.0 million as at 31 December 2015. The increase reflected the underlying growth of the portfolio.</w:t>
      </w:r>
    </w:p>
    <w:p w14:paraId="4E9041CB" w14:textId="00F98B5E" w:rsidR="001D1FD6" w:rsidRDefault="001D1FD6" w:rsidP="001D1FD6">
      <w:pPr>
        <w:spacing w:after="240"/>
        <w:ind w:firstLine="720"/>
        <w:jc w:val="both"/>
        <w:rPr>
          <w:bCs/>
          <w:sz w:val="18"/>
          <w:szCs w:val="18"/>
        </w:rPr>
      </w:pPr>
      <w:r>
        <w:rPr>
          <w:bCs/>
          <w:sz w:val="18"/>
          <w:szCs w:val="18"/>
        </w:rPr>
        <w:t xml:space="preserve">Gross rental income increased by € 7.5 million, or 78%, to € 17.1 million in 2015 from € 9.6 million in 2014. This increase primarily reflected the full impact of the income generating assets delivered by the Group during 2015. At the end of 2015 the Group </w:t>
      </w:r>
      <w:r>
        <w:rPr>
          <w:bCs/>
          <w:sz w:val="18"/>
          <w:szCs w:val="18"/>
        </w:rPr>
        <w:lastRenderedPageBreak/>
        <w:t xml:space="preserve">had </w:t>
      </w:r>
      <w:proofErr w:type="spellStart"/>
      <w:r w:rsidR="000078A9">
        <w:rPr>
          <w:bCs/>
          <w:sz w:val="18"/>
          <w:szCs w:val="18"/>
        </w:rPr>
        <w:t>Annualised</w:t>
      </w:r>
      <w:proofErr w:type="spellEnd"/>
      <w:r w:rsidR="000078A9">
        <w:rPr>
          <w:bCs/>
          <w:sz w:val="18"/>
          <w:szCs w:val="18"/>
        </w:rPr>
        <w:t xml:space="preserve"> Rent Income</w:t>
      </w:r>
      <w:r>
        <w:rPr>
          <w:bCs/>
          <w:sz w:val="18"/>
          <w:szCs w:val="18"/>
        </w:rPr>
        <w:t xml:space="preserve"> of € 38.0 million, an increase from € 22.6 million as at 31 December 2014. The increase reflected the underlying growth of the portfolio.</w:t>
      </w:r>
    </w:p>
    <w:p w14:paraId="0F38D94C" w14:textId="77777777" w:rsidR="001D1FD6" w:rsidRDefault="001D1FD6" w:rsidP="001D1FD6">
      <w:pPr>
        <w:spacing w:after="240"/>
        <w:jc w:val="both"/>
        <w:rPr>
          <w:rFonts w:cs="Arabic Transparent"/>
          <w:i/>
          <w:sz w:val="18"/>
          <w:szCs w:val="18"/>
        </w:rPr>
      </w:pPr>
      <w:r>
        <w:rPr>
          <w:rFonts w:cs="Arabic Transparent"/>
          <w:i/>
          <w:sz w:val="18"/>
          <w:szCs w:val="18"/>
        </w:rPr>
        <w:t>Service charge income and expense, net</w:t>
      </w:r>
    </w:p>
    <w:p w14:paraId="12F4F634" w14:textId="77777777" w:rsidR="001D1FD6" w:rsidRDefault="001D1FD6" w:rsidP="001D1FD6">
      <w:pPr>
        <w:spacing w:after="240"/>
        <w:ind w:firstLine="720"/>
        <w:jc w:val="both"/>
        <w:rPr>
          <w:bCs/>
          <w:sz w:val="18"/>
          <w:szCs w:val="18"/>
        </w:rPr>
      </w:pPr>
      <w:r>
        <w:rPr>
          <w:bCs/>
          <w:sz w:val="18"/>
          <w:szCs w:val="18"/>
        </w:rPr>
        <w:t xml:space="preserve">Service charge income and expense is presented on a net basis. The Group generally seeks to recharge amounts it pays for services such as energy, maintenance, cleaning, security, garbage management and usage of infrastructure at its properties to its tenants. </w:t>
      </w:r>
    </w:p>
    <w:p w14:paraId="5A95E834" w14:textId="53F45B86" w:rsidR="001D1FD6" w:rsidRDefault="001D1FD6" w:rsidP="001D1FD6">
      <w:pPr>
        <w:spacing w:after="240"/>
        <w:ind w:firstLine="720"/>
        <w:jc w:val="both"/>
        <w:rPr>
          <w:bCs/>
          <w:sz w:val="18"/>
          <w:szCs w:val="18"/>
        </w:rPr>
      </w:pPr>
      <w:r>
        <w:rPr>
          <w:bCs/>
          <w:sz w:val="18"/>
          <w:szCs w:val="18"/>
        </w:rPr>
        <w:t>Service charge income increased by €</w:t>
      </w:r>
      <w:r w:rsidR="00C92AC8">
        <w:rPr>
          <w:bCs/>
          <w:sz w:val="18"/>
          <w:szCs w:val="18"/>
        </w:rPr>
        <w:t xml:space="preserve"> </w:t>
      </w:r>
      <w:r>
        <w:rPr>
          <w:bCs/>
          <w:sz w:val="18"/>
          <w:szCs w:val="18"/>
        </w:rPr>
        <w:t>0.6 million or 17%, to €</w:t>
      </w:r>
      <w:r w:rsidR="00C92AC8">
        <w:rPr>
          <w:bCs/>
          <w:sz w:val="18"/>
          <w:szCs w:val="18"/>
        </w:rPr>
        <w:t xml:space="preserve"> </w:t>
      </w:r>
      <w:r>
        <w:rPr>
          <w:bCs/>
          <w:sz w:val="18"/>
          <w:szCs w:val="18"/>
        </w:rPr>
        <w:t>4.1 million in 2016 from €</w:t>
      </w:r>
      <w:r w:rsidR="00C92AC8">
        <w:rPr>
          <w:bCs/>
          <w:sz w:val="18"/>
          <w:szCs w:val="18"/>
        </w:rPr>
        <w:t xml:space="preserve"> </w:t>
      </w:r>
      <w:r>
        <w:rPr>
          <w:bCs/>
          <w:sz w:val="18"/>
          <w:szCs w:val="18"/>
        </w:rPr>
        <w:t>3.5 million in 2015, which in turn was an increase of € 1.4 million or 66%, from € 2.1 million in 2014. The increase in service charge income have been driven primarily by an increase in increased income receivable from tenants for energy, maintenance, cleaning, security, garbage management and usage of infrastructure, in connection with the growth of the portfolio.</w:t>
      </w:r>
    </w:p>
    <w:p w14:paraId="43F9FF63" w14:textId="49EAFD0D" w:rsidR="001D1FD6" w:rsidRDefault="001D1FD6" w:rsidP="001D1FD6">
      <w:pPr>
        <w:spacing w:after="240"/>
        <w:ind w:firstLine="720"/>
        <w:jc w:val="both"/>
        <w:rPr>
          <w:bCs/>
          <w:sz w:val="18"/>
          <w:szCs w:val="18"/>
        </w:rPr>
      </w:pPr>
      <w:r>
        <w:rPr>
          <w:bCs/>
          <w:sz w:val="18"/>
          <w:szCs w:val="18"/>
        </w:rPr>
        <w:t>Service charges expenses remained unchanged in 2016 as compared to 2015, at € 3.1 million. In 2015, service charge expenses increased by €</w:t>
      </w:r>
      <w:r w:rsidR="00C92AC8">
        <w:rPr>
          <w:bCs/>
          <w:sz w:val="18"/>
          <w:szCs w:val="18"/>
        </w:rPr>
        <w:t xml:space="preserve"> </w:t>
      </w:r>
      <w:r>
        <w:rPr>
          <w:bCs/>
          <w:sz w:val="18"/>
          <w:szCs w:val="18"/>
        </w:rPr>
        <w:t>1.4 million or 83%, to €</w:t>
      </w:r>
      <w:r w:rsidR="00C92AC8">
        <w:rPr>
          <w:bCs/>
          <w:sz w:val="18"/>
          <w:szCs w:val="18"/>
        </w:rPr>
        <w:t xml:space="preserve"> </w:t>
      </w:r>
      <w:r>
        <w:rPr>
          <w:bCs/>
          <w:sz w:val="18"/>
          <w:szCs w:val="18"/>
        </w:rPr>
        <w:t>3.1 million in 2015 from €</w:t>
      </w:r>
      <w:r w:rsidR="00C92AC8">
        <w:rPr>
          <w:bCs/>
          <w:sz w:val="18"/>
          <w:szCs w:val="18"/>
        </w:rPr>
        <w:t xml:space="preserve"> </w:t>
      </w:r>
      <w:r>
        <w:rPr>
          <w:bCs/>
          <w:sz w:val="18"/>
          <w:szCs w:val="18"/>
        </w:rPr>
        <w:t>1.7 million in 2014</w:t>
      </w:r>
      <w:r w:rsidR="009B32EF">
        <w:rPr>
          <w:bCs/>
          <w:sz w:val="18"/>
          <w:szCs w:val="18"/>
        </w:rPr>
        <w:t xml:space="preserve">. </w:t>
      </w:r>
      <w:r>
        <w:rPr>
          <w:bCs/>
          <w:sz w:val="18"/>
          <w:szCs w:val="18"/>
        </w:rPr>
        <w:t xml:space="preserve">The service charges </w:t>
      </w:r>
      <w:proofErr w:type="spellStart"/>
      <w:r>
        <w:rPr>
          <w:bCs/>
          <w:sz w:val="18"/>
          <w:szCs w:val="18"/>
        </w:rPr>
        <w:t>stabilised</w:t>
      </w:r>
      <w:proofErr w:type="spellEnd"/>
      <w:r>
        <w:rPr>
          <w:bCs/>
          <w:sz w:val="18"/>
          <w:szCs w:val="18"/>
        </w:rPr>
        <w:t xml:space="preserve"> in 2016 due to the sale of the Seed Portfolio at the end of May 2016</w:t>
      </w:r>
      <w:r w:rsidR="00ED3097">
        <w:rPr>
          <w:bCs/>
          <w:sz w:val="18"/>
          <w:szCs w:val="18"/>
        </w:rPr>
        <w:t>, reducing the asset lease</w:t>
      </w:r>
      <w:r>
        <w:rPr>
          <w:bCs/>
          <w:sz w:val="18"/>
          <w:szCs w:val="18"/>
        </w:rPr>
        <w:t xml:space="preserve">. </w:t>
      </w:r>
    </w:p>
    <w:p w14:paraId="68C75367" w14:textId="77777777" w:rsidR="001D1FD6" w:rsidRDefault="001D1FD6" w:rsidP="001D1FD6">
      <w:pPr>
        <w:spacing w:after="240"/>
        <w:jc w:val="both"/>
        <w:rPr>
          <w:rFonts w:cs="Arabic Transparent"/>
          <w:i/>
          <w:sz w:val="18"/>
          <w:szCs w:val="18"/>
        </w:rPr>
      </w:pPr>
      <w:r>
        <w:rPr>
          <w:rFonts w:cs="Arabic Transparent"/>
          <w:i/>
          <w:sz w:val="18"/>
          <w:szCs w:val="18"/>
        </w:rPr>
        <w:t xml:space="preserve">Property operating expenses </w:t>
      </w:r>
    </w:p>
    <w:p w14:paraId="41D77979" w14:textId="462141E9" w:rsidR="001D1FD6" w:rsidRDefault="001D1FD6" w:rsidP="001D1FD6">
      <w:pPr>
        <w:spacing w:after="240"/>
        <w:ind w:firstLine="720"/>
        <w:jc w:val="both"/>
        <w:rPr>
          <w:bCs/>
          <w:sz w:val="18"/>
          <w:szCs w:val="18"/>
        </w:rPr>
      </w:pPr>
      <w:r>
        <w:rPr>
          <w:bCs/>
          <w:sz w:val="18"/>
          <w:szCs w:val="18"/>
        </w:rPr>
        <w:t>Property operating expenses increased by €</w:t>
      </w:r>
      <w:r w:rsidR="00C92AC8">
        <w:rPr>
          <w:bCs/>
          <w:sz w:val="18"/>
          <w:szCs w:val="18"/>
        </w:rPr>
        <w:t xml:space="preserve"> </w:t>
      </w:r>
      <w:r>
        <w:rPr>
          <w:bCs/>
          <w:sz w:val="18"/>
          <w:szCs w:val="18"/>
        </w:rPr>
        <w:t>0.7 million or 75%, to €</w:t>
      </w:r>
      <w:r w:rsidR="00C92AC8">
        <w:rPr>
          <w:bCs/>
          <w:sz w:val="18"/>
          <w:szCs w:val="18"/>
        </w:rPr>
        <w:t xml:space="preserve"> </w:t>
      </w:r>
      <w:r>
        <w:rPr>
          <w:bCs/>
          <w:sz w:val="18"/>
          <w:szCs w:val="18"/>
        </w:rPr>
        <w:t>1.7 million in 2016 from €</w:t>
      </w:r>
      <w:r w:rsidR="00C92AC8">
        <w:rPr>
          <w:bCs/>
          <w:sz w:val="18"/>
          <w:szCs w:val="18"/>
        </w:rPr>
        <w:t xml:space="preserve"> </w:t>
      </w:r>
      <w:r>
        <w:rPr>
          <w:bCs/>
          <w:sz w:val="18"/>
          <w:szCs w:val="18"/>
        </w:rPr>
        <w:t>1.0 million in 2015, reflecting increases in repair and maintenance, fees paid to real estate agents and others. These increases were mainly driven by the increase of real estate agents expenses by € 0.5 million, in connection with the signing of new leases. In 2015, property operating expenses decreased €</w:t>
      </w:r>
      <w:r w:rsidR="00C92AC8">
        <w:rPr>
          <w:bCs/>
          <w:sz w:val="18"/>
          <w:szCs w:val="18"/>
        </w:rPr>
        <w:t xml:space="preserve"> </w:t>
      </w:r>
      <w:r>
        <w:rPr>
          <w:bCs/>
          <w:sz w:val="18"/>
          <w:szCs w:val="18"/>
        </w:rPr>
        <w:t>0.5 million or 36%, to €</w:t>
      </w:r>
      <w:r w:rsidR="00C92AC8">
        <w:rPr>
          <w:bCs/>
          <w:sz w:val="18"/>
          <w:szCs w:val="18"/>
        </w:rPr>
        <w:t xml:space="preserve"> </w:t>
      </w:r>
      <w:r>
        <w:rPr>
          <w:bCs/>
          <w:sz w:val="18"/>
          <w:szCs w:val="18"/>
        </w:rPr>
        <w:t>1.0 million in 2015 from €</w:t>
      </w:r>
      <w:r w:rsidR="00C92AC8">
        <w:rPr>
          <w:bCs/>
          <w:sz w:val="18"/>
          <w:szCs w:val="18"/>
        </w:rPr>
        <w:t xml:space="preserve"> </w:t>
      </w:r>
      <w:r>
        <w:rPr>
          <w:bCs/>
          <w:sz w:val="18"/>
          <w:szCs w:val="18"/>
        </w:rPr>
        <w:t xml:space="preserve">1.5 million in 2014. This decrease reflected principally decreased costs of real estate agents and other property operating expenses. </w:t>
      </w:r>
    </w:p>
    <w:p w14:paraId="025BF5BF" w14:textId="77777777" w:rsidR="001D1FD6" w:rsidRDefault="001D1FD6" w:rsidP="001D1FD6">
      <w:pPr>
        <w:spacing w:after="240"/>
        <w:jc w:val="both"/>
        <w:rPr>
          <w:rFonts w:cs="Arabic Transparent"/>
          <w:i/>
          <w:sz w:val="18"/>
          <w:szCs w:val="18"/>
        </w:rPr>
      </w:pPr>
      <w:r>
        <w:rPr>
          <w:rFonts w:cs="Arabic Transparent"/>
          <w:i/>
          <w:sz w:val="18"/>
          <w:szCs w:val="18"/>
        </w:rPr>
        <w:t>Net rental income</w:t>
      </w:r>
    </w:p>
    <w:p w14:paraId="1CEF4B40" w14:textId="6741434D" w:rsidR="001D1FD6" w:rsidRDefault="001D1FD6" w:rsidP="001D1FD6">
      <w:pPr>
        <w:spacing w:after="240"/>
        <w:ind w:firstLine="720"/>
        <w:jc w:val="both"/>
        <w:rPr>
          <w:bCs/>
          <w:sz w:val="18"/>
          <w:szCs w:val="18"/>
        </w:rPr>
      </w:pPr>
      <w:r>
        <w:rPr>
          <w:bCs/>
          <w:sz w:val="18"/>
          <w:szCs w:val="18"/>
        </w:rPr>
        <w:t>Net rental income slightly decreased by € 0.4 million or 2%, to € 16.1 million in 2016 from € 16.5 million in 2015. In contrast, net rental income increased by € 8.0 million or 94%, to € 16.5 million in 2015 from € 8.5 million in 2014. Taking into account VGP</w:t>
      </w:r>
      <w:r w:rsidR="006967D0">
        <w:rPr>
          <w:bCs/>
          <w:sz w:val="18"/>
          <w:szCs w:val="18"/>
        </w:rPr>
        <w:t>’s share of the Joint Venture, N</w:t>
      </w:r>
      <w:r>
        <w:rPr>
          <w:bCs/>
          <w:sz w:val="18"/>
          <w:szCs w:val="18"/>
        </w:rPr>
        <w:t xml:space="preserve">et </w:t>
      </w:r>
      <w:r w:rsidR="006967D0">
        <w:rPr>
          <w:bCs/>
          <w:sz w:val="18"/>
          <w:szCs w:val="18"/>
        </w:rPr>
        <w:t>R</w:t>
      </w:r>
      <w:r>
        <w:rPr>
          <w:bCs/>
          <w:sz w:val="18"/>
          <w:szCs w:val="18"/>
        </w:rPr>
        <w:t xml:space="preserve">ental </w:t>
      </w:r>
      <w:r w:rsidR="006967D0">
        <w:rPr>
          <w:bCs/>
          <w:sz w:val="18"/>
          <w:szCs w:val="18"/>
        </w:rPr>
        <w:t>I</w:t>
      </w:r>
      <w:r>
        <w:rPr>
          <w:bCs/>
          <w:sz w:val="18"/>
          <w:szCs w:val="18"/>
        </w:rPr>
        <w:t>ncome in total increased by € 7.6 million, or 46% to € 24.2 million in 2016 from € 16.5 million in 2016.</w:t>
      </w:r>
    </w:p>
    <w:p w14:paraId="232685D5" w14:textId="77777777" w:rsidR="001D1FD6" w:rsidRDefault="001D1FD6" w:rsidP="001D1FD6">
      <w:pPr>
        <w:spacing w:after="240"/>
        <w:jc w:val="both"/>
        <w:rPr>
          <w:rFonts w:cs="Arabic Transparent"/>
          <w:i/>
          <w:sz w:val="18"/>
          <w:szCs w:val="18"/>
        </w:rPr>
      </w:pPr>
      <w:r>
        <w:rPr>
          <w:rFonts w:cs="Arabic Transparent"/>
          <w:i/>
          <w:sz w:val="18"/>
          <w:szCs w:val="18"/>
        </w:rPr>
        <w:t xml:space="preserve">Property and development management income </w:t>
      </w:r>
    </w:p>
    <w:p w14:paraId="17E913F9" w14:textId="618B5D71" w:rsidR="001D1FD6" w:rsidRDefault="001D1FD6" w:rsidP="001D1FD6">
      <w:pPr>
        <w:spacing w:after="240"/>
        <w:ind w:firstLine="720"/>
        <w:jc w:val="both"/>
        <w:rPr>
          <w:bCs/>
          <w:sz w:val="18"/>
          <w:szCs w:val="18"/>
        </w:rPr>
      </w:pPr>
      <w:r>
        <w:rPr>
          <w:bCs/>
          <w:sz w:val="18"/>
          <w:szCs w:val="18"/>
        </w:rPr>
        <w:t>Property and development management income increased by €</w:t>
      </w:r>
      <w:r w:rsidR="00C92AC8">
        <w:rPr>
          <w:bCs/>
          <w:sz w:val="18"/>
          <w:szCs w:val="18"/>
        </w:rPr>
        <w:t xml:space="preserve"> </w:t>
      </w:r>
      <w:r>
        <w:rPr>
          <w:bCs/>
          <w:sz w:val="18"/>
          <w:szCs w:val="18"/>
        </w:rPr>
        <w:t>1.7 million or 119%, to €</w:t>
      </w:r>
      <w:r w:rsidR="00C92AC8">
        <w:rPr>
          <w:bCs/>
          <w:sz w:val="18"/>
          <w:szCs w:val="18"/>
        </w:rPr>
        <w:t xml:space="preserve"> </w:t>
      </w:r>
      <w:r>
        <w:rPr>
          <w:bCs/>
          <w:sz w:val="18"/>
          <w:szCs w:val="18"/>
        </w:rPr>
        <w:t>3.1 million in 2016 from €</w:t>
      </w:r>
      <w:r w:rsidR="00C92AC8">
        <w:rPr>
          <w:bCs/>
          <w:sz w:val="18"/>
          <w:szCs w:val="18"/>
        </w:rPr>
        <w:t xml:space="preserve"> </w:t>
      </w:r>
      <w:r>
        <w:rPr>
          <w:bCs/>
          <w:sz w:val="18"/>
          <w:szCs w:val="18"/>
        </w:rPr>
        <w:t xml:space="preserve">1.4 million in 2015. This increase was driven largely by property and asset management fees received from the Joint Venture following the sale of the Seed Portfolio in May 2016 and the subsequent Second JV Closing at the end of October 2016. Property and development management income decreased by € 0.7 million or 34%, to € 1.4 million in 2015 from € </w:t>
      </w:r>
      <w:r w:rsidR="00D15A6D">
        <w:rPr>
          <w:bCs/>
          <w:sz w:val="18"/>
          <w:szCs w:val="18"/>
        </w:rPr>
        <w:t>2.2 million in 2014</w:t>
      </w:r>
      <w:r>
        <w:rPr>
          <w:bCs/>
          <w:sz w:val="18"/>
          <w:szCs w:val="18"/>
        </w:rPr>
        <w:t>. The main reason for th</w:t>
      </w:r>
      <w:r w:rsidR="00A01869">
        <w:rPr>
          <w:bCs/>
          <w:sz w:val="18"/>
          <w:szCs w:val="18"/>
        </w:rPr>
        <w:t xml:space="preserve">is decrease was the receipt of </w:t>
      </w:r>
      <w:r>
        <w:rPr>
          <w:bCs/>
          <w:sz w:val="18"/>
          <w:szCs w:val="18"/>
        </w:rPr>
        <w:t>a one off development fee from P3 following the completion of a building which was part of the sale of the VGP CZ I and VGP CZ II portfolios.</w:t>
      </w:r>
      <w:r w:rsidR="0077512C">
        <w:rPr>
          <w:bCs/>
          <w:sz w:val="18"/>
          <w:szCs w:val="18"/>
        </w:rPr>
        <w:t xml:space="preserve"> </w:t>
      </w:r>
    </w:p>
    <w:p w14:paraId="63AFF7E5" w14:textId="77777777" w:rsidR="001D1FD6" w:rsidRDefault="001D1FD6" w:rsidP="001D1FD6">
      <w:pPr>
        <w:spacing w:after="240"/>
        <w:jc w:val="both"/>
        <w:rPr>
          <w:rFonts w:cs="Arabic Transparent"/>
          <w:i/>
          <w:sz w:val="18"/>
          <w:szCs w:val="18"/>
        </w:rPr>
      </w:pPr>
      <w:r>
        <w:rPr>
          <w:rFonts w:cs="Arabic Transparent"/>
          <w:i/>
          <w:sz w:val="18"/>
          <w:szCs w:val="18"/>
        </w:rPr>
        <w:t xml:space="preserve">Facility management income </w:t>
      </w:r>
    </w:p>
    <w:p w14:paraId="70C5EE1F" w14:textId="77777777" w:rsidR="001D1FD6" w:rsidRDefault="001D1FD6" w:rsidP="001D1FD6">
      <w:pPr>
        <w:spacing w:after="240"/>
        <w:ind w:firstLine="720"/>
        <w:jc w:val="both"/>
        <w:rPr>
          <w:bCs/>
          <w:sz w:val="18"/>
          <w:szCs w:val="18"/>
        </w:rPr>
      </w:pPr>
      <w:r>
        <w:rPr>
          <w:bCs/>
          <w:sz w:val="18"/>
          <w:szCs w:val="18"/>
        </w:rPr>
        <w:t xml:space="preserve">Facility management income decreased by € 0.4 million or 39%, to € 0.7 million in 2016 from € 1.1 million in 2015, and from € 1.2 million in 2014. These decreases were mainly driven by the termination of the facility management services provided by the Group to P3 following the sale of the VGP CZ I and VGP CZ II portfolios to P3 in 2014. All management services provided by the Group to P3 were terminated as from October 2015. </w:t>
      </w:r>
    </w:p>
    <w:p w14:paraId="744D049C" w14:textId="77777777" w:rsidR="001D1FD6" w:rsidRDefault="001D1FD6" w:rsidP="001D1FD6">
      <w:pPr>
        <w:spacing w:after="240"/>
        <w:jc w:val="both"/>
        <w:rPr>
          <w:rFonts w:cs="Arabic Transparent"/>
          <w:i/>
          <w:sz w:val="18"/>
          <w:szCs w:val="18"/>
        </w:rPr>
      </w:pPr>
      <w:r>
        <w:rPr>
          <w:rFonts w:cs="Arabic Transparent"/>
          <w:i/>
          <w:sz w:val="18"/>
          <w:szCs w:val="18"/>
        </w:rPr>
        <w:t xml:space="preserve">Net valuation gains/(losses) on investment properties </w:t>
      </w:r>
    </w:p>
    <w:p w14:paraId="49B6BD7F" w14:textId="77777777" w:rsidR="001D1FD6" w:rsidRDefault="001D1FD6" w:rsidP="001D1FD6">
      <w:pPr>
        <w:spacing w:after="240"/>
        <w:ind w:firstLine="720"/>
        <w:jc w:val="both"/>
        <w:rPr>
          <w:bCs/>
          <w:sz w:val="18"/>
          <w:szCs w:val="18"/>
        </w:rPr>
      </w:pPr>
      <w:r>
        <w:rPr>
          <w:bCs/>
          <w:sz w:val="18"/>
          <w:szCs w:val="18"/>
        </w:rPr>
        <w:t xml:space="preserve">Net valuation gains/(losses) on investment properties increased by € 14.9 million or 14%, to € 118.9 million in 2016 from € 104.0 million in 2015. This increase resulted primarily from the revaluation at 31 December 2016 based on a weighted average yield of 6.49%, compared to 7.02% as at 31 December 2015 applied to contractual rents increased by the estimated rental value on unlet space. </w:t>
      </w:r>
    </w:p>
    <w:p w14:paraId="02908F7A" w14:textId="77777777" w:rsidR="001D1FD6" w:rsidRDefault="001D1FD6" w:rsidP="001D1FD6">
      <w:pPr>
        <w:spacing w:after="240"/>
        <w:ind w:firstLine="720"/>
        <w:jc w:val="both"/>
        <w:rPr>
          <w:bCs/>
          <w:sz w:val="18"/>
          <w:szCs w:val="18"/>
        </w:rPr>
      </w:pPr>
      <w:r>
        <w:rPr>
          <w:bCs/>
          <w:sz w:val="18"/>
          <w:szCs w:val="18"/>
        </w:rPr>
        <w:t>Net valuation gains/(losses) on investment properties had a considerable increase of € 50.1 million, or 93%, to € 103.9 million from € 53.9 million in 2014, driven by the fact that the valuation on the total property portfolio, excluding property land, was valued by the valuation expert at 31 December 2015 based on a weighted average yield of 7.02%, compared to 7.81% as at 31 December 2014, applied to the contractual rents increased by the estimated rental value on unlet space. The decrease in weighted average yield was primarily driven by the contraction of the yields across the markets where VGP is active. The contraction of the yields were supported by the decreasing interest rates and the attractiveness of the logistic asset class to investors.</w:t>
      </w:r>
    </w:p>
    <w:p w14:paraId="7EDCE2BB" w14:textId="77777777" w:rsidR="001D1FD6" w:rsidRDefault="001D1FD6" w:rsidP="001D1FD6">
      <w:pPr>
        <w:spacing w:after="240"/>
        <w:jc w:val="both"/>
        <w:rPr>
          <w:rFonts w:cs="Arabic Transparent"/>
          <w:i/>
          <w:sz w:val="18"/>
          <w:szCs w:val="18"/>
        </w:rPr>
      </w:pPr>
      <w:r>
        <w:rPr>
          <w:rFonts w:cs="Arabic Transparent"/>
          <w:i/>
          <w:sz w:val="18"/>
          <w:szCs w:val="18"/>
        </w:rPr>
        <w:t xml:space="preserve">Administration expenses </w:t>
      </w:r>
    </w:p>
    <w:p w14:paraId="7AF30E9A" w14:textId="77777777" w:rsidR="001D1FD6" w:rsidRDefault="001D1FD6" w:rsidP="001D1FD6">
      <w:pPr>
        <w:spacing w:after="240"/>
        <w:ind w:firstLine="720"/>
        <w:jc w:val="both"/>
        <w:rPr>
          <w:bCs/>
          <w:sz w:val="18"/>
          <w:szCs w:val="18"/>
        </w:rPr>
      </w:pPr>
      <w:r>
        <w:rPr>
          <w:bCs/>
          <w:sz w:val="18"/>
          <w:szCs w:val="18"/>
        </w:rPr>
        <w:t xml:space="preserve">Administration expenses consist of the Group's expenses for wages and salaries, audit, legal and other advisors, other expenses and depreciation. Administration expenses increased by € 1.9 million or 15%, to € 15.4 million in 2016 from € 13.5 million in 2015, reflecting the expansion of the VGP team and the growth of the development activities in Germany. Administration expenses increased by € 6.8 million, or 105%, to € 13.4 million in 2015 from € 6.5 million in 2014, primarily due to new management agreement with Little </w:t>
      </w:r>
      <w:r>
        <w:rPr>
          <w:bCs/>
          <w:sz w:val="18"/>
          <w:szCs w:val="18"/>
        </w:rPr>
        <w:lastRenderedPageBreak/>
        <w:t>Rock SA. Based on the performance of the Group, Little Rock was entitled to a mid-term variable remuneration of € 5.2 million, which was fully provided for in 2015.</w:t>
      </w:r>
    </w:p>
    <w:p w14:paraId="598425A7" w14:textId="77777777" w:rsidR="001D1FD6" w:rsidRDefault="001D1FD6" w:rsidP="001D1FD6">
      <w:pPr>
        <w:spacing w:after="240"/>
        <w:jc w:val="both"/>
        <w:rPr>
          <w:rFonts w:cs="Arabic Transparent"/>
          <w:i/>
          <w:sz w:val="18"/>
          <w:szCs w:val="18"/>
        </w:rPr>
      </w:pPr>
      <w:r>
        <w:rPr>
          <w:rFonts w:cs="Arabic Transparent"/>
          <w:i/>
          <w:sz w:val="18"/>
          <w:szCs w:val="18"/>
        </w:rPr>
        <w:t>Other income / Other expenses (net)</w:t>
      </w:r>
    </w:p>
    <w:p w14:paraId="3DA54D50" w14:textId="77777777" w:rsidR="001D1FD6" w:rsidRDefault="001D1FD6" w:rsidP="001D1FD6">
      <w:pPr>
        <w:spacing w:after="240"/>
        <w:ind w:firstLine="720"/>
        <w:jc w:val="both"/>
        <w:rPr>
          <w:bCs/>
          <w:sz w:val="18"/>
          <w:szCs w:val="18"/>
        </w:rPr>
      </w:pPr>
      <w:r>
        <w:rPr>
          <w:bCs/>
          <w:sz w:val="18"/>
          <w:szCs w:val="18"/>
        </w:rPr>
        <w:t xml:space="preserve">Other expenses (net) remained constant in 2015 and 2014, at € 0.5 million, and increased by € 0.8 million or 144% to € 1.3 million in 2016 from € 0.5 million in 2015. The increase reflected the impairment of goodwill. During 2016, VGP decided to scale down all services provided by SUTA to third parties and to concentrate solely on the Group’s and the Joint Venture’s portfolio going forward. As a result, a goodwill impairment of € 0.6 million was </w:t>
      </w:r>
      <w:proofErr w:type="spellStart"/>
      <w:r>
        <w:rPr>
          <w:bCs/>
          <w:sz w:val="18"/>
          <w:szCs w:val="18"/>
        </w:rPr>
        <w:t>recognised</w:t>
      </w:r>
      <w:proofErr w:type="spellEnd"/>
      <w:r>
        <w:rPr>
          <w:bCs/>
          <w:sz w:val="18"/>
          <w:szCs w:val="18"/>
        </w:rPr>
        <w:t xml:space="preserve"> in 2016.</w:t>
      </w:r>
    </w:p>
    <w:p w14:paraId="0993C125" w14:textId="77777777" w:rsidR="001D1FD6" w:rsidRDefault="001D1FD6" w:rsidP="001D1FD6">
      <w:pPr>
        <w:spacing w:after="240"/>
        <w:jc w:val="both"/>
        <w:rPr>
          <w:rFonts w:cs="Arabic Transparent"/>
          <w:i/>
          <w:sz w:val="18"/>
          <w:szCs w:val="18"/>
        </w:rPr>
      </w:pPr>
      <w:r>
        <w:rPr>
          <w:rFonts w:cs="Arabic Transparent"/>
          <w:i/>
          <w:sz w:val="18"/>
          <w:szCs w:val="18"/>
        </w:rPr>
        <w:t xml:space="preserve">Share in result of joint venture and associates </w:t>
      </w:r>
    </w:p>
    <w:p w14:paraId="04655C12" w14:textId="144CD328" w:rsidR="001D1FD6" w:rsidRDefault="001D1FD6" w:rsidP="001D1FD6">
      <w:pPr>
        <w:spacing w:after="240"/>
        <w:ind w:firstLine="720"/>
        <w:jc w:val="both"/>
        <w:rPr>
          <w:bCs/>
          <w:sz w:val="18"/>
          <w:szCs w:val="18"/>
        </w:rPr>
      </w:pPr>
      <w:r>
        <w:rPr>
          <w:bCs/>
          <w:sz w:val="18"/>
          <w:szCs w:val="18"/>
        </w:rPr>
        <w:t>Share in result of joint venture and associates increased by €</w:t>
      </w:r>
      <w:r w:rsidR="00C92AC8">
        <w:rPr>
          <w:bCs/>
          <w:sz w:val="18"/>
          <w:szCs w:val="18"/>
        </w:rPr>
        <w:t xml:space="preserve"> </w:t>
      </w:r>
      <w:r>
        <w:rPr>
          <w:bCs/>
          <w:sz w:val="18"/>
          <w:szCs w:val="18"/>
        </w:rPr>
        <w:t>7.7 million to €</w:t>
      </w:r>
      <w:r w:rsidR="00C92AC8">
        <w:rPr>
          <w:bCs/>
          <w:sz w:val="18"/>
          <w:szCs w:val="18"/>
        </w:rPr>
        <w:t xml:space="preserve"> </w:t>
      </w:r>
      <w:r>
        <w:rPr>
          <w:bCs/>
          <w:sz w:val="18"/>
          <w:szCs w:val="18"/>
        </w:rPr>
        <w:t>7.9 million in 2016 from €</w:t>
      </w:r>
      <w:r w:rsidR="00C92AC8">
        <w:rPr>
          <w:bCs/>
          <w:sz w:val="18"/>
          <w:szCs w:val="18"/>
        </w:rPr>
        <w:t xml:space="preserve"> </w:t>
      </w:r>
      <w:r>
        <w:rPr>
          <w:bCs/>
          <w:sz w:val="18"/>
          <w:szCs w:val="18"/>
        </w:rPr>
        <w:t>0.2 million in 2015. This increase reflects the participation of the Group in the Joint Venture, which was established during the first quarter of 2016. The share in result of associates decreased by €</w:t>
      </w:r>
      <w:r w:rsidR="00C92AC8">
        <w:rPr>
          <w:bCs/>
          <w:sz w:val="18"/>
          <w:szCs w:val="18"/>
        </w:rPr>
        <w:t xml:space="preserve"> </w:t>
      </w:r>
      <w:r>
        <w:rPr>
          <w:bCs/>
          <w:sz w:val="18"/>
          <w:szCs w:val="18"/>
        </w:rPr>
        <w:t xml:space="preserve">14.3 million or 99%, to € 0.2 million in 2015 from € 14.5 million in 2014, reflecting the sale of VGP and Tristan Capital Partners their respective stakes in the </w:t>
      </w:r>
      <w:bookmarkStart w:id="51" w:name="_Hlk491243135"/>
      <w:r>
        <w:rPr>
          <w:bCs/>
          <w:sz w:val="18"/>
          <w:szCs w:val="18"/>
        </w:rPr>
        <w:t xml:space="preserve">VGP CZ I and VGP CZ II portfolios in the Czech Republic to </w:t>
      </w:r>
      <w:proofErr w:type="spellStart"/>
      <w:r>
        <w:rPr>
          <w:bCs/>
          <w:sz w:val="18"/>
          <w:szCs w:val="18"/>
        </w:rPr>
        <w:t>PointPark</w:t>
      </w:r>
      <w:proofErr w:type="spellEnd"/>
      <w:r>
        <w:rPr>
          <w:bCs/>
          <w:sz w:val="18"/>
          <w:szCs w:val="18"/>
        </w:rPr>
        <w:t xml:space="preserve"> Properties (P3), </w:t>
      </w:r>
      <w:bookmarkEnd w:id="51"/>
      <w:r>
        <w:rPr>
          <w:bCs/>
          <w:sz w:val="18"/>
          <w:szCs w:val="18"/>
        </w:rPr>
        <w:t xml:space="preserve">which was completed on 22 October 2014. Accordingly, these portfolios did not contribute to the operating results of 2015. </w:t>
      </w:r>
    </w:p>
    <w:p w14:paraId="3F89D7C9" w14:textId="77777777" w:rsidR="001D1FD6" w:rsidRDefault="001D1FD6" w:rsidP="001D1FD6">
      <w:pPr>
        <w:spacing w:after="240"/>
        <w:jc w:val="both"/>
        <w:rPr>
          <w:rFonts w:cs="Arabic Transparent"/>
          <w:i/>
          <w:sz w:val="18"/>
          <w:szCs w:val="18"/>
        </w:rPr>
      </w:pPr>
      <w:r>
        <w:rPr>
          <w:rFonts w:cs="Arabic Transparent"/>
          <w:i/>
          <w:sz w:val="18"/>
          <w:szCs w:val="18"/>
        </w:rPr>
        <w:t>Operating profit</w:t>
      </w:r>
    </w:p>
    <w:p w14:paraId="26280B2B" w14:textId="77777777" w:rsidR="001D1FD6" w:rsidRDefault="001D1FD6" w:rsidP="001D1FD6">
      <w:pPr>
        <w:spacing w:after="240"/>
        <w:ind w:firstLine="720"/>
        <w:jc w:val="both"/>
        <w:rPr>
          <w:bCs/>
          <w:sz w:val="18"/>
          <w:szCs w:val="18"/>
        </w:rPr>
      </w:pPr>
      <w:r>
        <w:rPr>
          <w:bCs/>
          <w:sz w:val="18"/>
          <w:szCs w:val="18"/>
        </w:rPr>
        <w:t xml:space="preserve">Operating profit increased by € 20.7 million or 19%, to € 130.0 million in 2016 from € 109.2 million in 2015, which was an increase of € 36.0 million or 49%, from € 73.2 million in 2014. </w:t>
      </w:r>
    </w:p>
    <w:p w14:paraId="69413F98" w14:textId="77777777" w:rsidR="001D1FD6" w:rsidRDefault="001D1FD6" w:rsidP="001D1FD6">
      <w:pPr>
        <w:spacing w:after="240"/>
        <w:jc w:val="both"/>
        <w:rPr>
          <w:rFonts w:cs="Arabic Transparent"/>
          <w:i/>
          <w:sz w:val="18"/>
          <w:szCs w:val="18"/>
        </w:rPr>
      </w:pPr>
      <w:r>
        <w:rPr>
          <w:rFonts w:cs="Arabic Transparent"/>
          <w:i/>
          <w:sz w:val="18"/>
          <w:szCs w:val="18"/>
        </w:rPr>
        <w:t>Net financial result</w:t>
      </w:r>
    </w:p>
    <w:p w14:paraId="0731954C" w14:textId="77777777" w:rsidR="001D1FD6" w:rsidRDefault="001D1FD6" w:rsidP="001D1FD6">
      <w:pPr>
        <w:spacing w:after="240"/>
        <w:ind w:firstLine="720"/>
        <w:jc w:val="both"/>
        <w:rPr>
          <w:bCs/>
          <w:sz w:val="18"/>
          <w:szCs w:val="18"/>
        </w:rPr>
      </w:pPr>
      <w:r>
        <w:rPr>
          <w:bCs/>
          <w:sz w:val="18"/>
          <w:szCs w:val="18"/>
        </w:rPr>
        <w:t>The Group's net financial result was an expense of € 16.9 million, € 10.2 million and € 7.7 million in 2016, 2015 and 2014, respectively.</w:t>
      </w:r>
    </w:p>
    <w:p w14:paraId="14392761" w14:textId="1D44AB03" w:rsidR="001D1FD6" w:rsidRDefault="001D1FD6" w:rsidP="001D1FD6">
      <w:pPr>
        <w:spacing w:after="240"/>
        <w:ind w:firstLine="720"/>
        <w:jc w:val="both"/>
        <w:rPr>
          <w:bCs/>
          <w:sz w:val="18"/>
          <w:szCs w:val="18"/>
        </w:rPr>
      </w:pPr>
      <w:r>
        <w:rPr>
          <w:bCs/>
          <w:sz w:val="18"/>
          <w:szCs w:val="18"/>
        </w:rPr>
        <w:t>Financial income</w:t>
      </w:r>
      <w:r w:rsidR="002C7466">
        <w:rPr>
          <w:bCs/>
          <w:sz w:val="18"/>
          <w:szCs w:val="18"/>
        </w:rPr>
        <w:t xml:space="preserve"> as at 31 December 2016</w:t>
      </w:r>
      <w:r>
        <w:rPr>
          <w:bCs/>
          <w:sz w:val="18"/>
          <w:szCs w:val="18"/>
        </w:rPr>
        <w:t>, consist</w:t>
      </w:r>
      <w:r w:rsidR="00ED3097">
        <w:rPr>
          <w:bCs/>
          <w:sz w:val="18"/>
          <w:szCs w:val="18"/>
        </w:rPr>
        <w:t>ed out</w:t>
      </w:r>
      <w:r>
        <w:rPr>
          <w:bCs/>
          <w:sz w:val="18"/>
          <w:szCs w:val="18"/>
        </w:rPr>
        <w:t xml:space="preserve"> of interest income on loans to the Joint Venture and associates (€ 2.</w:t>
      </w:r>
      <w:r w:rsidR="002C7466">
        <w:rPr>
          <w:bCs/>
          <w:sz w:val="18"/>
          <w:szCs w:val="18"/>
        </w:rPr>
        <w:t>4</w:t>
      </w:r>
      <w:r>
        <w:rPr>
          <w:bCs/>
          <w:sz w:val="18"/>
          <w:szCs w:val="18"/>
        </w:rPr>
        <w:t xml:space="preserve"> million), unrealized gains on interest rate derivatives (€ 0.2 million) and other fi</w:t>
      </w:r>
      <w:r w:rsidR="002C7466">
        <w:rPr>
          <w:bCs/>
          <w:sz w:val="18"/>
          <w:szCs w:val="18"/>
        </w:rPr>
        <w:t>nancial income (€ 0.2 million)</w:t>
      </w:r>
      <w:r>
        <w:rPr>
          <w:bCs/>
          <w:sz w:val="18"/>
          <w:szCs w:val="18"/>
        </w:rPr>
        <w:t xml:space="preserve">, </w:t>
      </w:r>
      <w:r w:rsidR="00ED3097">
        <w:rPr>
          <w:bCs/>
          <w:sz w:val="18"/>
          <w:szCs w:val="18"/>
        </w:rPr>
        <w:t>for a total of</w:t>
      </w:r>
      <w:r>
        <w:rPr>
          <w:bCs/>
          <w:sz w:val="18"/>
          <w:szCs w:val="18"/>
        </w:rPr>
        <w:t xml:space="preserve"> € 2.8 million in 2016 </w:t>
      </w:r>
      <w:r w:rsidR="00ED3097">
        <w:rPr>
          <w:bCs/>
          <w:sz w:val="18"/>
          <w:szCs w:val="18"/>
        </w:rPr>
        <w:t xml:space="preserve">which was an increase </w:t>
      </w:r>
      <w:r>
        <w:rPr>
          <w:bCs/>
          <w:sz w:val="18"/>
          <w:szCs w:val="18"/>
        </w:rPr>
        <w:t xml:space="preserve">from € 0.5 million in 2015. This increase primarily reflected the increased interest income on loans to the Joint Venture and associates due to the loans granted to the Joint Venture during the year. As at 31 December 2016, these loans amounted to € 89.9 million. Financial income decreased by € 2.4 million or 84%, to € 0.5 million in 2015 from € 2.9 million in 2014, mainly because no interest income from loans to associates was recorded due to the repayment of all shareholder loans from the associates in October 2014 following the sale of the VGP CZ I and VGP CZ II portfolios in the Czech Republic to </w:t>
      </w:r>
      <w:proofErr w:type="spellStart"/>
      <w:r>
        <w:rPr>
          <w:bCs/>
          <w:sz w:val="18"/>
          <w:szCs w:val="18"/>
        </w:rPr>
        <w:t>PointPark</w:t>
      </w:r>
      <w:proofErr w:type="spellEnd"/>
      <w:r>
        <w:rPr>
          <w:bCs/>
          <w:sz w:val="18"/>
          <w:szCs w:val="18"/>
        </w:rPr>
        <w:t xml:space="preserve"> Properties (P3).</w:t>
      </w:r>
    </w:p>
    <w:p w14:paraId="6FA87280" w14:textId="77777777" w:rsidR="001D1FD6" w:rsidRDefault="001D1FD6" w:rsidP="001D1FD6">
      <w:pPr>
        <w:spacing w:after="240"/>
        <w:ind w:firstLine="720"/>
        <w:jc w:val="both"/>
        <w:rPr>
          <w:bCs/>
          <w:sz w:val="18"/>
          <w:szCs w:val="18"/>
        </w:rPr>
      </w:pPr>
      <w:r>
        <w:rPr>
          <w:bCs/>
          <w:sz w:val="18"/>
          <w:szCs w:val="18"/>
        </w:rPr>
        <w:t xml:space="preserve">Financial expenses increased by € 9.1 million or 86%, to € 19.7 million in 2016 from € 10.6 million in 2015, reflecting primarily increased interest expense on the Group's bonds following issuance of € 225 million in aggregate principal amount of new bonds in September 2016. </w:t>
      </w:r>
    </w:p>
    <w:p w14:paraId="2C3D9688" w14:textId="4C066D4E" w:rsidR="001D1FD6" w:rsidRDefault="001D1FD6" w:rsidP="001D1FD6">
      <w:pPr>
        <w:spacing w:after="240"/>
        <w:ind w:firstLine="720"/>
        <w:jc w:val="both"/>
        <w:rPr>
          <w:bCs/>
          <w:sz w:val="18"/>
          <w:szCs w:val="18"/>
        </w:rPr>
      </w:pPr>
      <w:r>
        <w:rPr>
          <w:bCs/>
          <w:sz w:val="18"/>
          <w:szCs w:val="18"/>
        </w:rPr>
        <w:t xml:space="preserve">Financial expenses slightly increased by € 0.1 million or 1%, to € 10.6 million in 2015 from € 10.5 million in 2014. The financial expenses of 2015 were mainly made up of € 10.3 million interest expenses related to financial debt (€ 9.1 million in 2014), € 0.4 million unrealized losses on interest rate derivatives (€ 1.5 million in 2014), € 2.4 million other financial expenses (€ 0.9 million in 2014) mainly relating to the </w:t>
      </w:r>
      <w:proofErr w:type="spellStart"/>
      <w:r>
        <w:rPr>
          <w:bCs/>
          <w:sz w:val="18"/>
          <w:szCs w:val="18"/>
        </w:rPr>
        <w:t>amortisation</w:t>
      </w:r>
      <w:proofErr w:type="spellEnd"/>
      <w:r>
        <w:rPr>
          <w:bCs/>
          <w:sz w:val="18"/>
          <w:szCs w:val="18"/>
        </w:rPr>
        <w:t xml:space="preserve"> of the transactions costs of the two bonds issued during 2013 and a positive impact of € 2.4 million (€ 1.0 million in 2014) re</w:t>
      </w:r>
      <w:r w:rsidR="002C7466">
        <w:rPr>
          <w:bCs/>
          <w:sz w:val="18"/>
          <w:szCs w:val="18"/>
        </w:rPr>
        <w:t xml:space="preserve">lated to </w:t>
      </w:r>
      <w:proofErr w:type="spellStart"/>
      <w:r w:rsidR="002C7466">
        <w:rPr>
          <w:bCs/>
          <w:sz w:val="18"/>
          <w:szCs w:val="18"/>
        </w:rPr>
        <w:t>capitalised</w:t>
      </w:r>
      <w:proofErr w:type="spellEnd"/>
      <w:r w:rsidR="002C7466">
        <w:rPr>
          <w:bCs/>
          <w:sz w:val="18"/>
          <w:szCs w:val="18"/>
        </w:rPr>
        <w:t xml:space="preserve"> interests.</w:t>
      </w:r>
      <w:r w:rsidR="0077512C">
        <w:rPr>
          <w:bCs/>
          <w:sz w:val="18"/>
          <w:szCs w:val="18"/>
        </w:rPr>
        <w:t xml:space="preserve"> </w:t>
      </w:r>
    </w:p>
    <w:p w14:paraId="51C4A6F6" w14:textId="77777777" w:rsidR="001D1FD6" w:rsidRDefault="001D1FD6" w:rsidP="001D1FD6">
      <w:pPr>
        <w:spacing w:after="240"/>
        <w:jc w:val="both"/>
        <w:rPr>
          <w:rFonts w:cs="Arabic Transparent"/>
          <w:i/>
          <w:sz w:val="18"/>
          <w:szCs w:val="18"/>
        </w:rPr>
      </w:pPr>
      <w:r>
        <w:rPr>
          <w:rFonts w:cs="Arabic Transparent"/>
          <w:i/>
          <w:sz w:val="18"/>
          <w:szCs w:val="18"/>
        </w:rPr>
        <w:t>Profit before taxes</w:t>
      </w:r>
    </w:p>
    <w:p w14:paraId="0046171E" w14:textId="77777777" w:rsidR="001D1FD6" w:rsidRDefault="001D1FD6" w:rsidP="001D1FD6">
      <w:pPr>
        <w:spacing w:after="240"/>
        <w:ind w:firstLine="720"/>
        <w:jc w:val="both"/>
        <w:rPr>
          <w:bCs/>
          <w:sz w:val="18"/>
          <w:szCs w:val="18"/>
        </w:rPr>
      </w:pPr>
      <w:r>
        <w:rPr>
          <w:bCs/>
          <w:sz w:val="18"/>
          <w:szCs w:val="18"/>
        </w:rPr>
        <w:t xml:space="preserve">Profit before taxes increased by € 14.0 million or 14%, to € 113.1 million in 2016 from € 99.1 million in 2015, which was an increase of € 33.5 million or 51%, from € 65.6 million in 2014. </w:t>
      </w:r>
    </w:p>
    <w:p w14:paraId="1BF19505" w14:textId="77777777" w:rsidR="001D1FD6" w:rsidRDefault="001D1FD6" w:rsidP="001D1FD6">
      <w:pPr>
        <w:spacing w:after="240"/>
        <w:jc w:val="both"/>
        <w:rPr>
          <w:rFonts w:cs="Arabic Transparent"/>
          <w:i/>
          <w:sz w:val="18"/>
          <w:szCs w:val="18"/>
        </w:rPr>
      </w:pPr>
      <w:r>
        <w:rPr>
          <w:rFonts w:cs="Arabic Transparent"/>
          <w:i/>
          <w:sz w:val="18"/>
          <w:szCs w:val="18"/>
        </w:rPr>
        <w:t>Taxes</w:t>
      </w:r>
    </w:p>
    <w:p w14:paraId="1DEEA05C" w14:textId="63FA49D5" w:rsidR="001D1FD6" w:rsidRDefault="001D1FD6" w:rsidP="001D1FD6">
      <w:pPr>
        <w:spacing w:after="240"/>
        <w:ind w:firstLine="720"/>
        <w:jc w:val="both"/>
        <w:rPr>
          <w:bCs/>
          <w:sz w:val="18"/>
          <w:szCs w:val="18"/>
        </w:rPr>
      </w:pPr>
      <w:r>
        <w:rPr>
          <w:bCs/>
          <w:sz w:val="18"/>
          <w:szCs w:val="18"/>
        </w:rPr>
        <w:t>Taxes increased by € 9.3 million or 74%, to € 21.8 million in 2016 from € 12.6 million in 2015, driven primarily by an increase in deferred tax expense to € 20.9 million from € 12.1 million in connection with the increase of the net valuation gains on investment properties and the change of applicable tax rate for the German assets in 2015. Tax decreased by € 3.7 million or 23%, to €</w:t>
      </w:r>
      <w:r w:rsidR="00C92AC8">
        <w:rPr>
          <w:bCs/>
          <w:sz w:val="18"/>
          <w:szCs w:val="18"/>
        </w:rPr>
        <w:t xml:space="preserve"> </w:t>
      </w:r>
      <w:r>
        <w:rPr>
          <w:bCs/>
          <w:sz w:val="18"/>
          <w:szCs w:val="18"/>
        </w:rPr>
        <w:t xml:space="preserve">12.5 million in 2015 from € 16.2 million in 2014, reflecting primarily decreased deferred tax expense in connection with the German assets. In view of the change of place of management of the German assets to Luxembourg the tax rate applied for Germany for 2015 was the corporate income tax rate of 15.825% excluding the trade tax rate of circa 15%. For 2014 the tax rate of Germany included the trade tax rate. </w:t>
      </w:r>
    </w:p>
    <w:p w14:paraId="668AAC7B" w14:textId="77777777" w:rsidR="001D1FD6" w:rsidRDefault="001D1FD6" w:rsidP="001D1FD6">
      <w:pPr>
        <w:spacing w:after="240"/>
        <w:ind w:firstLine="720"/>
        <w:jc w:val="both"/>
        <w:rPr>
          <w:bCs/>
          <w:sz w:val="18"/>
          <w:szCs w:val="18"/>
        </w:rPr>
      </w:pPr>
      <w:r>
        <w:rPr>
          <w:bCs/>
          <w:sz w:val="18"/>
          <w:szCs w:val="18"/>
        </w:rPr>
        <w:t>Current tax expense was € 0.9 million, € 0.4 million and € 0.7 million in 2016, 2015 and 2014, respectively. The Group's effective tax rate was 15.8%, 15.8% and 30.8% in 2016, 2015 and 2014, respectively.</w:t>
      </w:r>
    </w:p>
    <w:p w14:paraId="7107DA53" w14:textId="77777777" w:rsidR="001D1FD6" w:rsidRDefault="001D1FD6" w:rsidP="001D1FD6">
      <w:pPr>
        <w:spacing w:after="240"/>
        <w:jc w:val="both"/>
        <w:rPr>
          <w:rFonts w:cs="Arabic Transparent"/>
          <w:i/>
          <w:sz w:val="18"/>
          <w:szCs w:val="18"/>
        </w:rPr>
      </w:pPr>
      <w:r>
        <w:rPr>
          <w:rFonts w:cs="Arabic Transparent"/>
          <w:i/>
          <w:sz w:val="18"/>
          <w:szCs w:val="18"/>
        </w:rPr>
        <w:t xml:space="preserve">Profit for the year </w:t>
      </w:r>
    </w:p>
    <w:p w14:paraId="554F94B7" w14:textId="77777777" w:rsidR="001D1FD6" w:rsidRDefault="001D1FD6" w:rsidP="001D1FD6">
      <w:pPr>
        <w:spacing w:after="240"/>
        <w:ind w:firstLine="720"/>
        <w:jc w:val="both"/>
        <w:rPr>
          <w:bCs/>
          <w:sz w:val="18"/>
          <w:szCs w:val="18"/>
        </w:rPr>
      </w:pPr>
      <w:r>
        <w:rPr>
          <w:bCs/>
          <w:sz w:val="18"/>
          <w:szCs w:val="18"/>
        </w:rPr>
        <w:t xml:space="preserve">Profit for the year increased by € 4.7 million or 5%, to € 91.3 million in 2016 from € 86.6 million in 2015, which was an increase of € 37.2 million or 75% from € 49.4 million in 2014. </w:t>
      </w:r>
    </w:p>
    <w:p w14:paraId="69092657" w14:textId="77777777" w:rsidR="001D1FD6" w:rsidRDefault="001D1FD6" w:rsidP="001D1FD6">
      <w:pPr>
        <w:spacing w:after="240"/>
        <w:jc w:val="both"/>
        <w:rPr>
          <w:rFonts w:cs="Arabic Transparent"/>
          <w:b/>
          <w:color w:val="000000"/>
          <w:spacing w:val="5"/>
          <w:sz w:val="18"/>
          <w:szCs w:val="18"/>
          <w:lang w:val="en-GB"/>
        </w:rPr>
      </w:pPr>
      <w:bookmarkStart w:id="52" w:name="_Hlk491209491"/>
      <w:bookmarkEnd w:id="50"/>
      <w:r>
        <w:rPr>
          <w:rFonts w:cs="Arabic Transparent"/>
          <w:b/>
          <w:color w:val="000000"/>
          <w:sz w:val="18"/>
          <w:szCs w:val="18"/>
        </w:rPr>
        <w:lastRenderedPageBreak/>
        <w:t>Segment</w:t>
      </w:r>
      <w:r>
        <w:rPr>
          <w:rFonts w:cs="Arabic Transparent"/>
          <w:b/>
          <w:color w:val="000000"/>
          <w:spacing w:val="5"/>
          <w:sz w:val="18"/>
          <w:szCs w:val="18"/>
        </w:rPr>
        <w:t xml:space="preserve">ation </w:t>
      </w:r>
    </w:p>
    <w:p w14:paraId="1F10CD18" w14:textId="77777777" w:rsidR="001D1FD6" w:rsidRDefault="001D1FD6" w:rsidP="001D1FD6">
      <w:pPr>
        <w:spacing w:after="240"/>
        <w:ind w:firstLine="720"/>
        <w:jc w:val="both"/>
        <w:rPr>
          <w:bCs/>
          <w:sz w:val="18"/>
          <w:szCs w:val="18"/>
        </w:rPr>
      </w:pPr>
      <w:r>
        <w:rPr>
          <w:bCs/>
          <w:sz w:val="18"/>
          <w:szCs w:val="18"/>
        </w:rPr>
        <w:t>The Group manages its business based on its geographic regions of operations, divided into the individual countries in which it operates and reflecting the similar nature of activities and economic characteristics of its customers within those segments.</w:t>
      </w:r>
    </w:p>
    <w:p w14:paraId="6298E45D" w14:textId="77777777" w:rsidR="001D1FD6" w:rsidRDefault="001D1FD6" w:rsidP="001D1FD6">
      <w:pPr>
        <w:spacing w:after="240"/>
        <w:ind w:firstLine="720"/>
        <w:jc w:val="both"/>
        <w:rPr>
          <w:bCs/>
          <w:sz w:val="18"/>
          <w:szCs w:val="18"/>
        </w:rPr>
      </w:pPr>
      <w:r>
        <w:rPr>
          <w:bCs/>
          <w:sz w:val="18"/>
          <w:szCs w:val="18"/>
        </w:rPr>
        <w:t>Business decisions are taken at the geographic segment level, and a number of key performance indicators, including rental income, activity, occupancy and development yields are monitored at the geographic segment level.</w:t>
      </w:r>
    </w:p>
    <w:p w14:paraId="56175DA6" w14:textId="3EE8A73B" w:rsidR="001D1FD6" w:rsidRDefault="001D1FD6" w:rsidP="00C92AC8">
      <w:pPr>
        <w:spacing w:after="240"/>
        <w:ind w:left="360"/>
        <w:jc w:val="both"/>
        <w:rPr>
          <w:bCs/>
          <w:sz w:val="18"/>
          <w:szCs w:val="18"/>
        </w:rPr>
      </w:pPr>
      <w:r>
        <w:rPr>
          <w:bCs/>
          <w:sz w:val="18"/>
          <w:szCs w:val="18"/>
        </w:rPr>
        <w:t>The following table summarizes the Group's results of operations by segment</w:t>
      </w:r>
      <w:r>
        <w:rPr>
          <w:rFonts w:cs="Arabic Transparent"/>
          <w:sz w:val="18"/>
          <w:szCs w:val="18"/>
          <w:lang w:val="en-GB"/>
        </w:rPr>
        <w:t>:</w:t>
      </w:r>
      <w:r w:rsidR="0077512C">
        <w:rPr>
          <w:rFonts w:cs="Arabic Transparent"/>
          <w:sz w:val="18"/>
          <w:szCs w:val="18"/>
          <w:lang w:val="en-GB"/>
        </w:rPr>
        <w:t xml:space="preserve"> </w:t>
      </w:r>
    </w:p>
    <w:tbl>
      <w:tblPr>
        <w:tblW w:w="425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2290"/>
        <w:gridCol w:w="1083"/>
        <w:gridCol w:w="1268"/>
        <w:gridCol w:w="1148"/>
        <w:gridCol w:w="1194"/>
        <w:gridCol w:w="1302"/>
      </w:tblGrid>
      <w:tr w:rsidR="00600A69" w14:paraId="41094373" w14:textId="77777777" w:rsidTr="00B322A7">
        <w:trPr>
          <w:cantSplit/>
        </w:trPr>
        <w:tc>
          <w:tcPr>
            <w:tcW w:w="2350" w:type="dxa"/>
          </w:tcPr>
          <w:p w14:paraId="080B561A" w14:textId="77777777" w:rsidR="00600A69" w:rsidRDefault="00600A69" w:rsidP="00B322A7">
            <w:pPr>
              <w:keepNext/>
              <w:jc w:val="both"/>
              <w:rPr>
                <w:sz w:val="18"/>
                <w:szCs w:val="18"/>
                <w:lang w:val="en-GB"/>
              </w:rPr>
            </w:pPr>
            <w:r>
              <w:rPr>
                <w:sz w:val="18"/>
                <w:szCs w:val="18"/>
                <w:lang w:val="en-GB"/>
              </w:rPr>
              <w:t>Income Statement</w:t>
            </w:r>
          </w:p>
        </w:tc>
        <w:tc>
          <w:tcPr>
            <w:tcW w:w="6136" w:type="dxa"/>
            <w:gridSpan w:val="5"/>
          </w:tcPr>
          <w:p w14:paraId="35F2DCB1" w14:textId="642FFF00" w:rsidR="00600A69" w:rsidRDefault="00600A69" w:rsidP="00B322A7">
            <w:pPr>
              <w:keepNext/>
              <w:pBdr>
                <w:bottom w:val="single" w:sz="2" w:space="1" w:color="auto"/>
              </w:pBdr>
              <w:jc w:val="center"/>
              <w:rPr>
                <w:b/>
                <w:sz w:val="18"/>
                <w:szCs w:val="18"/>
              </w:rPr>
            </w:pPr>
            <w:r>
              <w:rPr>
                <w:b/>
                <w:sz w:val="18"/>
                <w:szCs w:val="18"/>
              </w:rPr>
              <w:t>For the period ended 30-Jun-2017</w:t>
            </w:r>
          </w:p>
        </w:tc>
      </w:tr>
      <w:tr w:rsidR="00600A69" w14:paraId="1B635BD5" w14:textId="77777777" w:rsidTr="00B322A7">
        <w:trPr>
          <w:cantSplit/>
        </w:trPr>
        <w:tc>
          <w:tcPr>
            <w:tcW w:w="2350" w:type="dxa"/>
            <w:vMerge w:val="restart"/>
          </w:tcPr>
          <w:p w14:paraId="1B6D61C1" w14:textId="77777777" w:rsidR="00600A69" w:rsidRDefault="00600A69" w:rsidP="00B322A7">
            <w:pPr>
              <w:keepNext/>
              <w:jc w:val="both"/>
              <w:rPr>
                <w:sz w:val="18"/>
                <w:szCs w:val="18"/>
                <w:lang w:val="en-GB"/>
              </w:rPr>
            </w:pPr>
          </w:p>
        </w:tc>
        <w:tc>
          <w:tcPr>
            <w:tcW w:w="1108" w:type="dxa"/>
          </w:tcPr>
          <w:p w14:paraId="4E4BEDD2" w14:textId="77777777" w:rsidR="00600A69" w:rsidRDefault="00600A69" w:rsidP="00B322A7">
            <w:pPr>
              <w:keepNext/>
              <w:pBdr>
                <w:bottom w:val="single" w:sz="2" w:space="1" w:color="auto"/>
              </w:pBdr>
              <w:jc w:val="center"/>
              <w:rPr>
                <w:b/>
                <w:sz w:val="18"/>
                <w:szCs w:val="18"/>
              </w:rPr>
            </w:pPr>
            <w:r>
              <w:rPr>
                <w:b/>
                <w:sz w:val="18"/>
                <w:szCs w:val="18"/>
              </w:rPr>
              <w:t>Czech Republic</w:t>
            </w:r>
          </w:p>
        </w:tc>
        <w:tc>
          <w:tcPr>
            <w:tcW w:w="1298" w:type="dxa"/>
          </w:tcPr>
          <w:p w14:paraId="51EF80C8" w14:textId="77777777" w:rsidR="00600A69" w:rsidRDefault="00600A69" w:rsidP="00B322A7">
            <w:pPr>
              <w:keepNext/>
              <w:pBdr>
                <w:bottom w:val="single" w:sz="2" w:space="1" w:color="auto"/>
              </w:pBdr>
              <w:jc w:val="center"/>
              <w:rPr>
                <w:b/>
                <w:sz w:val="18"/>
                <w:szCs w:val="18"/>
              </w:rPr>
            </w:pPr>
          </w:p>
          <w:p w14:paraId="6C2C5D48" w14:textId="77777777" w:rsidR="00600A69" w:rsidRDefault="00600A69" w:rsidP="00B322A7">
            <w:pPr>
              <w:keepNext/>
              <w:pBdr>
                <w:bottom w:val="single" w:sz="2" w:space="1" w:color="auto"/>
              </w:pBdr>
              <w:jc w:val="center"/>
              <w:rPr>
                <w:b/>
                <w:sz w:val="18"/>
                <w:szCs w:val="18"/>
              </w:rPr>
            </w:pPr>
            <w:r>
              <w:rPr>
                <w:b/>
                <w:sz w:val="18"/>
                <w:szCs w:val="18"/>
              </w:rPr>
              <w:t>Germany</w:t>
            </w:r>
          </w:p>
        </w:tc>
        <w:tc>
          <w:tcPr>
            <w:tcW w:w="1175" w:type="dxa"/>
          </w:tcPr>
          <w:p w14:paraId="7D03912F" w14:textId="77777777" w:rsidR="00600A69" w:rsidRDefault="00600A69" w:rsidP="00B322A7">
            <w:pPr>
              <w:keepNext/>
              <w:pBdr>
                <w:bottom w:val="single" w:sz="2" w:space="1" w:color="auto"/>
              </w:pBdr>
              <w:jc w:val="center"/>
              <w:rPr>
                <w:b/>
                <w:sz w:val="18"/>
                <w:szCs w:val="18"/>
              </w:rPr>
            </w:pPr>
            <w:r>
              <w:rPr>
                <w:b/>
                <w:sz w:val="18"/>
                <w:szCs w:val="18"/>
              </w:rPr>
              <w:t>Other Countries</w:t>
            </w:r>
          </w:p>
        </w:tc>
        <w:tc>
          <w:tcPr>
            <w:tcW w:w="1222" w:type="dxa"/>
          </w:tcPr>
          <w:p w14:paraId="0CE5A5FF" w14:textId="77777777" w:rsidR="00600A69" w:rsidRDefault="00600A69" w:rsidP="00B322A7">
            <w:pPr>
              <w:keepNext/>
              <w:pBdr>
                <w:bottom w:val="single" w:sz="2" w:space="1" w:color="auto"/>
              </w:pBdr>
              <w:jc w:val="center"/>
              <w:rPr>
                <w:b/>
                <w:sz w:val="18"/>
                <w:szCs w:val="18"/>
              </w:rPr>
            </w:pPr>
          </w:p>
          <w:p w14:paraId="611DED18" w14:textId="77777777" w:rsidR="00600A69" w:rsidRDefault="00600A69" w:rsidP="00B322A7">
            <w:pPr>
              <w:keepNext/>
              <w:pBdr>
                <w:bottom w:val="single" w:sz="2" w:space="1" w:color="auto"/>
              </w:pBdr>
              <w:jc w:val="center"/>
              <w:rPr>
                <w:b/>
                <w:sz w:val="18"/>
                <w:szCs w:val="18"/>
              </w:rPr>
            </w:pPr>
            <w:r>
              <w:rPr>
                <w:b/>
                <w:sz w:val="18"/>
                <w:szCs w:val="18"/>
              </w:rPr>
              <w:t>Unallocated</w:t>
            </w:r>
          </w:p>
        </w:tc>
        <w:tc>
          <w:tcPr>
            <w:tcW w:w="1333" w:type="dxa"/>
          </w:tcPr>
          <w:p w14:paraId="541D9A2B" w14:textId="77777777" w:rsidR="00600A69" w:rsidRDefault="00600A69" w:rsidP="00B322A7">
            <w:pPr>
              <w:keepNext/>
              <w:pBdr>
                <w:bottom w:val="single" w:sz="2" w:space="1" w:color="auto"/>
              </w:pBdr>
              <w:jc w:val="center"/>
              <w:rPr>
                <w:b/>
                <w:sz w:val="18"/>
                <w:szCs w:val="18"/>
              </w:rPr>
            </w:pPr>
          </w:p>
          <w:p w14:paraId="0EB04568" w14:textId="77777777" w:rsidR="00600A69" w:rsidRDefault="00600A69" w:rsidP="00B322A7">
            <w:pPr>
              <w:keepNext/>
              <w:pBdr>
                <w:bottom w:val="single" w:sz="2" w:space="1" w:color="auto"/>
              </w:pBdr>
              <w:jc w:val="center"/>
              <w:rPr>
                <w:b/>
                <w:sz w:val="18"/>
                <w:szCs w:val="18"/>
              </w:rPr>
            </w:pPr>
            <w:r>
              <w:rPr>
                <w:b/>
                <w:sz w:val="18"/>
                <w:szCs w:val="18"/>
              </w:rPr>
              <w:t>Total</w:t>
            </w:r>
          </w:p>
        </w:tc>
      </w:tr>
      <w:tr w:rsidR="00600A69" w14:paraId="3F4A2326" w14:textId="77777777" w:rsidTr="00B322A7">
        <w:trPr>
          <w:cantSplit/>
        </w:trPr>
        <w:tc>
          <w:tcPr>
            <w:tcW w:w="2350" w:type="dxa"/>
            <w:vMerge/>
          </w:tcPr>
          <w:p w14:paraId="4DC6C4EF" w14:textId="77777777" w:rsidR="00600A69" w:rsidRDefault="00600A69" w:rsidP="00B322A7">
            <w:pPr>
              <w:keepNext/>
              <w:jc w:val="both"/>
              <w:rPr>
                <w:sz w:val="18"/>
                <w:szCs w:val="18"/>
                <w:lang w:val="en-GB"/>
              </w:rPr>
            </w:pPr>
          </w:p>
        </w:tc>
        <w:tc>
          <w:tcPr>
            <w:tcW w:w="6136" w:type="dxa"/>
            <w:gridSpan w:val="5"/>
          </w:tcPr>
          <w:p w14:paraId="5D7DD466" w14:textId="77777777" w:rsidR="00600A69" w:rsidRDefault="00600A69" w:rsidP="00B322A7">
            <w:pPr>
              <w:keepNext/>
              <w:jc w:val="center"/>
              <w:rPr>
                <w:sz w:val="18"/>
                <w:szCs w:val="18"/>
                <w:lang w:val="en-GB"/>
              </w:rPr>
            </w:pPr>
            <w:r>
              <w:rPr>
                <w:sz w:val="18"/>
                <w:szCs w:val="18"/>
              </w:rPr>
              <w:t>(</w:t>
            </w:r>
            <w:r>
              <w:rPr>
                <w:i/>
                <w:sz w:val="18"/>
                <w:szCs w:val="18"/>
              </w:rPr>
              <w:t xml:space="preserve">in thousands of </w:t>
            </w:r>
            <w:r>
              <w:rPr>
                <w:bCs/>
                <w:i/>
                <w:sz w:val="18"/>
                <w:szCs w:val="18"/>
              </w:rPr>
              <w:t>€</w:t>
            </w:r>
            <w:r>
              <w:rPr>
                <w:sz w:val="18"/>
                <w:szCs w:val="18"/>
              </w:rPr>
              <w:t>)</w:t>
            </w:r>
          </w:p>
        </w:tc>
      </w:tr>
      <w:tr w:rsidR="00600A69" w14:paraId="63764309" w14:textId="77777777" w:rsidTr="00B322A7">
        <w:trPr>
          <w:cantSplit/>
        </w:trPr>
        <w:tc>
          <w:tcPr>
            <w:tcW w:w="2350" w:type="dxa"/>
            <w:vAlign w:val="bottom"/>
          </w:tcPr>
          <w:p w14:paraId="1A333755" w14:textId="77777777" w:rsidR="00600A69" w:rsidRDefault="00600A69" w:rsidP="00B322A7">
            <w:pPr>
              <w:jc w:val="both"/>
              <w:rPr>
                <w:sz w:val="18"/>
                <w:szCs w:val="18"/>
                <w:lang w:val="en-GB" w:eastAsia="en-GB"/>
              </w:rPr>
            </w:pPr>
            <w:r>
              <w:rPr>
                <w:sz w:val="18"/>
                <w:szCs w:val="18"/>
                <w:lang w:val="en-GB" w:eastAsia="en-GB"/>
              </w:rPr>
              <w:t>Gross rental income</w:t>
            </w:r>
          </w:p>
        </w:tc>
        <w:tc>
          <w:tcPr>
            <w:tcW w:w="1108" w:type="dxa"/>
            <w:vAlign w:val="bottom"/>
          </w:tcPr>
          <w:p w14:paraId="39DE7924" w14:textId="77777777" w:rsidR="00600A69" w:rsidRDefault="00600A69" w:rsidP="00B322A7">
            <w:pPr>
              <w:jc w:val="right"/>
              <w:outlineLvl w:val="1"/>
              <w:rPr>
                <w:sz w:val="18"/>
                <w:szCs w:val="18"/>
                <w:lang w:val="en-GB" w:eastAsia="en-GB"/>
              </w:rPr>
            </w:pPr>
            <w:r>
              <w:rPr>
                <w:sz w:val="18"/>
                <w:szCs w:val="18"/>
                <w:lang w:val="en-GB" w:eastAsia="en-GB"/>
              </w:rPr>
              <w:t>1,144</w:t>
            </w:r>
          </w:p>
        </w:tc>
        <w:tc>
          <w:tcPr>
            <w:tcW w:w="1298" w:type="dxa"/>
            <w:vAlign w:val="bottom"/>
          </w:tcPr>
          <w:p w14:paraId="26DA3BF0" w14:textId="77777777" w:rsidR="00600A69" w:rsidRDefault="00600A69" w:rsidP="00B322A7">
            <w:pPr>
              <w:jc w:val="right"/>
              <w:outlineLvl w:val="1"/>
              <w:rPr>
                <w:sz w:val="18"/>
                <w:szCs w:val="18"/>
                <w:lang w:val="en-GB" w:eastAsia="en-GB"/>
              </w:rPr>
            </w:pPr>
            <w:r>
              <w:rPr>
                <w:sz w:val="18"/>
                <w:szCs w:val="18"/>
                <w:lang w:val="en-GB" w:eastAsia="en-GB"/>
              </w:rPr>
              <w:t>1,115</w:t>
            </w:r>
          </w:p>
        </w:tc>
        <w:tc>
          <w:tcPr>
            <w:tcW w:w="1175" w:type="dxa"/>
            <w:vAlign w:val="bottom"/>
          </w:tcPr>
          <w:p w14:paraId="1D3A2235"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6,852</w:t>
            </w:r>
          </w:p>
        </w:tc>
        <w:tc>
          <w:tcPr>
            <w:tcW w:w="1222" w:type="dxa"/>
            <w:vAlign w:val="bottom"/>
          </w:tcPr>
          <w:p w14:paraId="5A3F11AF"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w:t>
            </w:r>
          </w:p>
        </w:tc>
        <w:tc>
          <w:tcPr>
            <w:tcW w:w="1333" w:type="dxa"/>
            <w:vAlign w:val="bottom"/>
          </w:tcPr>
          <w:p w14:paraId="40965CE3"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9,111</w:t>
            </w:r>
          </w:p>
        </w:tc>
      </w:tr>
      <w:tr w:rsidR="00600A69" w14:paraId="3AEE2277" w14:textId="77777777" w:rsidTr="00B322A7">
        <w:trPr>
          <w:cantSplit/>
        </w:trPr>
        <w:tc>
          <w:tcPr>
            <w:tcW w:w="2350" w:type="dxa"/>
            <w:vAlign w:val="bottom"/>
          </w:tcPr>
          <w:p w14:paraId="4AF6908D" w14:textId="77777777" w:rsidR="00600A69" w:rsidRDefault="00600A69" w:rsidP="00B322A7">
            <w:pPr>
              <w:jc w:val="both"/>
              <w:rPr>
                <w:sz w:val="18"/>
                <w:szCs w:val="18"/>
                <w:lang w:val="en-GB" w:eastAsia="en-GB"/>
              </w:rPr>
            </w:pPr>
            <w:r>
              <w:rPr>
                <w:sz w:val="18"/>
                <w:szCs w:val="18"/>
                <w:lang w:val="en-GB" w:eastAsia="en-GB"/>
              </w:rPr>
              <w:t>Service charge income / (expenses)</w:t>
            </w:r>
          </w:p>
        </w:tc>
        <w:tc>
          <w:tcPr>
            <w:tcW w:w="1108" w:type="dxa"/>
            <w:vAlign w:val="bottom"/>
          </w:tcPr>
          <w:p w14:paraId="70145AB8" w14:textId="77777777" w:rsidR="00600A69" w:rsidRDefault="00600A69" w:rsidP="00B322A7">
            <w:pPr>
              <w:jc w:val="right"/>
              <w:outlineLvl w:val="1"/>
              <w:rPr>
                <w:sz w:val="18"/>
                <w:szCs w:val="18"/>
                <w:lang w:val="en-GB" w:eastAsia="en-GB"/>
              </w:rPr>
            </w:pPr>
            <w:r>
              <w:rPr>
                <w:sz w:val="18"/>
                <w:szCs w:val="18"/>
                <w:lang w:val="en-GB" w:eastAsia="en-GB"/>
              </w:rPr>
              <w:t>96</w:t>
            </w:r>
          </w:p>
        </w:tc>
        <w:tc>
          <w:tcPr>
            <w:tcW w:w="1298" w:type="dxa"/>
            <w:vAlign w:val="bottom"/>
          </w:tcPr>
          <w:p w14:paraId="57E93B74" w14:textId="77777777" w:rsidR="00600A69" w:rsidRDefault="00600A69" w:rsidP="00B322A7">
            <w:pPr>
              <w:jc w:val="right"/>
              <w:outlineLvl w:val="1"/>
              <w:rPr>
                <w:sz w:val="18"/>
                <w:szCs w:val="18"/>
                <w:lang w:val="en-GB" w:eastAsia="en-GB"/>
              </w:rPr>
            </w:pPr>
            <w:r>
              <w:rPr>
                <w:sz w:val="18"/>
                <w:szCs w:val="18"/>
                <w:lang w:val="en-GB" w:eastAsia="en-GB"/>
              </w:rPr>
              <w:t>(39)</w:t>
            </w:r>
          </w:p>
        </w:tc>
        <w:tc>
          <w:tcPr>
            <w:tcW w:w="1175" w:type="dxa"/>
            <w:vAlign w:val="bottom"/>
          </w:tcPr>
          <w:p w14:paraId="299ABFA9"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85</w:t>
            </w:r>
          </w:p>
        </w:tc>
        <w:tc>
          <w:tcPr>
            <w:tcW w:w="1222" w:type="dxa"/>
            <w:vAlign w:val="bottom"/>
          </w:tcPr>
          <w:p w14:paraId="30B78D2A"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w:t>
            </w:r>
          </w:p>
        </w:tc>
        <w:tc>
          <w:tcPr>
            <w:tcW w:w="1333" w:type="dxa"/>
            <w:vAlign w:val="bottom"/>
          </w:tcPr>
          <w:p w14:paraId="0CAF44C6"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142</w:t>
            </w:r>
          </w:p>
        </w:tc>
      </w:tr>
      <w:tr w:rsidR="00600A69" w14:paraId="64565C93" w14:textId="77777777" w:rsidTr="00B322A7">
        <w:trPr>
          <w:cantSplit/>
        </w:trPr>
        <w:tc>
          <w:tcPr>
            <w:tcW w:w="2350" w:type="dxa"/>
            <w:vAlign w:val="bottom"/>
          </w:tcPr>
          <w:p w14:paraId="5CAD1475" w14:textId="77777777" w:rsidR="00600A69" w:rsidRDefault="00600A69" w:rsidP="00B322A7">
            <w:pPr>
              <w:jc w:val="both"/>
              <w:rPr>
                <w:sz w:val="18"/>
                <w:szCs w:val="18"/>
                <w:lang w:val="en-GB" w:eastAsia="en-GB"/>
              </w:rPr>
            </w:pPr>
            <w:r>
              <w:rPr>
                <w:sz w:val="18"/>
                <w:szCs w:val="18"/>
                <w:lang w:val="en-GB" w:eastAsia="en-GB"/>
              </w:rPr>
              <w:t>Property operating expenses</w:t>
            </w:r>
          </w:p>
        </w:tc>
        <w:tc>
          <w:tcPr>
            <w:tcW w:w="1108" w:type="dxa"/>
            <w:vAlign w:val="bottom"/>
          </w:tcPr>
          <w:p w14:paraId="76F6B58D" w14:textId="77777777" w:rsidR="00600A69" w:rsidRDefault="00600A69" w:rsidP="00B322A7">
            <w:pPr>
              <w:jc w:val="right"/>
              <w:outlineLvl w:val="1"/>
              <w:rPr>
                <w:sz w:val="18"/>
                <w:szCs w:val="18"/>
                <w:lang w:val="en-GB" w:eastAsia="en-GB"/>
              </w:rPr>
            </w:pPr>
            <w:r>
              <w:rPr>
                <w:sz w:val="18"/>
                <w:szCs w:val="18"/>
                <w:lang w:val="en-GB" w:eastAsia="en-GB"/>
              </w:rPr>
              <w:t>(163)</w:t>
            </w:r>
          </w:p>
        </w:tc>
        <w:tc>
          <w:tcPr>
            <w:tcW w:w="1298" w:type="dxa"/>
            <w:vAlign w:val="bottom"/>
          </w:tcPr>
          <w:p w14:paraId="719FD562" w14:textId="77777777" w:rsidR="00600A69" w:rsidRDefault="00600A69" w:rsidP="00B322A7">
            <w:pPr>
              <w:jc w:val="right"/>
              <w:outlineLvl w:val="1"/>
              <w:rPr>
                <w:sz w:val="18"/>
                <w:szCs w:val="18"/>
                <w:lang w:val="en-GB" w:eastAsia="en-GB"/>
              </w:rPr>
            </w:pPr>
            <w:r>
              <w:rPr>
                <w:sz w:val="18"/>
                <w:szCs w:val="18"/>
                <w:lang w:val="en-GB" w:eastAsia="en-GB"/>
              </w:rPr>
              <w:t>(340)</w:t>
            </w:r>
          </w:p>
        </w:tc>
        <w:tc>
          <w:tcPr>
            <w:tcW w:w="1175" w:type="dxa"/>
            <w:vAlign w:val="bottom"/>
          </w:tcPr>
          <w:p w14:paraId="1BCA17DA"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(152)</w:t>
            </w:r>
          </w:p>
        </w:tc>
        <w:tc>
          <w:tcPr>
            <w:tcW w:w="1222" w:type="dxa"/>
            <w:vAlign w:val="bottom"/>
          </w:tcPr>
          <w:p w14:paraId="3301B46D"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w:t>
            </w:r>
          </w:p>
        </w:tc>
        <w:tc>
          <w:tcPr>
            <w:tcW w:w="1333" w:type="dxa"/>
            <w:vAlign w:val="bottom"/>
          </w:tcPr>
          <w:p w14:paraId="63739635"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(655)</w:t>
            </w:r>
          </w:p>
        </w:tc>
      </w:tr>
      <w:tr w:rsidR="00600A69" w14:paraId="43C77E38" w14:textId="77777777" w:rsidTr="00B322A7">
        <w:trPr>
          <w:cantSplit/>
        </w:trPr>
        <w:tc>
          <w:tcPr>
            <w:tcW w:w="2350" w:type="dxa"/>
            <w:vAlign w:val="bottom"/>
          </w:tcPr>
          <w:p w14:paraId="602A4DC4" w14:textId="77777777" w:rsidR="00600A69" w:rsidRDefault="00600A69" w:rsidP="00B322A7">
            <w:pPr>
              <w:jc w:val="both"/>
              <w:rPr>
                <w:b/>
                <w:bCs/>
                <w:sz w:val="18"/>
                <w:szCs w:val="18"/>
                <w:lang w:val="en-GB" w:eastAsia="en-GB"/>
              </w:rPr>
            </w:pPr>
            <w:r>
              <w:rPr>
                <w:b/>
                <w:bCs/>
                <w:sz w:val="18"/>
                <w:szCs w:val="18"/>
                <w:lang w:val="en-GB" w:eastAsia="en-GB"/>
              </w:rPr>
              <w:t>Net rental and related income</w:t>
            </w:r>
          </w:p>
        </w:tc>
        <w:tc>
          <w:tcPr>
            <w:tcW w:w="1108" w:type="dxa"/>
            <w:vAlign w:val="bottom"/>
          </w:tcPr>
          <w:p w14:paraId="51F6344A" w14:textId="77777777" w:rsidR="00600A69" w:rsidRDefault="00600A69" w:rsidP="00B322A7">
            <w:pPr>
              <w:jc w:val="right"/>
              <w:outlineLvl w:val="1"/>
              <w:rPr>
                <w:b/>
                <w:bCs/>
                <w:color w:val="000000"/>
                <w:sz w:val="18"/>
                <w:szCs w:val="18"/>
                <w:u w:val="single"/>
                <w:lang w:val="en-GB" w:eastAsia="en-GB"/>
              </w:rPr>
            </w:pPr>
            <w:r>
              <w:rPr>
                <w:b/>
                <w:bCs/>
                <w:color w:val="000000"/>
                <w:sz w:val="18"/>
                <w:szCs w:val="18"/>
                <w:u w:val="single"/>
                <w:lang w:val="en-GB" w:eastAsia="en-GB"/>
              </w:rPr>
              <w:t>1,077</w:t>
            </w:r>
          </w:p>
        </w:tc>
        <w:tc>
          <w:tcPr>
            <w:tcW w:w="1298" w:type="dxa"/>
            <w:vAlign w:val="bottom"/>
          </w:tcPr>
          <w:p w14:paraId="6D40DDC9" w14:textId="77777777" w:rsidR="00600A69" w:rsidRDefault="00600A69" w:rsidP="00B322A7">
            <w:pPr>
              <w:jc w:val="right"/>
              <w:outlineLvl w:val="1"/>
              <w:rPr>
                <w:b/>
                <w:bCs/>
                <w:color w:val="000000"/>
                <w:sz w:val="18"/>
                <w:szCs w:val="18"/>
                <w:u w:val="single"/>
                <w:lang w:val="en-GB" w:eastAsia="en-GB"/>
              </w:rPr>
            </w:pPr>
            <w:r>
              <w:rPr>
                <w:b/>
                <w:bCs/>
                <w:color w:val="000000"/>
                <w:sz w:val="18"/>
                <w:szCs w:val="18"/>
                <w:u w:val="single"/>
                <w:lang w:val="en-GB" w:eastAsia="en-GB"/>
              </w:rPr>
              <w:t>736</w:t>
            </w:r>
          </w:p>
        </w:tc>
        <w:tc>
          <w:tcPr>
            <w:tcW w:w="1175" w:type="dxa"/>
            <w:vAlign w:val="bottom"/>
          </w:tcPr>
          <w:p w14:paraId="6C895F3A" w14:textId="77777777" w:rsidR="00600A69" w:rsidRDefault="00600A69" w:rsidP="00B322A7">
            <w:pPr>
              <w:jc w:val="right"/>
              <w:outlineLvl w:val="1"/>
              <w:rPr>
                <w:b/>
                <w:bCs/>
                <w:color w:val="000000"/>
                <w:sz w:val="18"/>
                <w:szCs w:val="18"/>
                <w:u w:val="single"/>
                <w:lang w:val="en-GB" w:eastAsia="en-GB"/>
              </w:rPr>
            </w:pPr>
            <w:r>
              <w:rPr>
                <w:b/>
                <w:bCs/>
                <w:color w:val="000000"/>
                <w:sz w:val="18"/>
                <w:szCs w:val="18"/>
                <w:u w:val="single"/>
                <w:lang w:val="en-GB" w:eastAsia="en-GB"/>
              </w:rPr>
              <w:t>6,785</w:t>
            </w:r>
          </w:p>
        </w:tc>
        <w:tc>
          <w:tcPr>
            <w:tcW w:w="1222" w:type="dxa"/>
            <w:vAlign w:val="bottom"/>
          </w:tcPr>
          <w:p w14:paraId="6D1733F8" w14:textId="77777777" w:rsidR="00600A69" w:rsidRDefault="00600A69" w:rsidP="00B322A7">
            <w:pPr>
              <w:jc w:val="right"/>
              <w:outlineLvl w:val="1"/>
              <w:rPr>
                <w:b/>
                <w:bCs/>
                <w:color w:val="000000"/>
                <w:sz w:val="18"/>
                <w:szCs w:val="18"/>
                <w:lang w:val="en-GB" w:eastAsia="en-GB"/>
              </w:rPr>
            </w:pPr>
            <w:r>
              <w:rPr>
                <w:b/>
                <w:bCs/>
                <w:color w:val="000000"/>
                <w:sz w:val="18"/>
                <w:szCs w:val="18"/>
                <w:lang w:val="en-GB" w:eastAsia="en-GB"/>
              </w:rPr>
              <w:t>-</w:t>
            </w:r>
          </w:p>
        </w:tc>
        <w:tc>
          <w:tcPr>
            <w:tcW w:w="1333" w:type="dxa"/>
            <w:vAlign w:val="bottom"/>
          </w:tcPr>
          <w:p w14:paraId="2E31B3B2" w14:textId="77777777" w:rsidR="00600A69" w:rsidRDefault="00600A69" w:rsidP="00B322A7">
            <w:pPr>
              <w:jc w:val="right"/>
              <w:outlineLvl w:val="1"/>
              <w:rPr>
                <w:b/>
                <w:bCs/>
                <w:color w:val="000000"/>
                <w:sz w:val="18"/>
                <w:szCs w:val="18"/>
                <w:u w:val="single"/>
                <w:lang w:val="en-GB" w:eastAsia="en-GB"/>
              </w:rPr>
            </w:pPr>
            <w:r>
              <w:rPr>
                <w:b/>
                <w:bCs/>
                <w:color w:val="000000"/>
                <w:sz w:val="18"/>
                <w:szCs w:val="18"/>
                <w:u w:val="single"/>
                <w:lang w:val="en-GB" w:eastAsia="en-GB"/>
              </w:rPr>
              <w:t>8,598</w:t>
            </w:r>
          </w:p>
        </w:tc>
      </w:tr>
      <w:tr w:rsidR="00600A69" w14:paraId="16FBD724" w14:textId="77777777" w:rsidTr="00B322A7">
        <w:trPr>
          <w:cantSplit/>
        </w:trPr>
        <w:tc>
          <w:tcPr>
            <w:tcW w:w="2350" w:type="dxa"/>
            <w:vAlign w:val="bottom"/>
          </w:tcPr>
          <w:p w14:paraId="5741F9EB" w14:textId="77777777" w:rsidR="00600A69" w:rsidRDefault="00600A69" w:rsidP="00B322A7">
            <w:pPr>
              <w:jc w:val="both"/>
              <w:rPr>
                <w:sz w:val="18"/>
                <w:szCs w:val="18"/>
                <w:lang w:val="en-GB" w:eastAsia="en-GB"/>
              </w:rPr>
            </w:pPr>
            <w:r>
              <w:rPr>
                <w:sz w:val="18"/>
                <w:szCs w:val="18"/>
                <w:lang w:val="en-GB" w:eastAsia="en-GB"/>
              </w:rPr>
              <w:t>Property and development management fee income</w:t>
            </w:r>
          </w:p>
        </w:tc>
        <w:tc>
          <w:tcPr>
            <w:tcW w:w="1108" w:type="dxa"/>
            <w:vAlign w:val="bottom"/>
          </w:tcPr>
          <w:p w14:paraId="191D8277" w14:textId="77777777" w:rsidR="00600A69" w:rsidRDefault="00600A69" w:rsidP="00B322A7">
            <w:pPr>
              <w:jc w:val="right"/>
              <w:outlineLvl w:val="1"/>
              <w:rPr>
                <w:sz w:val="18"/>
                <w:szCs w:val="18"/>
                <w:lang w:val="en-GB" w:eastAsia="en-GB"/>
              </w:rPr>
            </w:pPr>
            <w:r>
              <w:rPr>
                <w:sz w:val="18"/>
                <w:szCs w:val="18"/>
                <w:lang w:val="en-GB" w:eastAsia="en-GB"/>
              </w:rPr>
              <w:t>628</w:t>
            </w:r>
          </w:p>
        </w:tc>
        <w:tc>
          <w:tcPr>
            <w:tcW w:w="1298" w:type="dxa"/>
            <w:vAlign w:val="bottom"/>
          </w:tcPr>
          <w:p w14:paraId="1C22DDC2" w14:textId="77777777" w:rsidR="00600A69" w:rsidRDefault="00600A69" w:rsidP="00B322A7">
            <w:pPr>
              <w:jc w:val="right"/>
              <w:outlineLvl w:val="1"/>
              <w:rPr>
                <w:sz w:val="18"/>
                <w:szCs w:val="18"/>
                <w:lang w:val="en-GB" w:eastAsia="en-GB"/>
              </w:rPr>
            </w:pPr>
            <w:r>
              <w:rPr>
                <w:sz w:val="18"/>
                <w:szCs w:val="18"/>
                <w:lang w:val="en-GB" w:eastAsia="en-GB"/>
              </w:rPr>
              <w:t>1,882</w:t>
            </w:r>
          </w:p>
        </w:tc>
        <w:tc>
          <w:tcPr>
            <w:tcW w:w="1175" w:type="dxa"/>
            <w:vAlign w:val="bottom"/>
          </w:tcPr>
          <w:p w14:paraId="00A21CBE"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984</w:t>
            </w:r>
          </w:p>
        </w:tc>
        <w:tc>
          <w:tcPr>
            <w:tcW w:w="1222" w:type="dxa"/>
            <w:vAlign w:val="bottom"/>
          </w:tcPr>
          <w:p w14:paraId="66356084"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w:t>
            </w:r>
          </w:p>
        </w:tc>
        <w:tc>
          <w:tcPr>
            <w:tcW w:w="1333" w:type="dxa"/>
            <w:vAlign w:val="bottom"/>
          </w:tcPr>
          <w:p w14:paraId="28C48A56"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3,494</w:t>
            </w:r>
          </w:p>
        </w:tc>
      </w:tr>
      <w:tr w:rsidR="00600A69" w14:paraId="49735B47" w14:textId="77777777" w:rsidTr="00B322A7">
        <w:trPr>
          <w:cantSplit/>
        </w:trPr>
        <w:tc>
          <w:tcPr>
            <w:tcW w:w="2350" w:type="dxa"/>
            <w:vAlign w:val="bottom"/>
          </w:tcPr>
          <w:p w14:paraId="56794802" w14:textId="77777777" w:rsidR="00600A69" w:rsidRDefault="00600A69" w:rsidP="00B322A7">
            <w:pPr>
              <w:jc w:val="both"/>
              <w:rPr>
                <w:sz w:val="18"/>
                <w:szCs w:val="18"/>
                <w:lang w:val="en-GB" w:eastAsia="en-GB"/>
              </w:rPr>
            </w:pPr>
            <w:r>
              <w:rPr>
                <w:sz w:val="18"/>
                <w:szCs w:val="18"/>
                <w:lang w:val="en-GB" w:eastAsia="en-GB"/>
              </w:rPr>
              <w:t>Facility management income</w:t>
            </w:r>
          </w:p>
        </w:tc>
        <w:tc>
          <w:tcPr>
            <w:tcW w:w="1108" w:type="dxa"/>
            <w:vAlign w:val="bottom"/>
          </w:tcPr>
          <w:p w14:paraId="05CC5CF5" w14:textId="77777777" w:rsidR="00600A69" w:rsidRDefault="00600A69" w:rsidP="00B322A7">
            <w:pPr>
              <w:jc w:val="right"/>
              <w:outlineLvl w:val="1"/>
              <w:rPr>
                <w:sz w:val="18"/>
                <w:szCs w:val="18"/>
                <w:lang w:val="en-GB" w:eastAsia="en-GB"/>
              </w:rPr>
            </w:pPr>
            <w:r>
              <w:rPr>
                <w:sz w:val="18"/>
                <w:szCs w:val="18"/>
                <w:lang w:val="en-GB" w:eastAsia="en-GB"/>
              </w:rPr>
              <w:t>281</w:t>
            </w:r>
          </w:p>
        </w:tc>
        <w:tc>
          <w:tcPr>
            <w:tcW w:w="1298" w:type="dxa"/>
            <w:vAlign w:val="bottom"/>
          </w:tcPr>
          <w:p w14:paraId="0C16C985" w14:textId="77777777" w:rsidR="00600A69" w:rsidRDefault="00600A69" w:rsidP="00B322A7">
            <w:pPr>
              <w:jc w:val="right"/>
              <w:outlineLvl w:val="1"/>
              <w:rPr>
                <w:sz w:val="18"/>
                <w:szCs w:val="18"/>
                <w:lang w:val="en-GB" w:eastAsia="en-GB"/>
              </w:rPr>
            </w:pPr>
            <w:r>
              <w:rPr>
                <w:sz w:val="18"/>
                <w:szCs w:val="18"/>
                <w:lang w:val="en-GB" w:eastAsia="en-GB"/>
              </w:rPr>
              <w:t>-</w:t>
            </w:r>
          </w:p>
        </w:tc>
        <w:tc>
          <w:tcPr>
            <w:tcW w:w="1175" w:type="dxa"/>
            <w:vAlign w:val="bottom"/>
          </w:tcPr>
          <w:p w14:paraId="613DB4BA"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w:t>
            </w:r>
          </w:p>
        </w:tc>
        <w:tc>
          <w:tcPr>
            <w:tcW w:w="1222" w:type="dxa"/>
            <w:vAlign w:val="bottom"/>
          </w:tcPr>
          <w:p w14:paraId="174B335E"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w:t>
            </w:r>
          </w:p>
        </w:tc>
        <w:tc>
          <w:tcPr>
            <w:tcW w:w="1333" w:type="dxa"/>
            <w:vAlign w:val="bottom"/>
          </w:tcPr>
          <w:p w14:paraId="3AFE50ED"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281</w:t>
            </w:r>
          </w:p>
        </w:tc>
      </w:tr>
      <w:tr w:rsidR="00600A69" w14:paraId="6516103D" w14:textId="77777777" w:rsidTr="00B322A7">
        <w:trPr>
          <w:cantSplit/>
        </w:trPr>
        <w:tc>
          <w:tcPr>
            <w:tcW w:w="2350" w:type="dxa"/>
            <w:vAlign w:val="bottom"/>
          </w:tcPr>
          <w:p w14:paraId="6981A20F" w14:textId="77777777" w:rsidR="00600A69" w:rsidRDefault="00600A69" w:rsidP="00B322A7">
            <w:pPr>
              <w:jc w:val="both"/>
              <w:rPr>
                <w:sz w:val="18"/>
                <w:szCs w:val="18"/>
                <w:lang w:val="en-GB" w:eastAsia="en-GB"/>
              </w:rPr>
            </w:pPr>
            <w:r>
              <w:rPr>
                <w:sz w:val="18"/>
                <w:szCs w:val="18"/>
                <w:lang w:val="en-GB" w:eastAsia="en-GB"/>
              </w:rPr>
              <w:t xml:space="preserve">Net valuation gains / (losses) </w:t>
            </w:r>
          </w:p>
        </w:tc>
        <w:tc>
          <w:tcPr>
            <w:tcW w:w="1108" w:type="dxa"/>
            <w:vAlign w:val="bottom"/>
          </w:tcPr>
          <w:p w14:paraId="2D330F8A" w14:textId="77777777" w:rsidR="00600A69" w:rsidRDefault="00600A69" w:rsidP="00B322A7">
            <w:pPr>
              <w:jc w:val="right"/>
              <w:outlineLvl w:val="1"/>
              <w:rPr>
                <w:sz w:val="18"/>
                <w:szCs w:val="18"/>
                <w:lang w:val="en-GB" w:eastAsia="en-GB"/>
              </w:rPr>
            </w:pPr>
            <w:r>
              <w:rPr>
                <w:sz w:val="18"/>
                <w:szCs w:val="18"/>
                <w:lang w:val="en-GB" w:eastAsia="en-GB"/>
              </w:rPr>
              <w:t>28,780</w:t>
            </w:r>
          </w:p>
        </w:tc>
        <w:tc>
          <w:tcPr>
            <w:tcW w:w="1298" w:type="dxa"/>
            <w:vAlign w:val="bottom"/>
          </w:tcPr>
          <w:p w14:paraId="1AE7DECD" w14:textId="77777777" w:rsidR="00600A69" w:rsidRDefault="00600A69" w:rsidP="00B322A7">
            <w:pPr>
              <w:jc w:val="right"/>
              <w:outlineLvl w:val="1"/>
              <w:rPr>
                <w:sz w:val="18"/>
                <w:szCs w:val="18"/>
                <w:lang w:val="en-GB" w:eastAsia="en-GB"/>
              </w:rPr>
            </w:pPr>
            <w:r>
              <w:rPr>
                <w:sz w:val="18"/>
                <w:szCs w:val="18"/>
                <w:lang w:val="en-GB" w:eastAsia="en-GB"/>
              </w:rPr>
              <w:t>2,511</w:t>
            </w:r>
          </w:p>
        </w:tc>
        <w:tc>
          <w:tcPr>
            <w:tcW w:w="1175" w:type="dxa"/>
            <w:vAlign w:val="bottom"/>
          </w:tcPr>
          <w:p w14:paraId="4C5B24C1"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10,988</w:t>
            </w:r>
          </w:p>
        </w:tc>
        <w:tc>
          <w:tcPr>
            <w:tcW w:w="1222" w:type="dxa"/>
            <w:vAlign w:val="bottom"/>
          </w:tcPr>
          <w:p w14:paraId="5F9DE87D"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17,585</w:t>
            </w:r>
          </w:p>
        </w:tc>
        <w:tc>
          <w:tcPr>
            <w:tcW w:w="1333" w:type="dxa"/>
            <w:vAlign w:val="bottom"/>
          </w:tcPr>
          <w:p w14:paraId="47ECDE39"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59,864</w:t>
            </w:r>
          </w:p>
        </w:tc>
      </w:tr>
      <w:tr w:rsidR="00600A69" w14:paraId="6CA7950B" w14:textId="77777777" w:rsidTr="00B322A7">
        <w:trPr>
          <w:cantSplit/>
        </w:trPr>
        <w:tc>
          <w:tcPr>
            <w:tcW w:w="2350" w:type="dxa"/>
            <w:vAlign w:val="bottom"/>
          </w:tcPr>
          <w:p w14:paraId="1A79E4B4" w14:textId="77777777" w:rsidR="00600A69" w:rsidRDefault="00600A69" w:rsidP="00B322A7">
            <w:pPr>
              <w:jc w:val="both"/>
              <w:rPr>
                <w:sz w:val="18"/>
                <w:szCs w:val="18"/>
                <w:lang w:val="en-GB" w:eastAsia="en-GB"/>
              </w:rPr>
            </w:pPr>
            <w:r>
              <w:rPr>
                <w:sz w:val="18"/>
                <w:szCs w:val="18"/>
                <w:lang w:val="en-GB" w:eastAsia="en-GB"/>
              </w:rPr>
              <w:t>Other income / (expenses) - incl. Administrative costs</w:t>
            </w:r>
          </w:p>
        </w:tc>
        <w:tc>
          <w:tcPr>
            <w:tcW w:w="1108" w:type="dxa"/>
            <w:vAlign w:val="bottom"/>
          </w:tcPr>
          <w:p w14:paraId="5147A07C" w14:textId="77777777" w:rsidR="00600A69" w:rsidRDefault="00600A69" w:rsidP="00B322A7">
            <w:pPr>
              <w:jc w:val="right"/>
              <w:outlineLvl w:val="1"/>
              <w:rPr>
                <w:sz w:val="18"/>
                <w:szCs w:val="18"/>
                <w:lang w:val="en-GB" w:eastAsia="en-GB"/>
              </w:rPr>
            </w:pPr>
            <w:r>
              <w:rPr>
                <w:sz w:val="18"/>
                <w:szCs w:val="18"/>
                <w:lang w:val="en-GB" w:eastAsia="en-GB"/>
              </w:rPr>
              <w:t>(1,541)</w:t>
            </w:r>
          </w:p>
        </w:tc>
        <w:tc>
          <w:tcPr>
            <w:tcW w:w="1298" w:type="dxa"/>
            <w:vAlign w:val="bottom"/>
          </w:tcPr>
          <w:p w14:paraId="43E49FBF" w14:textId="77777777" w:rsidR="00600A69" w:rsidRDefault="00600A69" w:rsidP="00B322A7">
            <w:pPr>
              <w:jc w:val="right"/>
              <w:outlineLvl w:val="1"/>
              <w:rPr>
                <w:sz w:val="18"/>
                <w:szCs w:val="18"/>
                <w:lang w:val="en-GB" w:eastAsia="en-GB"/>
              </w:rPr>
            </w:pPr>
            <w:r>
              <w:rPr>
                <w:sz w:val="18"/>
                <w:szCs w:val="18"/>
                <w:lang w:val="en-GB" w:eastAsia="en-GB"/>
              </w:rPr>
              <w:t>(2,115)</w:t>
            </w:r>
          </w:p>
        </w:tc>
        <w:tc>
          <w:tcPr>
            <w:tcW w:w="1175" w:type="dxa"/>
            <w:vAlign w:val="bottom"/>
          </w:tcPr>
          <w:p w14:paraId="34D12F0A"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(1,950)</w:t>
            </w:r>
          </w:p>
        </w:tc>
        <w:tc>
          <w:tcPr>
            <w:tcW w:w="1222" w:type="dxa"/>
            <w:vAlign w:val="bottom"/>
          </w:tcPr>
          <w:p w14:paraId="58066581"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(4,122)</w:t>
            </w:r>
          </w:p>
        </w:tc>
        <w:tc>
          <w:tcPr>
            <w:tcW w:w="1333" w:type="dxa"/>
            <w:vAlign w:val="bottom"/>
          </w:tcPr>
          <w:p w14:paraId="0870DBA9"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(9,728)</w:t>
            </w:r>
          </w:p>
        </w:tc>
      </w:tr>
      <w:tr w:rsidR="00600A69" w14:paraId="36CCD5B1" w14:textId="77777777" w:rsidTr="00B322A7">
        <w:trPr>
          <w:cantSplit/>
        </w:trPr>
        <w:tc>
          <w:tcPr>
            <w:tcW w:w="2350" w:type="dxa"/>
            <w:vAlign w:val="bottom"/>
          </w:tcPr>
          <w:p w14:paraId="740DBF1A" w14:textId="77777777" w:rsidR="00600A69" w:rsidRDefault="00600A69" w:rsidP="00B322A7">
            <w:pPr>
              <w:jc w:val="both"/>
              <w:rPr>
                <w:bCs/>
                <w:sz w:val="18"/>
                <w:szCs w:val="18"/>
                <w:lang w:val="en-GB" w:eastAsia="en-GB"/>
              </w:rPr>
            </w:pPr>
            <w:r>
              <w:rPr>
                <w:bCs/>
                <w:sz w:val="18"/>
                <w:szCs w:val="18"/>
                <w:lang w:val="en-GB" w:eastAsia="en-GB"/>
              </w:rPr>
              <w:t>Share in the result of joint venture and associates</w:t>
            </w:r>
          </w:p>
        </w:tc>
        <w:tc>
          <w:tcPr>
            <w:tcW w:w="1108" w:type="dxa"/>
            <w:vAlign w:val="bottom"/>
          </w:tcPr>
          <w:p w14:paraId="4E694F3E" w14:textId="77777777" w:rsidR="00600A69" w:rsidRDefault="00600A69" w:rsidP="00B322A7">
            <w:pPr>
              <w:jc w:val="right"/>
              <w:outlineLvl w:val="1"/>
              <w:rPr>
                <w:sz w:val="18"/>
                <w:szCs w:val="18"/>
                <w:u w:val="double"/>
                <w:lang w:val="en-GB" w:eastAsia="en-GB"/>
              </w:rPr>
            </w:pPr>
            <w:r>
              <w:rPr>
                <w:sz w:val="18"/>
                <w:szCs w:val="18"/>
                <w:u w:val="double"/>
                <w:lang w:val="en-GB" w:eastAsia="en-GB"/>
              </w:rPr>
              <w:t>-</w:t>
            </w:r>
          </w:p>
        </w:tc>
        <w:tc>
          <w:tcPr>
            <w:tcW w:w="1298" w:type="dxa"/>
            <w:vAlign w:val="bottom"/>
          </w:tcPr>
          <w:p w14:paraId="3911CEAC" w14:textId="77777777" w:rsidR="00600A69" w:rsidRDefault="00600A69" w:rsidP="00B322A7">
            <w:pPr>
              <w:jc w:val="right"/>
              <w:outlineLvl w:val="1"/>
              <w:rPr>
                <w:sz w:val="18"/>
                <w:szCs w:val="18"/>
                <w:u w:val="double"/>
                <w:lang w:val="en-GB" w:eastAsia="en-GB"/>
              </w:rPr>
            </w:pPr>
            <w:r>
              <w:rPr>
                <w:sz w:val="18"/>
                <w:szCs w:val="18"/>
                <w:u w:val="double"/>
                <w:lang w:val="en-GB" w:eastAsia="en-GB"/>
              </w:rPr>
              <w:t>-</w:t>
            </w:r>
          </w:p>
        </w:tc>
        <w:tc>
          <w:tcPr>
            <w:tcW w:w="1175" w:type="dxa"/>
            <w:vAlign w:val="bottom"/>
          </w:tcPr>
          <w:p w14:paraId="7B326B75" w14:textId="77777777" w:rsidR="00600A69" w:rsidRDefault="00600A69" w:rsidP="00B322A7">
            <w:pPr>
              <w:jc w:val="right"/>
              <w:outlineLvl w:val="1"/>
              <w:rPr>
                <w:color w:val="000000"/>
                <w:sz w:val="18"/>
                <w:szCs w:val="18"/>
                <w:u w:val="double"/>
                <w:lang w:val="en-GB" w:eastAsia="en-GB"/>
              </w:rPr>
            </w:pPr>
            <w:r>
              <w:rPr>
                <w:color w:val="000000"/>
                <w:sz w:val="18"/>
                <w:szCs w:val="18"/>
                <w:u w:val="double"/>
                <w:lang w:val="en-GB" w:eastAsia="en-GB"/>
              </w:rPr>
              <w:t>-</w:t>
            </w:r>
          </w:p>
        </w:tc>
        <w:tc>
          <w:tcPr>
            <w:tcW w:w="1222" w:type="dxa"/>
            <w:vAlign w:val="bottom"/>
          </w:tcPr>
          <w:p w14:paraId="58515293" w14:textId="77777777" w:rsidR="00600A69" w:rsidRDefault="00600A69" w:rsidP="00B322A7">
            <w:pPr>
              <w:jc w:val="right"/>
              <w:outlineLvl w:val="1"/>
              <w:rPr>
                <w:color w:val="000000"/>
                <w:sz w:val="18"/>
                <w:szCs w:val="18"/>
                <w:u w:val="single"/>
                <w:lang w:val="en-GB" w:eastAsia="en-GB"/>
              </w:rPr>
            </w:pPr>
            <w:r>
              <w:rPr>
                <w:color w:val="000000"/>
                <w:sz w:val="18"/>
                <w:szCs w:val="18"/>
                <w:u w:val="single"/>
                <w:lang w:val="en-GB" w:eastAsia="en-GB"/>
              </w:rPr>
              <w:t>15,167</w:t>
            </w:r>
          </w:p>
        </w:tc>
        <w:tc>
          <w:tcPr>
            <w:tcW w:w="1333" w:type="dxa"/>
            <w:vAlign w:val="bottom"/>
          </w:tcPr>
          <w:p w14:paraId="42D9C0F9" w14:textId="77777777" w:rsidR="00600A69" w:rsidRDefault="00600A69" w:rsidP="00B322A7">
            <w:pPr>
              <w:jc w:val="right"/>
              <w:outlineLvl w:val="1"/>
              <w:rPr>
                <w:color w:val="000000"/>
                <w:sz w:val="18"/>
                <w:szCs w:val="18"/>
                <w:u w:val="single"/>
                <w:lang w:val="en-GB" w:eastAsia="en-GB"/>
              </w:rPr>
            </w:pPr>
            <w:r>
              <w:rPr>
                <w:color w:val="000000"/>
                <w:sz w:val="18"/>
                <w:szCs w:val="18"/>
                <w:u w:val="single"/>
                <w:lang w:val="en-GB" w:eastAsia="en-GB"/>
              </w:rPr>
              <w:t>15,167</w:t>
            </w:r>
          </w:p>
        </w:tc>
      </w:tr>
      <w:tr w:rsidR="00600A69" w14:paraId="55C416BA" w14:textId="77777777" w:rsidTr="00B322A7">
        <w:trPr>
          <w:cantSplit/>
        </w:trPr>
        <w:tc>
          <w:tcPr>
            <w:tcW w:w="2350" w:type="dxa"/>
            <w:vAlign w:val="bottom"/>
          </w:tcPr>
          <w:p w14:paraId="6B2EBAD8" w14:textId="77777777" w:rsidR="00600A69" w:rsidRDefault="00600A69" w:rsidP="00B322A7">
            <w:pPr>
              <w:jc w:val="both"/>
              <w:rPr>
                <w:b/>
                <w:bCs/>
                <w:sz w:val="18"/>
                <w:szCs w:val="18"/>
                <w:lang w:val="en-GB"/>
              </w:rPr>
            </w:pPr>
            <w:r>
              <w:rPr>
                <w:b/>
                <w:bCs/>
                <w:sz w:val="18"/>
                <w:szCs w:val="18"/>
                <w:lang w:val="en-GB"/>
              </w:rPr>
              <w:t>Operating profit / (loss)</w:t>
            </w:r>
          </w:p>
        </w:tc>
        <w:tc>
          <w:tcPr>
            <w:tcW w:w="1108" w:type="dxa"/>
            <w:vAlign w:val="bottom"/>
          </w:tcPr>
          <w:p w14:paraId="7AC2DE9C" w14:textId="77777777" w:rsidR="00600A69" w:rsidRDefault="00600A69" w:rsidP="00B322A7">
            <w:pPr>
              <w:jc w:val="right"/>
              <w:outlineLvl w:val="1"/>
              <w:rPr>
                <w:b/>
                <w:bCs/>
                <w:color w:val="000000"/>
                <w:sz w:val="18"/>
                <w:szCs w:val="18"/>
                <w:u w:val="double"/>
                <w:lang w:val="en-GB" w:eastAsia="en-GB"/>
              </w:rPr>
            </w:pPr>
            <w:r>
              <w:rPr>
                <w:b/>
                <w:bCs/>
                <w:color w:val="000000"/>
                <w:sz w:val="18"/>
                <w:szCs w:val="18"/>
                <w:u w:val="double"/>
                <w:lang w:val="en-GB" w:eastAsia="en-GB"/>
              </w:rPr>
              <w:t>29,225</w:t>
            </w:r>
          </w:p>
        </w:tc>
        <w:tc>
          <w:tcPr>
            <w:tcW w:w="1298" w:type="dxa"/>
            <w:vAlign w:val="bottom"/>
          </w:tcPr>
          <w:p w14:paraId="20E3077A" w14:textId="77777777" w:rsidR="00600A69" w:rsidRDefault="00600A69" w:rsidP="00B322A7">
            <w:pPr>
              <w:jc w:val="right"/>
              <w:outlineLvl w:val="1"/>
              <w:rPr>
                <w:b/>
                <w:bCs/>
                <w:color w:val="000000"/>
                <w:sz w:val="18"/>
                <w:szCs w:val="18"/>
                <w:u w:val="double"/>
                <w:lang w:val="en-GB" w:eastAsia="en-GB"/>
              </w:rPr>
            </w:pPr>
            <w:r>
              <w:rPr>
                <w:b/>
                <w:bCs/>
                <w:color w:val="000000"/>
                <w:sz w:val="18"/>
                <w:szCs w:val="18"/>
                <w:u w:val="double"/>
                <w:lang w:val="en-GB" w:eastAsia="en-GB"/>
              </w:rPr>
              <w:t>3,014</w:t>
            </w:r>
          </w:p>
        </w:tc>
        <w:tc>
          <w:tcPr>
            <w:tcW w:w="1175" w:type="dxa"/>
            <w:vAlign w:val="bottom"/>
          </w:tcPr>
          <w:p w14:paraId="40A29016" w14:textId="77777777" w:rsidR="00600A69" w:rsidRDefault="00600A69" w:rsidP="00B322A7">
            <w:pPr>
              <w:jc w:val="right"/>
              <w:outlineLvl w:val="1"/>
              <w:rPr>
                <w:b/>
                <w:bCs/>
                <w:color w:val="000000"/>
                <w:sz w:val="18"/>
                <w:szCs w:val="18"/>
                <w:u w:val="double"/>
                <w:lang w:val="en-GB" w:eastAsia="en-GB"/>
              </w:rPr>
            </w:pPr>
            <w:r>
              <w:rPr>
                <w:b/>
                <w:bCs/>
                <w:color w:val="000000"/>
                <w:sz w:val="18"/>
                <w:szCs w:val="18"/>
                <w:u w:val="double"/>
                <w:lang w:val="en-GB" w:eastAsia="en-GB"/>
              </w:rPr>
              <w:t>16,807</w:t>
            </w:r>
          </w:p>
        </w:tc>
        <w:tc>
          <w:tcPr>
            <w:tcW w:w="1222" w:type="dxa"/>
            <w:vAlign w:val="bottom"/>
          </w:tcPr>
          <w:p w14:paraId="377E81BF" w14:textId="77777777" w:rsidR="00600A69" w:rsidRDefault="00600A69" w:rsidP="00B322A7">
            <w:pPr>
              <w:jc w:val="right"/>
              <w:outlineLvl w:val="1"/>
              <w:rPr>
                <w:b/>
                <w:bCs/>
                <w:color w:val="000000"/>
                <w:sz w:val="18"/>
                <w:szCs w:val="18"/>
                <w:u w:val="double"/>
                <w:lang w:val="en-GB" w:eastAsia="en-GB"/>
              </w:rPr>
            </w:pPr>
            <w:r>
              <w:rPr>
                <w:b/>
                <w:bCs/>
                <w:color w:val="000000"/>
                <w:sz w:val="18"/>
                <w:szCs w:val="18"/>
                <w:u w:val="double"/>
                <w:lang w:val="en-GB" w:eastAsia="en-GB"/>
              </w:rPr>
              <w:t>28,630</w:t>
            </w:r>
          </w:p>
        </w:tc>
        <w:tc>
          <w:tcPr>
            <w:tcW w:w="1333" w:type="dxa"/>
            <w:vAlign w:val="bottom"/>
          </w:tcPr>
          <w:p w14:paraId="0B44497E" w14:textId="77777777" w:rsidR="00600A69" w:rsidRDefault="00600A69" w:rsidP="00B322A7">
            <w:pPr>
              <w:jc w:val="right"/>
              <w:outlineLvl w:val="1"/>
              <w:rPr>
                <w:b/>
                <w:bCs/>
                <w:color w:val="000000"/>
                <w:sz w:val="18"/>
                <w:szCs w:val="18"/>
                <w:u w:val="double"/>
                <w:lang w:val="en-GB" w:eastAsia="en-GB"/>
              </w:rPr>
            </w:pPr>
            <w:r>
              <w:rPr>
                <w:b/>
                <w:bCs/>
                <w:color w:val="000000"/>
                <w:sz w:val="18"/>
                <w:szCs w:val="18"/>
                <w:u w:val="double"/>
                <w:lang w:val="en-GB" w:eastAsia="en-GB"/>
              </w:rPr>
              <w:t>77,676</w:t>
            </w:r>
          </w:p>
        </w:tc>
      </w:tr>
    </w:tbl>
    <w:p w14:paraId="0E319250" w14:textId="77777777" w:rsidR="001D1FD6" w:rsidRDefault="001D1FD6" w:rsidP="001D1FD6">
      <w:pPr>
        <w:jc w:val="both"/>
        <w:rPr>
          <w:rFonts w:cs="Arabic Transparent"/>
          <w:sz w:val="18"/>
          <w:szCs w:val="18"/>
          <w:lang w:val="en-GB"/>
        </w:rPr>
      </w:pPr>
    </w:p>
    <w:p w14:paraId="0D16D873" w14:textId="77777777" w:rsidR="001D1FD6" w:rsidRDefault="001D1FD6" w:rsidP="001D1FD6">
      <w:pPr>
        <w:jc w:val="both"/>
        <w:rPr>
          <w:rFonts w:cs="Arabic Transparent"/>
          <w:sz w:val="18"/>
          <w:szCs w:val="18"/>
          <w:lang w:val="en-GB"/>
        </w:rPr>
      </w:pPr>
    </w:p>
    <w:tbl>
      <w:tblPr>
        <w:tblW w:w="425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2290"/>
        <w:gridCol w:w="1083"/>
        <w:gridCol w:w="1268"/>
        <w:gridCol w:w="1148"/>
        <w:gridCol w:w="1194"/>
        <w:gridCol w:w="1302"/>
      </w:tblGrid>
      <w:tr w:rsidR="00600A69" w14:paraId="62EAEB15" w14:textId="77777777" w:rsidTr="00B322A7">
        <w:trPr>
          <w:cantSplit/>
        </w:trPr>
        <w:tc>
          <w:tcPr>
            <w:tcW w:w="2350" w:type="dxa"/>
          </w:tcPr>
          <w:p w14:paraId="4A2C896D" w14:textId="77777777" w:rsidR="00600A69" w:rsidRDefault="00600A69" w:rsidP="00B322A7">
            <w:pPr>
              <w:jc w:val="both"/>
              <w:rPr>
                <w:sz w:val="18"/>
                <w:szCs w:val="18"/>
                <w:lang w:val="en-GB"/>
              </w:rPr>
            </w:pPr>
            <w:r>
              <w:rPr>
                <w:sz w:val="18"/>
                <w:szCs w:val="18"/>
                <w:lang w:val="en-GB"/>
              </w:rPr>
              <w:t>Income Statement</w:t>
            </w:r>
          </w:p>
        </w:tc>
        <w:tc>
          <w:tcPr>
            <w:tcW w:w="6136" w:type="dxa"/>
            <w:gridSpan w:val="5"/>
          </w:tcPr>
          <w:p w14:paraId="29A104B3" w14:textId="0CC68EB0" w:rsidR="00600A69" w:rsidRDefault="00600A69" w:rsidP="00B322A7">
            <w:pPr>
              <w:pBdr>
                <w:bottom w:val="single" w:sz="2" w:space="1" w:color="auto"/>
              </w:pBdr>
              <w:jc w:val="center"/>
              <w:rPr>
                <w:b/>
                <w:sz w:val="18"/>
                <w:szCs w:val="18"/>
              </w:rPr>
            </w:pPr>
            <w:r>
              <w:rPr>
                <w:b/>
                <w:sz w:val="18"/>
                <w:szCs w:val="18"/>
              </w:rPr>
              <w:t>For the period ended 30-Jun-2016</w:t>
            </w:r>
          </w:p>
          <w:p w14:paraId="213E024C" w14:textId="77777777" w:rsidR="00600A69" w:rsidRDefault="00600A69" w:rsidP="00B322A7">
            <w:pPr>
              <w:spacing w:after="240"/>
              <w:ind w:left="360"/>
              <w:jc w:val="both"/>
              <w:rPr>
                <w:bCs/>
                <w:sz w:val="18"/>
                <w:szCs w:val="18"/>
                <w:lang w:val="en-GB"/>
              </w:rPr>
            </w:pPr>
          </w:p>
        </w:tc>
      </w:tr>
      <w:tr w:rsidR="00600A69" w14:paraId="551493FD" w14:textId="77777777" w:rsidTr="00B322A7">
        <w:trPr>
          <w:cantSplit/>
        </w:trPr>
        <w:tc>
          <w:tcPr>
            <w:tcW w:w="2350" w:type="dxa"/>
            <w:vMerge w:val="restart"/>
          </w:tcPr>
          <w:p w14:paraId="69497DC9" w14:textId="77777777" w:rsidR="00600A69" w:rsidRDefault="00600A69" w:rsidP="00B322A7">
            <w:pPr>
              <w:jc w:val="both"/>
              <w:rPr>
                <w:sz w:val="18"/>
                <w:szCs w:val="18"/>
                <w:lang w:val="en-GB"/>
              </w:rPr>
            </w:pPr>
          </w:p>
        </w:tc>
        <w:tc>
          <w:tcPr>
            <w:tcW w:w="1108" w:type="dxa"/>
          </w:tcPr>
          <w:p w14:paraId="436B7D35" w14:textId="77777777" w:rsidR="00600A69" w:rsidRDefault="00600A69" w:rsidP="00B322A7">
            <w:pPr>
              <w:pBdr>
                <w:bottom w:val="single" w:sz="2" w:space="1" w:color="auto"/>
              </w:pBdr>
              <w:jc w:val="center"/>
              <w:rPr>
                <w:b/>
                <w:sz w:val="18"/>
                <w:szCs w:val="18"/>
              </w:rPr>
            </w:pPr>
            <w:r>
              <w:rPr>
                <w:b/>
                <w:sz w:val="18"/>
                <w:szCs w:val="18"/>
              </w:rPr>
              <w:t>Czech Republic</w:t>
            </w:r>
          </w:p>
        </w:tc>
        <w:tc>
          <w:tcPr>
            <w:tcW w:w="1298" w:type="dxa"/>
          </w:tcPr>
          <w:p w14:paraId="0DAF3765" w14:textId="77777777" w:rsidR="00600A69" w:rsidRDefault="00600A69" w:rsidP="00B322A7">
            <w:pPr>
              <w:pBdr>
                <w:bottom w:val="single" w:sz="2" w:space="1" w:color="auto"/>
              </w:pBdr>
              <w:jc w:val="center"/>
              <w:rPr>
                <w:b/>
                <w:sz w:val="18"/>
                <w:szCs w:val="18"/>
              </w:rPr>
            </w:pPr>
          </w:p>
          <w:p w14:paraId="15ECC8B4" w14:textId="77777777" w:rsidR="00600A69" w:rsidRDefault="00600A69" w:rsidP="00B322A7">
            <w:pPr>
              <w:pBdr>
                <w:bottom w:val="single" w:sz="2" w:space="1" w:color="auto"/>
              </w:pBdr>
              <w:jc w:val="center"/>
              <w:rPr>
                <w:b/>
                <w:sz w:val="18"/>
                <w:szCs w:val="18"/>
              </w:rPr>
            </w:pPr>
            <w:r>
              <w:rPr>
                <w:b/>
                <w:sz w:val="18"/>
                <w:szCs w:val="18"/>
              </w:rPr>
              <w:t>Germany</w:t>
            </w:r>
          </w:p>
        </w:tc>
        <w:tc>
          <w:tcPr>
            <w:tcW w:w="1175" w:type="dxa"/>
          </w:tcPr>
          <w:p w14:paraId="37DC5EE8" w14:textId="77777777" w:rsidR="00600A69" w:rsidRDefault="00600A69" w:rsidP="00B322A7">
            <w:pPr>
              <w:pBdr>
                <w:bottom w:val="single" w:sz="2" w:space="1" w:color="auto"/>
              </w:pBdr>
              <w:jc w:val="center"/>
              <w:rPr>
                <w:b/>
                <w:sz w:val="18"/>
                <w:szCs w:val="18"/>
              </w:rPr>
            </w:pPr>
            <w:r>
              <w:rPr>
                <w:b/>
                <w:sz w:val="18"/>
                <w:szCs w:val="18"/>
              </w:rPr>
              <w:t>Other Countries</w:t>
            </w:r>
          </w:p>
        </w:tc>
        <w:tc>
          <w:tcPr>
            <w:tcW w:w="1222" w:type="dxa"/>
          </w:tcPr>
          <w:p w14:paraId="1C31C8FE" w14:textId="77777777" w:rsidR="00600A69" w:rsidRDefault="00600A69" w:rsidP="00B322A7">
            <w:pPr>
              <w:pBdr>
                <w:bottom w:val="single" w:sz="2" w:space="1" w:color="auto"/>
              </w:pBdr>
              <w:jc w:val="center"/>
              <w:rPr>
                <w:b/>
                <w:sz w:val="18"/>
                <w:szCs w:val="18"/>
              </w:rPr>
            </w:pPr>
          </w:p>
          <w:p w14:paraId="3CF88287" w14:textId="77777777" w:rsidR="00600A69" w:rsidRDefault="00600A69" w:rsidP="00B322A7">
            <w:pPr>
              <w:pBdr>
                <w:bottom w:val="single" w:sz="2" w:space="1" w:color="auto"/>
              </w:pBdr>
              <w:jc w:val="center"/>
              <w:rPr>
                <w:b/>
                <w:sz w:val="18"/>
                <w:szCs w:val="18"/>
              </w:rPr>
            </w:pPr>
            <w:r>
              <w:rPr>
                <w:b/>
                <w:sz w:val="18"/>
                <w:szCs w:val="18"/>
              </w:rPr>
              <w:t>Unallocated</w:t>
            </w:r>
          </w:p>
        </w:tc>
        <w:tc>
          <w:tcPr>
            <w:tcW w:w="1333" w:type="dxa"/>
          </w:tcPr>
          <w:p w14:paraId="24B44F1C" w14:textId="77777777" w:rsidR="00600A69" w:rsidRDefault="00600A69" w:rsidP="00B322A7">
            <w:pPr>
              <w:pBdr>
                <w:bottom w:val="single" w:sz="2" w:space="1" w:color="auto"/>
              </w:pBdr>
              <w:jc w:val="center"/>
              <w:rPr>
                <w:b/>
                <w:sz w:val="18"/>
                <w:szCs w:val="18"/>
              </w:rPr>
            </w:pPr>
          </w:p>
          <w:p w14:paraId="344BA563" w14:textId="77777777" w:rsidR="00600A69" w:rsidRDefault="00600A69" w:rsidP="00B322A7">
            <w:pPr>
              <w:pBdr>
                <w:bottom w:val="single" w:sz="2" w:space="1" w:color="auto"/>
              </w:pBdr>
              <w:jc w:val="center"/>
              <w:rPr>
                <w:b/>
                <w:sz w:val="18"/>
                <w:szCs w:val="18"/>
              </w:rPr>
            </w:pPr>
            <w:r>
              <w:rPr>
                <w:b/>
                <w:sz w:val="18"/>
                <w:szCs w:val="18"/>
              </w:rPr>
              <w:t>Total</w:t>
            </w:r>
          </w:p>
        </w:tc>
      </w:tr>
      <w:tr w:rsidR="00600A69" w14:paraId="1B05BCF4" w14:textId="77777777" w:rsidTr="00B322A7">
        <w:trPr>
          <w:cantSplit/>
        </w:trPr>
        <w:tc>
          <w:tcPr>
            <w:tcW w:w="2350" w:type="dxa"/>
            <w:vMerge/>
          </w:tcPr>
          <w:p w14:paraId="117E46A0" w14:textId="77777777" w:rsidR="00600A69" w:rsidRDefault="00600A69" w:rsidP="00B322A7">
            <w:pPr>
              <w:jc w:val="both"/>
              <w:rPr>
                <w:sz w:val="18"/>
                <w:szCs w:val="18"/>
                <w:lang w:val="en-GB"/>
              </w:rPr>
            </w:pPr>
          </w:p>
        </w:tc>
        <w:tc>
          <w:tcPr>
            <w:tcW w:w="6136" w:type="dxa"/>
            <w:gridSpan w:val="5"/>
          </w:tcPr>
          <w:p w14:paraId="34682950" w14:textId="77777777" w:rsidR="00600A69" w:rsidRDefault="00600A69" w:rsidP="00B322A7">
            <w:pPr>
              <w:jc w:val="center"/>
              <w:rPr>
                <w:sz w:val="18"/>
                <w:szCs w:val="18"/>
                <w:lang w:val="en-GB"/>
              </w:rPr>
            </w:pPr>
            <w:r>
              <w:rPr>
                <w:sz w:val="18"/>
                <w:szCs w:val="18"/>
              </w:rPr>
              <w:t>(</w:t>
            </w:r>
            <w:r>
              <w:rPr>
                <w:i/>
                <w:sz w:val="18"/>
                <w:szCs w:val="18"/>
              </w:rPr>
              <w:t xml:space="preserve">in thousands of </w:t>
            </w:r>
            <w:r>
              <w:rPr>
                <w:bCs/>
                <w:i/>
                <w:sz w:val="18"/>
                <w:szCs w:val="18"/>
              </w:rPr>
              <w:t>€</w:t>
            </w:r>
            <w:r>
              <w:rPr>
                <w:sz w:val="18"/>
                <w:szCs w:val="18"/>
              </w:rPr>
              <w:t>)</w:t>
            </w:r>
          </w:p>
        </w:tc>
      </w:tr>
      <w:tr w:rsidR="00600A69" w14:paraId="63C0555A" w14:textId="77777777" w:rsidTr="00B322A7">
        <w:trPr>
          <w:cantSplit/>
        </w:trPr>
        <w:tc>
          <w:tcPr>
            <w:tcW w:w="2350" w:type="dxa"/>
            <w:vAlign w:val="bottom"/>
          </w:tcPr>
          <w:p w14:paraId="462E9CC7" w14:textId="77777777" w:rsidR="00600A69" w:rsidRDefault="00600A69" w:rsidP="00B322A7">
            <w:pPr>
              <w:jc w:val="both"/>
              <w:rPr>
                <w:sz w:val="18"/>
                <w:szCs w:val="18"/>
                <w:lang w:val="en-GB" w:eastAsia="en-GB"/>
              </w:rPr>
            </w:pPr>
            <w:r>
              <w:rPr>
                <w:sz w:val="18"/>
                <w:szCs w:val="18"/>
                <w:lang w:val="en-GB" w:eastAsia="en-GB"/>
              </w:rPr>
              <w:t>Gross rental income</w:t>
            </w:r>
          </w:p>
        </w:tc>
        <w:tc>
          <w:tcPr>
            <w:tcW w:w="1108" w:type="dxa"/>
            <w:vAlign w:val="bottom"/>
          </w:tcPr>
          <w:p w14:paraId="05416AB8"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3,271</w:t>
            </w:r>
          </w:p>
        </w:tc>
        <w:tc>
          <w:tcPr>
            <w:tcW w:w="1298" w:type="dxa"/>
            <w:vAlign w:val="bottom"/>
          </w:tcPr>
          <w:p w14:paraId="39A7C1F4"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5,574</w:t>
            </w:r>
          </w:p>
        </w:tc>
        <w:tc>
          <w:tcPr>
            <w:tcW w:w="1175" w:type="dxa"/>
            <w:vAlign w:val="bottom"/>
          </w:tcPr>
          <w:p w14:paraId="73C86E73"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4,240</w:t>
            </w:r>
          </w:p>
        </w:tc>
        <w:tc>
          <w:tcPr>
            <w:tcW w:w="1222" w:type="dxa"/>
            <w:vAlign w:val="bottom"/>
          </w:tcPr>
          <w:p w14:paraId="6B42368C"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w:t>
            </w:r>
          </w:p>
        </w:tc>
        <w:tc>
          <w:tcPr>
            <w:tcW w:w="1333" w:type="dxa"/>
            <w:vAlign w:val="bottom"/>
          </w:tcPr>
          <w:p w14:paraId="663393F7"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13,085</w:t>
            </w:r>
          </w:p>
        </w:tc>
      </w:tr>
      <w:tr w:rsidR="00600A69" w14:paraId="36962A3C" w14:textId="77777777" w:rsidTr="00B322A7">
        <w:trPr>
          <w:cantSplit/>
        </w:trPr>
        <w:tc>
          <w:tcPr>
            <w:tcW w:w="2350" w:type="dxa"/>
            <w:vAlign w:val="bottom"/>
          </w:tcPr>
          <w:p w14:paraId="649749BD" w14:textId="77777777" w:rsidR="00600A69" w:rsidRDefault="00600A69" w:rsidP="00B322A7">
            <w:pPr>
              <w:jc w:val="both"/>
              <w:rPr>
                <w:sz w:val="18"/>
                <w:szCs w:val="18"/>
                <w:lang w:val="en-GB" w:eastAsia="en-GB"/>
              </w:rPr>
            </w:pPr>
            <w:r>
              <w:rPr>
                <w:sz w:val="18"/>
                <w:szCs w:val="18"/>
                <w:lang w:val="en-GB" w:eastAsia="en-GB"/>
              </w:rPr>
              <w:t>Service charge income / (expenses)</w:t>
            </w:r>
          </w:p>
        </w:tc>
        <w:tc>
          <w:tcPr>
            <w:tcW w:w="1108" w:type="dxa"/>
            <w:vAlign w:val="bottom"/>
          </w:tcPr>
          <w:p w14:paraId="1AF4D505"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124</w:t>
            </w:r>
          </w:p>
        </w:tc>
        <w:tc>
          <w:tcPr>
            <w:tcW w:w="1298" w:type="dxa"/>
            <w:vAlign w:val="bottom"/>
          </w:tcPr>
          <w:p w14:paraId="3D9CCFDF"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251</w:t>
            </w:r>
          </w:p>
        </w:tc>
        <w:tc>
          <w:tcPr>
            <w:tcW w:w="1175" w:type="dxa"/>
            <w:vAlign w:val="bottom"/>
          </w:tcPr>
          <w:p w14:paraId="43DF7A8C"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220</w:t>
            </w:r>
          </w:p>
        </w:tc>
        <w:tc>
          <w:tcPr>
            <w:tcW w:w="1222" w:type="dxa"/>
            <w:vAlign w:val="bottom"/>
          </w:tcPr>
          <w:p w14:paraId="6F6D3335"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w:t>
            </w:r>
          </w:p>
        </w:tc>
        <w:tc>
          <w:tcPr>
            <w:tcW w:w="1333" w:type="dxa"/>
            <w:vAlign w:val="bottom"/>
          </w:tcPr>
          <w:p w14:paraId="4B527D1A"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595</w:t>
            </w:r>
          </w:p>
        </w:tc>
      </w:tr>
      <w:tr w:rsidR="00600A69" w14:paraId="1FC79279" w14:textId="77777777" w:rsidTr="00B322A7">
        <w:trPr>
          <w:cantSplit/>
        </w:trPr>
        <w:tc>
          <w:tcPr>
            <w:tcW w:w="2350" w:type="dxa"/>
            <w:vAlign w:val="bottom"/>
          </w:tcPr>
          <w:p w14:paraId="39DF06D4" w14:textId="77777777" w:rsidR="00600A69" w:rsidRDefault="00600A69" w:rsidP="00B322A7">
            <w:pPr>
              <w:jc w:val="both"/>
              <w:rPr>
                <w:sz w:val="18"/>
                <w:szCs w:val="18"/>
                <w:lang w:val="en-GB" w:eastAsia="en-GB"/>
              </w:rPr>
            </w:pPr>
            <w:r>
              <w:rPr>
                <w:sz w:val="18"/>
                <w:szCs w:val="18"/>
                <w:lang w:val="en-GB" w:eastAsia="en-GB"/>
              </w:rPr>
              <w:t>Property operating expenses</w:t>
            </w:r>
          </w:p>
        </w:tc>
        <w:tc>
          <w:tcPr>
            <w:tcW w:w="1108" w:type="dxa"/>
            <w:vAlign w:val="bottom"/>
          </w:tcPr>
          <w:p w14:paraId="3C15D459"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(159)</w:t>
            </w:r>
          </w:p>
        </w:tc>
        <w:tc>
          <w:tcPr>
            <w:tcW w:w="1298" w:type="dxa"/>
            <w:vAlign w:val="bottom"/>
          </w:tcPr>
          <w:p w14:paraId="2C80324D"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(639)</w:t>
            </w:r>
          </w:p>
        </w:tc>
        <w:tc>
          <w:tcPr>
            <w:tcW w:w="1175" w:type="dxa"/>
            <w:vAlign w:val="bottom"/>
          </w:tcPr>
          <w:p w14:paraId="4D1670E4"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(301)</w:t>
            </w:r>
          </w:p>
        </w:tc>
        <w:tc>
          <w:tcPr>
            <w:tcW w:w="1222" w:type="dxa"/>
            <w:vAlign w:val="bottom"/>
          </w:tcPr>
          <w:p w14:paraId="70F5A827"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w:t>
            </w:r>
          </w:p>
        </w:tc>
        <w:tc>
          <w:tcPr>
            <w:tcW w:w="1333" w:type="dxa"/>
            <w:vAlign w:val="bottom"/>
          </w:tcPr>
          <w:p w14:paraId="1B40CB65"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(1,099)</w:t>
            </w:r>
          </w:p>
        </w:tc>
      </w:tr>
      <w:tr w:rsidR="00600A69" w14:paraId="76A35DC6" w14:textId="77777777" w:rsidTr="00B322A7">
        <w:trPr>
          <w:cantSplit/>
        </w:trPr>
        <w:tc>
          <w:tcPr>
            <w:tcW w:w="2350" w:type="dxa"/>
            <w:vAlign w:val="bottom"/>
          </w:tcPr>
          <w:p w14:paraId="464AE8F3" w14:textId="77777777" w:rsidR="00600A69" w:rsidRDefault="00600A69" w:rsidP="00B322A7">
            <w:pPr>
              <w:jc w:val="both"/>
              <w:rPr>
                <w:b/>
                <w:bCs/>
                <w:sz w:val="18"/>
                <w:szCs w:val="18"/>
                <w:lang w:val="en-GB" w:eastAsia="en-GB"/>
              </w:rPr>
            </w:pPr>
            <w:r>
              <w:rPr>
                <w:b/>
                <w:bCs/>
                <w:sz w:val="18"/>
                <w:szCs w:val="18"/>
                <w:lang w:val="en-GB" w:eastAsia="en-GB"/>
              </w:rPr>
              <w:t>Net rental and related income</w:t>
            </w:r>
          </w:p>
        </w:tc>
        <w:tc>
          <w:tcPr>
            <w:tcW w:w="1108" w:type="dxa"/>
            <w:vAlign w:val="bottom"/>
          </w:tcPr>
          <w:p w14:paraId="42D78692" w14:textId="77777777" w:rsidR="00600A69" w:rsidRDefault="00600A69" w:rsidP="00B322A7">
            <w:pPr>
              <w:jc w:val="right"/>
              <w:outlineLvl w:val="1"/>
              <w:rPr>
                <w:b/>
                <w:bCs/>
                <w:color w:val="000000"/>
                <w:sz w:val="18"/>
                <w:szCs w:val="18"/>
                <w:u w:val="single"/>
                <w:lang w:val="en-GB" w:eastAsia="en-GB"/>
              </w:rPr>
            </w:pPr>
            <w:r>
              <w:rPr>
                <w:b/>
                <w:bCs/>
                <w:color w:val="000000"/>
                <w:sz w:val="18"/>
                <w:szCs w:val="18"/>
                <w:u w:val="single"/>
                <w:lang w:val="en-GB" w:eastAsia="en-GB"/>
              </w:rPr>
              <w:t>3,236</w:t>
            </w:r>
          </w:p>
        </w:tc>
        <w:tc>
          <w:tcPr>
            <w:tcW w:w="1298" w:type="dxa"/>
            <w:vAlign w:val="bottom"/>
          </w:tcPr>
          <w:p w14:paraId="61527624" w14:textId="77777777" w:rsidR="00600A69" w:rsidRDefault="00600A69" w:rsidP="00B322A7">
            <w:pPr>
              <w:jc w:val="right"/>
              <w:outlineLvl w:val="1"/>
              <w:rPr>
                <w:b/>
                <w:bCs/>
                <w:color w:val="000000"/>
                <w:sz w:val="18"/>
                <w:szCs w:val="18"/>
                <w:u w:val="single"/>
                <w:lang w:val="en-GB" w:eastAsia="en-GB"/>
              </w:rPr>
            </w:pPr>
            <w:r>
              <w:rPr>
                <w:b/>
                <w:bCs/>
                <w:color w:val="000000"/>
                <w:sz w:val="18"/>
                <w:szCs w:val="18"/>
                <w:u w:val="single"/>
                <w:lang w:val="en-GB" w:eastAsia="en-GB"/>
              </w:rPr>
              <w:t>5,186</w:t>
            </w:r>
          </w:p>
        </w:tc>
        <w:tc>
          <w:tcPr>
            <w:tcW w:w="1175" w:type="dxa"/>
            <w:vAlign w:val="bottom"/>
          </w:tcPr>
          <w:p w14:paraId="338B1A85" w14:textId="77777777" w:rsidR="00600A69" w:rsidRDefault="00600A69" w:rsidP="00B322A7">
            <w:pPr>
              <w:jc w:val="right"/>
              <w:outlineLvl w:val="1"/>
              <w:rPr>
                <w:b/>
                <w:bCs/>
                <w:color w:val="000000"/>
                <w:sz w:val="18"/>
                <w:szCs w:val="18"/>
                <w:u w:val="single"/>
                <w:lang w:val="en-GB" w:eastAsia="en-GB"/>
              </w:rPr>
            </w:pPr>
            <w:r>
              <w:rPr>
                <w:b/>
                <w:bCs/>
                <w:color w:val="000000"/>
                <w:sz w:val="18"/>
                <w:szCs w:val="18"/>
                <w:u w:val="single"/>
                <w:lang w:val="en-GB" w:eastAsia="en-GB"/>
              </w:rPr>
              <w:t>4,159</w:t>
            </w:r>
          </w:p>
        </w:tc>
        <w:tc>
          <w:tcPr>
            <w:tcW w:w="1222" w:type="dxa"/>
            <w:vAlign w:val="bottom"/>
          </w:tcPr>
          <w:p w14:paraId="7A85392E" w14:textId="77777777" w:rsidR="00600A69" w:rsidRDefault="00600A69" w:rsidP="00B322A7">
            <w:pPr>
              <w:jc w:val="right"/>
              <w:outlineLvl w:val="1"/>
              <w:rPr>
                <w:b/>
                <w:bCs/>
                <w:color w:val="000000"/>
                <w:sz w:val="18"/>
                <w:szCs w:val="18"/>
                <w:u w:val="single"/>
                <w:lang w:val="en-GB" w:eastAsia="en-GB"/>
              </w:rPr>
            </w:pPr>
            <w:r>
              <w:rPr>
                <w:b/>
                <w:bCs/>
                <w:color w:val="000000"/>
                <w:sz w:val="18"/>
                <w:szCs w:val="18"/>
                <w:u w:val="single"/>
                <w:lang w:val="en-GB" w:eastAsia="en-GB"/>
              </w:rPr>
              <w:t>-</w:t>
            </w:r>
          </w:p>
        </w:tc>
        <w:tc>
          <w:tcPr>
            <w:tcW w:w="1333" w:type="dxa"/>
            <w:vAlign w:val="bottom"/>
          </w:tcPr>
          <w:p w14:paraId="63EF83E2" w14:textId="77777777" w:rsidR="00600A69" w:rsidRDefault="00600A69" w:rsidP="00B322A7">
            <w:pPr>
              <w:jc w:val="right"/>
              <w:outlineLvl w:val="1"/>
              <w:rPr>
                <w:b/>
                <w:bCs/>
                <w:color w:val="000000"/>
                <w:sz w:val="18"/>
                <w:szCs w:val="18"/>
                <w:u w:val="single"/>
                <w:lang w:val="en-GB" w:eastAsia="en-GB"/>
              </w:rPr>
            </w:pPr>
            <w:r>
              <w:rPr>
                <w:b/>
                <w:bCs/>
                <w:color w:val="000000"/>
                <w:sz w:val="18"/>
                <w:szCs w:val="18"/>
                <w:u w:val="single"/>
                <w:lang w:val="en-GB" w:eastAsia="en-GB"/>
              </w:rPr>
              <w:t>12,581</w:t>
            </w:r>
          </w:p>
        </w:tc>
      </w:tr>
      <w:tr w:rsidR="00600A69" w14:paraId="243EEC86" w14:textId="77777777" w:rsidTr="00B322A7">
        <w:trPr>
          <w:cantSplit/>
        </w:trPr>
        <w:tc>
          <w:tcPr>
            <w:tcW w:w="2350" w:type="dxa"/>
            <w:vAlign w:val="bottom"/>
          </w:tcPr>
          <w:p w14:paraId="74516B9D" w14:textId="77777777" w:rsidR="00600A69" w:rsidRDefault="00600A69" w:rsidP="00B322A7">
            <w:pPr>
              <w:jc w:val="both"/>
              <w:rPr>
                <w:sz w:val="18"/>
                <w:szCs w:val="18"/>
                <w:lang w:val="en-GB" w:eastAsia="en-GB"/>
              </w:rPr>
            </w:pPr>
            <w:r>
              <w:rPr>
                <w:sz w:val="18"/>
                <w:szCs w:val="18"/>
                <w:lang w:val="en-GB" w:eastAsia="en-GB"/>
              </w:rPr>
              <w:t>Property and development management fee income</w:t>
            </w:r>
          </w:p>
        </w:tc>
        <w:tc>
          <w:tcPr>
            <w:tcW w:w="1108" w:type="dxa"/>
            <w:vAlign w:val="bottom"/>
          </w:tcPr>
          <w:p w14:paraId="729A5B72"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230</w:t>
            </w:r>
          </w:p>
        </w:tc>
        <w:tc>
          <w:tcPr>
            <w:tcW w:w="1298" w:type="dxa"/>
            <w:vAlign w:val="bottom"/>
          </w:tcPr>
          <w:p w14:paraId="26B31688"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271</w:t>
            </w:r>
          </w:p>
        </w:tc>
        <w:tc>
          <w:tcPr>
            <w:tcW w:w="1175" w:type="dxa"/>
            <w:vAlign w:val="bottom"/>
          </w:tcPr>
          <w:p w14:paraId="3F742B75"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137</w:t>
            </w:r>
          </w:p>
        </w:tc>
        <w:tc>
          <w:tcPr>
            <w:tcW w:w="1222" w:type="dxa"/>
            <w:vAlign w:val="bottom"/>
          </w:tcPr>
          <w:p w14:paraId="66B40F5A"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w:t>
            </w:r>
          </w:p>
        </w:tc>
        <w:tc>
          <w:tcPr>
            <w:tcW w:w="1333" w:type="dxa"/>
            <w:vAlign w:val="bottom"/>
          </w:tcPr>
          <w:p w14:paraId="24BDE675"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638</w:t>
            </w:r>
          </w:p>
        </w:tc>
      </w:tr>
      <w:tr w:rsidR="00600A69" w14:paraId="0F2599B3" w14:textId="77777777" w:rsidTr="00B322A7">
        <w:trPr>
          <w:cantSplit/>
        </w:trPr>
        <w:tc>
          <w:tcPr>
            <w:tcW w:w="2350" w:type="dxa"/>
            <w:vAlign w:val="bottom"/>
          </w:tcPr>
          <w:p w14:paraId="1D04983D" w14:textId="77777777" w:rsidR="00600A69" w:rsidRDefault="00600A69" w:rsidP="00B322A7">
            <w:pPr>
              <w:jc w:val="both"/>
              <w:rPr>
                <w:sz w:val="18"/>
                <w:szCs w:val="18"/>
                <w:lang w:val="en-GB" w:eastAsia="en-GB"/>
              </w:rPr>
            </w:pPr>
            <w:r>
              <w:rPr>
                <w:sz w:val="18"/>
                <w:szCs w:val="18"/>
                <w:lang w:val="en-GB" w:eastAsia="en-GB"/>
              </w:rPr>
              <w:t>Facility management income</w:t>
            </w:r>
          </w:p>
        </w:tc>
        <w:tc>
          <w:tcPr>
            <w:tcW w:w="1108" w:type="dxa"/>
            <w:vAlign w:val="bottom"/>
          </w:tcPr>
          <w:p w14:paraId="5451218B"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239</w:t>
            </w:r>
          </w:p>
        </w:tc>
        <w:tc>
          <w:tcPr>
            <w:tcW w:w="1298" w:type="dxa"/>
            <w:vAlign w:val="bottom"/>
          </w:tcPr>
          <w:p w14:paraId="4780B2FA"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w:t>
            </w:r>
          </w:p>
        </w:tc>
        <w:tc>
          <w:tcPr>
            <w:tcW w:w="1175" w:type="dxa"/>
            <w:vAlign w:val="bottom"/>
          </w:tcPr>
          <w:p w14:paraId="2F5F06B9"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w:t>
            </w:r>
          </w:p>
        </w:tc>
        <w:tc>
          <w:tcPr>
            <w:tcW w:w="1222" w:type="dxa"/>
            <w:vAlign w:val="bottom"/>
          </w:tcPr>
          <w:p w14:paraId="6B91C23E"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w:t>
            </w:r>
          </w:p>
        </w:tc>
        <w:tc>
          <w:tcPr>
            <w:tcW w:w="1333" w:type="dxa"/>
            <w:vAlign w:val="bottom"/>
          </w:tcPr>
          <w:p w14:paraId="51D5B8F6"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239</w:t>
            </w:r>
          </w:p>
        </w:tc>
      </w:tr>
      <w:tr w:rsidR="00600A69" w14:paraId="5348D8FD" w14:textId="77777777" w:rsidTr="00B322A7">
        <w:trPr>
          <w:cantSplit/>
        </w:trPr>
        <w:tc>
          <w:tcPr>
            <w:tcW w:w="2350" w:type="dxa"/>
            <w:vAlign w:val="bottom"/>
          </w:tcPr>
          <w:p w14:paraId="308623D2" w14:textId="77777777" w:rsidR="00600A69" w:rsidRDefault="00600A69" w:rsidP="00B322A7">
            <w:pPr>
              <w:jc w:val="both"/>
              <w:rPr>
                <w:sz w:val="18"/>
                <w:szCs w:val="18"/>
                <w:lang w:val="en-GB" w:eastAsia="en-GB"/>
              </w:rPr>
            </w:pPr>
            <w:r>
              <w:rPr>
                <w:sz w:val="18"/>
                <w:szCs w:val="18"/>
                <w:lang w:val="en-GB" w:eastAsia="en-GB"/>
              </w:rPr>
              <w:t xml:space="preserve">Net valuation gains / (losses) </w:t>
            </w:r>
          </w:p>
        </w:tc>
        <w:tc>
          <w:tcPr>
            <w:tcW w:w="1108" w:type="dxa"/>
            <w:vAlign w:val="bottom"/>
          </w:tcPr>
          <w:p w14:paraId="2519072F"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11,032</w:t>
            </w:r>
          </w:p>
        </w:tc>
        <w:tc>
          <w:tcPr>
            <w:tcW w:w="1298" w:type="dxa"/>
            <w:vAlign w:val="bottom"/>
          </w:tcPr>
          <w:p w14:paraId="4C354C06"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13,814</w:t>
            </w:r>
          </w:p>
        </w:tc>
        <w:tc>
          <w:tcPr>
            <w:tcW w:w="1175" w:type="dxa"/>
            <w:vAlign w:val="bottom"/>
          </w:tcPr>
          <w:p w14:paraId="33B253A1"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1,178</w:t>
            </w:r>
          </w:p>
        </w:tc>
        <w:tc>
          <w:tcPr>
            <w:tcW w:w="1222" w:type="dxa"/>
            <w:vAlign w:val="bottom"/>
          </w:tcPr>
          <w:p w14:paraId="5B3F0BF9"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39,103</w:t>
            </w:r>
          </w:p>
        </w:tc>
        <w:tc>
          <w:tcPr>
            <w:tcW w:w="1333" w:type="dxa"/>
            <w:vAlign w:val="bottom"/>
          </w:tcPr>
          <w:p w14:paraId="1CBB2A0C"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65,127</w:t>
            </w:r>
          </w:p>
        </w:tc>
      </w:tr>
      <w:tr w:rsidR="00600A69" w14:paraId="6DA4D732" w14:textId="77777777" w:rsidTr="00B322A7">
        <w:trPr>
          <w:cantSplit/>
        </w:trPr>
        <w:tc>
          <w:tcPr>
            <w:tcW w:w="2350" w:type="dxa"/>
            <w:vAlign w:val="bottom"/>
          </w:tcPr>
          <w:p w14:paraId="2CB93874" w14:textId="77777777" w:rsidR="00600A69" w:rsidRDefault="00600A69" w:rsidP="00B322A7">
            <w:pPr>
              <w:jc w:val="both"/>
              <w:rPr>
                <w:sz w:val="18"/>
                <w:szCs w:val="18"/>
                <w:lang w:val="en-GB" w:eastAsia="en-GB"/>
              </w:rPr>
            </w:pPr>
            <w:r>
              <w:rPr>
                <w:sz w:val="18"/>
                <w:szCs w:val="18"/>
                <w:lang w:val="en-GB" w:eastAsia="en-GB"/>
              </w:rPr>
              <w:t>Other income / (expenses) - incl. Administrative costs</w:t>
            </w:r>
          </w:p>
        </w:tc>
        <w:tc>
          <w:tcPr>
            <w:tcW w:w="1108" w:type="dxa"/>
            <w:vAlign w:val="bottom"/>
          </w:tcPr>
          <w:p w14:paraId="58B78C1C"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(1,053)</w:t>
            </w:r>
          </w:p>
        </w:tc>
        <w:tc>
          <w:tcPr>
            <w:tcW w:w="1298" w:type="dxa"/>
            <w:vAlign w:val="bottom"/>
          </w:tcPr>
          <w:p w14:paraId="14870370"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(1,713)</w:t>
            </w:r>
          </w:p>
        </w:tc>
        <w:tc>
          <w:tcPr>
            <w:tcW w:w="1175" w:type="dxa"/>
            <w:vAlign w:val="bottom"/>
          </w:tcPr>
          <w:p w14:paraId="1A9B9D6E"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(1,562)</w:t>
            </w:r>
          </w:p>
        </w:tc>
        <w:tc>
          <w:tcPr>
            <w:tcW w:w="1222" w:type="dxa"/>
            <w:vAlign w:val="bottom"/>
          </w:tcPr>
          <w:p w14:paraId="5EF35236"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(930)</w:t>
            </w:r>
          </w:p>
        </w:tc>
        <w:tc>
          <w:tcPr>
            <w:tcW w:w="1333" w:type="dxa"/>
            <w:vAlign w:val="bottom"/>
          </w:tcPr>
          <w:p w14:paraId="37A5C5DF" w14:textId="77777777" w:rsidR="00600A69" w:rsidRDefault="00600A69" w:rsidP="00B322A7">
            <w:pPr>
              <w:jc w:val="right"/>
              <w:outlineLvl w:val="1"/>
              <w:rPr>
                <w:color w:val="000000"/>
                <w:sz w:val="18"/>
                <w:szCs w:val="18"/>
                <w:lang w:val="en-GB" w:eastAsia="en-GB"/>
              </w:rPr>
            </w:pPr>
            <w:r>
              <w:rPr>
                <w:color w:val="000000"/>
                <w:sz w:val="18"/>
                <w:szCs w:val="18"/>
                <w:lang w:val="en-GB" w:eastAsia="en-GB"/>
              </w:rPr>
              <w:t>(5,258)</w:t>
            </w:r>
          </w:p>
        </w:tc>
      </w:tr>
      <w:tr w:rsidR="00600A69" w14:paraId="42D490CC" w14:textId="77777777" w:rsidTr="00B322A7">
        <w:trPr>
          <w:cantSplit/>
        </w:trPr>
        <w:tc>
          <w:tcPr>
            <w:tcW w:w="2350" w:type="dxa"/>
            <w:vAlign w:val="bottom"/>
          </w:tcPr>
          <w:p w14:paraId="67E09B8A" w14:textId="77777777" w:rsidR="00600A69" w:rsidRDefault="00600A69" w:rsidP="00B322A7">
            <w:pPr>
              <w:jc w:val="both"/>
              <w:rPr>
                <w:bCs/>
                <w:sz w:val="18"/>
                <w:szCs w:val="18"/>
                <w:lang w:val="en-GB" w:eastAsia="en-GB"/>
              </w:rPr>
            </w:pPr>
            <w:r>
              <w:rPr>
                <w:bCs/>
                <w:sz w:val="18"/>
                <w:szCs w:val="18"/>
                <w:lang w:val="en-GB" w:eastAsia="en-GB"/>
              </w:rPr>
              <w:t>Share in the result of joint venture and associates</w:t>
            </w:r>
          </w:p>
        </w:tc>
        <w:tc>
          <w:tcPr>
            <w:tcW w:w="1108" w:type="dxa"/>
            <w:vAlign w:val="bottom"/>
          </w:tcPr>
          <w:p w14:paraId="2EBBD912" w14:textId="77777777" w:rsidR="00600A69" w:rsidRDefault="00600A69" w:rsidP="00B322A7">
            <w:pPr>
              <w:jc w:val="right"/>
              <w:outlineLvl w:val="1"/>
              <w:rPr>
                <w:color w:val="000000"/>
                <w:sz w:val="18"/>
                <w:szCs w:val="18"/>
                <w:u w:val="single"/>
                <w:lang w:val="en-GB" w:eastAsia="en-GB"/>
              </w:rPr>
            </w:pPr>
            <w:r>
              <w:rPr>
                <w:color w:val="000000"/>
                <w:sz w:val="18"/>
                <w:szCs w:val="18"/>
                <w:u w:val="single"/>
                <w:lang w:val="en-GB" w:eastAsia="en-GB"/>
              </w:rPr>
              <w:t>-</w:t>
            </w:r>
          </w:p>
        </w:tc>
        <w:tc>
          <w:tcPr>
            <w:tcW w:w="1298" w:type="dxa"/>
            <w:vAlign w:val="bottom"/>
          </w:tcPr>
          <w:p w14:paraId="77835C81" w14:textId="77777777" w:rsidR="00600A69" w:rsidRDefault="00600A69" w:rsidP="00B322A7">
            <w:pPr>
              <w:jc w:val="right"/>
              <w:outlineLvl w:val="1"/>
              <w:rPr>
                <w:color w:val="000000"/>
                <w:sz w:val="18"/>
                <w:szCs w:val="18"/>
                <w:u w:val="single"/>
                <w:lang w:val="en-GB" w:eastAsia="en-GB"/>
              </w:rPr>
            </w:pPr>
            <w:r>
              <w:rPr>
                <w:color w:val="000000"/>
                <w:sz w:val="18"/>
                <w:szCs w:val="18"/>
                <w:u w:val="single"/>
                <w:lang w:val="en-GB" w:eastAsia="en-GB"/>
              </w:rPr>
              <w:t>-</w:t>
            </w:r>
          </w:p>
        </w:tc>
        <w:tc>
          <w:tcPr>
            <w:tcW w:w="1175" w:type="dxa"/>
            <w:vAlign w:val="bottom"/>
          </w:tcPr>
          <w:p w14:paraId="0580C052" w14:textId="77777777" w:rsidR="00600A69" w:rsidRDefault="00600A69" w:rsidP="00B322A7">
            <w:pPr>
              <w:jc w:val="right"/>
              <w:outlineLvl w:val="1"/>
              <w:rPr>
                <w:color w:val="000000"/>
                <w:sz w:val="18"/>
                <w:szCs w:val="18"/>
                <w:u w:val="single"/>
                <w:lang w:val="en-GB" w:eastAsia="en-GB"/>
              </w:rPr>
            </w:pPr>
            <w:r>
              <w:rPr>
                <w:color w:val="000000"/>
                <w:sz w:val="18"/>
                <w:szCs w:val="18"/>
                <w:u w:val="single"/>
                <w:lang w:val="en-GB" w:eastAsia="en-GB"/>
              </w:rPr>
              <w:t>-</w:t>
            </w:r>
          </w:p>
        </w:tc>
        <w:tc>
          <w:tcPr>
            <w:tcW w:w="1222" w:type="dxa"/>
            <w:vAlign w:val="bottom"/>
          </w:tcPr>
          <w:p w14:paraId="375EBC37" w14:textId="77777777" w:rsidR="00600A69" w:rsidRDefault="00600A69" w:rsidP="00B322A7">
            <w:pPr>
              <w:jc w:val="right"/>
              <w:outlineLvl w:val="1"/>
              <w:rPr>
                <w:color w:val="000000"/>
                <w:sz w:val="18"/>
                <w:szCs w:val="18"/>
                <w:u w:val="single"/>
                <w:lang w:val="en-GB" w:eastAsia="en-GB"/>
              </w:rPr>
            </w:pPr>
            <w:r>
              <w:rPr>
                <w:color w:val="000000"/>
                <w:sz w:val="18"/>
                <w:szCs w:val="18"/>
                <w:u w:val="single"/>
                <w:lang w:val="en-GB" w:eastAsia="en-GB"/>
              </w:rPr>
              <w:t>(3,279)</w:t>
            </w:r>
          </w:p>
        </w:tc>
        <w:tc>
          <w:tcPr>
            <w:tcW w:w="1333" w:type="dxa"/>
            <w:vAlign w:val="bottom"/>
          </w:tcPr>
          <w:p w14:paraId="48676D2F" w14:textId="77777777" w:rsidR="00600A69" w:rsidRDefault="00600A69" w:rsidP="00B322A7">
            <w:pPr>
              <w:jc w:val="right"/>
              <w:outlineLvl w:val="1"/>
              <w:rPr>
                <w:color w:val="000000"/>
                <w:sz w:val="18"/>
                <w:szCs w:val="18"/>
                <w:u w:val="single"/>
                <w:lang w:val="en-GB" w:eastAsia="en-GB"/>
              </w:rPr>
            </w:pPr>
            <w:r>
              <w:rPr>
                <w:color w:val="000000"/>
                <w:sz w:val="18"/>
                <w:szCs w:val="18"/>
                <w:u w:val="single"/>
                <w:lang w:val="en-GB" w:eastAsia="en-GB"/>
              </w:rPr>
              <w:t>(3,279)</w:t>
            </w:r>
          </w:p>
        </w:tc>
      </w:tr>
      <w:tr w:rsidR="00600A69" w14:paraId="4148C7BE" w14:textId="77777777" w:rsidTr="00B322A7">
        <w:trPr>
          <w:cantSplit/>
        </w:trPr>
        <w:tc>
          <w:tcPr>
            <w:tcW w:w="2350" w:type="dxa"/>
            <w:vAlign w:val="bottom"/>
          </w:tcPr>
          <w:p w14:paraId="6FC3AB16" w14:textId="77777777" w:rsidR="00600A69" w:rsidRDefault="00600A69" w:rsidP="00B322A7">
            <w:pPr>
              <w:jc w:val="both"/>
              <w:rPr>
                <w:b/>
                <w:bCs/>
                <w:sz w:val="18"/>
                <w:szCs w:val="18"/>
                <w:lang w:val="en-GB"/>
              </w:rPr>
            </w:pPr>
            <w:r>
              <w:rPr>
                <w:b/>
                <w:bCs/>
                <w:sz w:val="18"/>
                <w:szCs w:val="18"/>
                <w:lang w:val="en-GB"/>
              </w:rPr>
              <w:t>Operating profit / (loss)</w:t>
            </w:r>
          </w:p>
        </w:tc>
        <w:tc>
          <w:tcPr>
            <w:tcW w:w="1108" w:type="dxa"/>
            <w:vAlign w:val="bottom"/>
          </w:tcPr>
          <w:p w14:paraId="4087680C" w14:textId="77777777" w:rsidR="00600A69" w:rsidRDefault="00600A69" w:rsidP="00B322A7">
            <w:pPr>
              <w:jc w:val="right"/>
              <w:outlineLvl w:val="1"/>
              <w:rPr>
                <w:b/>
                <w:bCs/>
                <w:color w:val="000000"/>
                <w:sz w:val="18"/>
                <w:szCs w:val="18"/>
                <w:u w:val="double"/>
                <w:lang w:val="en-GB" w:eastAsia="en-GB"/>
              </w:rPr>
            </w:pPr>
            <w:r>
              <w:rPr>
                <w:b/>
                <w:bCs/>
                <w:color w:val="000000"/>
                <w:sz w:val="18"/>
                <w:szCs w:val="18"/>
                <w:u w:val="double"/>
                <w:lang w:val="en-GB" w:eastAsia="en-GB"/>
              </w:rPr>
              <w:t>13,684</w:t>
            </w:r>
          </w:p>
        </w:tc>
        <w:tc>
          <w:tcPr>
            <w:tcW w:w="1298" w:type="dxa"/>
            <w:vAlign w:val="bottom"/>
          </w:tcPr>
          <w:p w14:paraId="25AF7458" w14:textId="77777777" w:rsidR="00600A69" w:rsidRDefault="00600A69" w:rsidP="00B322A7">
            <w:pPr>
              <w:jc w:val="right"/>
              <w:outlineLvl w:val="1"/>
              <w:rPr>
                <w:b/>
                <w:bCs/>
                <w:color w:val="000000"/>
                <w:sz w:val="18"/>
                <w:szCs w:val="18"/>
                <w:u w:val="double"/>
                <w:lang w:val="en-GB" w:eastAsia="en-GB"/>
              </w:rPr>
            </w:pPr>
            <w:r>
              <w:rPr>
                <w:b/>
                <w:bCs/>
                <w:color w:val="000000"/>
                <w:sz w:val="18"/>
                <w:szCs w:val="18"/>
                <w:u w:val="double"/>
                <w:lang w:val="en-GB" w:eastAsia="en-GB"/>
              </w:rPr>
              <w:t>17,558</w:t>
            </w:r>
          </w:p>
        </w:tc>
        <w:tc>
          <w:tcPr>
            <w:tcW w:w="1175" w:type="dxa"/>
            <w:vAlign w:val="bottom"/>
          </w:tcPr>
          <w:p w14:paraId="570F2198" w14:textId="77777777" w:rsidR="00600A69" w:rsidRDefault="00600A69" w:rsidP="00B322A7">
            <w:pPr>
              <w:jc w:val="right"/>
              <w:outlineLvl w:val="1"/>
              <w:rPr>
                <w:b/>
                <w:bCs/>
                <w:color w:val="000000"/>
                <w:sz w:val="18"/>
                <w:szCs w:val="18"/>
                <w:u w:val="double"/>
                <w:lang w:val="en-GB" w:eastAsia="en-GB"/>
              </w:rPr>
            </w:pPr>
            <w:r>
              <w:rPr>
                <w:b/>
                <w:bCs/>
                <w:color w:val="000000"/>
                <w:sz w:val="18"/>
                <w:szCs w:val="18"/>
                <w:u w:val="double"/>
                <w:lang w:val="en-GB" w:eastAsia="en-GB"/>
              </w:rPr>
              <w:t>3,912</w:t>
            </w:r>
          </w:p>
        </w:tc>
        <w:tc>
          <w:tcPr>
            <w:tcW w:w="1222" w:type="dxa"/>
            <w:vAlign w:val="bottom"/>
          </w:tcPr>
          <w:p w14:paraId="7A88A4F3" w14:textId="77777777" w:rsidR="00600A69" w:rsidRDefault="00600A69" w:rsidP="00B322A7">
            <w:pPr>
              <w:jc w:val="right"/>
              <w:outlineLvl w:val="1"/>
              <w:rPr>
                <w:b/>
                <w:bCs/>
                <w:color w:val="000000"/>
                <w:sz w:val="18"/>
                <w:szCs w:val="18"/>
                <w:u w:val="double"/>
                <w:lang w:val="en-GB" w:eastAsia="en-GB"/>
              </w:rPr>
            </w:pPr>
            <w:r>
              <w:rPr>
                <w:b/>
                <w:bCs/>
                <w:color w:val="000000"/>
                <w:sz w:val="18"/>
                <w:szCs w:val="18"/>
                <w:u w:val="double"/>
                <w:lang w:val="en-GB" w:eastAsia="en-GB"/>
              </w:rPr>
              <w:t>34,894</w:t>
            </w:r>
          </w:p>
        </w:tc>
        <w:tc>
          <w:tcPr>
            <w:tcW w:w="1333" w:type="dxa"/>
            <w:vAlign w:val="bottom"/>
          </w:tcPr>
          <w:p w14:paraId="672CEB39" w14:textId="77777777" w:rsidR="00600A69" w:rsidRDefault="00600A69" w:rsidP="00B322A7">
            <w:pPr>
              <w:jc w:val="right"/>
              <w:outlineLvl w:val="1"/>
              <w:rPr>
                <w:b/>
                <w:bCs/>
                <w:color w:val="000000"/>
                <w:sz w:val="18"/>
                <w:szCs w:val="18"/>
                <w:u w:val="double"/>
                <w:lang w:val="en-GB" w:eastAsia="en-GB"/>
              </w:rPr>
            </w:pPr>
            <w:r>
              <w:rPr>
                <w:b/>
                <w:bCs/>
                <w:color w:val="000000"/>
                <w:sz w:val="18"/>
                <w:szCs w:val="18"/>
                <w:u w:val="double"/>
                <w:lang w:val="en-GB" w:eastAsia="en-GB"/>
              </w:rPr>
              <w:t>70,048</w:t>
            </w:r>
          </w:p>
        </w:tc>
      </w:tr>
    </w:tbl>
    <w:p w14:paraId="407A75F0" w14:textId="77777777" w:rsidR="001D1FD6" w:rsidRDefault="001D1FD6" w:rsidP="001D1FD6">
      <w:pPr>
        <w:spacing w:after="240"/>
        <w:jc w:val="both"/>
        <w:rPr>
          <w:rFonts w:cs="Arabic Transparent"/>
          <w:color w:val="000000"/>
          <w:sz w:val="18"/>
          <w:szCs w:val="18"/>
        </w:rPr>
      </w:pPr>
    </w:p>
    <w:p w14:paraId="71BAA071" w14:textId="77777777" w:rsidR="001D1FD6" w:rsidRDefault="001D1FD6" w:rsidP="001D1FD6">
      <w:pPr>
        <w:jc w:val="both"/>
        <w:rPr>
          <w:rFonts w:cs="Arabic Transparent"/>
          <w:sz w:val="18"/>
          <w:szCs w:val="18"/>
          <w:lang w:val="en-GB"/>
        </w:rPr>
      </w:pPr>
    </w:p>
    <w:tbl>
      <w:tblPr>
        <w:tblW w:w="425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2293"/>
        <w:gridCol w:w="1082"/>
        <w:gridCol w:w="1268"/>
        <w:gridCol w:w="1148"/>
        <w:gridCol w:w="1193"/>
        <w:gridCol w:w="1301"/>
      </w:tblGrid>
      <w:tr w:rsidR="00600A69" w14:paraId="4FD67657" w14:textId="77777777" w:rsidTr="00B322A7">
        <w:trPr>
          <w:cantSplit/>
        </w:trPr>
        <w:tc>
          <w:tcPr>
            <w:tcW w:w="2353" w:type="dxa"/>
          </w:tcPr>
          <w:p w14:paraId="65441CD5" w14:textId="77777777" w:rsidR="00600A69" w:rsidRDefault="00600A69" w:rsidP="00B322A7">
            <w:pPr>
              <w:jc w:val="both"/>
              <w:rPr>
                <w:b/>
                <w:sz w:val="18"/>
                <w:szCs w:val="18"/>
                <w:lang w:val="en-GB"/>
              </w:rPr>
            </w:pPr>
            <w:r>
              <w:rPr>
                <w:b/>
                <w:sz w:val="18"/>
                <w:szCs w:val="18"/>
                <w:lang w:val="en-GB"/>
              </w:rPr>
              <w:t>Income Statement</w:t>
            </w:r>
          </w:p>
        </w:tc>
        <w:tc>
          <w:tcPr>
            <w:tcW w:w="6133" w:type="dxa"/>
            <w:gridSpan w:val="5"/>
          </w:tcPr>
          <w:p w14:paraId="0112F891" w14:textId="77777777" w:rsidR="00600A69" w:rsidRDefault="00600A69" w:rsidP="00B322A7">
            <w:pPr>
              <w:pBdr>
                <w:bottom w:val="single" w:sz="2" w:space="1" w:color="auto"/>
              </w:pBdr>
              <w:jc w:val="center"/>
              <w:rPr>
                <w:b/>
                <w:sz w:val="18"/>
                <w:szCs w:val="18"/>
              </w:rPr>
            </w:pPr>
            <w:r>
              <w:rPr>
                <w:b/>
                <w:sz w:val="18"/>
                <w:szCs w:val="18"/>
              </w:rPr>
              <w:t>For the year ended 31-Dec-2016</w:t>
            </w:r>
          </w:p>
        </w:tc>
      </w:tr>
      <w:tr w:rsidR="00600A69" w14:paraId="5061FD87" w14:textId="77777777" w:rsidTr="00B322A7">
        <w:trPr>
          <w:cantSplit/>
        </w:trPr>
        <w:tc>
          <w:tcPr>
            <w:tcW w:w="2353" w:type="dxa"/>
            <w:vMerge w:val="restart"/>
          </w:tcPr>
          <w:p w14:paraId="7186D320" w14:textId="77777777" w:rsidR="00600A69" w:rsidRDefault="00600A69" w:rsidP="00B322A7">
            <w:pPr>
              <w:jc w:val="both"/>
              <w:rPr>
                <w:sz w:val="18"/>
                <w:szCs w:val="18"/>
                <w:lang w:val="en-GB"/>
              </w:rPr>
            </w:pPr>
          </w:p>
        </w:tc>
        <w:tc>
          <w:tcPr>
            <w:tcW w:w="1107" w:type="dxa"/>
          </w:tcPr>
          <w:p w14:paraId="5C5E7107" w14:textId="77777777" w:rsidR="00600A69" w:rsidRDefault="00600A69" w:rsidP="00B322A7">
            <w:pPr>
              <w:pBdr>
                <w:bottom w:val="single" w:sz="2" w:space="1" w:color="auto"/>
              </w:pBdr>
              <w:jc w:val="center"/>
              <w:rPr>
                <w:b/>
                <w:sz w:val="18"/>
                <w:szCs w:val="18"/>
              </w:rPr>
            </w:pPr>
            <w:r>
              <w:rPr>
                <w:b/>
                <w:sz w:val="18"/>
                <w:szCs w:val="18"/>
              </w:rPr>
              <w:t>Czech Republic</w:t>
            </w:r>
          </w:p>
        </w:tc>
        <w:tc>
          <w:tcPr>
            <w:tcW w:w="1298" w:type="dxa"/>
          </w:tcPr>
          <w:p w14:paraId="2E2303DE" w14:textId="77777777" w:rsidR="00600A69" w:rsidRDefault="00600A69" w:rsidP="00B322A7">
            <w:pPr>
              <w:pBdr>
                <w:bottom w:val="single" w:sz="2" w:space="1" w:color="auto"/>
              </w:pBdr>
              <w:jc w:val="center"/>
              <w:rPr>
                <w:b/>
                <w:sz w:val="18"/>
                <w:szCs w:val="18"/>
              </w:rPr>
            </w:pPr>
          </w:p>
          <w:p w14:paraId="10582BD3" w14:textId="77777777" w:rsidR="00600A69" w:rsidRDefault="00600A69" w:rsidP="00B322A7">
            <w:pPr>
              <w:pBdr>
                <w:bottom w:val="single" w:sz="2" w:space="1" w:color="auto"/>
              </w:pBdr>
              <w:jc w:val="center"/>
              <w:rPr>
                <w:b/>
                <w:sz w:val="18"/>
                <w:szCs w:val="18"/>
              </w:rPr>
            </w:pPr>
            <w:r>
              <w:rPr>
                <w:b/>
                <w:sz w:val="18"/>
                <w:szCs w:val="18"/>
              </w:rPr>
              <w:t>Germany</w:t>
            </w:r>
          </w:p>
        </w:tc>
        <w:tc>
          <w:tcPr>
            <w:tcW w:w="1175" w:type="dxa"/>
          </w:tcPr>
          <w:p w14:paraId="2195FEC4" w14:textId="77777777" w:rsidR="00600A69" w:rsidRDefault="00600A69" w:rsidP="00B322A7">
            <w:pPr>
              <w:pBdr>
                <w:bottom w:val="single" w:sz="2" w:space="1" w:color="auto"/>
              </w:pBdr>
              <w:jc w:val="center"/>
              <w:rPr>
                <w:b/>
                <w:sz w:val="18"/>
                <w:szCs w:val="18"/>
              </w:rPr>
            </w:pPr>
            <w:r>
              <w:rPr>
                <w:b/>
                <w:sz w:val="18"/>
                <w:szCs w:val="18"/>
              </w:rPr>
              <w:t>Other Countries</w:t>
            </w:r>
          </w:p>
        </w:tc>
        <w:tc>
          <w:tcPr>
            <w:tcW w:w="1221" w:type="dxa"/>
          </w:tcPr>
          <w:p w14:paraId="125B7920" w14:textId="77777777" w:rsidR="00600A69" w:rsidRDefault="00600A69" w:rsidP="00B322A7">
            <w:pPr>
              <w:pBdr>
                <w:bottom w:val="single" w:sz="2" w:space="1" w:color="auto"/>
              </w:pBdr>
              <w:jc w:val="center"/>
              <w:rPr>
                <w:b/>
                <w:sz w:val="18"/>
                <w:szCs w:val="18"/>
              </w:rPr>
            </w:pPr>
          </w:p>
          <w:p w14:paraId="5A4284E2" w14:textId="77777777" w:rsidR="00600A69" w:rsidRDefault="00600A69" w:rsidP="00B322A7">
            <w:pPr>
              <w:pBdr>
                <w:bottom w:val="single" w:sz="2" w:space="1" w:color="auto"/>
              </w:pBdr>
              <w:jc w:val="center"/>
              <w:rPr>
                <w:b/>
                <w:sz w:val="18"/>
                <w:szCs w:val="18"/>
              </w:rPr>
            </w:pPr>
            <w:r>
              <w:rPr>
                <w:b/>
                <w:sz w:val="18"/>
                <w:szCs w:val="18"/>
              </w:rPr>
              <w:t>Unallocated</w:t>
            </w:r>
          </w:p>
        </w:tc>
        <w:tc>
          <w:tcPr>
            <w:tcW w:w="1332" w:type="dxa"/>
          </w:tcPr>
          <w:p w14:paraId="44F0BE26" w14:textId="77777777" w:rsidR="00600A69" w:rsidRDefault="00600A69" w:rsidP="00B322A7">
            <w:pPr>
              <w:pBdr>
                <w:bottom w:val="single" w:sz="2" w:space="1" w:color="auto"/>
              </w:pBdr>
              <w:jc w:val="center"/>
              <w:rPr>
                <w:b/>
                <w:sz w:val="18"/>
                <w:szCs w:val="18"/>
              </w:rPr>
            </w:pPr>
          </w:p>
          <w:p w14:paraId="62BB8ECB" w14:textId="77777777" w:rsidR="00600A69" w:rsidRDefault="00600A69" w:rsidP="00B322A7">
            <w:pPr>
              <w:pBdr>
                <w:bottom w:val="single" w:sz="2" w:space="1" w:color="auto"/>
              </w:pBdr>
              <w:jc w:val="center"/>
              <w:rPr>
                <w:b/>
                <w:sz w:val="18"/>
                <w:szCs w:val="18"/>
              </w:rPr>
            </w:pPr>
            <w:r>
              <w:rPr>
                <w:b/>
                <w:sz w:val="18"/>
                <w:szCs w:val="18"/>
              </w:rPr>
              <w:t>Total</w:t>
            </w:r>
          </w:p>
        </w:tc>
      </w:tr>
      <w:tr w:rsidR="00600A69" w14:paraId="364FA162" w14:textId="77777777" w:rsidTr="00B322A7">
        <w:trPr>
          <w:cantSplit/>
        </w:trPr>
        <w:tc>
          <w:tcPr>
            <w:tcW w:w="2353" w:type="dxa"/>
            <w:vMerge/>
          </w:tcPr>
          <w:p w14:paraId="5A480094" w14:textId="77777777" w:rsidR="00600A69" w:rsidRDefault="00600A69" w:rsidP="00B322A7">
            <w:pPr>
              <w:jc w:val="both"/>
              <w:rPr>
                <w:sz w:val="18"/>
                <w:szCs w:val="18"/>
                <w:lang w:val="en-GB"/>
              </w:rPr>
            </w:pPr>
          </w:p>
        </w:tc>
        <w:tc>
          <w:tcPr>
            <w:tcW w:w="6133" w:type="dxa"/>
            <w:gridSpan w:val="5"/>
          </w:tcPr>
          <w:p w14:paraId="174B141F" w14:textId="77777777" w:rsidR="00600A69" w:rsidRDefault="00600A69" w:rsidP="00B322A7">
            <w:pPr>
              <w:jc w:val="center"/>
              <w:rPr>
                <w:sz w:val="18"/>
                <w:szCs w:val="18"/>
                <w:lang w:val="en-GB"/>
              </w:rPr>
            </w:pPr>
            <w:r>
              <w:rPr>
                <w:sz w:val="18"/>
                <w:szCs w:val="18"/>
              </w:rPr>
              <w:t>(</w:t>
            </w:r>
            <w:r>
              <w:rPr>
                <w:i/>
                <w:sz w:val="18"/>
                <w:szCs w:val="18"/>
              </w:rPr>
              <w:t xml:space="preserve">in thousands of </w:t>
            </w:r>
            <w:r>
              <w:rPr>
                <w:bCs/>
                <w:i/>
                <w:sz w:val="18"/>
                <w:szCs w:val="18"/>
              </w:rPr>
              <w:t>€</w:t>
            </w:r>
            <w:r>
              <w:rPr>
                <w:sz w:val="18"/>
                <w:szCs w:val="18"/>
              </w:rPr>
              <w:t>)</w:t>
            </w:r>
          </w:p>
        </w:tc>
      </w:tr>
      <w:tr w:rsidR="00600A69" w14:paraId="1F68A709" w14:textId="77777777" w:rsidTr="00B322A7">
        <w:trPr>
          <w:cantSplit/>
        </w:trPr>
        <w:tc>
          <w:tcPr>
            <w:tcW w:w="2353" w:type="dxa"/>
            <w:vAlign w:val="bottom"/>
          </w:tcPr>
          <w:p w14:paraId="27EF0851" w14:textId="77777777" w:rsidR="00600A69" w:rsidRDefault="00600A69" w:rsidP="00B322A7">
            <w:pPr>
              <w:jc w:val="both"/>
              <w:rPr>
                <w:sz w:val="18"/>
                <w:szCs w:val="18"/>
                <w:lang w:val="en-GB" w:eastAsia="en-GB"/>
              </w:rPr>
            </w:pPr>
            <w:r>
              <w:rPr>
                <w:sz w:val="18"/>
                <w:szCs w:val="18"/>
                <w:lang w:val="en-GB" w:eastAsia="en-GB"/>
              </w:rPr>
              <w:t>Gross rental income</w:t>
            </w:r>
          </w:p>
        </w:tc>
        <w:tc>
          <w:tcPr>
            <w:tcW w:w="1107" w:type="dxa"/>
            <w:vAlign w:val="bottom"/>
          </w:tcPr>
          <w:p w14:paraId="181ECB7E" w14:textId="77777777" w:rsidR="00600A69" w:rsidRDefault="00600A69" w:rsidP="00B322A7">
            <w:pPr>
              <w:jc w:val="right"/>
              <w:outlineLvl w:val="1"/>
              <w:rPr>
                <w:sz w:val="18"/>
                <w:szCs w:val="18"/>
                <w:lang w:val="en-GB"/>
              </w:rPr>
            </w:pPr>
            <w:r>
              <w:rPr>
                <w:sz w:val="18"/>
                <w:szCs w:val="18"/>
                <w:lang w:val="en-GB"/>
              </w:rPr>
              <w:t>3,986</w:t>
            </w:r>
          </w:p>
        </w:tc>
        <w:tc>
          <w:tcPr>
            <w:tcW w:w="1298" w:type="dxa"/>
            <w:vAlign w:val="bottom"/>
          </w:tcPr>
          <w:p w14:paraId="70715FDC" w14:textId="77777777" w:rsidR="00600A69" w:rsidRDefault="00600A69" w:rsidP="00B322A7">
            <w:pPr>
              <w:jc w:val="right"/>
              <w:outlineLvl w:val="1"/>
              <w:rPr>
                <w:sz w:val="18"/>
                <w:szCs w:val="18"/>
                <w:lang w:val="en-GB"/>
              </w:rPr>
            </w:pPr>
            <w:r>
              <w:rPr>
                <w:sz w:val="18"/>
                <w:szCs w:val="18"/>
                <w:lang w:val="en-GB"/>
              </w:rPr>
              <w:t>5,733</w:t>
            </w:r>
          </w:p>
        </w:tc>
        <w:tc>
          <w:tcPr>
            <w:tcW w:w="1175" w:type="dxa"/>
            <w:vAlign w:val="bottom"/>
          </w:tcPr>
          <w:p w14:paraId="487778E0" w14:textId="77777777" w:rsidR="00600A69" w:rsidRDefault="00600A69" w:rsidP="00B322A7">
            <w:pPr>
              <w:jc w:val="right"/>
              <w:outlineLvl w:val="1"/>
              <w:rPr>
                <w:color w:val="000000"/>
                <w:sz w:val="18"/>
                <w:szCs w:val="18"/>
                <w:lang w:val="en-GB"/>
              </w:rPr>
            </w:pPr>
            <w:r>
              <w:rPr>
                <w:color w:val="000000"/>
                <w:sz w:val="18"/>
                <w:szCs w:val="18"/>
                <w:lang w:val="en-GB"/>
              </w:rPr>
              <w:t>7,087</w:t>
            </w:r>
          </w:p>
        </w:tc>
        <w:tc>
          <w:tcPr>
            <w:tcW w:w="1221" w:type="dxa"/>
            <w:vAlign w:val="bottom"/>
          </w:tcPr>
          <w:p w14:paraId="2A651041" w14:textId="77777777" w:rsidR="00600A69" w:rsidRDefault="00600A69" w:rsidP="00B322A7">
            <w:pPr>
              <w:jc w:val="right"/>
              <w:outlineLvl w:val="1"/>
              <w:rPr>
                <w:color w:val="000000"/>
                <w:sz w:val="18"/>
                <w:szCs w:val="18"/>
                <w:lang w:val="en-GB"/>
              </w:rPr>
            </w:pPr>
            <w:r>
              <w:rPr>
                <w:color w:val="000000"/>
                <w:sz w:val="18"/>
                <w:szCs w:val="18"/>
                <w:lang w:val="en-GB"/>
              </w:rPr>
              <w:t>-</w:t>
            </w:r>
          </w:p>
        </w:tc>
        <w:tc>
          <w:tcPr>
            <w:tcW w:w="1332" w:type="dxa"/>
            <w:vAlign w:val="bottom"/>
          </w:tcPr>
          <w:p w14:paraId="022D5027" w14:textId="77777777" w:rsidR="00600A69" w:rsidRDefault="00600A69" w:rsidP="00B322A7">
            <w:pPr>
              <w:jc w:val="right"/>
              <w:outlineLvl w:val="1"/>
              <w:rPr>
                <w:color w:val="000000"/>
                <w:sz w:val="18"/>
                <w:szCs w:val="18"/>
                <w:lang w:val="en-GB"/>
              </w:rPr>
            </w:pPr>
            <w:r>
              <w:rPr>
                <w:color w:val="000000"/>
                <w:sz w:val="18"/>
                <w:szCs w:val="18"/>
                <w:lang w:val="en-GB"/>
              </w:rPr>
              <w:t>16,806</w:t>
            </w:r>
          </w:p>
        </w:tc>
      </w:tr>
      <w:tr w:rsidR="00600A69" w14:paraId="58FDC587" w14:textId="77777777" w:rsidTr="00B322A7">
        <w:trPr>
          <w:cantSplit/>
        </w:trPr>
        <w:tc>
          <w:tcPr>
            <w:tcW w:w="2353" w:type="dxa"/>
            <w:vAlign w:val="bottom"/>
          </w:tcPr>
          <w:p w14:paraId="0CDCC6F6" w14:textId="77777777" w:rsidR="00600A69" w:rsidRDefault="00600A69" w:rsidP="00B322A7">
            <w:pPr>
              <w:jc w:val="both"/>
              <w:rPr>
                <w:sz w:val="18"/>
                <w:szCs w:val="18"/>
                <w:lang w:val="en-GB" w:eastAsia="en-GB"/>
              </w:rPr>
            </w:pPr>
            <w:r>
              <w:rPr>
                <w:sz w:val="18"/>
                <w:szCs w:val="18"/>
                <w:lang w:val="en-GB" w:eastAsia="en-GB"/>
              </w:rPr>
              <w:t>Service charge income / (expenses)</w:t>
            </w:r>
          </w:p>
        </w:tc>
        <w:tc>
          <w:tcPr>
            <w:tcW w:w="1107" w:type="dxa"/>
            <w:vAlign w:val="bottom"/>
          </w:tcPr>
          <w:p w14:paraId="0CC988D0" w14:textId="77777777" w:rsidR="00600A69" w:rsidRDefault="00600A69" w:rsidP="00B322A7">
            <w:pPr>
              <w:jc w:val="right"/>
              <w:outlineLvl w:val="1"/>
              <w:rPr>
                <w:sz w:val="18"/>
                <w:szCs w:val="18"/>
                <w:lang w:val="en-GB"/>
              </w:rPr>
            </w:pPr>
            <w:r>
              <w:rPr>
                <w:sz w:val="18"/>
                <w:szCs w:val="18"/>
                <w:lang w:val="en-GB"/>
              </w:rPr>
              <w:t>177</w:t>
            </w:r>
          </w:p>
        </w:tc>
        <w:tc>
          <w:tcPr>
            <w:tcW w:w="1298" w:type="dxa"/>
            <w:vAlign w:val="bottom"/>
          </w:tcPr>
          <w:p w14:paraId="2A9244F1" w14:textId="77777777" w:rsidR="00600A69" w:rsidRDefault="00600A69" w:rsidP="00B322A7">
            <w:pPr>
              <w:jc w:val="right"/>
              <w:outlineLvl w:val="1"/>
              <w:rPr>
                <w:sz w:val="18"/>
                <w:szCs w:val="18"/>
                <w:lang w:val="en-GB"/>
              </w:rPr>
            </w:pPr>
            <w:r>
              <w:rPr>
                <w:sz w:val="18"/>
                <w:szCs w:val="18"/>
                <w:lang w:val="en-GB"/>
              </w:rPr>
              <w:t>183</w:t>
            </w:r>
          </w:p>
        </w:tc>
        <w:tc>
          <w:tcPr>
            <w:tcW w:w="1175" w:type="dxa"/>
            <w:vAlign w:val="bottom"/>
          </w:tcPr>
          <w:p w14:paraId="486B9FED" w14:textId="77777777" w:rsidR="00600A69" w:rsidRDefault="00600A69" w:rsidP="00B322A7">
            <w:pPr>
              <w:jc w:val="right"/>
              <w:outlineLvl w:val="1"/>
              <w:rPr>
                <w:color w:val="000000"/>
                <w:sz w:val="18"/>
                <w:szCs w:val="18"/>
                <w:lang w:val="en-GB"/>
              </w:rPr>
            </w:pPr>
            <w:r>
              <w:rPr>
                <w:color w:val="000000"/>
                <w:sz w:val="18"/>
                <w:szCs w:val="18"/>
                <w:lang w:val="en-GB"/>
              </w:rPr>
              <w:t>675</w:t>
            </w:r>
          </w:p>
        </w:tc>
        <w:tc>
          <w:tcPr>
            <w:tcW w:w="1221" w:type="dxa"/>
            <w:vAlign w:val="bottom"/>
          </w:tcPr>
          <w:p w14:paraId="63E320C9" w14:textId="77777777" w:rsidR="00600A69" w:rsidRDefault="00600A69" w:rsidP="00B322A7">
            <w:pPr>
              <w:jc w:val="right"/>
              <w:outlineLvl w:val="1"/>
              <w:rPr>
                <w:color w:val="000000"/>
                <w:sz w:val="18"/>
                <w:szCs w:val="18"/>
                <w:lang w:val="en-GB"/>
              </w:rPr>
            </w:pPr>
            <w:r>
              <w:rPr>
                <w:color w:val="000000"/>
                <w:sz w:val="18"/>
                <w:szCs w:val="18"/>
                <w:lang w:val="en-GB"/>
              </w:rPr>
              <w:t>-</w:t>
            </w:r>
          </w:p>
        </w:tc>
        <w:tc>
          <w:tcPr>
            <w:tcW w:w="1332" w:type="dxa"/>
            <w:vAlign w:val="bottom"/>
          </w:tcPr>
          <w:p w14:paraId="1B6DA91F" w14:textId="77777777" w:rsidR="00600A69" w:rsidRDefault="00600A69" w:rsidP="00B322A7">
            <w:pPr>
              <w:jc w:val="right"/>
              <w:outlineLvl w:val="1"/>
              <w:rPr>
                <w:color w:val="000000"/>
                <w:sz w:val="18"/>
                <w:szCs w:val="18"/>
                <w:lang w:val="en-GB"/>
              </w:rPr>
            </w:pPr>
            <w:r>
              <w:rPr>
                <w:color w:val="000000"/>
                <w:sz w:val="18"/>
                <w:szCs w:val="18"/>
                <w:lang w:val="en-GB"/>
              </w:rPr>
              <w:t>1,035</w:t>
            </w:r>
          </w:p>
        </w:tc>
      </w:tr>
      <w:tr w:rsidR="00600A69" w14:paraId="162C50FE" w14:textId="77777777" w:rsidTr="00B322A7">
        <w:trPr>
          <w:cantSplit/>
        </w:trPr>
        <w:tc>
          <w:tcPr>
            <w:tcW w:w="2353" w:type="dxa"/>
            <w:vAlign w:val="bottom"/>
          </w:tcPr>
          <w:p w14:paraId="1A8FBFE2" w14:textId="77777777" w:rsidR="00600A69" w:rsidRDefault="00600A69" w:rsidP="00B322A7">
            <w:pPr>
              <w:jc w:val="both"/>
              <w:rPr>
                <w:sz w:val="18"/>
                <w:szCs w:val="18"/>
                <w:lang w:val="en-GB" w:eastAsia="en-GB"/>
              </w:rPr>
            </w:pPr>
            <w:r>
              <w:rPr>
                <w:sz w:val="18"/>
                <w:szCs w:val="18"/>
                <w:lang w:val="en-GB" w:eastAsia="en-GB"/>
              </w:rPr>
              <w:t>Property operating expenses</w:t>
            </w:r>
          </w:p>
        </w:tc>
        <w:tc>
          <w:tcPr>
            <w:tcW w:w="1107" w:type="dxa"/>
            <w:vAlign w:val="bottom"/>
          </w:tcPr>
          <w:p w14:paraId="17C113E6" w14:textId="77777777" w:rsidR="00600A69" w:rsidRDefault="00600A69" w:rsidP="00B322A7">
            <w:pPr>
              <w:jc w:val="right"/>
              <w:outlineLvl w:val="1"/>
              <w:rPr>
                <w:sz w:val="18"/>
                <w:szCs w:val="18"/>
                <w:lang w:val="en-GB"/>
              </w:rPr>
            </w:pPr>
            <w:r>
              <w:rPr>
                <w:sz w:val="18"/>
                <w:szCs w:val="18"/>
                <w:lang w:val="en-GB"/>
              </w:rPr>
              <w:t>(151)</w:t>
            </w:r>
          </w:p>
        </w:tc>
        <w:tc>
          <w:tcPr>
            <w:tcW w:w="1298" w:type="dxa"/>
            <w:vAlign w:val="bottom"/>
          </w:tcPr>
          <w:p w14:paraId="65252D61" w14:textId="77777777" w:rsidR="00600A69" w:rsidRDefault="00600A69" w:rsidP="00B322A7">
            <w:pPr>
              <w:jc w:val="right"/>
              <w:outlineLvl w:val="1"/>
              <w:rPr>
                <w:sz w:val="18"/>
                <w:szCs w:val="18"/>
                <w:lang w:val="en-GB"/>
              </w:rPr>
            </w:pPr>
            <w:r>
              <w:rPr>
                <w:sz w:val="18"/>
                <w:szCs w:val="18"/>
                <w:lang w:val="en-GB"/>
              </w:rPr>
              <w:t>(765)</w:t>
            </w:r>
          </w:p>
        </w:tc>
        <w:tc>
          <w:tcPr>
            <w:tcW w:w="1175" w:type="dxa"/>
            <w:vAlign w:val="bottom"/>
          </w:tcPr>
          <w:p w14:paraId="5E4ABF5F" w14:textId="77777777" w:rsidR="00600A69" w:rsidRDefault="00600A69" w:rsidP="00B322A7">
            <w:pPr>
              <w:jc w:val="right"/>
              <w:outlineLvl w:val="1"/>
              <w:rPr>
                <w:color w:val="000000"/>
                <w:sz w:val="18"/>
                <w:szCs w:val="18"/>
                <w:lang w:val="en-GB"/>
              </w:rPr>
            </w:pPr>
            <w:r>
              <w:rPr>
                <w:color w:val="000000"/>
                <w:sz w:val="18"/>
                <w:szCs w:val="18"/>
                <w:lang w:val="en-GB"/>
              </w:rPr>
              <w:t>(787)</w:t>
            </w:r>
          </w:p>
        </w:tc>
        <w:tc>
          <w:tcPr>
            <w:tcW w:w="1221" w:type="dxa"/>
            <w:vAlign w:val="bottom"/>
          </w:tcPr>
          <w:p w14:paraId="749C973F" w14:textId="77777777" w:rsidR="00600A69" w:rsidRDefault="00600A69" w:rsidP="00B322A7">
            <w:pPr>
              <w:jc w:val="right"/>
              <w:outlineLvl w:val="1"/>
              <w:rPr>
                <w:color w:val="000000"/>
                <w:sz w:val="18"/>
                <w:szCs w:val="18"/>
                <w:lang w:val="en-GB"/>
              </w:rPr>
            </w:pPr>
            <w:r>
              <w:rPr>
                <w:color w:val="000000"/>
                <w:sz w:val="18"/>
                <w:szCs w:val="18"/>
                <w:lang w:val="en-GB"/>
              </w:rPr>
              <w:t>-</w:t>
            </w:r>
          </w:p>
        </w:tc>
        <w:tc>
          <w:tcPr>
            <w:tcW w:w="1332" w:type="dxa"/>
            <w:vAlign w:val="bottom"/>
          </w:tcPr>
          <w:p w14:paraId="36632FC4" w14:textId="77777777" w:rsidR="00600A69" w:rsidRDefault="00600A69" w:rsidP="00B322A7">
            <w:pPr>
              <w:jc w:val="right"/>
              <w:outlineLvl w:val="1"/>
              <w:rPr>
                <w:color w:val="000000"/>
                <w:sz w:val="18"/>
                <w:szCs w:val="18"/>
                <w:lang w:val="en-GB"/>
              </w:rPr>
            </w:pPr>
            <w:r>
              <w:rPr>
                <w:color w:val="000000"/>
                <w:sz w:val="18"/>
                <w:szCs w:val="18"/>
                <w:lang w:val="en-GB"/>
              </w:rPr>
              <w:t>(1,703)</w:t>
            </w:r>
          </w:p>
        </w:tc>
      </w:tr>
      <w:tr w:rsidR="00600A69" w14:paraId="67DACE1F" w14:textId="77777777" w:rsidTr="00B322A7">
        <w:trPr>
          <w:cantSplit/>
        </w:trPr>
        <w:tc>
          <w:tcPr>
            <w:tcW w:w="2353" w:type="dxa"/>
            <w:vAlign w:val="bottom"/>
          </w:tcPr>
          <w:p w14:paraId="3D2BCB22" w14:textId="77777777" w:rsidR="00600A69" w:rsidRDefault="00600A69" w:rsidP="00B322A7">
            <w:pPr>
              <w:jc w:val="both"/>
              <w:rPr>
                <w:b/>
                <w:bCs/>
                <w:sz w:val="18"/>
                <w:szCs w:val="18"/>
                <w:lang w:val="en-GB" w:eastAsia="en-GB"/>
              </w:rPr>
            </w:pPr>
            <w:r>
              <w:rPr>
                <w:b/>
                <w:bCs/>
                <w:sz w:val="18"/>
                <w:szCs w:val="18"/>
                <w:lang w:val="en-GB" w:eastAsia="en-GB"/>
              </w:rPr>
              <w:t>Net rental and related income</w:t>
            </w:r>
          </w:p>
        </w:tc>
        <w:tc>
          <w:tcPr>
            <w:tcW w:w="1107" w:type="dxa"/>
            <w:vAlign w:val="bottom"/>
          </w:tcPr>
          <w:p w14:paraId="541CAD4B" w14:textId="77777777" w:rsidR="00600A69" w:rsidRDefault="00600A69" w:rsidP="00B322A7">
            <w:pPr>
              <w:jc w:val="right"/>
              <w:outlineLvl w:val="1"/>
              <w:rPr>
                <w:b/>
                <w:bCs/>
                <w:color w:val="000000"/>
                <w:sz w:val="18"/>
                <w:szCs w:val="18"/>
                <w:u w:val="single"/>
                <w:lang w:val="en-GB"/>
              </w:rPr>
            </w:pPr>
            <w:r>
              <w:rPr>
                <w:b/>
                <w:bCs/>
                <w:color w:val="000000"/>
                <w:sz w:val="18"/>
                <w:szCs w:val="18"/>
                <w:u w:val="single"/>
                <w:lang w:val="en-GB"/>
              </w:rPr>
              <w:t>4,012</w:t>
            </w:r>
          </w:p>
        </w:tc>
        <w:tc>
          <w:tcPr>
            <w:tcW w:w="1298" w:type="dxa"/>
            <w:vAlign w:val="bottom"/>
          </w:tcPr>
          <w:p w14:paraId="6B30FD32" w14:textId="77777777" w:rsidR="00600A69" w:rsidRDefault="00600A69" w:rsidP="00B322A7">
            <w:pPr>
              <w:jc w:val="right"/>
              <w:outlineLvl w:val="1"/>
              <w:rPr>
                <w:b/>
                <w:bCs/>
                <w:color w:val="000000"/>
                <w:sz w:val="18"/>
                <w:szCs w:val="18"/>
                <w:u w:val="single"/>
                <w:lang w:val="en-GB"/>
              </w:rPr>
            </w:pPr>
            <w:r>
              <w:rPr>
                <w:b/>
                <w:bCs/>
                <w:color w:val="000000"/>
                <w:sz w:val="18"/>
                <w:szCs w:val="18"/>
                <w:u w:val="single"/>
                <w:lang w:val="en-GB"/>
              </w:rPr>
              <w:t>5,151</w:t>
            </w:r>
          </w:p>
        </w:tc>
        <w:tc>
          <w:tcPr>
            <w:tcW w:w="1175" w:type="dxa"/>
            <w:vAlign w:val="bottom"/>
          </w:tcPr>
          <w:p w14:paraId="516E5708" w14:textId="77777777" w:rsidR="00600A69" w:rsidRDefault="00600A69" w:rsidP="00B322A7">
            <w:pPr>
              <w:jc w:val="right"/>
              <w:outlineLvl w:val="1"/>
              <w:rPr>
                <w:b/>
                <w:bCs/>
                <w:color w:val="000000"/>
                <w:sz w:val="18"/>
                <w:szCs w:val="18"/>
                <w:u w:val="single"/>
                <w:lang w:val="en-GB"/>
              </w:rPr>
            </w:pPr>
            <w:r>
              <w:rPr>
                <w:b/>
                <w:bCs/>
                <w:color w:val="000000"/>
                <w:sz w:val="18"/>
                <w:szCs w:val="18"/>
                <w:u w:val="single"/>
                <w:lang w:val="en-GB"/>
              </w:rPr>
              <w:t>6,975</w:t>
            </w:r>
          </w:p>
        </w:tc>
        <w:tc>
          <w:tcPr>
            <w:tcW w:w="1221" w:type="dxa"/>
            <w:vAlign w:val="bottom"/>
          </w:tcPr>
          <w:p w14:paraId="110DAF17" w14:textId="77777777" w:rsidR="00600A69" w:rsidRDefault="00600A69" w:rsidP="00B322A7">
            <w:pPr>
              <w:jc w:val="right"/>
              <w:outlineLvl w:val="1"/>
              <w:rPr>
                <w:b/>
                <w:bCs/>
                <w:color w:val="000000"/>
                <w:sz w:val="18"/>
                <w:szCs w:val="18"/>
                <w:u w:val="single"/>
                <w:lang w:val="en-GB"/>
              </w:rPr>
            </w:pPr>
            <w:r>
              <w:rPr>
                <w:b/>
                <w:bCs/>
                <w:color w:val="000000"/>
                <w:sz w:val="18"/>
                <w:szCs w:val="18"/>
                <w:u w:val="single"/>
                <w:lang w:val="en-GB"/>
              </w:rPr>
              <w:t>-</w:t>
            </w:r>
          </w:p>
        </w:tc>
        <w:tc>
          <w:tcPr>
            <w:tcW w:w="1332" w:type="dxa"/>
            <w:vAlign w:val="bottom"/>
          </w:tcPr>
          <w:p w14:paraId="5502CF62" w14:textId="77777777" w:rsidR="00600A69" w:rsidRDefault="00600A69" w:rsidP="00B322A7">
            <w:pPr>
              <w:jc w:val="right"/>
              <w:outlineLvl w:val="1"/>
              <w:rPr>
                <w:b/>
                <w:bCs/>
                <w:color w:val="000000"/>
                <w:sz w:val="18"/>
                <w:szCs w:val="18"/>
                <w:u w:val="single"/>
                <w:lang w:val="en-GB"/>
              </w:rPr>
            </w:pPr>
            <w:r>
              <w:rPr>
                <w:b/>
                <w:bCs/>
                <w:color w:val="000000"/>
                <w:sz w:val="18"/>
                <w:szCs w:val="18"/>
                <w:u w:val="single"/>
                <w:lang w:val="en-GB"/>
              </w:rPr>
              <w:t>16,138</w:t>
            </w:r>
          </w:p>
        </w:tc>
      </w:tr>
      <w:tr w:rsidR="00600A69" w14:paraId="62FBEB87" w14:textId="77777777" w:rsidTr="00B322A7">
        <w:trPr>
          <w:cantSplit/>
        </w:trPr>
        <w:tc>
          <w:tcPr>
            <w:tcW w:w="2353" w:type="dxa"/>
            <w:vAlign w:val="bottom"/>
          </w:tcPr>
          <w:p w14:paraId="50226E33" w14:textId="77777777" w:rsidR="00600A69" w:rsidRDefault="00600A69" w:rsidP="00B322A7">
            <w:pPr>
              <w:jc w:val="both"/>
              <w:rPr>
                <w:sz w:val="18"/>
                <w:szCs w:val="18"/>
                <w:lang w:val="en-GB" w:eastAsia="en-GB"/>
              </w:rPr>
            </w:pPr>
            <w:r>
              <w:rPr>
                <w:sz w:val="18"/>
                <w:szCs w:val="18"/>
                <w:lang w:val="en-GB" w:eastAsia="en-GB"/>
              </w:rPr>
              <w:lastRenderedPageBreak/>
              <w:t>Property and development management fee income</w:t>
            </w:r>
          </w:p>
        </w:tc>
        <w:tc>
          <w:tcPr>
            <w:tcW w:w="1107" w:type="dxa"/>
            <w:vAlign w:val="bottom"/>
          </w:tcPr>
          <w:p w14:paraId="53EA8CCB" w14:textId="77777777" w:rsidR="00600A69" w:rsidRDefault="00600A69" w:rsidP="00B322A7">
            <w:pPr>
              <w:jc w:val="right"/>
              <w:outlineLvl w:val="1"/>
              <w:rPr>
                <w:sz w:val="18"/>
                <w:szCs w:val="18"/>
                <w:lang w:val="en-GB"/>
              </w:rPr>
            </w:pPr>
            <w:r>
              <w:rPr>
                <w:sz w:val="18"/>
                <w:szCs w:val="18"/>
                <w:lang w:val="en-GB"/>
              </w:rPr>
              <w:t>894</w:t>
            </w:r>
          </w:p>
        </w:tc>
        <w:tc>
          <w:tcPr>
            <w:tcW w:w="1298" w:type="dxa"/>
            <w:vAlign w:val="bottom"/>
          </w:tcPr>
          <w:p w14:paraId="682821A8" w14:textId="77777777" w:rsidR="00600A69" w:rsidRDefault="00600A69" w:rsidP="00B322A7">
            <w:pPr>
              <w:jc w:val="right"/>
              <w:outlineLvl w:val="1"/>
              <w:rPr>
                <w:sz w:val="18"/>
                <w:szCs w:val="18"/>
                <w:lang w:val="en-GB"/>
              </w:rPr>
            </w:pPr>
            <w:r>
              <w:rPr>
                <w:sz w:val="18"/>
                <w:szCs w:val="18"/>
                <w:lang w:val="en-GB"/>
              </w:rPr>
              <w:t>1,314</w:t>
            </w:r>
          </w:p>
        </w:tc>
        <w:tc>
          <w:tcPr>
            <w:tcW w:w="1175" w:type="dxa"/>
            <w:vAlign w:val="bottom"/>
          </w:tcPr>
          <w:p w14:paraId="66A02908" w14:textId="77777777" w:rsidR="00600A69" w:rsidRDefault="00600A69" w:rsidP="00B322A7">
            <w:pPr>
              <w:jc w:val="right"/>
              <w:outlineLvl w:val="1"/>
              <w:rPr>
                <w:color w:val="000000"/>
                <w:sz w:val="18"/>
                <w:szCs w:val="18"/>
                <w:lang w:val="en-GB"/>
              </w:rPr>
            </w:pPr>
            <w:r>
              <w:rPr>
                <w:color w:val="000000"/>
                <w:sz w:val="18"/>
                <w:szCs w:val="18"/>
                <w:lang w:val="en-GB"/>
              </w:rPr>
              <w:t>933</w:t>
            </w:r>
          </w:p>
        </w:tc>
        <w:tc>
          <w:tcPr>
            <w:tcW w:w="1221" w:type="dxa"/>
            <w:vAlign w:val="bottom"/>
          </w:tcPr>
          <w:p w14:paraId="2953138A" w14:textId="77777777" w:rsidR="00600A69" w:rsidRDefault="00600A69" w:rsidP="00B322A7">
            <w:pPr>
              <w:jc w:val="right"/>
              <w:outlineLvl w:val="1"/>
              <w:rPr>
                <w:color w:val="000000"/>
                <w:sz w:val="18"/>
                <w:szCs w:val="18"/>
                <w:lang w:val="en-GB"/>
              </w:rPr>
            </w:pPr>
            <w:r>
              <w:rPr>
                <w:color w:val="000000"/>
                <w:sz w:val="18"/>
                <w:szCs w:val="18"/>
                <w:lang w:val="en-GB"/>
              </w:rPr>
              <w:t>-</w:t>
            </w:r>
          </w:p>
        </w:tc>
        <w:tc>
          <w:tcPr>
            <w:tcW w:w="1332" w:type="dxa"/>
            <w:vAlign w:val="bottom"/>
          </w:tcPr>
          <w:p w14:paraId="732163BB" w14:textId="77777777" w:rsidR="00600A69" w:rsidRDefault="00600A69" w:rsidP="00B322A7">
            <w:pPr>
              <w:jc w:val="right"/>
              <w:outlineLvl w:val="1"/>
              <w:rPr>
                <w:color w:val="000000"/>
                <w:sz w:val="18"/>
                <w:szCs w:val="18"/>
                <w:lang w:val="en-GB"/>
              </w:rPr>
            </w:pPr>
            <w:r>
              <w:rPr>
                <w:color w:val="000000"/>
                <w:sz w:val="18"/>
                <w:szCs w:val="18"/>
                <w:lang w:val="en-GB"/>
              </w:rPr>
              <w:t>3,141</w:t>
            </w:r>
          </w:p>
        </w:tc>
      </w:tr>
      <w:tr w:rsidR="00600A69" w14:paraId="0E17B017" w14:textId="77777777" w:rsidTr="00B322A7">
        <w:trPr>
          <w:cantSplit/>
        </w:trPr>
        <w:tc>
          <w:tcPr>
            <w:tcW w:w="2353" w:type="dxa"/>
            <w:vAlign w:val="bottom"/>
          </w:tcPr>
          <w:p w14:paraId="758777C6" w14:textId="77777777" w:rsidR="00600A69" w:rsidRDefault="00600A69" w:rsidP="00B322A7">
            <w:pPr>
              <w:jc w:val="both"/>
              <w:rPr>
                <w:sz w:val="18"/>
                <w:szCs w:val="18"/>
                <w:lang w:val="en-GB" w:eastAsia="en-GB"/>
              </w:rPr>
            </w:pPr>
            <w:r>
              <w:rPr>
                <w:sz w:val="18"/>
                <w:szCs w:val="18"/>
                <w:lang w:val="en-GB" w:eastAsia="en-GB"/>
              </w:rPr>
              <w:t>Facility management income</w:t>
            </w:r>
          </w:p>
        </w:tc>
        <w:tc>
          <w:tcPr>
            <w:tcW w:w="1107" w:type="dxa"/>
            <w:vAlign w:val="bottom"/>
          </w:tcPr>
          <w:p w14:paraId="690AF00C" w14:textId="77777777" w:rsidR="00600A69" w:rsidRDefault="00600A69" w:rsidP="00B322A7">
            <w:pPr>
              <w:jc w:val="right"/>
              <w:outlineLvl w:val="1"/>
              <w:rPr>
                <w:sz w:val="18"/>
                <w:szCs w:val="18"/>
                <w:lang w:val="en-GB"/>
              </w:rPr>
            </w:pPr>
            <w:r>
              <w:rPr>
                <w:sz w:val="18"/>
                <w:szCs w:val="18"/>
                <w:lang w:val="en-GB"/>
              </w:rPr>
              <w:t>684</w:t>
            </w:r>
          </w:p>
        </w:tc>
        <w:tc>
          <w:tcPr>
            <w:tcW w:w="1298" w:type="dxa"/>
            <w:vAlign w:val="bottom"/>
          </w:tcPr>
          <w:p w14:paraId="63A7E5C8" w14:textId="77777777" w:rsidR="00600A69" w:rsidRDefault="00600A69" w:rsidP="00B322A7">
            <w:pPr>
              <w:jc w:val="right"/>
              <w:outlineLvl w:val="1"/>
              <w:rPr>
                <w:sz w:val="18"/>
                <w:szCs w:val="18"/>
                <w:lang w:val="en-GB"/>
              </w:rPr>
            </w:pPr>
            <w:r>
              <w:rPr>
                <w:sz w:val="18"/>
                <w:szCs w:val="18"/>
                <w:lang w:val="en-GB"/>
              </w:rPr>
              <w:t>-</w:t>
            </w:r>
          </w:p>
        </w:tc>
        <w:tc>
          <w:tcPr>
            <w:tcW w:w="1175" w:type="dxa"/>
            <w:vAlign w:val="bottom"/>
          </w:tcPr>
          <w:p w14:paraId="3B27194D" w14:textId="77777777" w:rsidR="00600A69" w:rsidRDefault="00600A69" w:rsidP="00B322A7">
            <w:pPr>
              <w:jc w:val="right"/>
              <w:outlineLvl w:val="1"/>
              <w:rPr>
                <w:color w:val="000000"/>
                <w:sz w:val="18"/>
                <w:szCs w:val="18"/>
                <w:lang w:val="en-GB"/>
              </w:rPr>
            </w:pPr>
            <w:r>
              <w:rPr>
                <w:color w:val="000000"/>
                <w:sz w:val="18"/>
                <w:szCs w:val="18"/>
                <w:lang w:val="en-GB"/>
              </w:rPr>
              <w:t>-</w:t>
            </w:r>
          </w:p>
        </w:tc>
        <w:tc>
          <w:tcPr>
            <w:tcW w:w="1221" w:type="dxa"/>
            <w:vAlign w:val="bottom"/>
          </w:tcPr>
          <w:p w14:paraId="66026B2C" w14:textId="77777777" w:rsidR="00600A69" w:rsidRDefault="00600A69" w:rsidP="00B322A7">
            <w:pPr>
              <w:jc w:val="right"/>
              <w:outlineLvl w:val="1"/>
              <w:rPr>
                <w:color w:val="000000"/>
                <w:sz w:val="18"/>
                <w:szCs w:val="18"/>
                <w:lang w:val="en-GB"/>
              </w:rPr>
            </w:pPr>
            <w:r>
              <w:rPr>
                <w:color w:val="000000"/>
                <w:sz w:val="18"/>
                <w:szCs w:val="18"/>
                <w:lang w:val="en-GB"/>
              </w:rPr>
              <w:t>-</w:t>
            </w:r>
          </w:p>
        </w:tc>
        <w:tc>
          <w:tcPr>
            <w:tcW w:w="1332" w:type="dxa"/>
            <w:vAlign w:val="bottom"/>
          </w:tcPr>
          <w:p w14:paraId="05D66CC7" w14:textId="77777777" w:rsidR="00600A69" w:rsidRDefault="00600A69" w:rsidP="00B322A7">
            <w:pPr>
              <w:jc w:val="right"/>
              <w:outlineLvl w:val="1"/>
              <w:rPr>
                <w:color w:val="000000"/>
                <w:sz w:val="18"/>
                <w:szCs w:val="18"/>
                <w:lang w:val="en-GB"/>
              </w:rPr>
            </w:pPr>
            <w:r>
              <w:rPr>
                <w:color w:val="000000"/>
                <w:sz w:val="18"/>
                <w:szCs w:val="18"/>
                <w:lang w:val="en-GB"/>
              </w:rPr>
              <w:t>684</w:t>
            </w:r>
          </w:p>
        </w:tc>
      </w:tr>
      <w:tr w:rsidR="00600A69" w14:paraId="13BB73B7" w14:textId="77777777" w:rsidTr="00B322A7">
        <w:trPr>
          <w:cantSplit/>
        </w:trPr>
        <w:tc>
          <w:tcPr>
            <w:tcW w:w="2353" w:type="dxa"/>
            <w:vAlign w:val="bottom"/>
          </w:tcPr>
          <w:p w14:paraId="3DCB12C2" w14:textId="77777777" w:rsidR="00600A69" w:rsidRDefault="00600A69" w:rsidP="00B322A7">
            <w:pPr>
              <w:jc w:val="both"/>
              <w:rPr>
                <w:sz w:val="18"/>
                <w:szCs w:val="18"/>
                <w:lang w:val="en-GB" w:eastAsia="en-GB"/>
              </w:rPr>
            </w:pPr>
            <w:r>
              <w:rPr>
                <w:sz w:val="18"/>
                <w:szCs w:val="18"/>
                <w:lang w:val="en-GB" w:eastAsia="en-GB"/>
              </w:rPr>
              <w:t xml:space="preserve">Net valuation gains / (losses) </w:t>
            </w:r>
          </w:p>
        </w:tc>
        <w:tc>
          <w:tcPr>
            <w:tcW w:w="1107" w:type="dxa"/>
            <w:vAlign w:val="bottom"/>
          </w:tcPr>
          <w:p w14:paraId="329B835B" w14:textId="77777777" w:rsidR="00600A69" w:rsidRDefault="00600A69" w:rsidP="00B322A7">
            <w:pPr>
              <w:jc w:val="right"/>
              <w:outlineLvl w:val="1"/>
              <w:rPr>
                <w:sz w:val="18"/>
                <w:szCs w:val="18"/>
                <w:lang w:val="en-GB"/>
              </w:rPr>
            </w:pPr>
            <w:r>
              <w:rPr>
                <w:sz w:val="18"/>
                <w:szCs w:val="18"/>
                <w:lang w:val="en-GB"/>
              </w:rPr>
              <w:t>17,337</w:t>
            </w:r>
          </w:p>
        </w:tc>
        <w:tc>
          <w:tcPr>
            <w:tcW w:w="1298" w:type="dxa"/>
            <w:vAlign w:val="bottom"/>
          </w:tcPr>
          <w:p w14:paraId="130AFC99" w14:textId="77777777" w:rsidR="00600A69" w:rsidRDefault="00600A69" w:rsidP="00B322A7">
            <w:pPr>
              <w:jc w:val="right"/>
              <w:outlineLvl w:val="1"/>
              <w:rPr>
                <w:sz w:val="18"/>
                <w:szCs w:val="18"/>
                <w:lang w:val="en-GB"/>
              </w:rPr>
            </w:pPr>
            <w:r>
              <w:rPr>
                <w:sz w:val="18"/>
                <w:szCs w:val="18"/>
                <w:lang w:val="en-GB"/>
              </w:rPr>
              <w:t>41,504</w:t>
            </w:r>
          </w:p>
        </w:tc>
        <w:tc>
          <w:tcPr>
            <w:tcW w:w="1175" w:type="dxa"/>
            <w:vAlign w:val="bottom"/>
          </w:tcPr>
          <w:p w14:paraId="27893873" w14:textId="77777777" w:rsidR="00600A69" w:rsidRDefault="00600A69" w:rsidP="00B322A7">
            <w:pPr>
              <w:jc w:val="right"/>
              <w:outlineLvl w:val="1"/>
              <w:rPr>
                <w:color w:val="000000"/>
                <w:sz w:val="18"/>
                <w:szCs w:val="18"/>
                <w:lang w:val="en-GB"/>
              </w:rPr>
            </w:pPr>
            <w:r>
              <w:rPr>
                <w:color w:val="000000"/>
                <w:sz w:val="18"/>
                <w:szCs w:val="18"/>
                <w:lang w:val="en-GB"/>
              </w:rPr>
              <w:t>7,777</w:t>
            </w:r>
          </w:p>
        </w:tc>
        <w:tc>
          <w:tcPr>
            <w:tcW w:w="1221" w:type="dxa"/>
            <w:vAlign w:val="bottom"/>
          </w:tcPr>
          <w:p w14:paraId="56475676" w14:textId="77777777" w:rsidR="00600A69" w:rsidRDefault="00600A69" w:rsidP="00B322A7">
            <w:pPr>
              <w:jc w:val="right"/>
              <w:outlineLvl w:val="1"/>
              <w:rPr>
                <w:color w:val="000000"/>
                <w:sz w:val="18"/>
                <w:szCs w:val="18"/>
                <w:lang w:val="en-GB"/>
              </w:rPr>
            </w:pPr>
            <w:r>
              <w:rPr>
                <w:color w:val="000000"/>
                <w:sz w:val="18"/>
                <w:szCs w:val="18"/>
                <w:lang w:val="en-GB"/>
              </w:rPr>
              <w:t>52,282</w:t>
            </w:r>
          </w:p>
        </w:tc>
        <w:tc>
          <w:tcPr>
            <w:tcW w:w="1332" w:type="dxa"/>
            <w:vAlign w:val="bottom"/>
          </w:tcPr>
          <w:p w14:paraId="09CCE009" w14:textId="77777777" w:rsidR="00600A69" w:rsidRDefault="00600A69" w:rsidP="00B322A7">
            <w:pPr>
              <w:jc w:val="right"/>
              <w:outlineLvl w:val="1"/>
              <w:rPr>
                <w:color w:val="000000"/>
                <w:sz w:val="18"/>
                <w:szCs w:val="18"/>
                <w:lang w:val="en-GB"/>
              </w:rPr>
            </w:pPr>
            <w:r>
              <w:rPr>
                <w:color w:val="000000"/>
                <w:sz w:val="18"/>
                <w:szCs w:val="18"/>
                <w:lang w:val="en-GB"/>
              </w:rPr>
              <w:t>118,900</w:t>
            </w:r>
          </w:p>
        </w:tc>
      </w:tr>
      <w:tr w:rsidR="00600A69" w14:paraId="0A13BBDF" w14:textId="77777777" w:rsidTr="00B322A7">
        <w:trPr>
          <w:cantSplit/>
        </w:trPr>
        <w:tc>
          <w:tcPr>
            <w:tcW w:w="2353" w:type="dxa"/>
            <w:vAlign w:val="bottom"/>
          </w:tcPr>
          <w:p w14:paraId="19530109" w14:textId="77777777" w:rsidR="00600A69" w:rsidRDefault="00600A69" w:rsidP="00B322A7">
            <w:pPr>
              <w:jc w:val="both"/>
              <w:rPr>
                <w:sz w:val="18"/>
                <w:szCs w:val="18"/>
                <w:lang w:val="en-GB" w:eastAsia="en-GB"/>
              </w:rPr>
            </w:pPr>
            <w:r>
              <w:rPr>
                <w:sz w:val="18"/>
                <w:szCs w:val="18"/>
                <w:lang w:val="en-GB" w:eastAsia="en-GB"/>
              </w:rPr>
              <w:t>Other income / (expenses) - incl. Administrative costs</w:t>
            </w:r>
          </w:p>
        </w:tc>
        <w:tc>
          <w:tcPr>
            <w:tcW w:w="1107" w:type="dxa"/>
            <w:vAlign w:val="bottom"/>
          </w:tcPr>
          <w:p w14:paraId="205B69AC" w14:textId="77777777" w:rsidR="00600A69" w:rsidRDefault="00600A69" w:rsidP="00B322A7">
            <w:pPr>
              <w:jc w:val="right"/>
              <w:outlineLvl w:val="1"/>
              <w:rPr>
                <w:sz w:val="18"/>
                <w:szCs w:val="18"/>
                <w:lang w:val="en-GB"/>
              </w:rPr>
            </w:pPr>
            <w:r>
              <w:rPr>
                <w:sz w:val="18"/>
                <w:szCs w:val="18"/>
                <w:lang w:val="en-GB"/>
              </w:rPr>
              <w:t>(2,570)</w:t>
            </w:r>
          </w:p>
        </w:tc>
        <w:tc>
          <w:tcPr>
            <w:tcW w:w="1298" w:type="dxa"/>
            <w:vAlign w:val="bottom"/>
          </w:tcPr>
          <w:p w14:paraId="6DF1B62F" w14:textId="77777777" w:rsidR="00600A69" w:rsidRDefault="00600A69" w:rsidP="00B322A7">
            <w:pPr>
              <w:jc w:val="right"/>
              <w:outlineLvl w:val="1"/>
              <w:rPr>
                <w:sz w:val="18"/>
                <w:szCs w:val="18"/>
                <w:lang w:val="en-GB"/>
              </w:rPr>
            </w:pPr>
            <w:r>
              <w:rPr>
                <w:sz w:val="18"/>
                <w:szCs w:val="18"/>
                <w:lang w:val="en-GB"/>
              </w:rPr>
              <w:t>(3,314)</w:t>
            </w:r>
          </w:p>
        </w:tc>
        <w:tc>
          <w:tcPr>
            <w:tcW w:w="1175" w:type="dxa"/>
            <w:vAlign w:val="bottom"/>
          </w:tcPr>
          <w:p w14:paraId="6CE72CF2" w14:textId="77777777" w:rsidR="00600A69" w:rsidRDefault="00600A69" w:rsidP="00B322A7">
            <w:pPr>
              <w:jc w:val="right"/>
              <w:outlineLvl w:val="1"/>
              <w:rPr>
                <w:color w:val="000000"/>
                <w:sz w:val="18"/>
                <w:szCs w:val="18"/>
                <w:lang w:val="en-GB"/>
              </w:rPr>
            </w:pPr>
            <w:r>
              <w:rPr>
                <w:color w:val="000000"/>
                <w:sz w:val="18"/>
                <w:szCs w:val="18"/>
                <w:lang w:val="en-GB"/>
              </w:rPr>
              <w:t>(2,397)</w:t>
            </w:r>
          </w:p>
        </w:tc>
        <w:tc>
          <w:tcPr>
            <w:tcW w:w="1221" w:type="dxa"/>
            <w:vAlign w:val="bottom"/>
          </w:tcPr>
          <w:p w14:paraId="7BB43420" w14:textId="77777777" w:rsidR="00600A69" w:rsidRDefault="00600A69" w:rsidP="00B322A7">
            <w:pPr>
              <w:jc w:val="right"/>
              <w:outlineLvl w:val="1"/>
              <w:rPr>
                <w:color w:val="000000"/>
                <w:sz w:val="18"/>
                <w:szCs w:val="18"/>
                <w:lang w:val="en-GB"/>
              </w:rPr>
            </w:pPr>
            <w:r>
              <w:rPr>
                <w:color w:val="000000"/>
                <w:sz w:val="18"/>
                <w:szCs w:val="18"/>
                <w:lang w:val="en-GB"/>
              </w:rPr>
              <w:t>(8,497)</w:t>
            </w:r>
          </w:p>
        </w:tc>
        <w:tc>
          <w:tcPr>
            <w:tcW w:w="1332" w:type="dxa"/>
            <w:vAlign w:val="bottom"/>
          </w:tcPr>
          <w:p w14:paraId="4B40A556" w14:textId="77777777" w:rsidR="00600A69" w:rsidRDefault="00600A69" w:rsidP="00B322A7">
            <w:pPr>
              <w:jc w:val="right"/>
              <w:outlineLvl w:val="1"/>
              <w:rPr>
                <w:color w:val="000000"/>
                <w:sz w:val="18"/>
                <w:szCs w:val="18"/>
                <w:lang w:val="en-GB"/>
              </w:rPr>
            </w:pPr>
            <w:r>
              <w:rPr>
                <w:color w:val="000000"/>
                <w:sz w:val="18"/>
                <w:szCs w:val="18"/>
                <w:lang w:val="en-GB"/>
              </w:rPr>
              <w:t>(16,778)</w:t>
            </w:r>
          </w:p>
        </w:tc>
      </w:tr>
      <w:tr w:rsidR="00600A69" w14:paraId="1B0A39FB" w14:textId="77777777" w:rsidTr="00B322A7">
        <w:trPr>
          <w:cantSplit/>
        </w:trPr>
        <w:tc>
          <w:tcPr>
            <w:tcW w:w="2353" w:type="dxa"/>
            <w:vAlign w:val="bottom"/>
          </w:tcPr>
          <w:p w14:paraId="321B1582" w14:textId="77777777" w:rsidR="00600A69" w:rsidRDefault="00600A69" w:rsidP="00B322A7">
            <w:pPr>
              <w:jc w:val="both"/>
              <w:rPr>
                <w:bCs/>
                <w:sz w:val="18"/>
                <w:szCs w:val="18"/>
                <w:lang w:val="en-GB" w:eastAsia="en-GB"/>
              </w:rPr>
            </w:pPr>
            <w:r>
              <w:rPr>
                <w:bCs/>
                <w:sz w:val="18"/>
                <w:szCs w:val="18"/>
                <w:lang w:val="en-GB" w:eastAsia="en-GB"/>
              </w:rPr>
              <w:t>Share in the result of joint venture and associates</w:t>
            </w:r>
          </w:p>
        </w:tc>
        <w:tc>
          <w:tcPr>
            <w:tcW w:w="1107" w:type="dxa"/>
            <w:vAlign w:val="bottom"/>
          </w:tcPr>
          <w:p w14:paraId="5414D83E" w14:textId="77777777" w:rsidR="00600A69" w:rsidRDefault="00600A69" w:rsidP="00B322A7">
            <w:pPr>
              <w:jc w:val="right"/>
              <w:outlineLvl w:val="1"/>
              <w:rPr>
                <w:sz w:val="18"/>
                <w:szCs w:val="18"/>
                <w:u w:val="single"/>
                <w:lang w:val="en-GB"/>
              </w:rPr>
            </w:pPr>
            <w:r>
              <w:rPr>
                <w:sz w:val="18"/>
                <w:szCs w:val="18"/>
                <w:u w:val="single"/>
                <w:lang w:val="en-GB"/>
              </w:rPr>
              <w:t>-</w:t>
            </w:r>
          </w:p>
        </w:tc>
        <w:tc>
          <w:tcPr>
            <w:tcW w:w="1298" w:type="dxa"/>
            <w:vAlign w:val="bottom"/>
          </w:tcPr>
          <w:p w14:paraId="3EB8AF52" w14:textId="77777777" w:rsidR="00600A69" w:rsidRDefault="00600A69" w:rsidP="00B322A7">
            <w:pPr>
              <w:jc w:val="right"/>
              <w:outlineLvl w:val="1"/>
              <w:rPr>
                <w:sz w:val="18"/>
                <w:szCs w:val="18"/>
                <w:u w:val="single"/>
                <w:lang w:val="en-GB"/>
              </w:rPr>
            </w:pPr>
            <w:r>
              <w:rPr>
                <w:sz w:val="18"/>
                <w:szCs w:val="18"/>
                <w:u w:val="single"/>
                <w:lang w:val="en-GB"/>
              </w:rPr>
              <w:t>-</w:t>
            </w:r>
          </w:p>
        </w:tc>
        <w:tc>
          <w:tcPr>
            <w:tcW w:w="1175" w:type="dxa"/>
            <w:vAlign w:val="bottom"/>
          </w:tcPr>
          <w:p w14:paraId="4E2AACBD" w14:textId="77777777" w:rsidR="00600A69" w:rsidRDefault="00600A69" w:rsidP="00B322A7">
            <w:pPr>
              <w:jc w:val="right"/>
              <w:outlineLvl w:val="1"/>
              <w:rPr>
                <w:color w:val="000000"/>
                <w:sz w:val="18"/>
                <w:szCs w:val="18"/>
                <w:u w:val="single"/>
                <w:lang w:val="en-GB"/>
              </w:rPr>
            </w:pPr>
            <w:r>
              <w:rPr>
                <w:color w:val="000000"/>
                <w:sz w:val="18"/>
                <w:szCs w:val="18"/>
                <w:u w:val="single"/>
                <w:lang w:val="en-GB"/>
              </w:rPr>
              <w:t>-</w:t>
            </w:r>
          </w:p>
        </w:tc>
        <w:tc>
          <w:tcPr>
            <w:tcW w:w="1221" w:type="dxa"/>
            <w:vAlign w:val="bottom"/>
          </w:tcPr>
          <w:p w14:paraId="5631A13B" w14:textId="77777777" w:rsidR="00600A69" w:rsidRDefault="00600A69" w:rsidP="00B322A7">
            <w:pPr>
              <w:jc w:val="right"/>
              <w:outlineLvl w:val="1"/>
              <w:rPr>
                <w:color w:val="000000"/>
                <w:sz w:val="18"/>
                <w:szCs w:val="18"/>
                <w:u w:val="single"/>
                <w:lang w:val="en-GB"/>
              </w:rPr>
            </w:pPr>
            <w:r>
              <w:rPr>
                <w:color w:val="000000"/>
                <w:sz w:val="18"/>
                <w:szCs w:val="18"/>
                <w:u w:val="single"/>
                <w:lang w:val="en-GB"/>
              </w:rPr>
              <w:t>7,897</w:t>
            </w:r>
          </w:p>
        </w:tc>
        <w:tc>
          <w:tcPr>
            <w:tcW w:w="1332" w:type="dxa"/>
            <w:vAlign w:val="bottom"/>
          </w:tcPr>
          <w:p w14:paraId="490334B7" w14:textId="77777777" w:rsidR="00600A69" w:rsidRDefault="00600A69" w:rsidP="00B322A7">
            <w:pPr>
              <w:jc w:val="right"/>
              <w:outlineLvl w:val="1"/>
              <w:rPr>
                <w:color w:val="000000"/>
                <w:sz w:val="18"/>
                <w:szCs w:val="18"/>
                <w:u w:val="single"/>
                <w:lang w:val="en-GB"/>
              </w:rPr>
            </w:pPr>
            <w:r>
              <w:rPr>
                <w:color w:val="000000"/>
                <w:sz w:val="18"/>
                <w:szCs w:val="18"/>
                <w:u w:val="single"/>
                <w:lang w:val="en-GB"/>
              </w:rPr>
              <w:t>7,897</w:t>
            </w:r>
          </w:p>
        </w:tc>
      </w:tr>
      <w:tr w:rsidR="00600A69" w14:paraId="54E2CFCC" w14:textId="77777777" w:rsidTr="00B322A7">
        <w:trPr>
          <w:cantSplit/>
        </w:trPr>
        <w:tc>
          <w:tcPr>
            <w:tcW w:w="2353" w:type="dxa"/>
            <w:vAlign w:val="bottom"/>
          </w:tcPr>
          <w:p w14:paraId="725F226E" w14:textId="77777777" w:rsidR="00600A69" w:rsidRDefault="00600A69" w:rsidP="00B322A7">
            <w:pPr>
              <w:jc w:val="both"/>
              <w:rPr>
                <w:b/>
                <w:bCs/>
                <w:sz w:val="18"/>
                <w:szCs w:val="18"/>
                <w:lang w:val="en-GB"/>
              </w:rPr>
            </w:pPr>
            <w:r>
              <w:rPr>
                <w:b/>
                <w:bCs/>
                <w:sz w:val="18"/>
                <w:szCs w:val="18"/>
                <w:lang w:val="en-GB"/>
              </w:rPr>
              <w:t>Operating profit / (loss)</w:t>
            </w:r>
          </w:p>
        </w:tc>
        <w:tc>
          <w:tcPr>
            <w:tcW w:w="1107" w:type="dxa"/>
            <w:vAlign w:val="bottom"/>
          </w:tcPr>
          <w:p w14:paraId="46B8C468" w14:textId="77777777" w:rsidR="00600A69" w:rsidRDefault="00600A69" w:rsidP="00B322A7">
            <w:pPr>
              <w:jc w:val="right"/>
              <w:outlineLvl w:val="1"/>
              <w:rPr>
                <w:b/>
                <w:bCs/>
                <w:color w:val="000000"/>
                <w:sz w:val="18"/>
                <w:szCs w:val="18"/>
                <w:u w:val="double"/>
                <w:lang w:val="en-GB"/>
              </w:rPr>
            </w:pPr>
            <w:r>
              <w:rPr>
                <w:b/>
                <w:bCs/>
                <w:color w:val="000000"/>
                <w:sz w:val="18"/>
                <w:szCs w:val="18"/>
                <w:u w:val="double"/>
                <w:lang w:val="en-GB"/>
              </w:rPr>
              <w:t>20,357</w:t>
            </w:r>
          </w:p>
        </w:tc>
        <w:tc>
          <w:tcPr>
            <w:tcW w:w="1298" w:type="dxa"/>
            <w:vAlign w:val="bottom"/>
          </w:tcPr>
          <w:p w14:paraId="395399BB" w14:textId="77777777" w:rsidR="00600A69" w:rsidRDefault="00600A69" w:rsidP="00B322A7">
            <w:pPr>
              <w:jc w:val="right"/>
              <w:outlineLvl w:val="1"/>
              <w:rPr>
                <w:b/>
                <w:bCs/>
                <w:color w:val="000000"/>
                <w:sz w:val="18"/>
                <w:szCs w:val="18"/>
                <w:u w:val="double"/>
                <w:lang w:val="en-GB"/>
              </w:rPr>
            </w:pPr>
            <w:r>
              <w:rPr>
                <w:b/>
                <w:bCs/>
                <w:color w:val="000000"/>
                <w:sz w:val="18"/>
                <w:szCs w:val="18"/>
                <w:u w:val="double"/>
                <w:lang w:val="en-GB"/>
              </w:rPr>
              <w:t>44,655</w:t>
            </w:r>
          </w:p>
        </w:tc>
        <w:tc>
          <w:tcPr>
            <w:tcW w:w="1175" w:type="dxa"/>
            <w:vAlign w:val="bottom"/>
          </w:tcPr>
          <w:p w14:paraId="573D6D81" w14:textId="77777777" w:rsidR="00600A69" w:rsidRDefault="00600A69" w:rsidP="00B322A7">
            <w:pPr>
              <w:jc w:val="right"/>
              <w:outlineLvl w:val="1"/>
              <w:rPr>
                <w:b/>
                <w:bCs/>
                <w:color w:val="000000"/>
                <w:sz w:val="18"/>
                <w:szCs w:val="18"/>
                <w:u w:val="double"/>
                <w:lang w:val="en-GB"/>
              </w:rPr>
            </w:pPr>
            <w:r>
              <w:rPr>
                <w:b/>
                <w:bCs/>
                <w:color w:val="000000"/>
                <w:sz w:val="18"/>
                <w:szCs w:val="18"/>
                <w:u w:val="double"/>
                <w:lang w:val="en-GB"/>
              </w:rPr>
              <w:t>13,288</w:t>
            </w:r>
          </w:p>
        </w:tc>
        <w:tc>
          <w:tcPr>
            <w:tcW w:w="1221" w:type="dxa"/>
            <w:vAlign w:val="bottom"/>
          </w:tcPr>
          <w:p w14:paraId="6A9ECE25" w14:textId="77777777" w:rsidR="00600A69" w:rsidRDefault="00600A69" w:rsidP="00B322A7">
            <w:pPr>
              <w:jc w:val="right"/>
              <w:outlineLvl w:val="1"/>
              <w:rPr>
                <w:b/>
                <w:bCs/>
                <w:color w:val="000000"/>
                <w:sz w:val="18"/>
                <w:szCs w:val="18"/>
                <w:u w:val="double"/>
                <w:lang w:val="en-GB"/>
              </w:rPr>
            </w:pPr>
            <w:r>
              <w:rPr>
                <w:b/>
                <w:bCs/>
                <w:color w:val="000000"/>
                <w:sz w:val="18"/>
                <w:szCs w:val="18"/>
                <w:u w:val="double"/>
                <w:lang w:val="en-GB"/>
              </w:rPr>
              <w:t>51,682</w:t>
            </w:r>
          </w:p>
        </w:tc>
        <w:tc>
          <w:tcPr>
            <w:tcW w:w="1332" w:type="dxa"/>
            <w:vAlign w:val="bottom"/>
          </w:tcPr>
          <w:p w14:paraId="69574AF0" w14:textId="77777777" w:rsidR="00600A69" w:rsidRDefault="00600A69" w:rsidP="00B322A7">
            <w:pPr>
              <w:jc w:val="right"/>
              <w:outlineLvl w:val="1"/>
              <w:rPr>
                <w:b/>
                <w:bCs/>
                <w:color w:val="000000"/>
                <w:sz w:val="18"/>
                <w:szCs w:val="18"/>
                <w:u w:val="double"/>
                <w:lang w:val="en-GB"/>
              </w:rPr>
            </w:pPr>
            <w:r>
              <w:rPr>
                <w:b/>
                <w:bCs/>
                <w:color w:val="000000"/>
                <w:sz w:val="18"/>
                <w:szCs w:val="18"/>
                <w:u w:val="double"/>
                <w:lang w:val="en-GB"/>
              </w:rPr>
              <w:t>129,982</w:t>
            </w:r>
          </w:p>
        </w:tc>
      </w:tr>
    </w:tbl>
    <w:p w14:paraId="1FA9F6E7" w14:textId="77777777" w:rsidR="001D1FD6" w:rsidRDefault="001D1FD6" w:rsidP="001D1FD6">
      <w:pPr>
        <w:spacing w:after="240"/>
        <w:jc w:val="both"/>
        <w:rPr>
          <w:rFonts w:cs="Arabic Transparent"/>
          <w:color w:val="000000"/>
          <w:sz w:val="18"/>
          <w:szCs w:val="18"/>
        </w:rPr>
      </w:pPr>
    </w:p>
    <w:tbl>
      <w:tblPr>
        <w:tblW w:w="425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2293"/>
        <w:gridCol w:w="1082"/>
        <w:gridCol w:w="1268"/>
        <w:gridCol w:w="1148"/>
        <w:gridCol w:w="1193"/>
        <w:gridCol w:w="1301"/>
      </w:tblGrid>
      <w:tr w:rsidR="00600A69" w14:paraId="0E5BB216" w14:textId="77777777" w:rsidTr="00B322A7">
        <w:trPr>
          <w:cantSplit/>
        </w:trPr>
        <w:tc>
          <w:tcPr>
            <w:tcW w:w="2353" w:type="dxa"/>
          </w:tcPr>
          <w:p w14:paraId="71646F62" w14:textId="77777777" w:rsidR="00600A69" w:rsidRDefault="00600A69" w:rsidP="00B322A7">
            <w:pPr>
              <w:jc w:val="both"/>
              <w:rPr>
                <w:b/>
                <w:sz w:val="18"/>
                <w:szCs w:val="18"/>
                <w:lang w:val="en-GB"/>
              </w:rPr>
            </w:pPr>
            <w:r>
              <w:rPr>
                <w:b/>
                <w:sz w:val="18"/>
                <w:szCs w:val="18"/>
                <w:lang w:val="en-GB"/>
              </w:rPr>
              <w:t>Income Statement</w:t>
            </w:r>
          </w:p>
        </w:tc>
        <w:tc>
          <w:tcPr>
            <w:tcW w:w="6133" w:type="dxa"/>
            <w:gridSpan w:val="5"/>
          </w:tcPr>
          <w:p w14:paraId="3511FE76" w14:textId="77777777" w:rsidR="00600A69" w:rsidRDefault="00600A69" w:rsidP="00B322A7">
            <w:pPr>
              <w:pBdr>
                <w:bottom w:val="single" w:sz="2" w:space="1" w:color="auto"/>
              </w:pBdr>
              <w:jc w:val="center"/>
              <w:rPr>
                <w:b/>
                <w:sz w:val="18"/>
                <w:szCs w:val="18"/>
              </w:rPr>
            </w:pPr>
            <w:r>
              <w:rPr>
                <w:b/>
                <w:sz w:val="18"/>
                <w:szCs w:val="18"/>
              </w:rPr>
              <w:t>For the year ended 31-Dec-2015</w:t>
            </w:r>
          </w:p>
        </w:tc>
      </w:tr>
      <w:tr w:rsidR="00600A69" w14:paraId="5069BEA7" w14:textId="77777777" w:rsidTr="00B322A7">
        <w:trPr>
          <w:cantSplit/>
        </w:trPr>
        <w:tc>
          <w:tcPr>
            <w:tcW w:w="2353" w:type="dxa"/>
            <w:vMerge w:val="restart"/>
          </w:tcPr>
          <w:p w14:paraId="6ECBB8D3" w14:textId="77777777" w:rsidR="00600A69" w:rsidRDefault="00600A69" w:rsidP="00B322A7">
            <w:pPr>
              <w:jc w:val="both"/>
              <w:rPr>
                <w:sz w:val="18"/>
                <w:szCs w:val="18"/>
                <w:lang w:val="en-GB"/>
              </w:rPr>
            </w:pPr>
          </w:p>
        </w:tc>
        <w:tc>
          <w:tcPr>
            <w:tcW w:w="1107" w:type="dxa"/>
          </w:tcPr>
          <w:p w14:paraId="187E77C2" w14:textId="77777777" w:rsidR="00600A69" w:rsidRDefault="00600A69" w:rsidP="00B322A7">
            <w:pPr>
              <w:pBdr>
                <w:bottom w:val="single" w:sz="2" w:space="1" w:color="auto"/>
              </w:pBdr>
              <w:jc w:val="center"/>
              <w:rPr>
                <w:b/>
                <w:sz w:val="18"/>
                <w:szCs w:val="18"/>
              </w:rPr>
            </w:pPr>
            <w:r>
              <w:rPr>
                <w:b/>
                <w:sz w:val="18"/>
                <w:szCs w:val="18"/>
              </w:rPr>
              <w:t>Czech Republic</w:t>
            </w:r>
          </w:p>
        </w:tc>
        <w:tc>
          <w:tcPr>
            <w:tcW w:w="1298" w:type="dxa"/>
          </w:tcPr>
          <w:p w14:paraId="46C4FFC1" w14:textId="77777777" w:rsidR="00600A69" w:rsidRDefault="00600A69" w:rsidP="00B322A7">
            <w:pPr>
              <w:pBdr>
                <w:bottom w:val="single" w:sz="2" w:space="1" w:color="auto"/>
              </w:pBdr>
              <w:jc w:val="center"/>
              <w:rPr>
                <w:b/>
                <w:sz w:val="18"/>
                <w:szCs w:val="18"/>
              </w:rPr>
            </w:pPr>
          </w:p>
          <w:p w14:paraId="0E946463" w14:textId="77777777" w:rsidR="00600A69" w:rsidRDefault="00600A69" w:rsidP="00B322A7">
            <w:pPr>
              <w:pBdr>
                <w:bottom w:val="single" w:sz="2" w:space="1" w:color="auto"/>
              </w:pBdr>
              <w:jc w:val="center"/>
              <w:rPr>
                <w:b/>
                <w:sz w:val="18"/>
                <w:szCs w:val="18"/>
              </w:rPr>
            </w:pPr>
            <w:r>
              <w:rPr>
                <w:b/>
                <w:sz w:val="18"/>
                <w:szCs w:val="18"/>
              </w:rPr>
              <w:t>Germany</w:t>
            </w:r>
          </w:p>
        </w:tc>
        <w:tc>
          <w:tcPr>
            <w:tcW w:w="1175" w:type="dxa"/>
          </w:tcPr>
          <w:p w14:paraId="6DDBD233" w14:textId="77777777" w:rsidR="00600A69" w:rsidRDefault="00600A69" w:rsidP="00B322A7">
            <w:pPr>
              <w:pBdr>
                <w:bottom w:val="single" w:sz="2" w:space="1" w:color="auto"/>
              </w:pBdr>
              <w:jc w:val="center"/>
              <w:rPr>
                <w:b/>
                <w:sz w:val="18"/>
                <w:szCs w:val="18"/>
              </w:rPr>
            </w:pPr>
            <w:r>
              <w:rPr>
                <w:b/>
                <w:sz w:val="18"/>
                <w:szCs w:val="18"/>
              </w:rPr>
              <w:t>Other Countries</w:t>
            </w:r>
          </w:p>
        </w:tc>
        <w:tc>
          <w:tcPr>
            <w:tcW w:w="1221" w:type="dxa"/>
          </w:tcPr>
          <w:p w14:paraId="251BDD20" w14:textId="77777777" w:rsidR="00600A69" w:rsidRDefault="00600A69" w:rsidP="00B322A7">
            <w:pPr>
              <w:pBdr>
                <w:bottom w:val="single" w:sz="2" w:space="1" w:color="auto"/>
              </w:pBdr>
              <w:jc w:val="center"/>
              <w:rPr>
                <w:b/>
                <w:sz w:val="18"/>
                <w:szCs w:val="18"/>
              </w:rPr>
            </w:pPr>
          </w:p>
          <w:p w14:paraId="38FECBFF" w14:textId="77777777" w:rsidR="00600A69" w:rsidRDefault="00600A69" w:rsidP="00B322A7">
            <w:pPr>
              <w:pBdr>
                <w:bottom w:val="single" w:sz="2" w:space="1" w:color="auto"/>
              </w:pBdr>
              <w:jc w:val="center"/>
              <w:rPr>
                <w:b/>
                <w:sz w:val="18"/>
                <w:szCs w:val="18"/>
              </w:rPr>
            </w:pPr>
            <w:r>
              <w:rPr>
                <w:b/>
                <w:sz w:val="18"/>
                <w:szCs w:val="18"/>
              </w:rPr>
              <w:t>Unallocated</w:t>
            </w:r>
          </w:p>
        </w:tc>
        <w:tc>
          <w:tcPr>
            <w:tcW w:w="1332" w:type="dxa"/>
          </w:tcPr>
          <w:p w14:paraId="21E4D865" w14:textId="77777777" w:rsidR="00600A69" w:rsidRDefault="00600A69" w:rsidP="00B322A7">
            <w:pPr>
              <w:pBdr>
                <w:bottom w:val="single" w:sz="2" w:space="1" w:color="auto"/>
              </w:pBdr>
              <w:jc w:val="center"/>
              <w:rPr>
                <w:b/>
                <w:sz w:val="18"/>
                <w:szCs w:val="18"/>
              </w:rPr>
            </w:pPr>
          </w:p>
          <w:p w14:paraId="634E5D9A" w14:textId="77777777" w:rsidR="00600A69" w:rsidRDefault="00600A69" w:rsidP="00B322A7">
            <w:pPr>
              <w:pBdr>
                <w:bottom w:val="single" w:sz="2" w:space="1" w:color="auto"/>
              </w:pBdr>
              <w:jc w:val="center"/>
              <w:rPr>
                <w:b/>
                <w:sz w:val="18"/>
                <w:szCs w:val="18"/>
              </w:rPr>
            </w:pPr>
            <w:r>
              <w:rPr>
                <w:b/>
                <w:sz w:val="18"/>
                <w:szCs w:val="18"/>
              </w:rPr>
              <w:t>Total</w:t>
            </w:r>
          </w:p>
        </w:tc>
      </w:tr>
      <w:tr w:rsidR="00600A69" w14:paraId="6D02BAD0" w14:textId="77777777" w:rsidTr="00B322A7">
        <w:trPr>
          <w:cantSplit/>
        </w:trPr>
        <w:tc>
          <w:tcPr>
            <w:tcW w:w="2353" w:type="dxa"/>
            <w:vMerge/>
          </w:tcPr>
          <w:p w14:paraId="03C3E11E" w14:textId="77777777" w:rsidR="00600A69" w:rsidRDefault="00600A69" w:rsidP="00B322A7">
            <w:pPr>
              <w:jc w:val="both"/>
              <w:rPr>
                <w:sz w:val="18"/>
                <w:szCs w:val="18"/>
                <w:lang w:val="en-GB"/>
              </w:rPr>
            </w:pPr>
          </w:p>
        </w:tc>
        <w:tc>
          <w:tcPr>
            <w:tcW w:w="6133" w:type="dxa"/>
            <w:gridSpan w:val="5"/>
          </w:tcPr>
          <w:p w14:paraId="0C9FE437" w14:textId="77777777" w:rsidR="00600A69" w:rsidRDefault="00600A69" w:rsidP="00B322A7">
            <w:pPr>
              <w:jc w:val="center"/>
              <w:rPr>
                <w:sz w:val="18"/>
                <w:szCs w:val="18"/>
                <w:lang w:val="en-GB"/>
              </w:rPr>
            </w:pPr>
            <w:r>
              <w:rPr>
                <w:sz w:val="18"/>
                <w:szCs w:val="18"/>
              </w:rPr>
              <w:t>(</w:t>
            </w:r>
            <w:r>
              <w:rPr>
                <w:i/>
                <w:sz w:val="18"/>
                <w:szCs w:val="18"/>
              </w:rPr>
              <w:t xml:space="preserve">in thousands of </w:t>
            </w:r>
            <w:r>
              <w:rPr>
                <w:bCs/>
                <w:i/>
                <w:sz w:val="18"/>
                <w:szCs w:val="18"/>
              </w:rPr>
              <w:t>€</w:t>
            </w:r>
            <w:r>
              <w:rPr>
                <w:sz w:val="18"/>
                <w:szCs w:val="18"/>
              </w:rPr>
              <w:t>)</w:t>
            </w:r>
          </w:p>
        </w:tc>
      </w:tr>
      <w:tr w:rsidR="00600A69" w14:paraId="7AE78FEB" w14:textId="77777777" w:rsidTr="00B322A7">
        <w:trPr>
          <w:cantSplit/>
        </w:trPr>
        <w:tc>
          <w:tcPr>
            <w:tcW w:w="2353" w:type="dxa"/>
            <w:vAlign w:val="bottom"/>
          </w:tcPr>
          <w:p w14:paraId="1CC5BD8B" w14:textId="77777777" w:rsidR="00600A69" w:rsidRDefault="00600A69" w:rsidP="00B322A7">
            <w:pPr>
              <w:jc w:val="both"/>
              <w:rPr>
                <w:sz w:val="18"/>
                <w:szCs w:val="18"/>
                <w:lang w:val="en-GB" w:eastAsia="en-GB"/>
              </w:rPr>
            </w:pPr>
            <w:r>
              <w:rPr>
                <w:sz w:val="18"/>
                <w:szCs w:val="18"/>
                <w:lang w:val="en-GB" w:eastAsia="en-GB"/>
              </w:rPr>
              <w:t>Gross rental income</w:t>
            </w:r>
          </w:p>
        </w:tc>
        <w:tc>
          <w:tcPr>
            <w:tcW w:w="1107" w:type="dxa"/>
            <w:vAlign w:val="bottom"/>
          </w:tcPr>
          <w:p w14:paraId="69053A43" w14:textId="77777777" w:rsidR="00600A69" w:rsidRDefault="00600A69" w:rsidP="00B322A7">
            <w:pPr>
              <w:jc w:val="right"/>
              <w:outlineLvl w:val="1"/>
              <w:rPr>
                <w:color w:val="000000"/>
                <w:sz w:val="18"/>
                <w:szCs w:val="18"/>
                <w:lang w:val="en-GB"/>
              </w:rPr>
            </w:pPr>
            <w:r>
              <w:rPr>
                <w:color w:val="000000"/>
                <w:sz w:val="18"/>
                <w:szCs w:val="18"/>
                <w:lang w:val="en-GB"/>
              </w:rPr>
              <w:t>4,663</w:t>
            </w:r>
          </w:p>
        </w:tc>
        <w:tc>
          <w:tcPr>
            <w:tcW w:w="1298" w:type="dxa"/>
            <w:vAlign w:val="bottom"/>
          </w:tcPr>
          <w:p w14:paraId="08990219" w14:textId="77777777" w:rsidR="00600A69" w:rsidRDefault="00600A69" w:rsidP="00B322A7">
            <w:pPr>
              <w:jc w:val="right"/>
              <w:outlineLvl w:val="1"/>
              <w:rPr>
                <w:color w:val="000000"/>
                <w:sz w:val="18"/>
                <w:szCs w:val="18"/>
                <w:lang w:val="en-GB"/>
              </w:rPr>
            </w:pPr>
            <w:r>
              <w:rPr>
                <w:color w:val="000000"/>
                <w:sz w:val="18"/>
                <w:szCs w:val="18"/>
                <w:lang w:val="en-GB"/>
              </w:rPr>
              <w:t>5,740</w:t>
            </w:r>
          </w:p>
        </w:tc>
        <w:tc>
          <w:tcPr>
            <w:tcW w:w="1175" w:type="dxa"/>
            <w:vAlign w:val="bottom"/>
          </w:tcPr>
          <w:p w14:paraId="70F21FD1" w14:textId="77777777" w:rsidR="00600A69" w:rsidRDefault="00600A69" w:rsidP="00B322A7">
            <w:pPr>
              <w:jc w:val="right"/>
              <w:outlineLvl w:val="1"/>
              <w:rPr>
                <w:color w:val="000000"/>
                <w:sz w:val="18"/>
                <w:szCs w:val="18"/>
                <w:lang w:val="en-GB"/>
              </w:rPr>
            </w:pPr>
            <w:r>
              <w:rPr>
                <w:color w:val="000000"/>
                <w:sz w:val="18"/>
                <w:szCs w:val="18"/>
                <w:lang w:val="en-GB"/>
              </w:rPr>
              <w:t>6,670</w:t>
            </w:r>
          </w:p>
        </w:tc>
        <w:tc>
          <w:tcPr>
            <w:tcW w:w="1221" w:type="dxa"/>
            <w:vAlign w:val="bottom"/>
          </w:tcPr>
          <w:p w14:paraId="13BB919C" w14:textId="77777777" w:rsidR="00600A69" w:rsidRDefault="00600A69" w:rsidP="00B322A7">
            <w:pPr>
              <w:jc w:val="right"/>
              <w:outlineLvl w:val="1"/>
              <w:rPr>
                <w:color w:val="000000"/>
                <w:sz w:val="18"/>
                <w:szCs w:val="18"/>
                <w:lang w:val="en-GB"/>
              </w:rPr>
            </w:pPr>
            <w:r>
              <w:rPr>
                <w:color w:val="000000"/>
                <w:sz w:val="18"/>
                <w:szCs w:val="18"/>
                <w:lang w:val="en-GB"/>
              </w:rPr>
              <w:t>-</w:t>
            </w:r>
          </w:p>
        </w:tc>
        <w:tc>
          <w:tcPr>
            <w:tcW w:w="1332" w:type="dxa"/>
            <w:vAlign w:val="bottom"/>
          </w:tcPr>
          <w:p w14:paraId="1DCDCABE" w14:textId="77777777" w:rsidR="00600A69" w:rsidRDefault="00600A69" w:rsidP="00B322A7">
            <w:pPr>
              <w:jc w:val="right"/>
              <w:outlineLvl w:val="1"/>
              <w:rPr>
                <w:color w:val="000000"/>
                <w:sz w:val="18"/>
                <w:szCs w:val="18"/>
                <w:lang w:val="en-GB"/>
              </w:rPr>
            </w:pPr>
            <w:r>
              <w:rPr>
                <w:color w:val="000000"/>
                <w:sz w:val="18"/>
                <w:szCs w:val="18"/>
                <w:lang w:val="en-GB"/>
              </w:rPr>
              <w:t>17,073</w:t>
            </w:r>
          </w:p>
        </w:tc>
      </w:tr>
      <w:tr w:rsidR="00600A69" w14:paraId="7E78766C" w14:textId="77777777" w:rsidTr="00B322A7">
        <w:trPr>
          <w:cantSplit/>
        </w:trPr>
        <w:tc>
          <w:tcPr>
            <w:tcW w:w="2353" w:type="dxa"/>
            <w:vAlign w:val="bottom"/>
          </w:tcPr>
          <w:p w14:paraId="208933B8" w14:textId="77777777" w:rsidR="00600A69" w:rsidRDefault="00600A69" w:rsidP="00B322A7">
            <w:pPr>
              <w:jc w:val="both"/>
              <w:rPr>
                <w:sz w:val="18"/>
                <w:szCs w:val="18"/>
                <w:lang w:val="en-GB" w:eastAsia="en-GB"/>
              </w:rPr>
            </w:pPr>
            <w:r>
              <w:rPr>
                <w:sz w:val="18"/>
                <w:szCs w:val="18"/>
                <w:lang w:val="en-GB" w:eastAsia="en-GB"/>
              </w:rPr>
              <w:t>Service charge income / (expenses)</w:t>
            </w:r>
          </w:p>
        </w:tc>
        <w:tc>
          <w:tcPr>
            <w:tcW w:w="1107" w:type="dxa"/>
            <w:vAlign w:val="bottom"/>
          </w:tcPr>
          <w:p w14:paraId="4A91CB5F" w14:textId="77777777" w:rsidR="00600A69" w:rsidRDefault="00600A69" w:rsidP="00B322A7">
            <w:pPr>
              <w:jc w:val="right"/>
              <w:outlineLvl w:val="1"/>
              <w:rPr>
                <w:color w:val="000000"/>
                <w:sz w:val="18"/>
                <w:szCs w:val="18"/>
                <w:lang w:val="en-GB"/>
              </w:rPr>
            </w:pPr>
            <w:r>
              <w:rPr>
                <w:color w:val="000000"/>
                <w:sz w:val="18"/>
                <w:szCs w:val="18"/>
                <w:lang w:val="en-GB"/>
              </w:rPr>
              <w:t>42</w:t>
            </w:r>
          </w:p>
        </w:tc>
        <w:tc>
          <w:tcPr>
            <w:tcW w:w="1298" w:type="dxa"/>
            <w:vAlign w:val="bottom"/>
          </w:tcPr>
          <w:p w14:paraId="5633D7D3" w14:textId="77777777" w:rsidR="00600A69" w:rsidRDefault="00600A69" w:rsidP="00B322A7">
            <w:pPr>
              <w:jc w:val="right"/>
              <w:outlineLvl w:val="1"/>
              <w:rPr>
                <w:color w:val="000000"/>
                <w:sz w:val="18"/>
                <w:szCs w:val="18"/>
                <w:lang w:val="en-GB"/>
              </w:rPr>
            </w:pPr>
            <w:r>
              <w:rPr>
                <w:color w:val="000000"/>
                <w:sz w:val="18"/>
                <w:szCs w:val="18"/>
                <w:lang w:val="en-GB"/>
              </w:rPr>
              <w:t>29</w:t>
            </w:r>
          </w:p>
        </w:tc>
        <w:tc>
          <w:tcPr>
            <w:tcW w:w="1175" w:type="dxa"/>
            <w:vAlign w:val="bottom"/>
          </w:tcPr>
          <w:p w14:paraId="1DEB8B1A" w14:textId="77777777" w:rsidR="00600A69" w:rsidRDefault="00600A69" w:rsidP="00B322A7">
            <w:pPr>
              <w:jc w:val="right"/>
              <w:outlineLvl w:val="1"/>
              <w:rPr>
                <w:color w:val="000000"/>
                <w:sz w:val="18"/>
                <w:szCs w:val="18"/>
                <w:lang w:val="en-GB"/>
              </w:rPr>
            </w:pPr>
            <w:r>
              <w:rPr>
                <w:color w:val="000000"/>
                <w:sz w:val="18"/>
                <w:szCs w:val="18"/>
                <w:lang w:val="en-GB"/>
              </w:rPr>
              <w:t>351</w:t>
            </w:r>
          </w:p>
        </w:tc>
        <w:tc>
          <w:tcPr>
            <w:tcW w:w="1221" w:type="dxa"/>
            <w:vAlign w:val="bottom"/>
          </w:tcPr>
          <w:p w14:paraId="704428ED" w14:textId="77777777" w:rsidR="00600A69" w:rsidRDefault="00600A69" w:rsidP="00B322A7">
            <w:pPr>
              <w:jc w:val="right"/>
              <w:outlineLvl w:val="1"/>
              <w:rPr>
                <w:color w:val="000000"/>
                <w:sz w:val="18"/>
                <w:szCs w:val="18"/>
                <w:lang w:val="en-GB"/>
              </w:rPr>
            </w:pPr>
            <w:r>
              <w:rPr>
                <w:color w:val="000000"/>
                <w:sz w:val="18"/>
                <w:szCs w:val="18"/>
                <w:lang w:val="en-GB"/>
              </w:rPr>
              <w:t>-</w:t>
            </w:r>
          </w:p>
        </w:tc>
        <w:tc>
          <w:tcPr>
            <w:tcW w:w="1332" w:type="dxa"/>
            <w:vAlign w:val="bottom"/>
          </w:tcPr>
          <w:p w14:paraId="01E30D0E" w14:textId="77777777" w:rsidR="00600A69" w:rsidRDefault="00600A69" w:rsidP="00B322A7">
            <w:pPr>
              <w:jc w:val="right"/>
              <w:outlineLvl w:val="1"/>
              <w:rPr>
                <w:color w:val="000000"/>
                <w:sz w:val="18"/>
                <w:szCs w:val="18"/>
                <w:lang w:val="en-GB"/>
              </w:rPr>
            </w:pPr>
            <w:r>
              <w:rPr>
                <w:color w:val="000000"/>
                <w:sz w:val="18"/>
                <w:szCs w:val="18"/>
                <w:lang w:val="en-GB"/>
              </w:rPr>
              <w:t>422</w:t>
            </w:r>
          </w:p>
        </w:tc>
      </w:tr>
      <w:tr w:rsidR="00600A69" w14:paraId="2A55764E" w14:textId="77777777" w:rsidTr="00B322A7">
        <w:trPr>
          <w:cantSplit/>
        </w:trPr>
        <w:tc>
          <w:tcPr>
            <w:tcW w:w="2353" w:type="dxa"/>
            <w:vAlign w:val="bottom"/>
          </w:tcPr>
          <w:p w14:paraId="6E64111C" w14:textId="77777777" w:rsidR="00600A69" w:rsidRDefault="00600A69" w:rsidP="00B322A7">
            <w:pPr>
              <w:jc w:val="both"/>
              <w:rPr>
                <w:sz w:val="18"/>
                <w:szCs w:val="18"/>
                <w:lang w:val="en-GB" w:eastAsia="en-GB"/>
              </w:rPr>
            </w:pPr>
            <w:r>
              <w:rPr>
                <w:sz w:val="18"/>
                <w:szCs w:val="18"/>
                <w:lang w:val="en-GB" w:eastAsia="en-GB"/>
              </w:rPr>
              <w:t>Property operating expenses</w:t>
            </w:r>
          </w:p>
        </w:tc>
        <w:tc>
          <w:tcPr>
            <w:tcW w:w="1107" w:type="dxa"/>
            <w:vAlign w:val="bottom"/>
          </w:tcPr>
          <w:p w14:paraId="0FF1441B" w14:textId="77777777" w:rsidR="00600A69" w:rsidRDefault="00600A69" w:rsidP="00B322A7">
            <w:pPr>
              <w:jc w:val="right"/>
              <w:outlineLvl w:val="1"/>
              <w:rPr>
                <w:color w:val="000000"/>
                <w:sz w:val="18"/>
                <w:szCs w:val="18"/>
                <w:lang w:val="en-GB"/>
              </w:rPr>
            </w:pPr>
            <w:r>
              <w:rPr>
                <w:color w:val="000000"/>
                <w:sz w:val="18"/>
                <w:szCs w:val="18"/>
                <w:lang w:val="en-GB"/>
              </w:rPr>
              <w:t>(284)</w:t>
            </w:r>
          </w:p>
        </w:tc>
        <w:tc>
          <w:tcPr>
            <w:tcW w:w="1298" w:type="dxa"/>
            <w:vAlign w:val="bottom"/>
          </w:tcPr>
          <w:p w14:paraId="35CE66B3" w14:textId="77777777" w:rsidR="00600A69" w:rsidRDefault="00600A69" w:rsidP="00B322A7">
            <w:pPr>
              <w:jc w:val="right"/>
              <w:outlineLvl w:val="1"/>
              <w:rPr>
                <w:color w:val="000000"/>
                <w:sz w:val="18"/>
                <w:szCs w:val="18"/>
                <w:lang w:val="en-GB"/>
              </w:rPr>
            </w:pPr>
            <w:r>
              <w:rPr>
                <w:color w:val="000000"/>
                <w:sz w:val="18"/>
                <w:szCs w:val="18"/>
                <w:lang w:val="en-GB"/>
              </w:rPr>
              <w:t>(429)</w:t>
            </w:r>
          </w:p>
        </w:tc>
        <w:tc>
          <w:tcPr>
            <w:tcW w:w="1175" w:type="dxa"/>
            <w:vAlign w:val="bottom"/>
          </w:tcPr>
          <w:p w14:paraId="4A469EEB" w14:textId="77777777" w:rsidR="00600A69" w:rsidRDefault="00600A69" w:rsidP="00B322A7">
            <w:pPr>
              <w:jc w:val="right"/>
              <w:outlineLvl w:val="1"/>
              <w:rPr>
                <w:color w:val="000000"/>
                <w:sz w:val="18"/>
                <w:szCs w:val="18"/>
                <w:lang w:val="en-GB"/>
              </w:rPr>
            </w:pPr>
            <w:r>
              <w:rPr>
                <w:color w:val="000000"/>
                <w:sz w:val="18"/>
                <w:szCs w:val="18"/>
                <w:lang w:val="en-GB"/>
              </w:rPr>
              <w:t>(259)</w:t>
            </w:r>
          </w:p>
        </w:tc>
        <w:tc>
          <w:tcPr>
            <w:tcW w:w="1221" w:type="dxa"/>
            <w:vAlign w:val="bottom"/>
          </w:tcPr>
          <w:p w14:paraId="124B7890" w14:textId="77777777" w:rsidR="00600A69" w:rsidRDefault="00600A69" w:rsidP="00B322A7">
            <w:pPr>
              <w:jc w:val="right"/>
              <w:outlineLvl w:val="1"/>
              <w:rPr>
                <w:color w:val="000000"/>
                <w:sz w:val="18"/>
                <w:szCs w:val="18"/>
                <w:lang w:val="en-GB"/>
              </w:rPr>
            </w:pPr>
            <w:r>
              <w:rPr>
                <w:color w:val="000000"/>
                <w:sz w:val="18"/>
                <w:szCs w:val="18"/>
                <w:lang w:val="en-GB"/>
              </w:rPr>
              <w:t>-</w:t>
            </w:r>
          </w:p>
        </w:tc>
        <w:tc>
          <w:tcPr>
            <w:tcW w:w="1332" w:type="dxa"/>
            <w:vAlign w:val="bottom"/>
          </w:tcPr>
          <w:p w14:paraId="745CE1F5" w14:textId="77777777" w:rsidR="00600A69" w:rsidRDefault="00600A69" w:rsidP="00B322A7">
            <w:pPr>
              <w:jc w:val="right"/>
              <w:outlineLvl w:val="1"/>
              <w:rPr>
                <w:color w:val="000000"/>
                <w:sz w:val="18"/>
                <w:szCs w:val="18"/>
                <w:lang w:val="en-GB"/>
              </w:rPr>
            </w:pPr>
            <w:r>
              <w:rPr>
                <w:color w:val="000000"/>
                <w:sz w:val="18"/>
                <w:szCs w:val="18"/>
                <w:lang w:val="en-GB"/>
              </w:rPr>
              <w:t>(972)</w:t>
            </w:r>
          </w:p>
        </w:tc>
      </w:tr>
      <w:tr w:rsidR="00600A69" w14:paraId="6BAD74D9" w14:textId="77777777" w:rsidTr="00B322A7">
        <w:trPr>
          <w:cantSplit/>
        </w:trPr>
        <w:tc>
          <w:tcPr>
            <w:tcW w:w="2353" w:type="dxa"/>
            <w:vAlign w:val="bottom"/>
          </w:tcPr>
          <w:p w14:paraId="2BA86362" w14:textId="77777777" w:rsidR="00600A69" w:rsidRDefault="00600A69" w:rsidP="00B322A7">
            <w:pPr>
              <w:jc w:val="both"/>
              <w:rPr>
                <w:b/>
                <w:bCs/>
                <w:sz w:val="18"/>
                <w:szCs w:val="18"/>
                <w:lang w:val="en-GB" w:eastAsia="en-GB"/>
              </w:rPr>
            </w:pPr>
            <w:r>
              <w:rPr>
                <w:b/>
                <w:bCs/>
                <w:sz w:val="18"/>
                <w:szCs w:val="18"/>
                <w:lang w:val="en-GB" w:eastAsia="en-GB"/>
              </w:rPr>
              <w:t>Net rental and related income</w:t>
            </w:r>
          </w:p>
        </w:tc>
        <w:tc>
          <w:tcPr>
            <w:tcW w:w="1107" w:type="dxa"/>
            <w:vAlign w:val="bottom"/>
          </w:tcPr>
          <w:p w14:paraId="75F9604B" w14:textId="77777777" w:rsidR="00600A69" w:rsidRDefault="00600A69" w:rsidP="00B322A7">
            <w:pPr>
              <w:jc w:val="right"/>
              <w:outlineLvl w:val="1"/>
              <w:rPr>
                <w:b/>
                <w:bCs/>
                <w:color w:val="000000"/>
                <w:sz w:val="18"/>
                <w:szCs w:val="18"/>
                <w:u w:val="single"/>
                <w:lang w:val="en-GB"/>
              </w:rPr>
            </w:pPr>
            <w:r>
              <w:rPr>
                <w:b/>
                <w:bCs/>
                <w:color w:val="000000"/>
                <w:sz w:val="18"/>
                <w:szCs w:val="18"/>
                <w:u w:val="single"/>
                <w:lang w:val="en-GB"/>
              </w:rPr>
              <w:t>4,421</w:t>
            </w:r>
          </w:p>
        </w:tc>
        <w:tc>
          <w:tcPr>
            <w:tcW w:w="1298" w:type="dxa"/>
            <w:vAlign w:val="bottom"/>
          </w:tcPr>
          <w:p w14:paraId="7AF01833" w14:textId="77777777" w:rsidR="00600A69" w:rsidRDefault="00600A69" w:rsidP="00B322A7">
            <w:pPr>
              <w:jc w:val="right"/>
              <w:outlineLvl w:val="1"/>
              <w:rPr>
                <w:b/>
                <w:bCs/>
                <w:color w:val="000000"/>
                <w:sz w:val="18"/>
                <w:szCs w:val="18"/>
                <w:u w:val="single"/>
                <w:lang w:val="en-GB"/>
              </w:rPr>
            </w:pPr>
            <w:r>
              <w:rPr>
                <w:b/>
                <w:bCs/>
                <w:color w:val="000000"/>
                <w:sz w:val="18"/>
                <w:szCs w:val="18"/>
                <w:u w:val="single"/>
                <w:lang w:val="en-GB"/>
              </w:rPr>
              <w:t>5,340</w:t>
            </w:r>
          </w:p>
        </w:tc>
        <w:tc>
          <w:tcPr>
            <w:tcW w:w="1175" w:type="dxa"/>
            <w:vAlign w:val="bottom"/>
          </w:tcPr>
          <w:p w14:paraId="67DD5F93" w14:textId="77777777" w:rsidR="00600A69" w:rsidRDefault="00600A69" w:rsidP="00B322A7">
            <w:pPr>
              <w:jc w:val="right"/>
              <w:outlineLvl w:val="1"/>
              <w:rPr>
                <w:b/>
                <w:bCs/>
                <w:color w:val="000000"/>
                <w:sz w:val="18"/>
                <w:szCs w:val="18"/>
                <w:u w:val="single"/>
                <w:lang w:val="en-GB"/>
              </w:rPr>
            </w:pPr>
            <w:r>
              <w:rPr>
                <w:b/>
                <w:bCs/>
                <w:color w:val="000000"/>
                <w:sz w:val="18"/>
                <w:szCs w:val="18"/>
                <w:u w:val="single"/>
                <w:lang w:val="en-GB"/>
              </w:rPr>
              <w:t>6,762</w:t>
            </w:r>
          </w:p>
        </w:tc>
        <w:tc>
          <w:tcPr>
            <w:tcW w:w="1221" w:type="dxa"/>
            <w:vAlign w:val="bottom"/>
          </w:tcPr>
          <w:p w14:paraId="32A87EC4" w14:textId="77777777" w:rsidR="00600A69" w:rsidRDefault="00600A69" w:rsidP="00B322A7">
            <w:pPr>
              <w:jc w:val="right"/>
              <w:outlineLvl w:val="1"/>
              <w:rPr>
                <w:b/>
                <w:bCs/>
                <w:color w:val="000000"/>
                <w:sz w:val="18"/>
                <w:szCs w:val="18"/>
                <w:u w:val="single"/>
                <w:lang w:val="en-GB"/>
              </w:rPr>
            </w:pPr>
            <w:r>
              <w:rPr>
                <w:b/>
                <w:bCs/>
                <w:color w:val="000000"/>
                <w:sz w:val="18"/>
                <w:szCs w:val="18"/>
                <w:u w:val="single"/>
                <w:lang w:val="en-GB"/>
              </w:rPr>
              <w:t>-</w:t>
            </w:r>
          </w:p>
        </w:tc>
        <w:tc>
          <w:tcPr>
            <w:tcW w:w="1332" w:type="dxa"/>
            <w:vAlign w:val="bottom"/>
          </w:tcPr>
          <w:p w14:paraId="0514026B" w14:textId="77777777" w:rsidR="00600A69" w:rsidRDefault="00600A69" w:rsidP="00B322A7">
            <w:pPr>
              <w:jc w:val="right"/>
              <w:outlineLvl w:val="1"/>
              <w:rPr>
                <w:b/>
                <w:bCs/>
                <w:color w:val="000000"/>
                <w:sz w:val="18"/>
                <w:szCs w:val="18"/>
                <w:u w:val="single"/>
                <w:lang w:val="en-GB"/>
              </w:rPr>
            </w:pPr>
            <w:r>
              <w:rPr>
                <w:b/>
                <w:bCs/>
                <w:color w:val="000000"/>
                <w:sz w:val="18"/>
                <w:szCs w:val="18"/>
                <w:u w:val="single"/>
                <w:lang w:val="en-GB"/>
              </w:rPr>
              <w:t>16,523</w:t>
            </w:r>
          </w:p>
        </w:tc>
      </w:tr>
      <w:tr w:rsidR="00600A69" w14:paraId="5E67144C" w14:textId="77777777" w:rsidTr="00B322A7">
        <w:trPr>
          <w:cantSplit/>
        </w:trPr>
        <w:tc>
          <w:tcPr>
            <w:tcW w:w="2353" w:type="dxa"/>
            <w:vAlign w:val="bottom"/>
          </w:tcPr>
          <w:p w14:paraId="78688896" w14:textId="77777777" w:rsidR="00600A69" w:rsidRDefault="00600A69" w:rsidP="00B322A7">
            <w:pPr>
              <w:jc w:val="both"/>
              <w:rPr>
                <w:sz w:val="18"/>
                <w:szCs w:val="18"/>
                <w:lang w:val="en-GB" w:eastAsia="en-GB"/>
              </w:rPr>
            </w:pPr>
            <w:r>
              <w:rPr>
                <w:sz w:val="18"/>
                <w:szCs w:val="18"/>
                <w:lang w:val="en-GB" w:eastAsia="en-GB"/>
              </w:rPr>
              <w:t>Property and development management fee income</w:t>
            </w:r>
          </w:p>
        </w:tc>
        <w:tc>
          <w:tcPr>
            <w:tcW w:w="1107" w:type="dxa"/>
            <w:vAlign w:val="bottom"/>
          </w:tcPr>
          <w:p w14:paraId="5D4CE816" w14:textId="77777777" w:rsidR="00600A69" w:rsidRDefault="00600A69" w:rsidP="00B322A7">
            <w:pPr>
              <w:jc w:val="right"/>
              <w:outlineLvl w:val="1"/>
              <w:rPr>
                <w:color w:val="000000"/>
                <w:sz w:val="18"/>
                <w:szCs w:val="18"/>
                <w:lang w:val="en-GB"/>
              </w:rPr>
            </w:pPr>
            <w:r>
              <w:rPr>
                <w:color w:val="000000"/>
                <w:sz w:val="18"/>
                <w:szCs w:val="18"/>
                <w:lang w:val="en-GB"/>
              </w:rPr>
              <w:t>1,324</w:t>
            </w:r>
          </w:p>
        </w:tc>
        <w:tc>
          <w:tcPr>
            <w:tcW w:w="1298" w:type="dxa"/>
            <w:vAlign w:val="bottom"/>
          </w:tcPr>
          <w:p w14:paraId="6A708F19" w14:textId="77777777" w:rsidR="00600A69" w:rsidRDefault="00600A69" w:rsidP="00B322A7">
            <w:pPr>
              <w:jc w:val="right"/>
              <w:outlineLvl w:val="1"/>
              <w:rPr>
                <w:color w:val="000000"/>
                <w:sz w:val="18"/>
                <w:szCs w:val="18"/>
                <w:lang w:val="en-GB"/>
              </w:rPr>
            </w:pPr>
            <w:r>
              <w:rPr>
                <w:color w:val="000000"/>
                <w:sz w:val="18"/>
                <w:szCs w:val="18"/>
                <w:lang w:val="en-GB"/>
              </w:rPr>
              <w:t>94</w:t>
            </w:r>
          </w:p>
        </w:tc>
        <w:tc>
          <w:tcPr>
            <w:tcW w:w="1175" w:type="dxa"/>
            <w:vAlign w:val="bottom"/>
          </w:tcPr>
          <w:p w14:paraId="7B2E9CA0" w14:textId="77777777" w:rsidR="00600A69" w:rsidRDefault="00600A69" w:rsidP="00B322A7">
            <w:pPr>
              <w:jc w:val="right"/>
              <w:outlineLvl w:val="1"/>
              <w:rPr>
                <w:color w:val="000000"/>
                <w:sz w:val="18"/>
                <w:szCs w:val="18"/>
                <w:lang w:val="en-GB"/>
              </w:rPr>
            </w:pPr>
            <w:r>
              <w:rPr>
                <w:color w:val="000000"/>
                <w:sz w:val="18"/>
                <w:szCs w:val="18"/>
                <w:lang w:val="en-GB"/>
              </w:rPr>
              <w:t>15</w:t>
            </w:r>
          </w:p>
        </w:tc>
        <w:tc>
          <w:tcPr>
            <w:tcW w:w="1221" w:type="dxa"/>
            <w:vAlign w:val="bottom"/>
          </w:tcPr>
          <w:p w14:paraId="463BB191" w14:textId="77777777" w:rsidR="00600A69" w:rsidRDefault="00600A69" w:rsidP="00B322A7">
            <w:pPr>
              <w:jc w:val="right"/>
              <w:outlineLvl w:val="1"/>
              <w:rPr>
                <w:color w:val="000000"/>
                <w:sz w:val="18"/>
                <w:szCs w:val="18"/>
                <w:lang w:val="en-GB"/>
              </w:rPr>
            </w:pPr>
            <w:r>
              <w:rPr>
                <w:color w:val="000000"/>
                <w:sz w:val="18"/>
                <w:szCs w:val="18"/>
                <w:lang w:val="en-GB"/>
              </w:rPr>
              <w:t>-</w:t>
            </w:r>
          </w:p>
        </w:tc>
        <w:tc>
          <w:tcPr>
            <w:tcW w:w="1332" w:type="dxa"/>
            <w:vAlign w:val="bottom"/>
          </w:tcPr>
          <w:p w14:paraId="7B17E2DC" w14:textId="77777777" w:rsidR="00600A69" w:rsidRDefault="00600A69" w:rsidP="00B322A7">
            <w:pPr>
              <w:jc w:val="right"/>
              <w:outlineLvl w:val="1"/>
              <w:rPr>
                <w:color w:val="000000"/>
                <w:sz w:val="18"/>
                <w:szCs w:val="18"/>
                <w:lang w:val="en-GB"/>
              </w:rPr>
            </w:pPr>
            <w:r>
              <w:rPr>
                <w:color w:val="000000"/>
                <w:sz w:val="18"/>
                <w:szCs w:val="18"/>
                <w:lang w:val="en-GB"/>
              </w:rPr>
              <w:t>1,433</w:t>
            </w:r>
          </w:p>
        </w:tc>
      </w:tr>
      <w:tr w:rsidR="00600A69" w14:paraId="17C320CE" w14:textId="77777777" w:rsidTr="00B322A7">
        <w:trPr>
          <w:cantSplit/>
        </w:trPr>
        <w:tc>
          <w:tcPr>
            <w:tcW w:w="2353" w:type="dxa"/>
            <w:vAlign w:val="bottom"/>
          </w:tcPr>
          <w:p w14:paraId="3382838C" w14:textId="77777777" w:rsidR="00600A69" w:rsidRDefault="00600A69" w:rsidP="00B322A7">
            <w:pPr>
              <w:jc w:val="both"/>
              <w:rPr>
                <w:sz w:val="18"/>
                <w:szCs w:val="18"/>
                <w:lang w:val="en-GB" w:eastAsia="en-GB"/>
              </w:rPr>
            </w:pPr>
            <w:r>
              <w:rPr>
                <w:sz w:val="18"/>
                <w:szCs w:val="18"/>
                <w:lang w:val="en-GB" w:eastAsia="en-GB"/>
              </w:rPr>
              <w:t>Facility management income</w:t>
            </w:r>
          </w:p>
        </w:tc>
        <w:tc>
          <w:tcPr>
            <w:tcW w:w="1107" w:type="dxa"/>
            <w:vAlign w:val="bottom"/>
          </w:tcPr>
          <w:p w14:paraId="30FD66D4" w14:textId="77777777" w:rsidR="00600A69" w:rsidRDefault="00600A69" w:rsidP="00B322A7">
            <w:pPr>
              <w:jc w:val="right"/>
              <w:outlineLvl w:val="1"/>
              <w:rPr>
                <w:color w:val="000000"/>
                <w:sz w:val="18"/>
                <w:szCs w:val="18"/>
                <w:lang w:val="en-GB"/>
              </w:rPr>
            </w:pPr>
            <w:r>
              <w:rPr>
                <w:color w:val="000000"/>
                <w:sz w:val="18"/>
                <w:szCs w:val="18"/>
                <w:lang w:val="en-GB"/>
              </w:rPr>
              <w:t>1,114</w:t>
            </w:r>
          </w:p>
        </w:tc>
        <w:tc>
          <w:tcPr>
            <w:tcW w:w="1298" w:type="dxa"/>
            <w:vAlign w:val="bottom"/>
          </w:tcPr>
          <w:p w14:paraId="045EAC1C" w14:textId="77777777" w:rsidR="00600A69" w:rsidRDefault="00600A69" w:rsidP="00B322A7">
            <w:pPr>
              <w:jc w:val="right"/>
              <w:outlineLvl w:val="1"/>
              <w:rPr>
                <w:color w:val="000000"/>
                <w:sz w:val="18"/>
                <w:szCs w:val="18"/>
                <w:lang w:val="en-GB"/>
              </w:rPr>
            </w:pPr>
            <w:r>
              <w:rPr>
                <w:color w:val="000000"/>
                <w:sz w:val="18"/>
                <w:szCs w:val="18"/>
                <w:lang w:val="en-GB"/>
              </w:rPr>
              <w:t>-</w:t>
            </w:r>
          </w:p>
        </w:tc>
        <w:tc>
          <w:tcPr>
            <w:tcW w:w="1175" w:type="dxa"/>
            <w:vAlign w:val="bottom"/>
          </w:tcPr>
          <w:p w14:paraId="3EFD6086" w14:textId="77777777" w:rsidR="00600A69" w:rsidRDefault="00600A69" w:rsidP="00B322A7">
            <w:pPr>
              <w:jc w:val="right"/>
              <w:outlineLvl w:val="1"/>
              <w:rPr>
                <w:color w:val="000000"/>
                <w:sz w:val="18"/>
                <w:szCs w:val="18"/>
                <w:lang w:val="en-GB"/>
              </w:rPr>
            </w:pPr>
            <w:r>
              <w:rPr>
                <w:color w:val="000000"/>
                <w:sz w:val="18"/>
                <w:szCs w:val="18"/>
                <w:lang w:val="en-GB"/>
              </w:rPr>
              <w:t>-</w:t>
            </w:r>
          </w:p>
        </w:tc>
        <w:tc>
          <w:tcPr>
            <w:tcW w:w="1221" w:type="dxa"/>
            <w:vAlign w:val="bottom"/>
          </w:tcPr>
          <w:p w14:paraId="196CD0EB" w14:textId="77777777" w:rsidR="00600A69" w:rsidRDefault="00600A69" w:rsidP="00B322A7">
            <w:pPr>
              <w:jc w:val="right"/>
              <w:outlineLvl w:val="1"/>
              <w:rPr>
                <w:color w:val="000000"/>
                <w:sz w:val="18"/>
                <w:szCs w:val="18"/>
                <w:lang w:val="en-GB"/>
              </w:rPr>
            </w:pPr>
            <w:r>
              <w:rPr>
                <w:color w:val="000000"/>
                <w:sz w:val="18"/>
                <w:szCs w:val="18"/>
                <w:lang w:val="en-GB"/>
              </w:rPr>
              <w:t>-</w:t>
            </w:r>
          </w:p>
        </w:tc>
        <w:tc>
          <w:tcPr>
            <w:tcW w:w="1332" w:type="dxa"/>
            <w:vAlign w:val="bottom"/>
          </w:tcPr>
          <w:p w14:paraId="7E9791D9" w14:textId="77777777" w:rsidR="00600A69" w:rsidRDefault="00600A69" w:rsidP="00B322A7">
            <w:pPr>
              <w:jc w:val="right"/>
              <w:outlineLvl w:val="1"/>
              <w:rPr>
                <w:color w:val="000000"/>
                <w:sz w:val="18"/>
                <w:szCs w:val="18"/>
                <w:lang w:val="en-GB"/>
              </w:rPr>
            </w:pPr>
            <w:r>
              <w:rPr>
                <w:color w:val="000000"/>
                <w:sz w:val="18"/>
                <w:szCs w:val="18"/>
                <w:lang w:val="en-GB"/>
              </w:rPr>
              <w:t>1,114</w:t>
            </w:r>
          </w:p>
        </w:tc>
      </w:tr>
      <w:tr w:rsidR="00600A69" w14:paraId="667046EA" w14:textId="77777777" w:rsidTr="00B322A7">
        <w:trPr>
          <w:cantSplit/>
        </w:trPr>
        <w:tc>
          <w:tcPr>
            <w:tcW w:w="2353" w:type="dxa"/>
            <w:vAlign w:val="bottom"/>
          </w:tcPr>
          <w:p w14:paraId="33CE32C3" w14:textId="77777777" w:rsidR="00600A69" w:rsidRDefault="00600A69" w:rsidP="00B322A7">
            <w:pPr>
              <w:jc w:val="both"/>
              <w:rPr>
                <w:sz w:val="18"/>
                <w:szCs w:val="18"/>
                <w:lang w:val="en-GB" w:eastAsia="en-GB"/>
              </w:rPr>
            </w:pPr>
            <w:r>
              <w:rPr>
                <w:sz w:val="18"/>
                <w:szCs w:val="18"/>
                <w:lang w:val="en-GB" w:eastAsia="en-GB"/>
              </w:rPr>
              <w:t>Net valuation gains / (losses) incl. administrative costs</w:t>
            </w:r>
          </w:p>
        </w:tc>
        <w:tc>
          <w:tcPr>
            <w:tcW w:w="1107" w:type="dxa"/>
            <w:vAlign w:val="bottom"/>
          </w:tcPr>
          <w:p w14:paraId="087E37F6" w14:textId="77777777" w:rsidR="00600A69" w:rsidRDefault="00600A69" w:rsidP="00B322A7">
            <w:pPr>
              <w:jc w:val="right"/>
              <w:outlineLvl w:val="1"/>
              <w:rPr>
                <w:color w:val="000000"/>
                <w:sz w:val="18"/>
                <w:szCs w:val="18"/>
                <w:lang w:val="en-GB"/>
              </w:rPr>
            </w:pPr>
            <w:r>
              <w:rPr>
                <w:color w:val="000000"/>
                <w:sz w:val="18"/>
                <w:szCs w:val="18"/>
                <w:lang w:val="en-GB"/>
              </w:rPr>
              <w:t>25,059</w:t>
            </w:r>
          </w:p>
        </w:tc>
        <w:tc>
          <w:tcPr>
            <w:tcW w:w="1298" w:type="dxa"/>
            <w:vAlign w:val="bottom"/>
          </w:tcPr>
          <w:p w14:paraId="6D359907" w14:textId="77777777" w:rsidR="00600A69" w:rsidRDefault="00600A69" w:rsidP="00B322A7">
            <w:pPr>
              <w:jc w:val="right"/>
              <w:outlineLvl w:val="1"/>
              <w:rPr>
                <w:color w:val="000000"/>
                <w:sz w:val="18"/>
                <w:szCs w:val="18"/>
                <w:lang w:val="en-GB"/>
              </w:rPr>
            </w:pPr>
            <w:r>
              <w:rPr>
                <w:color w:val="000000"/>
                <w:sz w:val="18"/>
                <w:szCs w:val="18"/>
                <w:lang w:val="en-GB"/>
              </w:rPr>
              <w:t>58,447</w:t>
            </w:r>
          </w:p>
        </w:tc>
        <w:tc>
          <w:tcPr>
            <w:tcW w:w="1175" w:type="dxa"/>
            <w:vAlign w:val="bottom"/>
          </w:tcPr>
          <w:p w14:paraId="3C3C9861" w14:textId="77777777" w:rsidR="00600A69" w:rsidRDefault="00600A69" w:rsidP="00B322A7">
            <w:pPr>
              <w:jc w:val="right"/>
              <w:outlineLvl w:val="1"/>
              <w:rPr>
                <w:color w:val="000000"/>
                <w:sz w:val="18"/>
                <w:szCs w:val="18"/>
                <w:lang w:val="en-GB"/>
              </w:rPr>
            </w:pPr>
            <w:r>
              <w:rPr>
                <w:color w:val="000000"/>
                <w:sz w:val="18"/>
                <w:szCs w:val="18"/>
                <w:lang w:val="en-GB"/>
              </w:rPr>
              <w:t>20,475</w:t>
            </w:r>
          </w:p>
        </w:tc>
        <w:tc>
          <w:tcPr>
            <w:tcW w:w="1221" w:type="dxa"/>
            <w:vAlign w:val="bottom"/>
          </w:tcPr>
          <w:p w14:paraId="7BAE9E5F" w14:textId="77777777" w:rsidR="00600A69" w:rsidRDefault="00600A69" w:rsidP="00B322A7">
            <w:pPr>
              <w:jc w:val="right"/>
              <w:outlineLvl w:val="1"/>
              <w:rPr>
                <w:color w:val="000000"/>
                <w:sz w:val="18"/>
                <w:szCs w:val="18"/>
                <w:lang w:val="en-GB"/>
              </w:rPr>
            </w:pPr>
            <w:r>
              <w:rPr>
                <w:color w:val="000000"/>
                <w:sz w:val="18"/>
                <w:szCs w:val="18"/>
                <w:lang w:val="en-GB"/>
              </w:rPr>
              <w:t>-</w:t>
            </w:r>
          </w:p>
        </w:tc>
        <w:tc>
          <w:tcPr>
            <w:tcW w:w="1332" w:type="dxa"/>
            <w:vAlign w:val="bottom"/>
          </w:tcPr>
          <w:p w14:paraId="74FE9A3F" w14:textId="77777777" w:rsidR="00600A69" w:rsidRDefault="00600A69" w:rsidP="00B322A7">
            <w:pPr>
              <w:jc w:val="right"/>
              <w:outlineLvl w:val="1"/>
              <w:rPr>
                <w:color w:val="000000"/>
                <w:sz w:val="18"/>
                <w:szCs w:val="18"/>
                <w:lang w:val="en-GB"/>
              </w:rPr>
            </w:pPr>
            <w:r>
              <w:rPr>
                <w:color w:val="000000"/>
                <w:sz w:val="18"/>
                <w:szCs w:val="18"/>
                <w:lang w:val="en-GB"/>
              </w:rPr>
              <w:t>103,981</w:t>
            </w:r>
          </w:p>
        </w:tc>
      </w:tr>
      <w:tr w:rsidR="00600A69" w14:paraId="5019AF07" w14:textId="77777777" w:rsidTr="00B322A7">
        <w:trPr>
          <w:cantSplit/>
        </w:trPr>
        <w:tc>
          <w:tcPr>
            <w:tcW w:w="2353" w:type="dxa"/>
            <w:vAlign w:val="bottom"/>
          </w:tcPr>
          <w:p w14:paraId="7C5D6BBA" w14:textId="77777777" w:rsidR="00600A69" w:rsidRDefault="00600A69" w:rsidP="00B322A7">
            <w:pPr>
              <w:jc w:val="both"/>
              <w:rPr>
                <w:sz w:val="18"/>
                <w:szCs w:val="18"/>
                <w:lang w:val="en-GB" w:eastAsia="en-GB"/>
              </w:rPr>
            </w:pPr>
            <w:r>
              <w:rPr>
                <w:sz w:val="18"/>
                <w:szCs w:val="18"/>
                <w:lang w:val="en-GB" w:eastAsia="en-GB"/>
              </w:rPr>
              <w:t xml:space="preserve">Other income / (expenses) - </w:t>
            </w:r>
          </w:p>
        </w:tc>
        <w:tc>
          <w:tcPr>
            <w:tcW w:w="1107" w:type="dxa"/>
            <w:vAlign w:val="bottom"/>
          </w:tcPr>
          <w:p w14:paraId="26FAADEA" w14:textId="77777777" w:rsidR="00600A69" w:rsidRDefault="00600A69" w:rsidP="00B322A7">
            <w:pPr>
              <w:jc w:val="right"/>
              <w:outlineLvl w:val="1"/>
              <w:rPr>
                <w:color w:val="000000"/>
                <w:sz w:val="18"/>
                <w:szCs w:val="18"/>
                <w:lang w:val="en-GB"/>
              </w:rPr>
            </w:pPr>
            <w:r>
              <w:rPr>
                <w:color w:val="000000"/>
                <w:sz w:val="18"/>
                <w:szCs w:val="18"/>
                <w:lang w:val="en-GB"/>
              </w:rPr>
              <w:t>(3,616)</w:t>
            </w:r>
          </w:p>
        </w:tc>
        <w:tc>
          <w:tcPr>
            <w:tcW w:w="1298" w:type="dxa"/>
            <w:vAlign w:val="bottom"/>
          </w:tcPr>
          <w:p w14:paraId="79EEC0D9" w14:textId="77777777" w:rsidR="00600A69" w:rsidRDefault="00600A69" w:rsidP="00B322A7">
            <w:pPr>
              <w:jc w:val="right"/>
              <w:outlineLvl w:val="1"/>
              <w:rPr>
                <w:color w:val="000000"/>
                <w:sz w:val="18"/>
                <w:szCs w:val="18"/>
                <w:lang w:val="en-GB"/>
              </w:rPr>
            </w:pPr>
            <w:r>
              <w:rPr>
                <w:color w:val="000000"/>
                <w:sz w:val="18"/>
                <w:szCs w:val="18"/>
                <w:lang w:val="en-GB"/>
              </w:rPr>
              <w:t>(981)</w:t>
            </w:r>
          </w:p>
        </w:tc>
        <w:tc>
          <w:tcPr>
            <w:tcW w:w="1175" w:type="dxa"/>
            <w:vAlign w:val="bottom"/>
          </w:tcPr>
          <w:p w14:paraId="576932AD" w14:textId="77777777" w:rsidR="00600A69" w:rsidRDefault="00600A69" w:rsidP="00B322A7">
            <w:pPr>
              <w:jc w:val="right"/>
              <w:outlineLvl w:val="1"/>
              <w:rPr>
                <w:color w:val="000000"/>
                <w:sz w:val="18"/>
                <w:szCs w:val="18"/>
                <w:lang w:val="en-GB"/>
              </w:rPr>
            </w:pPr>
            <w:r>
              <w:rPr>
                <w:color w:val="000000"/>
                <w:sz w:val="18"/>
                <w:szCs w:val="18"/>
                <w:lang w:val="en-GB"/>
              </w:rPr>
              <w:t>(513)</w:t>
            </w:r>
          </w:p>
        </w:tc>
        <w:tc>
          <w:tcPr>
            <w:tcW w:w="1221" w:type="dxa"/>
            <w:vAlign w:val="bottom"/>
          </w:tcPr>
          <w:p w14:paraId="79C9FBC6" w14:textId="77777777" w:rsidR="00600A69" w:rsidRDefault="00600A69" w:rsidP="00B322A7">
            <w:pPr>
              <w:jc w:val="right"/>
              <w:outlineLvl w:val="1"/>
              <w:rPr>
                <w:color w:val="000000"/>
                <w:sz w:val="18"/>
                <w:szCs w:val="18"/>
                <w:lang w:val="en-GB"/>
              </w:rPr>
            </w:pPr>
            <w:r>
              <w:rPr>
                <w:color w:val="000000"/>
                <w:sz w:val="18"/>
                <w:szCs w:val="18"/>
                <w:lang w:val="en-GB"/>
              </w:rPr>
              <w:t>(8,887)</w:t>
            </w:r>
          </w:p>
        </w:tc>
        <w:tc>
          <w:tcPr>
            <w:tcW w:w="1332" w:type="dxa"/>
            <w:vAlign w:val="bottom"/>
          </w:tcPr>
          <w:p w14:paraId="54CCCE78" w14:textId="77777777" w:rsidR="00600A69" w:rsidRDefault="00600A69" w:rsidP="00B322A7">
            <w:pPr>
              <w:jc w:val="right"/>
              <w:outlineLvl w:val="1"/>
              <w:rPr>
                <w:color w:val="000000"/>
                <w:sz w:val="18"/>
                <w:szCs w:val="18"/>
                <w:lang w:val="en-GB"/>
              </w:rPr>
            </w:pPr>
            <w:r>
              <w:rPr>
                <w:color w:val="000000"/>
                <w:sz w:val="18"/>
                <w:szCs w:val="18"/>
                <w:lang w:val="en-GB"/>
              </w:rPr>
              <w:t>(13,997)</w:t>
            </w:r>
          </w:p>
        </w:tc>
      </w:tr>
      <w:tr w:rsidR="00600A69" w14:paraId="6962EAD1" w14:textId="77777777" w:rsidTr="00B322A7">
        <w:trPr>
          <w:cantSplit/>
        </w:trPr>
        <w:tc>
          <w:tcPr>
            <w:tcW w:w="2353" w:type="dxa"/>
            <w:vAlign w:val="bottom"/>
          </w:tcPr>
          <w:p w14:paraId="045C8CCB" w14:textId="77777777" w:rsidR="00600A69" w:rsidRDefault="00600A69" w:rsidP="00B322A7">
            <w:pPr>
              <w:jc w:val="both"/>
              <w:rPr>
                <w:bCs/>
                <w:sz w:val="18"/>
                <w:szCs w:val="18"/>
                <w:lang w:val="en-GB" w:eastAsia="en-GB"/>
              </w:rPr>
            </w:pPr>
            <w:r>
              <w:rPr>
                <w:bCs/>
                <w:sz w:val="18"/>
                <w:szCs w:val="18"/>
                <w:lang w:val="en-GB" w:eastAsia="en-GB"/>
              </w:rPr>
              <w:t>Share in the result of joint venture and associates</w:t>
            </w:r>
          </w:p>
        </w:tc>
        <w:tc>
          <w:tcPr>
            <w:tcW w:w="1107" w:type="dxa"/>
            <w:vAlign w:val="bottom"/>
          </w:tcPr>
          <w:p w14:paraId="6D91F4C7" w14:textId="77777777" w:rsidR="00600A69" w:rsidRDefault="00600A69" w:rsidP="00B322A7">
            <w:pPr>
              <w:jc w:val="right"/>
              <w:outlineLvl w:val="1"/>
              <w:rPr>
                <w:color w:val="000000"/>
                <w:sz w:val="18"/>
                <w:szCs w:val="18"/>
                <w:u w:val="single"/>
                <w:lang w:val="en-GB"/>
              </w:rPr>
            </w:pPr>
            <w:r>
              <w:rPr>
                <w:color w:val="000000"/>
                <w:sz w:val="18"/>
                <w:szCs w:val="18"/>
                <w:u w:val="single"/>
                <w:lang w:val="en-GB"/>
              </w:rPr>
              <w:t>-</w:t>
            </w:r>
          </w:p>
        </w:tc>
        <w:tc>
          <w:tcPr>
            <w:tcW w:w="1298" w:type="dxa"/>
            <w:vAlign w:val="bottom"/>
          </w:tcPr>
          <w:p w14:paraId="13685681" w14:textId="77777777" w:rsidR="00600A69" w:rsidRDefault="00600A69" w:rsidP="00B322A7">
            <w:pPr>
              <w:jc w:val="right"/>
              <w:outlineLvl w:val="1"/>
              <w:rPr>
                <w:color w:val="000000"/>
                <w:sz w:val="18"/>
                <w:szCs w:val="18"/>
                <w:u w:val="single"/>
                <w:lang w:val="en-GB"/>
              </w:rPr>
            </w:pPr>
            <w:r>
              <w:rPr>
                <w:color w:val="000000"/>
                <w:sz w:val="18"/>
                <w:szCs w:val="18"/>
                <w:u w:val="single"/>
                <w:lang w:val="en-GB"/>
              </w:rPr>
              <w:t>-</w:t>
            </w:r>
          </w:p>
        </w:tc>
        <w:tc>
          <w:tcPr>
            <w:tcW w:w="1175" w:type="dxa"/>
            <w:vAlign w:val="bottom"/>
          </w:tcPr>
          <w:p w14:paraId="24CB4F08" w14:textId="77777777" w:rsidR="00600A69" w:rsidRDefault="00600A69" w:rsidP="00B322A7">
            <w:pPr>
              <w:jc w:val="right"/>
              <w:outlineLvl w:val="1"/>
              <w:rPr>
                <w:color w:val="000000"/>
                <w:sz w:val="18"/>
                <w:szCs w:val="18"/>
                <w:u w:val="single"/>
                <w:lang w:val="en-GB"/>
              </w:rPr>
            </w:pPr>
            <w:r>
              <w:rPr>
                <w:color w:val="000000"/>
                <w:sz w:val="18"/>
                <w:szCs w:val="18"/>
                <w:u w:val="single"/>
                <w:lang w:val="en-GB"/>
              </w:rPr>
              <w:t>-</w:t>
            </w:r>
          </w:p>
        </w:tc>
        <w:tc>
          <w:tcPr>
            <w:tcW w:w="1221" w:type="dxa"/>
            <w:vAlign w:val="bottom"/>
          </w:tcPr>
          <w:p w14:paraId="26A3BA47" w14:textId="77777777" w:rsidR="00600A69" w:rsidRDefault="00600A69" w:rsidP="00B322A7">
            <w:pPr>
              <w:jc w:val="right"/>
              <w:outlineLvl w:val="1"/>
              <w:rPr>
                <w:color w:val="000000"/>
                <w:sz w:val="18"/>
                <w:szCs w:val="18"/>
                <w:u w:val="single"/>
                <w:lang w:val="en-GB"/>
              </w:rPr>
            </w:pPr>
            <w:r>
              <w:rPr>
                <w:color w:val="000000"/>
                <w:sz w:val="18"/>
                <w:szCs w:val="18"/>
                <w:u w:val="single"/>
                <w:lang w:val="en-GB"/>
              </w:rPr>
              <w:t>191</w:t>
            </w:r>
          </w:p>
        </w:tc>
        <w:tc>
          <w:tcPr>
            <w:tcW w:w="1332" w:type="dxa"/>
            <w:vAlign w:val="bottom"/>
          </w:tcPr>
          <w:p w14:paraId="722DFD7F" w14:textId="77777777" w:rsidR="00600A69" w:rsidRDefault="00600A69" w:rsidP="00B322A7">
            <w:pPr>
              <w:jc w:val="right"/>
              <w:outlineLvl w:val="1"/>
              <w:rPr>
                <w:color w:val="000000"/>
                <w:sz w:val="18"/>
                <w:szCs w:val="18"/>
                <w:u w:val="single"/>
                <w:lang w:val="en-GB"/>
              </w:rPr>
            </w:pPr>
            <w:r>
              <w:rPr>
                <w:color w:val="000000"/>
                <w:sz w:val="18"/>
                <w:szCs w:val="18"/>
                <w:u w:val="single"/>
                <w:lang w:val="en-GB"/>
              </w:rPr>
              <w:t>191</w:t>
            </w:r>
          </w:p>
        </w:tc>
      </w:tr>
      <w:tr w:rsidR="00600A69" w14:paraId="1FB40E3C" w14:textId="77777777" w:rsidTr="00B322A7">
        <w:trPr>
          <w:cantSplit/>
        </w:trPr>
        <w:tc>
          <w:tcPr>
            <w:tcW w:w="2353" w:type="dxa"/>
            <w:vAlign w:val="bottom"/>
          </w:tcPr>
          <w:p w14:paraId="12D75388" w14:textId="77777777" w:rsidR="00600A69" w:rsidRDefault="00600A69" w:rsidP="00B322A7">
            <w:pPr>
              <w:jc w:val="both"/>
              <w:rPr>
                <w:b/>
                <w:bCs/>
                <w:sz w:val="18"/>
                <w:szCs w:val="18"/>
                <w:lang w:val="en-GB"/>
              </w:rPr>
            </w:pPr>
            <w:r>
              <w:rPr>
                <w:b/>
                <w:bCs/>
                <w:sz w:val="18"/>
                <w:szCs w:val="18"/>
                <w:lang w:val="en-GB"/>
              </w:rPr>
              <w:t>Operating profit / (loss)</w:t>
            </w:r>
          </w:p>
        </w:tc>
        <w:tc>
          <w:tcPr>
            <w:tcW w:w="1107" w:type="dxa"/>
            <w:vAlign w:val="bottom"/>
          </w:tcPr>
          <w:p w14:paraId="69AC48B1" w14:textId="77777777" w:rsidR="00600A69" w:rsidRDefault="00600A69" w:rsidP="00B322A7">
            <w:pPr>
              <w:jc w:val="right"/>
              <w:outlineLvl w:val="1"/>
              <w:rPr>
                <w:b/>
                <w:bCs/>
                <w:color w:val="000000"/>
                <w:sz w:val="18"/>
                <w:szCs w:val="18"/>
                <w:u w:val="double"/>
                <w:lang w:val="en-GB"/>
              </w:rPr>
            </w:pPr>
            <w:r>
              <w:rPr>
                <w:b/>
                <w:bCs/>
                <w:color w:val="000000"/>
                <w:sz w:val="18"/>
                <w:szCs w:val="18"/>
                <w:u w:val="double"/>
                <w:lang w:val="en-GB"/>
              </w:rPr>
              <w:t>28,302</w:t>
            </w:r>
          </w:p>
        </w:tc>
        <w:tc>
          <w:tcPr>
            <w:tcW w:w="1298" w:type="dxa"/>
            <w:vAlign w:val="bottom"/>
          </w:tcPr>
          <w:p w14:paraId="116DA8A9" w14:textId="77777777" w:rsidR="00600A69" w:rsidRDefault="00600A69" w:rsidP="00B322A7">
            <w:pPr>
              <w:jc w:val="right"/>
              <w:outlineLvl w:val="1"/>
              <w:rPr>
                <w:b/>
                <w:bCs/>
                <w:color w:val="000000"/>
                <w:sz w:val="18"/>
                <w:szCs w:val="18"/>
                <w:u w:val="double"/>
                <w:lang w:val="en-GB"/>
              </w:rPr>
            </w:pPr>
            <w:r>
              <w:rPr>
                <w:b/>
                <w:bCs/>
                <w:color w:val="000000"/>
                <w:sz w:val="18"/>
                <w:szCs w:val="18"/>
                <w:u w:val="double"/>
                <w:lang w:val="en-GB"/>
              </w:rPr>
              <w:t>62,900</w:t>
            </w:r>
          </w:p>
        </w:tc>
        <w:tc>
          <w:tcPr>
            <w:tcW w:w="1175" w:type="dxa"/>
            <w:vAlign w:val="bottom"/>
          </w:tcPr>
          <w:p w14:paraId="36EC26A0" w14:textId="77777777" w:rsidR="00600A69" w:rsidRDefault="00600A69" w:rsidP="00B322A7">
            <w:pPr>
              <w:jc w:val="right"/>
              <w:outlineLvl w:val="1"/>
              <w:rPr>
                <w:b/>
                <w:bCs/>
                <w:color w:val="000000"/>
                <w:sz w:val="18"/>
                <w:szCs w:val="18"/>
                <w:u w:val="double"/>
                <w:lang w:val="en-GB"/>
              </w:rPr>
            </w:pPr>
            <w:r>
              <w:rPr>
                <w:b/>
                <w:bCs/>
                <w:color w:val="000000"/>
                <w:sz w:val="18"/>
                <w:szCs w:val="18"/>
                <w:u w:val="double"/>
                <w:lang w:val="en-GB"/>
              </w:rPr>
              <w:t>26,739</w:t>
            </w:r>
          </w:p>
        </w:tc>
        <w:tc>
          <w:tcPr>
            <w:tcW w:w="1221" w:type="dxa"/>
            <w:vAlign w:val="bottom"/>
          </w:tcPr>
          <w:p w14:paraId="1C9289B1" w14:textId="77777777" w:rsidR="00600A69" w:rsidRDefault="00600A69" w:rsidP="00B322A7">
            <w:pPr>
              <w:jc w:val="right"/>
              <w:outlineLvl w:val="1"/>
              <w:rPr>
                <w:b/>
                <w:bCs/>
                <w:color w:val="000000"/>
                <w:sz w:val="18"/>
                <w:szCs w:val="18"/>
                <w:u w:val="double"/>
                <w:lang w:val="en-GB"/>
              </w:rPr>
            </w:pPr>
            <w:r>
              <w:rPr>
                <w:b/>
                <w:bCs/>
                <w:color w:val="000000"/>
                <w:sz w:val="18"/>
                <w:szCs w:val="18"/>
                <w:u w:val="double"/>
                <w:lang w:val="en-GB"/>
              </w:rPr>
              <w:t>(8,696)</w:t>
            </w:r>
          </w:p>
        </w:tc>
        <w:tc>
          <w:tcPr>
            <w:tcW w:w="1332" w:type="dxa"/>
            <w:vAlign w:val="bottom"/>
          </w:tcPr>
          <w:p w14:paraId="3CB8FC4E" w14:textId="77777777" w:rsidR="00600A69" w:rsidRDefault="00600A69" w:rsidP="00B322A7">
            <w:pPr>
              <w:jc w:val="right"/>
              <w:outlineLvl w:val="1"/>
              <w:rPr>
                <w:b/>
                <w:bCs/>
                <w:color w:val="000000"/>
                <w:sz w:val="18"/>
                <w:szCs w:val="18"/>
                <w:u w:val="double"/>
                <w:lang w:val="en-GB"/>
              </w:rPr>
            </w:pPr>
            <w:r>
              <w:rPr>
                <w:b/>
                <w:bCs/>
                <w:color w:val="000000"/>
                <w:sz w:val="18"/>
                <w:szCs w:val="18"/>
                <w:u w:val="double"/>
                <w:lang w:val="en-GB"/>
              </w:rPr>
              <w:t>109,244</w:t>
            </w:r>
          </w:p>
        </w:tc>
      </w:tr>
    </w:tbl>
    <w:p w14:paraId="1AADE4EC" w14:textId="6E28228C" w:rsidR="001D1FD6" w:rsidRDefault="001D1FD6" w:rsidP="001D1FD6">
      <w:pPr>
        <w:jc w:val="both"/>
        <w:rPr>
          <w:rFonts w:cs="Arabic Transparent"/>
          <w:sz w:val="18"/>
          <w:szCs w:val="18"/>
          <w:lang w:val="en-GB"/>
        </w:rPr>
      </w:pPr>
    </w:p>
    <w:p w14:paraId="14C24DA6" w14:textId="77777777" w:rsidR="00600A69" w:rsidRDefault="00600A69" w:rsidP="001D1FD6">
      <w:pPr>
        <w:jc w:val="both"/>
        <w:rPr>
          <w:rFonts w:cs="Arabic Transparent"/>
          <w:sz w:val="18"/>
          <w:szCs w:val="18"/>
          <w:lang w:val="en-GB"/>
        </w:rPr>
      </w:pPr>
    </w:p>
    <w:tbl>
      <w:tblPr>
        <w:tblW w:w="425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2293"/>
        <w:gridCol w:w="1082"/>
        <w:gridCol w:w="1268"/>
        <w:gridCol w:w="1148"/>
        <w:gridCol w:w="1193"/>
        <w:gridCol w:w="1301"/>
      </w:tblGrid>
      <w:tr w:rsidR="00600A69" w14:paraId="69B22582" w14:textId="77777777" w:rsidTr="00B322A7">
        <w:trPr>
          <w:cantSplit/>
        </w:trPr>
        <w:tc>
          <w:tcPr>
            <w:tcW w:w="2353" w:type="dxa"/>
          </w:tcPr>
          <w:p w14:paraId="70F3689F" w14:textId="77777777" w:rsidR="00600A69" w:rsidRDefault="00600A69" w:rsidP="00B322A7">
            <w:pPr>
              <w:keepNext/>
              <w:keepLines/>
              <w:jc w:val="both"/>
              <w:rPr>
                <w:b/>
                <w:sz w:val="18"/>
                <w:szCs w:val="18"/>
                <w:lang w:val="en-GB"/>
              </w:rPr>
            </w:pPr>
            <w:r>
              <w:rPr>
                <w:b/>
                <w:sz w:val="18"/>
                <w:szCs w:val="18"/>
                <w:lang w:val="en-GB"/>
              </w:rPr>
              <w:t>Income Statement</w:t>
            </w:r>
          </w:p>
        </w:tc>
        <w:tc>
          <w:tcPr>
            <w:tcW w:w="6133" w:type="dxa"/>
            <w:gridSpan w:val="5"/>
          </w:tcPr>
          <w:p w14:paraId="45019B5D" w14:textId="77777777" w:rsidR="00600A69" w:rsidRDefault="00600A69" w:rsidP="00B322A7">
            <w:pPr>
              <w:keepNext/>
              <w:keepLines/>
              <w:pBdr>
                <w:bottom w:val="single" w:sz="2" w:space="1" w:color="auto"/>
              </w:pBdr>
              <w:jc w:val="center"/>
              <w:rPr>
                <w:b/>
                <w:sz w:val="18"/>
                <w:szCs w:val="18"/>
              </w:rPr>
            </w:pPr>
            <w:r>
              <w:rPr>
                <w:b/>
                <w:sz w:val="18"/>
                <w:szCs w:val="18"/>
              </w:rPr>
              <w:t>For the year ended 31-Dec-2014</w:t>
            </w:r>
          </w:p>
        </w:tc>
      </w:tr>
      <w:tr w:rsidR="00600A69" w14:paraId="6B375ED8" w14:textId="77777777" w:rsidTr="00B322A7">
        <w:trPr>
          <w:cantSplit/>
        </w:trPr>
        <w:tc>
          <w:tcPr>
            <w:tcW w:w="2353" w:type="dxa"/>
            <w:vMerge w:val="restart"/>
          </w:tcPr>
          <w:p w14:paraId="7255ED8D" w14:textId="77777777" w:rsidR="00600A69" w:rsidRDefault="00600A69" w:rsidP="00B322A7">
            <w:pPr>
              <w:keepNext/>
              <w:keepLines/>
              <w:jc w:val="both"/>
              <w:rPr>
                <w:sz w:val="18"/>
                <w:szCs w:val="18"/>
                <w:lang w:val="en-GB"/>
              </w:rPr>
            </w:pPr>
          </w:p>
        </w:tc>
        <w:tc>
          <w:tcPr>
            <w:tcW w:w="1107" w:type="dxa"/>
          </w:tcPr>
          <w:p w14:paraId="658727B1" w14:textId="77777777" w:rsidR="00600A69" w:rsidRDefault="00600A69" w:rsidP="00B322A7">
            <w:pPr>
              <w:keepNext/>
              <w:keepLines/>
              <w:pBdr>
                <w:bottom w:val="single" w:sz="2" w:space="1" w:color="auto"/>
              </w:pBdr>
              <w:jc w:val="center"/>
              <w:rPr>
                <w:b/>
                <w:sz w:val="18"/>
                <w:szCs w:val="18"/>
              </w:rPr>
            </w:pPr>
            <w:r>
              <w:rPr>
                <w:b/>
                <w:sz w:val="18"/>
                <w:szCs w:val="18"/>
              </w:rPr>
              <w:t>Czech Republic</w:t>
            </w:r>
          </w:p>
        </w:tc>
        <w:tc>
          <w:tcPr>
            <w:tcW w:w="1298" w:type="dxa"/>
          </w:tcPr>
          <w:p w14:paraId="0D0A99AE" w14:textId="77777777" w:rsidR="00600A69" w:rsidRDefault="00600A69" w:rsidP="00B322A7">
            <w:pPr>
              <w:keepNext/>
              <w:keepLines/>
              <w:pBdr>
                <w:bottom w:val="single" w:sz="2" w:space="1" w:color="auto"/>
              </w:pBdr>
              <w:jc w:val="center"/>
              <w:rPr>
                <w:b/>
                <w:sz w:val="18"/>
                <w:szCs w:val="18"/>
              </w:rPr>
            </w:pPr>
          </w:p>
          <w:p w14:paraId="6AB65CA9" w14:textId="77777777" w:rsidR="00600A69" w:rsidRDefault="00600A69" w:rsidP="00B322A7">
            <w:pPr>
              <w:keepNext/>
              <w:keepLines/>
              <w:pBdr>
                <w:bottom w:val="single" w:sz="2" w:space="1" w:color="auto"/>
              </w:pBdr>
              <w:jc w:val="center"/>
              <w:rPr>
                <w:b/>
                <w:sz w:val="18"/>
                <w:szCs w:val="18"/>
              </w:rPr>
            </w:pPr>
            <w:r>
              <w:rPr>
                <w:b/>
                <w:sz w:val="18"/>
                <w:szCs w:val="18"/>
              </w:rPr>
              <w:t>Germany</w:t>
            </w:r>
          </w:p>
        </w:tc>
        <w:tc>
          <w:tcPr>
            <w:tcW w:w="1175" w:type="dxa"/>
          </w:tcPr>
          <w:p w14:paraId="710D9EED" w14:textId="77777777" w:rsidR="00600A69" w:rsidRDefault="00600A69" w:rsidP="00B322A7">
            <w:pPr>
              <w:keepNext/>
              <w:keepLines/>
              <w:pBdr>
                <w:bottom w:val="single" w:sz="2" w:space="1" w:color="auto"/>
              </w:pBdr>
              <w:jc w:val="center"/>
              <w:rPr>
                <w:b/>
                <w:sz w:val="18"/>
                <w:szCs w:val="18"/>
              </w:rPr>
            </w:pPr>
            <w:r>
              <w:rPr>
                <w:b/>
                <w:sz w:val="18"/>
                <w:szCs w:val="18"/>
              </w:rPr>
              <w:t>Other Countries</w:t>
            </w:r>
          </w:p>
        </w:tc>
        <w:tc>
          <w:tcPr>
            <w:tcW w:w="1221" w:type="dxa"/>
          </w:tcPr>
          <w:p w14:paraId="3296DAA4" w14:textId="77777777" w:rsidR="00600A69" w:rsidRDefault="00600A69" w:rsidP="00B322A7">
            <w:pPr>
              <w:keepNext/>
              <w:keepLines/>
              <w:pBdr>
                <w:bottom w:val="single" w:sz="2" w:space="1" w:color="auto"/>
              </w:pBdr>
              <w:jc w:val="center"/>
              <w:rPr>
                <w:b/>
                <w:sz w:val="18"/>
                <w:szCs w:val="18"/>
              </w:rPr>
            </w:pPr>
          </w:p>
          <w:p w14:paraId="604E98D2" w14:textId="77777777" w:rsidR="00600A69" w:rsidRDefault="00600A69" w:rsidP="00B322A7">
            <w:pPr>
              <w:keepNext/>
              <w:keepLines/>
              <w:pBdr>
                <w:bottom w:val="single" w:sz="2" w:space="1" w:color="auto"/>
              </w:pBdr>
              <w:jc w:val="center"/>
              <w:rPr>
                <w:b/>
                <w:sz w:val="18"/>
                <w:szCs w:val="18"/>
              </w:rPr>
            </w:pPr>
            <w:r>
              <w:rPr>
                <w:b/>
                <w:sz w:val="18"/>
                <w:szCs w:val="18"/>
              </w:rPr>
              <w:t>Unallocated</w:t>
            </w:r>
          </w:p>
        </w:tc>
        <w:tc>
          <w:tcPr>
            <w:tcW w:w="1332" w:type="dxa"/>
          </w:tcPr>
          <w:p w14:paraId="4249A8EC" w14:textId="77777777" w:rsidR="00600A69" w:rsidRDefault="00600A69" w:rsidP="00B322A7">
            <w:pPr>
              <w:keepNext/>
              <w:keepLines/>
              <w:pBdr>
                <w:bottom w:val="single" w:sz="2" w:space="1" w:color="auto"/>
              </w:pBdr>
              <w:jc w:val="center"/>
              <w:rPr>
                <w:b/>
                <w:sz w:val="18"/>
                <w:szCs w:val="18"/>
              </w:rPr>
            </w:pPr>
          </w:p>
          <w:p w14:paraId="1EE25082" w14:textId="77777777" w:rsidR="00600A69" w:rsidRDefault="00600A69" w:rsidP="00B322A7">
            <w:pPr>
              <w:keepNext/>
              <w:keepLines/>
              <w:pBdr>
                <w:bottom w:val="single" w:sz="2" w:space="1" w:color="auto"/>
              </w:pBdr>
              <w:jc w:val="center"/>
              <w:rPr>
                <w:b/>
                <w:sz w:val="18"/>
                <w:szCs w:val="18"/>
              </w:rPr>
            </w:pPr>
            <w:r>
              <w:rPr>
                <w:b/>
                <w:sz w:val="18"/>
                <w:szCs w:val="18"/>
              </w:rPr>
              <w:t>Total</w:t>
            </w:r>
          </w:p>
        </w:tc>
      </w:tr>
      <w:tr w:rsidR="00600A69" w14:paraId="3C7F5BF9" w14:textId="77777777" w:rsidTr="00B322A7">
        <w:trPr>
          <w:cantSplit/>
        </w:trPr>
        <w:tc>
          <w:tcPr>
            <w:tcW w:w="2353" w:type="dxa"/>
            <w:vMerge/>
          </w:tcPr>
          <w:p w14:paraId="463E7995" w14:textId="77777777" w:rsidR="00600A69" w:rsidRDefault="00600A69" w:rsidP="00B322A7">
            <w:pPr>
              <w:keepNext/>
              <w:keepLines/>
              <w:jc w:val="both"/>
              <w:rPr>
                <w:sz w:val="18"/>
                <w:szCs w:val="18"/>
                <w:lang w:val="en-GB"/>
              </w:rPr>
            </w:pPr>
          </w:p>
        </w:tc>
        <w:tc>
          <w:tcPr>
            <w:tcW w:w="6133" w:type="dxa"/>
            <w:gridSpan w:val="5"/>
          </w:tcPr>
          <w:p w14:paraId="65CB1F5F" w14:textId="77777777" w:rsidR="00600A69" w:rsidRDefault="00600A69" w:rsidP="00B322A7">
            <w:pPr>
              <w:keepNext/>
              <w:keepLines/>
              <w:jc w:val="center"/>
              <w:rPr>
                <w:sz w:val="18"/>
                <w:szCs w:val="18"/>
                <w:lang w:val="en-GB"/>
              </w:rPr>
            </w:pPr>
            <w:r>
              <w:rPr>
                <w:sz w:val="18"/>
                <w:szCs w:val="18"/>
              </w:rPr>
              <w:t>(</w:t>
            </w:r>
            <w:r>
              <w:rPr>
                <w:i/>
                <w:sz w:val="18"/>
                <w:szCs w:val="18"/>
              </w:rPr>
              <w:t xml:space="preserve">in thousands of </w:t>
            </w:r>
            <w:r>
              <w:rPr>
                <w:bCs/>
                <w:i/>
                <w:sz w:val="18"/>
                <w:szCs w:val="18"/>
              </w:rPr>
              <w:t>€</w:t>
            </w:r>
            <w:r>
              <w:rPr>
                <w:sz w:val="18"/>
                <w:szCs w:val="18"/>
              </w:rPr>
              <w:t>)</w:t>
            </w:r>
          </w:p>
        </w:tc>
      </w:tr>
      <w:tr w:rsidR="00600A69" w14:paraId="771CCBF7" w14:textId="77777777" w:rsidTr="00B322A7">
        <w:trPr>
          <w:cantSplit/>
        </w:trPr>
        <w:tc>
          <w:tcPr>
            <w:tcW w:w="2353" w:type="dxa"/>
            <w:vAlign w:val="bottom"/>
          </w:tcPr>
          <w:p w14:paraId="7CF83ED6" w14:textId="77777777" w:rsidR="00600A69" w:rsidRDefault="00600A69" w:rsidP="00B322A7">
            <w:pPr>
              <w:jc w:val="both"/>
              <w:rPr>
                <w:sz w:val="18"/>
                <w:szCs w:val="18"/>
                <w:lang w:val="en-GB" w:eastAsia="en-GB"/>
              </w:rPr>
            </w:pPr>
            <w:r>
              <w:rPr>
                <w:sz w:val="18"/>
                <w:szCs w:val="18"/>
                <w:lang w:val="en-GB" w:eastAsia="en-GB"/>
              </w:rPr>
              <w:t>Gross rental income</w:t>
            </w:r>
          </w:p>
        </w:tc>
        <w:tc>
          <w:tcPr>
            <w:tcW w:w="1107" w:type="dxa"/>
            <w:vAlign w:val="bottom"/>
          </w:tcPr>
          <w:p w14:paraId="5A8FA0B6"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3,091</w:t>
            </w:r>
          </w:p>
        </w:tc>
        <w:tc>
          <w:tcPr>
            <w:tcW w:w="1298" w:type="dxa"/>
            <w:vAlign w:val="bottom"/>
          </w:tcPr>
          <w:p w14:paraId="53154174"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2,177</w:t>
            </w:r>
          </w:p>
        </w:tc>
        <w:tc>
          <w:tcPr>
            <w:tcW w:w="1175" w:type="dxa"/>
            <w:vAlign w:val="bottom"/>
          </w:tcPr>
          <w:p w14:paraId="717CE916"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4,328</w:t>
            </w:r>
          </w:p>
        </w:tc>
        <w:tc>
          <w:tcPr>
            <w:tcW w:w="1221" w:type="dxa"/>
            <w:vAlign w:val="bottom"/>
          </w:tcPr>
          <w:p w14:paraId="6006EB0C"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w:t>
            </w:r>
          </w:p>
        </w:tc>
        <w:tc>
          <w:tcPr>
            <w:tcW w:w="1332" w:type="dxa"/>
            <w:vAlign w:val="bottom"/>
          </w:tcPr>
          <w:p w14:paraId="04742785"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9,596</w:t>
            </w:r>
          </w:p>
        </w:tc>
      </w:tr>
      <w:tr w:rsidR="00600A69" w14:paraId="79B973E2" w14:textId="77777777" w:rsidTr="00B322A7">
        <w:trPr>
          <w:cantSplit/>
        </w:trPr>
        <w:tc>
          <w:tcPr>
            <w:tcW w:w="2353" w:type="dxa"/>
            <w:vAlign w:val="bottom"/>
          </w:tcPr>
          <w:p w14:paraId="26C9BAD8" w14:textId="77777777" w:rsidR="00600A69" w:rsidRDefault="00600A69" w:rsidP="00B322A7">
            <w:pPr>
              <w:jc w:val="both"/>
              <w:rPr>
                <w:sz w:val="18"/>
                <w:szCs w:val="18"/>
                <w:lang w:val="en-GB" w:eastAsia="en-GB"/>
              </w:rPr>
            </w:pPr>
            <w:r>
              <w:rPr>
                <w:sz w:val="18"/>
                <w:szCs w:val="18"/>
                <w:lang w:val="en-GB" w:eastAsia="en-GB"/>
              </w:rPr>
              <w:t>Service charge income / (expenses)</w:t>
            </w:r>
          </w:p>
        </w:tc>
        <w:tc>
          <w:tcPr>
            <w:tcW w:w="1107" w:type="dxa"/>
            <w:vAlign w:val="bottom"/>
          </w:tcPr>
          <w:p w14:paraId="2411AA8A"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50</w:t>
            </w:r>
          </w:p>
        </w:tc>
        <w:tc>
          <w:tcPr>
            <w:tcW w:w="1298" w:type="dxa"/>
            <w:vAlign w:val="bottom"/>
          </w:tcPr>
          <w:p w14:paraId="54C84134"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6</w:t>
            </w:r>
          </w:p>
        </w:tc>
        <w:tc>
          <w:tcPr>
            <w:tcW w:w="1175" w:type="dxa"/>
            <w:vAlign w:val="bottom"/>
          </w:tcPr>
          <w:p w14:paraId="217A5643"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375</w:t>
            </w:r>
          </w:p>
        </w:tc>
        <w:tc>
          <w:tcPr>
            <w:tcW w:w="1221" w:type="dxa"/>
            <w:vAlign w:val="bottom"/>
          </w:tcPr>
          <w:p w14:paraId="6D4C112B"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w:t>
            </w:r>
          </w:p>
        </w:tc>
        <w:tc>
          <w:tcPr>
            <w:tcW w:w="1332" w:type="dxa"/>
            <w:vAlign w:val="bottom"/>
          </w:tcPr>
          <w:p w14:paraId="1A3B8DBE"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431</w:t>
            </w:r>
          </w:p>
        </w:tc>
      </w:tr>
      <w:tr w:rsidR="00600A69" w14:paraId="290637F5" w14:textId="77777777" w:rsidTr="00B322A7">
        <w:trPr>
          <w:cantSplit/>
        </w:trPr>
        <w:tc>
          <w:tcPr>
            <w:tcW w:w="2353" w:type="dxa"/>
            <w:vAlign w:val="bottom"/>
          </w:tcPr>
          <w:p w14:paraId="5A9F9857" w14:textId="77777777" w:rsidR="00600A69" w:rsidRDefault="00600A69" w:rsidP="00B322A7">
            <w:pPr>
              <w:jc w:val="both"/>
              <w:rPr>
                <w:sz w:val="18"/>
                <w:szCs w:val="18"/>
                <w:lang w:val="en-GB" w:eastAsia="en-GB"/>
              </w:rPr>
            </w:pPr>
            <w:r>
              <w:rPr>
                <w:sz w:val="18"/>
                <w:szCs w:val="18"/>
                <w:lang w:val="en-GB" w:eastAsia="en-GB"/>
              </w:rPr>
              <w:t>Property operating expenses</w:t>
            </w:r>
          </w:p>
        </w:tc>
        <w:tc>
          <w:tcPr>
            <w:tcW w:w="1107" w:type="dxa"/>
            <w:vAlign w:val="bottom"/>
          </w:tcPr>
          <w:p w14:paraId="37A42988"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(658)</w:t>
            </w:r>
          </w:p>
        </w:tc>
        <w:tc>
          <w:tcPr>
            <w:tcW w:w="1298" w:type="dxa"/>
            <w:vAlign w:val="bottom"/>
          </w:tcPr>
          <w:p w14:paraId="2FDA1DC6"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(311)</w:t>
            </w:r>
          </w:p>
        </w:tc>
        <w:tc>
          <w:tcPr>
            <w:tcW w:w="1175" w:type="dxa"/>
            <w:vAlign w:val="bottom"/>
          </w:tcPr>
          <w:p w14:paraId="5DB506D3"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(544)</w:t>
            </w:r>
          </w:p>
        </w:tc>
        <w:tc>
          <w:tcPr>
            <w:tcW w:w="1221" w:type="dxa"/>
            <w:vAlign w:val="bottom"/>
          </w:tcPr>
          <w:p w14:paraId="04D3BAF3"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w:t>
            </w:r>
          </w:p>
        </w:tc>
        <w:tc>
          <w:tcPr>
            <w:tcW w:w="1332" w:type="dxa"/>
            <w:vAlign w:val="bottom"/>
          </w:tcPr>
          <w:p w14:paraId="49B7BE24"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(1,513)</w:t>
            </w:r>
          </w:p>
        </w:tc>
      </w:tr>
      <w:tr w:rsidR="00600A69" w14:paraId="05A07DFD" w14:textId="77777777" w:rsidTr="00B322A7">
        <w:trPr>
          <w:cantSplit/>
        </w:trPr>
        <w:tc>
          <w:tcPr>
            <w:tcW w:w="2353" w:type="dxa"/>
            <w:vAlign w:val="bottom"/>
          </w:tcPr>
          <w:p w14:paraId="6E9D736A" w14:textId="77777777" w:rsidR="00600A69" w:rsidRDefault="00600A69" w:rsidP="00B322A7">
            <w:pPr>
              <w:jc w:val="both"/>
              <w:rPr>
                <w:b/>
                <w:bCs/>
                <w:sz w:val="18"/>
                <w:szCs w:val="18"/>
                <w:lang w:val="en-GB" w:eastAsia="en-GB"/>
              </w:rPr>
            </w:pPr>
            <w:r>
              <w:rPr>
                <w:b/>
                <w:bCs/>
                <w:sz w:val="18"/>
                <w:szCs w:val="18"/>
                <w:lang w:val="en-GB" w:eastAsia="en-GB"/>
              </w:rPr>
              <w:t>Net rental and related income</w:t>
            </w:r>
          </w:p>
        </w:tc>
        <w:tc>
          <w:tcPr>
            <w:tcW w:w="1107" w:type="dxa"/>
            <w:vAlign w:val="bottom"/>
          </w:tcPr>
          <w:p w14:paraId="2961994D" w14:textId="77777777" w:rsidR="00600A69" w:rsidRDefault="00600A69" w:rsidP="00B322A7">
            <w:pPr>
              <w:jc w:val="right"/>
              <w:outlineLvl w:val="1"/>
              <w:rPr>
                <w:b/>
                <w:bCs/>
                <w:color w:val="000000"/>
                <w:sz w:val="18"/>
                <w:szCs w:val="18"/>
                <w:u w:val="single"/>
                <w:lang w:val="nl-NL" w:eastAsia="nl-NL"/>
              </w:rPr>
            </w:pPr>
            <w:r>
              <w:rPr>
                <w:b/>
                <w:bCs/>
                <w:color w:val="000000"/>
                <w:sz w:val="18"/>
                <w:szCs w:val="18"/>
                <w:u w:val="single"/>
                <w:lang w:val="nl-NL" w:eastAsia="nl-NL"/>
              </w:rPr>
              <w:t>2,483</w:t>
            </w:r>
          </w:p>
        </w:tc>
        <w:tc>
          <w:tcPr>
            <w:tcW w:w="1298" w:type="dxa"/>
            <w:vAlign w:val="bottom"/>
          </w:tcPr>
          <w:p w14:paraId="2042F91D" w14:textId="77777777" w:rsidR="00600A69" w:rsidRDefault="00600A69" w:rsidP="00B322A7">
            <w:pPr>
              <w:jc w:val="right"/>
              <w:outlineLvl w:val="1"/>
              <w:rPr>
                <w:b/>
                <w:bCs/>
                <w:color w:val="000000"/>
                <w:sz w:val="18"/>
                <w:szCs w:val="18"/>
                <w:u w:val="single"/>
                <w:lang w:val="nl-NL" w:eastAsia="nl-NL"/>
              </w:rPr>
            </w:pPr>
            <w:r>
              <w:rPr>
                <w:b/>
                <w:bCs/>
                <w:color w:val="000000"/>
                <w:sz w:val="18"/>
                <w:szCs w:val="18"/>
                <w:u w:val="single"/>
                <w:lang w:val="nl-NL" w:eastAsia="nl-NL"/>
              </w:rPr>
              <w:t>1,872</w:t>
            </w:r>
          </w:p>
        </w:tc>
        <w:tc>
          <w:tcPr>
            <w:tcW w:w="1175" w:type="dxa"/>
            <w:vAlign w:val="bottom"/>
          </w:tcPr>
          <w:p w14:paraId="445B94B8" w14:textId="77777777" w:rsidR="00600A69" w:rsidRDefault="00600A69" w:rsidP="00B322A7">
            <w:pPr>
              <w:jc w:val="right"/>
              <w:outlineLvl w:val="1"/>
              <w:rPr>
                <w:b/>
                <w:bCs/>
                <w:color w:val="000000"/>
                <w:sz w:val="18"/>
                <w:szCs w:val="18"/>
                <w:u w:val="single"/>
                <w:lang w:val="nl-NL" w:eastAsia="nl-NL"/>
              </w:rPr>
            </w:pPr>
            <w:r>
              <w:rPr>
                <w:b/>
                <w:bCs/>
                <w:color w:val="000000"/>
                <w:sz w:val="18"/>
                <w:szCs w:val="18"/>
                <w:u w:val="single"/>
                <w:lang w:val="nl-NL" w:eastAsia="nl-NL"/>
              </w:rPr>
              <w:t>4,159</w:t>
            </w:r>
          </w:p>
        </w:tc>
        <w:tc>
          <w:tcPr>
            <w:tcW w:w="1221" w:type="dxa"/>
            <w:vAlign w:val="bottom"/>
          </w:tcPr>
          <w:p w14:paraId="08651FC1" w14:textId="77777777" w:rsidR="00600A69" w:rsidRDefault="00600A69" w:rsidP="00B322A7">
            <w:pPr>
              <w:jc w:val="right"/>
              <w:outlineLvl w:val="1"/>
              <w:rPr>
                <w:b/>
                <w:bCs/>
                <w:color w:val="000000"/>
                <w:sz w:val="18"/>
                <w:szCs w:val="18"/>
                <w:u w:val="single"/>
                <w:lang w:val="nl-NL" w:eastAsia="nl-NL"/>
              </w:rPr>
            </w:pPr>
            <w:r>
              <w:rPr>
                <w:b/>
                <w:bCs/>
                <w:color w:val="000000"/>
                <w:sz w:val="18"/>
                <w:szCs w:val="18"/>
                <w:u w:val="single"/>
                <w:lang w:val="nl-NL" w:eastAsia="nl-NL"/>
              </w:rPr>
              <w:t>-</w:t>
            </w:r>
          </w:p>
        </w:tc>
        <w:tc>
          <w:tcPr>
            <w:tcW w:w="1332" w:type="dxa"/>
            <w:vAlign w:val="bottom"/>
          </w:tcPr>
          <w:p w14:paraId="2A7FD87A" w14:textId="77777777" w:rsidR="00600A69" w:rsidRDefault="00600A69" w:rsidP="00B322A7">
            <w:pPr>
              <w:jc w:val="right"/>
              <w:outlineLvl w:val="1"/>
              <w:rPr>
                <w:b/>
                <w:bCs/>
                <w:color w:val="000000"/>
                <w:sz w:val="18"/>
                <w:szCs w:val="18"/>
                <w:u w:val="single"/>
                <w:lang w:val="nl-NL" w:eastAsia="nl-NL"/>
              </w:rPr>
            </w:pPr>
            <w:r>
              <w:rPr>
                <w:b/>
                <w:bCs/>
                <w:color w:val="000000"/>
                <w:sz w:val="18"/>
                <w:szCs w:val="18"/>
                <w:u w:val="single"/>
                <w:lang w:val="nl-NL" w:eastAsia="nl-NL"/>
              </w:rPr>
              <w:t>8,514</w:t>
            </w:r>
          </w:p>
        </w:tc>
      </w:tr>
      <w:tr w:rsidR="00600A69" w14:paraId="4CCA560D" w14:textId="77777777" w:rsidTr="00B322A7">
        <w:trPr>
          <w:cantSplit/>
        </w:trPr>
        <w:tc>
          <w:tcPr>
            <w:tcW w:w="2353" w:type="dxa"/>
            <w:vAlign w:val="bottom"/>
          </w:tcPr>
          <w:p w14:paraId="790E1931" w14:textId="77777777" w:rsidR="00600A69" w:rsidRDefault="00600A69" w:rsidP="00B322A7">
            <w:pPr>
              <w:jc w:val="both"/>
              <w:rPr>
                <w:sz w:val="18"/>
                <w:szCs w:val="18"/>
                <w:lang w:val="en-GB" w:eastAsia="en-GB"/>
              </w:rPr>
            </w:pPr>
            <w:r>
              <w:rPr>
                <w:sz w:val="18"/>
                <w:szCs w:val="18"/>
                <w:lang w:val="en-GB" w:eastAsia="en-GB"/>
              </w:rPr>
              <w:t>Property and development management fee income</w:t>
            </w:r>
          </w:p>
        </w:tc>
        <w:tc>
          <w:tcPr>
            <w:tcW w:w="1107" w:type="dxa"/>
            <w:vAlign w:val="bottom"/>
          </w:tcPr>
          <w:p w14:paraId="2CE9552D"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2,712</w:t>
            </w:r>
          </w:p>
        </w:tc>
        <w:tc>
          <w:tcPr>
            <w:tcW w:w="1298" w:type="dxa"/>
            <w:vAlign w:val="bottom"/>
          </w:tcPr>
          <w:p w14:paraId="0E757A3D"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2</w:t>
            </w:r>
          </w:p>
        </w:tc>
        <w:tc>
          <w:tcPr>
            <w:tcW w:w="1175" w:type="dxa"/>
            <w:vAlign w:val="bottom"/>
          </w:tcPr>
          <w:p w14:paraId="4BDF364C"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447</w:t>
            </w:r>
          </w:p>
        </w:tc>
        <w:tc>
          <w:tcPr>
            <w:tcW w:w="1221" w:type="dxa"/>
            <w:vAlign w:val="bottom"/>
          </w:tcPr>
          <w:p w14:paraId="4D32EE08"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w:t>
            </w:r>
          </w:p>
        </w:tc>
        <w:tc>
          <w:tcPr>
            <w:tcW w:w="1332" w:type="dxa"/>
            <w:vAlign w:val="bottom"/>
          </w:tcPr>
          <w:p w14:paraId="35E27C61"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3,161</w:t>
            </w:r>
          </w:p>
        </w:tc>
      </w:tr>
      <w:tr w:rsidR="00600A69" w14:paraId="74FD39E0" w14:textId="77777777" w:rsidTr="00B322A7">
        <w:trPr>
          <w:cantSplit/>
        </w:trPr>
        <w:tc>
          <w:tcPr>
            <w:tcW w:w="2353" w:type="dxa"/>
            <w:vAlign w:val="bottom"/>
          </w:tcPr>
          <w:p w14:paraId="09540F23" w14:textId="77777777" w:rsidR="00600A69" w:rsidRDefault="00600A69" w:rsidP="00B322A7">
            <w:pPr>
              <w:jc w:val="both"/>
              <w:rPr>
                <w:sz w:val="18"/>
                <w:szCs w:val="18"/>
                <w:lang w:val="en-GB" w:eastAsia="en-GB"/>
              </w:rPr>
            </w:pPr>
            <w:r>
              <w:rPr>
                <w:sz w:val="18"/>
                <w:szCs w:val="18"/>
                <w:lang w:val="en-GB" w:eastAsia="en-GB"/>
              </w:rPr>
              <w:t>Facility management income</w:t>
            </w:r>
          </w:p>
        </w:tc>
        <w:tc>
          <w:tcPr>
            <w:tcW w:w="1107" w:type="dxa"/>
            <w:vAlign w:val="bottom"/>
          </w:tcPr>
          <w:p w14:paraId="78D56018"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246</w:t>
            </w:r>
          </w:p>
        </w:tc>
        <w:tc>
          <w:tcPr>
            <w:tcW w:w="1298" w:type="dxa"/>
            <w:vAlign w:val="bottom"/>
          </w:tcPr>
          <w:p w14:paraId="2CD46345"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w:t>
            </w:r>
          </w:p>
        </w:tc>
        <w:tc>
          <w:tcPr>
            <w:tcW w:w="1175" w:type="dxa"/>
            <w:vAlign w:val="bottom"/>
          </w:tcPr>
          <w:p w14:paraId="6AF10CEE"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w:t>
            </w:r>
          </w:p>
        </w:tc>
        <w:tc>
          <w:tcPr>
            <w:tcW w:w="1221" w:type="dxa"/>
            <w:vAlign w:val="bottom"/>
          </w:tcPr>
          <w:p w14:paraId="3C89EF83"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w:t>
            </w:r>
          </w:p>
        </w:tc>
        <w:tc>
          <w:tcPr>
            <w:tcW w:w="1332" w:type="dxa"/>
            <w:vAlign w:val="bottom"/>
          </w:tcPr>
          <w:p w14:paraId="12B6418B"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246</w:t>
            </w:r>
          </w:p>
        </w:tc>
      </w:tr>
      <w:tr w:rsidR="00600A69" w14:paraId="0518C54A" w14:textId="77777777" w:rsidTr="00B322A7">
        <w:trPr>
          <w:cantSplit/>
        </w:trPr>
        <w:tc>
          <w:tcPr>
            <w:tcW w:w="2353" w:type="dxa"/>
            <w:vAlign w:val="bottom"/>
          </w:tcPr>
          <w:p w14:paraId="31A2320C" w14:textId="77777777" w:rsidR="00600A69" w:rsidRDefault="00600A69" w:rsidP="00B322A7">
            <w:pPr>
              <w:jc w:val="both"/>
              <w:rPr>
                <w:sz w:val="18"/>
                <w:szCs w:val="18"/>
                <w:lang w:val="en-GB" w:eastAsia="en-GB"/>
              </w:rPr>
            </w:pPr>
            <w:r>
              <w:rPr>
                <w:sz w:val="18"/>
                <w:szCs w:val="18"/>
                <w:lang w:val="en-GB" w:eastAsia="en-GB"/>
              </w:rPr>
              <w:t>Net valuation gains / (losses) incl. administrative costs</w:t>
            </w:r>
          </w:p>
        </w:tc>
        <w:tc>
          <w:tcPr>
            <w:tcW w:w="1107" w:type="dxa"/>
            <w:vAlign w:val="bottom"/>
          </w:tcPr>
          <w:p w14:paraId="3666D0F3"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11,028</w:t>
            </w:r>
          </w:p>
        </w:tc>
        <w:tc>
          <w:tcPr>
            <w:tcW w:w="1298" w:type="dxa"/>
            <w:vAlign w:val="bottom"/>
          </w:tcPr>
          <w:p w14:paraId="216AC4E8"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28,914</w:t>
            </w:r>
          </w:p>
        </w:tc>
        <w:tc>
          <w:tcPr>
            <w:tcW w:w="1175" w:type="dxa"/>
            <w:vAlign w:val="bottom"/>
          </w:tcPr>
          <w:p w14:paraId="1810CED4"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13,978</w:t>
            </w:r>
          </w:p>
        </w:tc>
        <w:tc>
          <w:tcPr>
            <w:tcW w:w="1221" w:type="dxa"/>
            <w:vAlign w:val="bottom"/>
          </w:tcPr>
          <w:p w14:paraId="57DB469F"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w:t>
            </w:r>
          </w:p>
        </w:tc>
        <w:tc>
          <w:tcPr>
            <w:tcW w:w="1332" w:type="dxa"/>
            <w:vAlign w:val="bottom"/>
          </w:tcPr>
          <w:p w14:paraId="12313707"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53,920</w:t>
            </w:r>
          </w:p>
        </w:tc>
      </w:tr>
      <w:tr w:rsidR="00600A69" w14:paraId="61919A48" w14:textId="77777777" w:rsidTr="00B322A7">
        <w:trPr>
          <w:cantSplit/>
        </w:trPr>
        <w:tc>
          <w:tcPr>
            <w:tcW w:w="2353" w:type="dxa"/>
            <w:vAlign w:val="bottom"/>
          </w:tcPr>
          <w:p w14:paraId="22554EC6" w14:textId="77777777" w:rsidR="00600A69" w:rsidRDefault="00600A69" w:rsidP="00B322A7">
            <w:pPr>
              <w:jc w:val="both"/>
              <w:rPr>
                <w:sz w:val="18"/>
                <w:szCs w:val="18"/>
                <w:lang w:val="en-GB" w:eastAsia="en-GB"/>
              </w:rPr>
            </w:pPr>
            <w:r>
              <w:rPr>
                <w:sz w:val="18"/>
                <w:szCs w:val="18"/>
                <w:lang w:val="en-GB" w:eastAsia="en-GB"/>
              </w:rPr>
              <w:t xml:space="preserve">Other income / (expenses) - </w:t>
            </w:r>
          </w:p>
        </w:tc>
        <w:tc>
          <w:tcPr>
            <w:tcW w:w="1107" w:type="dxa"/>
            <w:vAlign w:val="bottom"/>
          </w:tcPr>
          <w:p w14:paraId="3DBBBFD2"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(3,722)</w:t>
            </w:r>
          </w:p>
        </w:tc>
        <w:tc>
          <w:tcPr>
            <w:tcW w:w="1298" w:type="dxa"/>
            <w:vAlign w:val="bottom"/>
          </w:tcPr>
          <w:p w14:paraId="66BAB67A"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(647)</w:t>
            </w:r>
          </w:p>
        </w:tc>
        <w:tc>
          <w:tcPr>
            <w:tcW w:w="1175" w:type="dxa"/>
            <w:vAlign w:val="bottom"/>
          </w:tcPr>
          <w:p w14:paraId="23F74256"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(575)</w:t>
            </w:r>
          </w:p>
        </w:tc>
        <w:tc>
          <w:tcPr>
            <w:tcW w:w="1221" w:type="dxa"/>
            <w:vAlign w:val="bottom"/>
          </w:tcPr>
          <w:p w14:paraId="5FB892D0"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(2,145)</w:t>
            </w:r>
          </w:p>
        </w:tc>
        <w:tc>
          <w:tcPr>
            <w:tcW w:w="1332" w:type="dxa"/>
            <w:vAlign w:val="bottom"/>
          </w:tcPr>
          <w:p w14:paraId="46E530E5" w14:textId="77777777" w:rsidR="00600A69" w:rsidRDefault="00600A69" w:rsidP="00B322A7">
            <w:pPr>
              <w:jc w:val="right"/>
              <w:outlineLvl w:val="1"/>
              <w:rPr>
                <w:color w:val="000000"/>
                <w:sz w:val="18"/>
                <w:szCs w:val="18"/>
                <w:lang w:val="nl-NL" w:eastAsia="nl-NL"/>
              </w:rPr>
            </w:pPr>
            <w:r>
              <w:rPr>
                <w:color w:val="000000"/>
                <w:sz w:val="18"/>
                <w:szCs w:val="18"/>
                <w:lang w:val="nl-NL" w:eastAsia="nl-NL"/>
              </w:rPr>
              <w:t>(7,089)</w:t>
            </w:r>
          </w:p>
        </w:tc>
      </w:tr>
      <w:tr w:rsidR="00600A69" w14:paraId="2DB53C3D" w14:textId="77777777" w:rsidTr="00B322A7">
        <w:trPr>
          <w:cantSplit/>
        </w:trPr>
        <w:tc>
          <w:tcPr>
            <w:tcW w:w="2353" w:type="dxa"/>
            <w:vAlign w:val="bottom"/>
          </w:tcPr>
          <w:p w14:paraId="29D894DF" w14:textId="77777777" w:rsidR="00600A69" w:rsidRDefault="00600A69" w:rsidP="00B322A7">
            <w:pPr>
              <w:jc w:val="both"/>
              <w:rPr>
                <w:bCs/>
                <w:sz w:val="18"/>
                <w:szCs w:val="18"/>
                <w:lang w:val="en-GB" w:eastAsia="en-GB"/>
              </w:rPr>
            </w:pPr>
            <w:r>
              <w:rPr>
                <w:bCs/>
                <w:sz w:val="18"/>
                <w:szCs w:val="18"/>
                <w:lang w:val="en-GB" w:eastAsia="en-GB"/>
              </w:rPr>
              <w:t>Share in the result of joint venture and associates</w:t>
            </w:r>
          </w:p>
        </w:tc>
        <w:tc>
          <w:tcPr>
            <w:tcW w:w="1107" w:type="dxa"/>
            <w:vAlign w:val="bottom"/>
          </w:tcPr>
          <w:p w14:paraId="74D40B3F" w14:textId="77777777" w:rsidR="00600A69" w:rsidRDefault="00600A69" w:rsidP="00B322A7">
            <w:pPr>
              <w:jc w:val="right"/>
              <w:outlineLvl w:val="1"/>
              <w:rPr>
                <w:b/>
                <w:bCs/>
                <w:color w:val="000000"/>
                <w:sz w:val="18"/>
                <w:szCs w:val="18"/>
                <w:u w:val="single"/>
                <w:lang w:val="nl-NL" w:eastAsia="nl-NL"/>
              </w:rPr>
            </w:pPr>
            <w:r>
              <w:rPr>
                <w:b/>
                <w:bCs/>
                <w:color w:val="000000"/>
                <w:sz w:val="18"/>
                <w:szCs w:val="18"/>
                <w:u w:val="single"/>
                <w:lang w:val="nl-NL" w:eastAsia="nl-NL"/>
              </w:rPr>
              <w:t>-</w:t>
            </w:r>
          </w:p>
        </w:tc>
        <w:tc>
          <w:tcPr>
            <w:tcW w:w="1298" w:type="dxa"/>
            <w:vAlign w:val="bottom"/>
          </w:tcPr>
          <w:p w14:paraId="05C060BC" w14:textId="77777777" w:rsidR="00600A69" w:rsidRDefault="00600A69" w:rsidP="00B322A7">
            <w:pPr>
              <w:jc w:val="right"/>
              <w:outlineLvl w:val="1"/>
              <w:rPr>
                <w:b/>
                <w:bCs/>
                <w:color w:val="000000"/>
                <w:sz w:val="18"/>
                <w:szCs w:val="18"/>
                <w:u w:val="single"/>
                <w:lang w:val="nl-NL" w:eastAsia="nl-NL"/>
              </w:rPr>
            </w:pPr>
            <w:r>
              <w:rPr>
                <w:b/>
                <w:bCs/>
                <w:color w:val="000000"/>
                <w:sz w:val="18"/>
                <w:szCs w:val="18"/>
                <w:u w:val="single"/>
                <w:lang w:val="nl-NL" w:eastAsia="nl-NL"/>
              </w:rPr>
              <w:t>-</w:t>
            </w:r>
          </w:p>
        </w:tc>
        <w:tc>
          <w:tcPr>
            <w:tcW w:w="1175" w:type="dxa"/>
            <w:vAlign w:val="bottom"/>
          </w:tcPr>
          <w:p w14:paraId="404BAEB0" w14:textId="77777777" w:rsidR="00600A69" w:rsidRDefault="00600A69" w:rsidP="00B322A7">
            <w:pPr>
              <w:jc w:val="right"/>
              <w:outlineLvl w:val="1"/>
              <w:rPr>
                <w:b/>
                <w:bCs/>
                <w:color w:val="000000"/>
                <w:sz w:val="18"/>
                <w:szCs w:val="18"/>
                <w:u w:val="single"/>
                <w:lang w:val="nl-NL" w:eastAsia="nl-NL"/>
              </w:rPr>
            </w:pPr>
            <w:r>
              <w:rPr>
                <w:b/>
                <w:bCs/>
                <w:color w:val="000000"/>
                <w:sz w:val="18"/>
                <w:szCs w:val="18"/>
                <w:u w:val="single"/>
                <w:lang w:val="nl-NL" w:eastAsia="nl-NL"/>
              </w:rPr>
              <w:t>-</w:t>
            </w:r>
          </w:p>
        </w:tc>
        <w:tc>
          <w:tcPr>
            <w:tcW w:w="1221" w:type="dxa"/>
            <w:vAlign w:val="bottom"/>
          </w:tcPr>
          <w:p w14:paraId="32797E17" w14:textId="77777777" w:rsidR="00600A69" w:rsidRDefault="00600A69" w:rsidP="00B322A7">
            <w:pPr>
              <w:jc w:val="right"/>
              <w:outlineLvl w:val="1"/>
              <w:rPr>
                <w:color w:val="000000"/>
                <w:sz w:val="18"/>
                <w:szCs w:val="18"/>
                <w:u w:val="single"/>
                <w:lang w:val="nl-NL" w:eastAsia="nl-NL"/>
              </w:rPr>
            </w:pPr>
            <w:r>
              <w:rPr>
                <w:color w:val="000000"/>
                <w:sz w:val="18"/>
                <w:szCs w:val="18"/>
                <w:u w:val="single"/>
                <w:lang w:val="nl-NL" w:eastAsia="nl-NL"/>
              </w:rPr>
              <w:t>14,473</w:t>
            </w:r>
          </w:p>
        </w:tc>
        <w:tc>
          <w:tcPr>
            <w:tcW w:w="1332" w:type="dxa"/>
            <w:vAlign w:val="bottom"/>
          </w:tcPr>
          <w:p w14:paraId="79E6FE43" w14:textId="77777777" w:rsidR="00600A69" w:rsidRDefault="00600A69" w:rsidP="00B322A7">
            <w:pPr>
              <w:jc w:val="right"/>
              <w:outlineLvl w:val="1"/>
              <w:rPr>
                <w:color w:val="000000"/>
                <w:sz w:val="18"/>
                <w:szCs w:val="18"/>
                <w:u w:val="single"/>
                <w:lang w:val="nl-NL" w:eastAsia="nl-NL"/>
              </w:rPr>
            </w:pPr>
            <w:r>
              <w:rPr>
                <w:color w:val="000000"/>
                <w:sz w:val="18"/>
                <w:szCs w:val="18"/>
                <w:u w:val="single"/>
                <w:lang w:val="nl-NL" w:eastAsia="nl-NL"/>
              </w:rPr>
              <w:t>14,473</w:t>
            </w:r>
          </w:p>
        </w:tc>
      </w:tr>
      <w:tr w:rsidR="00600A69" w14:paraId="20929FA6" w14:textId="77777777" w:rsidTr="00B322A7">
        <w:trPr>
          <w:cantSplit/>
        </w:trPr>
        <w:tc>
          <w:tcPr>
            <w:tcW w:w="2353" w:type="dxa"/>
            <w:vAlign w:val="bottom"/>
          </w:tcPr>
          <w:p w14:paraId="1CD4B938" w14:textId="77777777" w:rsidR="00600A69" w:rsidRDefault="00600A69" w:rsidP="00B322A7">
            <w:pPr>
              <w:jc w:val="both"/>
              <w:rPr>
                <w:b/>
                <w:bCs/>
                <w:sz w:val="18"/>
                <w:szCs w:val="18"/>
                <w:lang w:val="en-GB"/>
              </w:rPr>
            </w:pPr>
            <w:r>
              <w:rPr>
                <w:b/>
                <w:bCs/>
                <w:sz w:val="18"/>
                <w:szCs w:val="18"/>
                <w:lang w:val="en-GB"/>
              </w:rPr>
              <w:t>Operating profit / (loss)</w:t>
            </w:r>
          </w:p>
        </w:tc>
        <w:tc>
          <w:tcPr>
            <w:tcW w:w="1107" w:type="dxa"/>
            <w:vAlign w:val="bottom"/>
          </w:tcPr>
          <w:p w14:paraId="27D250A5" w14:textId="77777777" w:rsidR="00600A69" w:rsidRDefault="00600A69" w:rsidP="00B322A7">
            <w:pPr>
              <w:jc w:val="right"/>
              <w:outlineLvl w:val="1"/>
              <w:rPr>
                <w:b/>
                <w:bCs/>
                <w:color w:val="000000"/>
                <w:sz w:val="18"/>
                <w:szCs w:val="18"/>
                <w:u w:val="double"/>
                <w:lang w:val="nl-NL" w:eastAsia="nl-NL"/>
              </w:rPr>
            </w:pPr>
            <w:r>
              <w:rPr>
                <w:b/>
                <w:bCs/>
                <w:color w:val="000000"/>
                <w:sz w:val="18"/>
                <w:szCs w:val="18"/>
                <w:u w:val="double"/>
                <w:lang w:val="nl-NL" w:eastAsia="nl-NL"/>
              </w:rPr>
              <w:t>12,747</w:t>
            </w:r>
          </w:p>
        </w:tc>
        <w:tc>
          <w:tcPr>
            <w:tcW w:w="1298" w:type="dxa"/>
            <w:vAlign w:val="bottom"/>
          </w:tcPr>
          <w:p w14:paraId="4A6C7F5D" w14:textId="77777777" w:rsidR="00600A69" w:rsidRDefault="00600A69" w:rsidP="00B322A7">
            <w:pPr>
              <w:jc w:val="right"/>
              <w:outlineLvl w:val="1"/>
              <w:rPr>
                <w:b/>
                <w:bCs/>
                <w:color w:val="000000"/>
                <w:sz w:val="18"/>
                <w:szCs w:val="18"/>
                <w:u w:val="double"/>
                <w:lang w:val="nl-NL" w:eastAsia="nl-NL"/>
              </w:rPr>
            </w:pPr>
            <w:r>
              <w:rPr>
                <w:b/>
                <w:bCs/>
                <w:color w:val="000000"/>
                <w:sz w:val="18"/>
                <w:szCs w:val="18"/>
                <w:u w:val="double"/>
                <w:lang w:val="nl-NL" w:eastAsia="nl-NL"/>
              </w:rPr>
              <w:t>30,141</w:t>
            </w:r>
          </w:p>
        </w:tc>
        <w:tc>
          <w:tcPr>
            <w:tcW w:w="1175" w:type="dxa"/>
            <w:vAlign w:val="bottom"/>
          </w:tcPr>
          <w:p w14:paraId="3F5F002E" w14:textId="77777777" w:rsidR="00600A69" w:rsidRDefault="00600A69" w:rsidP="00B322A7">
            <w:pPr>
              <w:jc w:val="right"/>
              <w:outlineLvl w:val="1"/>
              <w:rPr>
                <w:b/>
                <w:bCs/>
                <w:color w:val="000000"/>
                <w:sz w:val="18"/>
                <w:szCs w:val="18"/>
                <w:u w:val="double"/>
                <w:lang w:val="nl-NL" w:eastAsia="nl-NL"/>
              </w:rPr>
            </w:pPr>
            <w:r>
              <w:rPr>
                <w:b/>
                <w:bCs/>
                <w:color w:val="000000"/>
                <w:sz w:val="18"/>
                <w:szCs w:val="18"/>
                <w:u w:val="double"/>
                <w:lang w:val="nl-NL" w:eastAsia="nl-NL"/>
              </w:rPr>
              <w:t>18,009</w:t>
            </w:r>
          </w:p>
        </w:tc>
        <w:tc>
          <w:tcPr>
            <w:tcW w:w="1221" w:type="dxa"/>
            <w:vAlign w:val="bottom"/>
          </w:tcPr>
          <w:p w14:paraId="3A96C60B" w14:textId="77777777" w:rsidR="00600A69" w:rsidRDefault="00600A69" w:rsidP="00B322A7">
            <w:pPr>
              <w:jc w:val="right"/>
              <w:outlineLvl w:val="1"/>
              <w:rPr>
                <w:b/>
                <w:bCs/>
                <w:color w:val="000000"/>
                <w:sz w:val="18"/>
                <w:szCs w:val="18"/>
                <w:u w:val="double"/>
                <w:lang w:val="nl-NL" w:eastAsia="nl-NL"/>
              </w:rPr>
            </w:pPr>
            <w:r>
              <w:rPr>
                <w:b/>
                <w:bCs/>
                <w:color w:val="000000"/>
                <w:sz w:val="18"/>
                <w:szCs w:val="18"/>
                <w:u w:val="double"/>
                <w:lang w:val="nl-NL" w:eastAsia="nl-NL"/>
              </w:rPr>
              <w:t>12,328</w:t>
            </w:r>
          </w:p>
        </w:tc>
        <w:tc>
          <w:tcPr>
            <w:tcW w:w="1332" w:type="dxa"/>
            <w:vAlign w:val="bottom"/>
          </w:tcPr>
          <w:p w14:paraId="45386BF6" w14:textId="77777777" w:rsidR="00600A69" w:rsidRDefault="00600A69" w:rsidP="00B322A7">
            <w:pPr>
              <w:jc w:val="right"/>
              <w:outlineLvl w:val="1"/>
              <w:rPr>
                <w:b/>
                <w:bCs/>
                <w:color w:val="000000"/>
                <w:sz w:val="18"/>
                <w:szCs w:val="18"/>
                <w:u w:val="double"/>
                <w:lang w:val="nl-NL" w:eastAsia="nl-NL"/>
              </w:rPr>
            </w:pPr>
            <w:r>
              <w:rPr>
                <w:b/>
                <w:bCs/>
                <w:color w:val="000000"/>
                <w:sz w:val="18"/>
                <w:szCs w:val="18"/>
                <w:u w:val="double"/>
                <w:lang w:val="nl-NL" w:eastAsia="nl-NL"/>
              </w:rPr>
              <w:t>73,225</w:t>
            </w:r>
          </w:p>
        </w:tc>
      </w:tr>
    </w:tbl>
    <w:p w14:paraId="1C33E97C" w14:textId="77777777" w:rsidR="001D1FD6" w:rsidRDefault="001D1FD6" w:rsidP="001D1FD6">
      <w:pPr>
        <w:spacing w:after="240"/>
        <w:jc w:val="both"/>
        <w:rPr>
          <w:rFonts w:cs="Arabic Transparent"/>
          <w:color w:val="000000"/>
          <w:sz w:val="18"/>
          <w:szCs w:val="18"/>
        </w:rPr>
      </w:pPr>
    </w:p>
    <w:p w14:paraId="56FEA4A6" w14:textId="77777777" w:rsidR="001D1FD6" w:rsidRDefault="001D1FD6" w:rsidP="001D1FD6">
      <w:pPr>
        <w:jc w:val="both"/>
        <w:rPr>
          <w:rFonts w:cs="Arabic Transparent"/>
          <w:sz w:val="18"/>
          <w:szCs w:val="18"/>
          <w:lang w:val="en-GB"/>
        </w:rPr>
      </w:pPr>
    </w:p>
    <w:bookmarkEnd w:id="52"/>
    <w:p w14:paraId="01FF5CFC" w14:textId="77777777" w:rsidR="001D1FD6" w:rsidRDefault="001D1FD6" w:rsidP="001D1FD6">
      <w:pPr>
        <w:pageBreakBefore/>
        <w:spacing w:after="240"/>
        <w:jc w:val="both"/>
        <w:rPr>
          <w:rFonts w:cs="Arabic Transparent"/>
          <w:b/>
          <w:color w:val="000000"/>
          <w:spacing w:val="5"/>
          <w:sz w:val="18"/>
          <w:szCs w:val="18"/>
        </w:rPr>
      </w:pPr>
      <w:r>
        <w:rPr>
          <w:rFonts w:cs="Arabic Transparent"/>
          <w:b/>
          <w:color w:val="000000"/>
          <w:spacing w:val="5"/>
          <w:sz w:val="18"/>
          <w:szCs w:val="18"/>
        </w:rPr>
        <w:lastRenderedPageBreak/>
        <w:t>Cash flows</w:t>
      </w:r>
    </w:p>
    <w:p w14:paraId="350B1F47" w14:textId="74D8DB75" w:rsidR="001D1FD6" w:rsidRDefault="001D1FD6" w:rsidP="002C7466">
      <w:pPr>
        <w:spacing w:after="240"/>
        <w:ind w:firstLine="720"/>
        <w:jc w:val="both"/>
        <w:rPr>
          <w:rFonts w:cs="Arabic Transparent"/>
          <w:color w:val="000000"/>
          <w:spacing w:val="4"/>
          <w:sz w:val="18"/>
          <w:szCs w:val="18"/>
        </w:rPr>
      </w:pPr>
      <w:r>
        <w:rPr>
          <w:rFonts w:cs="Arabic Transparent"/>
          <w:color w:val="000000"/>
          <w:spacing w:val="4"/>
          <w:sz w:val="18"/>
          <w:szCs w:val="18"/>
        </w:rPr>
        <w:t>The following table sets out the Group’s consolidated cash flows for the periods indicated below:</w:t>
      </w:r>
      <w:bookmarkStart w:id="53" w:name="_Hlk49125124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4146"/>
        <w:gridCol w:w="1013"/>
        <w:gridCol w:w="1014"/>
        <w:gridCol w:w="1145"/>
        <w:gridCol w:w="1233"/>
        <w:gridCol w:w="1196"/>
      </w:tblGrid>
      <w:tr w:rsidR="00600A69" w14:paraId="33B67FE2" w14:textId="77777777" w:rsidTr="00B322A7">
        <w:trPr>
          <w:cantSplit/>
        </w:trPr>
        <w:tc>
          <w:tcPr>
            <w:tcW w:w="4257" w:type="dxa"/>
          </w:tcPr>
          <w:p w14:paraId="2A28F03E" w14:textId="77777777" w:rsidR="00600A69" w:rsidRDefault="00600A69" w:rsidP="00B322A7">
            <w:pPr>
              <w:jc w:val="both"/>
              <w:rPr>
                <w:rFonts w:cs="Arabic Transparent"/>
                <w:sz w:val="18"/>
                <w:szCs w:val="18"/>
                <w:lang w:val="en-GB"/>
              </w:rPr>
            </w:pPr>
          </w:p>
        </w:tc>
        <w:tc>
          <w:tcPr>
            <w:tcW w:w="1035" w:type="dxa"/>
          </w:tcPr>
          <w:p w14:paraId="7F954E4A" w14:textId="77777777" w:rsidR="00600A69" w:rsidRDefault="00600A69" w:rsidP="00B322A7">
            <w:pPr>
              <w:pBdr>
                <w:bottom w:val="single" w:sz="2" w:space="1" w:color="auto"/>
              </w:pBdr>
              <w:jc w:val="center"/>
              <w:rPr>
                <w:rFonts w:cs="Arabic Transparent"/>
                <w:b/>
                <w:sz w:val="18"/>
                <w:szCs w:val="18"/>
              </w:rPr>
            </w:pPr>
            <w:r>
              <w:rPr>
                <w:rFonts w:cs="Arabic Transparent"/>
                <w:b/>
                <w:sz w:val="18"/>
                <w:szCs w:val="18"/>
              </w:rPr>
              <w:t>For the period ended 30-Jun</w:t>
            </w:r>
          </w:p>
        </w:tc>
        <w:tc>
          <w:tcPr>
            <w:tcW w:w="1036" w:type="dxa"/>
          </w:tcPr>
          <w:p w14:paraId="1DE96FEF" w14:textId="77777777" w:rsidR="00600A69" w:rsidRDefault="00600A69" w:rsidP="00B322A7">
            <w:pPr>
              <w:pBdr>
                <w:bottom w:val="single" w:sz="2" w:space="1" w:color="auto"/>
              </w:pBdr>
              <w:jc w:val="center"/>
              <w:rPr>
                <w:rFonts w:cs="Arabic Transparent"/>
                <w:b/>
                <w:sz w:val="18"/>
                <w:szCs w:val="18"/>
              </w:rPr>
            </w:pPr>
            <w:r>
              <w:rPr>
                <w:rFonts w:cs="Arabic Transparent"/>
                <w:b/>
                <w:sz w:val="18"/>
                <w:szCs w:val="18"/>
              </w:rPr>
              <w:t>For the period ended 30-Jun</w:t>
            </w:r>
          </w:p>
        </w:tc>
        <w:tc>
          <w:tcPr>
            <w:tcW w:w="3655" w:type="dxa"/>
            <w:gridSpan w:val="3"/>
          </w:tcPr>
          <w:p w14:paraId="1F77F1D4" w14:textId="77777777" w:rsidR="00600A69" w:rsidRDefault="00600A69" w:rsidP="00B322A7">
            <w:pPr>
              <w:pBdr>
                <w:bottom w:val="single" w:sz="2" w:space="1" w:color="auto"/>
              </w:pBdr>
              <w:jc w:val="center"/>
              <w:rPr>
                <w:rFonts w:cs="Arabic Transparent"/>
                <w:b/>
                <w:sz w:val="18"/>
                <w:szCs w:val="18"/>
              </w:rPr>
            </w:pPr>
          </w:p>
          <w:p w14:paraId="578508DD" w14:textId="77777777" w:rsidR="00600A69" w:rsidRDefault="00600A69" w:rsidP="00B322A7">
            <w:pPr>
              <w:pBdr>
                <w:bottom w:val="single" w:sz="2" w:space="1" w:color="auto"/>
              </w:pBdr>
              <w:jc w:val="center"/>
              <w:rPr>
                <w:rFonts w:cs="Arabic Transparent"/>
                <w:b/>
                <w:sz w:val="18"/>
                <w:szCs w:val="18"/>
              </w:rPr>
            </w:pPr>
          </w:p>
          <w:p w14:paraId="25B1DEA1" w14:textId="77777777" w:rsidR="00600A69" w:rsidRDefault="00600A69" w:rsidP="00B322A7">
            <w:pPr>
              <w:pBdr>
                <w:bottom w:val="single" w:sz="2" w:space="1" w:color="auto"/>
              </w:pBdr>
              <w:jc w:val="center"/>
              <w:rPr>
                <w:rFonts w:cs="Arabic Transparent"/>
                <w:b/>
                <w:sz w:val="18"/>
                <w:szCs w:val="18"/>
              </w:rPr>
            </w:pPr>
            <w:r>
              <w:rPr>
                <w:rFonts w:cs="Arabic Transparent"/>
                <w:b/>
                <w:sz w:val="18"/>
                <w:szCs w:val="18"/>
              </w:rPr>
              <w:t>For the year ended 31-Dec</w:t>
            </w:r>
          </w:p>
        </w:tc>
      </w:tr>
      <w:tr w:rsidR="00600A69" w14:paraId="71233C40" w14:textId="77777777" w:rsidTr="00B322A7">
        <w:trPr>
          <w:cantSplit/>
        </w:trPr>
        <w:tc>
          <w:tcPr>
            <w:tcW w:w="4257" w:type="dxa"/>
            <w:vMerge w:val="restart"/>
          </w:tcPr>
          <w:p w14:paraId="7B54E02F" w14:textId="77777777" w:rsidR="00600A69" w:rsidRDefault="00600A69" w:rsidP="00B322A7">
            <w:pPr>
              <w:rPr>
                <w:rFonts w:cs="Arabic Transparent"/>
                <w:sz w:val="18"/>
                <w:szCs w:val="18"/>
                <w:lang w:val="en-GB"/>
              </w:rPr>
            </w:pPr>
            <w:r>
              <w:rPr>
                <w:rFonts w:cs="Arabic Transparent"/>
                <w:sz w:val="18"/>
                <w:szCs w:val="18"/>
              </w:rPr>
              <w:t>(</w:t>
            </w:r>
            <w:r>
              <w:rPr>
                <w:rFonts w:cs="Arabic Transparent"/>
                <w:i/>
                <w:sz w:val="18"/>
                <w:szCs w:val="18"/>
              </w:rPr>
              <w:t xml:space="preserve">in thousands of </w:t>
            </w:r>
            <w:r>
              <w:rPr>
                <w:bCs/>
                <w:i/>
                <w:sz w:val="18"/>
                <w:szCs w:val="18"/>
              </w:rPr>
              <w:t>€</w:t>
            </w:r>
            <w:r>
              <w:rPr>
                <w:rFonts w:cs="Arabic Transparent"/>
                <w:sz w:val="18"/>
                <w:szCs w:val="18"/>
              </w:rPr>
              <w:t>)</w:t>
            </w:r>
          </w:p>
          <w:p w14:paraId="0229582D" w14:textId="77777777" w:rsidR="00600A69" w:rsidRDefault="00600A69" w:rsidP="00B322A7">
            <w:pPr>
              <w:jc w:val="both"/>
              <w:rPr>
                <w:rFonts w:cs="Arabic Transparent"/>
                <w:sz w:val="18"/>
                <w:szCs w:val="18"/>
                <w:lang w:val="en-GB"/>
              </w:rPr>
            </w:pPr>
          </w:p>
        </w:tc>
        <w:tc>
          <w:tcPr>
            <w:tcW w:w="1035" w:type="dxa"/>
          </w:tcPr>
          <w:p w14:paraId="07285572" w14:textId="77777777" w:rsidR="00600A69" w:rsidRDefault="00600A69" w:rsidP="00B322A7">
            <w:pPr>
              <w:pBdr>
                <w:bottom w:val="single" w:sz="2" w:space="1" w:color="auto"/>
              </w:pBdr>
              <w:jc w:val="center"/>
              <w:rPr>
                <w:rFonts w:cs="Arabic Transparent"/>
                <w:b/>
                <w:sz w:val="18"/>
                <w:szCs w:val="18"/>
                <w:lang w:val="en-GB"/>
              </w:rPr>
            </w:pPr>
            <w:r>
              <w:rPr>
                <w:rFonts w:cs="Arabic Transparent"/>
                <w:b/>
                <w:sz w:val="18"/>
                <w:szCs w:val="18"/>
                <w:lang w:val="en-GB"/>
              </w:rPr>
              <w:t>2017</w:t>
            </w:r>
          </w:p>
        </w:tc>
        <w:tc>
          <w:tcPr>
            <w:tcW w:w="1036" w:type="dxa"/>
          </w:tcPr>
          <w:p w14:paraId="3162B881" w14:textId="77777777" w:rsidR="00600A69" w:rsidRDefault="00600A69" w:rsidP="00B322A7">
            <w:pPr>
              <w:pBdr>
                <w:bottom w:val="single" w:sz="2" w:space="1" w:color="auto"/>
              </w:pBdr>
              <w:jc w:val="center"/>
              <w:rPr>
                <w:rFonts w:cs="Arabic Transparent"/>
                <w:b/>
                <w:sz w:val="18"/>
                <w:szCs w:val="18"/>
                <w:lang w:val="en-GB"/>
              </w:rPr>
            </w:pPr>
            <w:r>
              <w:rPr>
                <w:rFonts w:cs="Arabic Transparent"/>
                <w:b/>
                <w:sz w:val="18"/>
                <w:szCs w:val="18"/>
                <w:lang w:val="en-GB"/>
              </w:rPr>
              <w:t>2016</w:t>
            </w:r>
          </w:p>
        </w:tc>
        <w:tc>
          <w:tcPr>
            <w:tcW w:w="1171" w:type="dxa"/>
          </w:tcPr>
          <w:p w14:paraId="334CFF47" w14:textId="77777777" w:rsidR="00600A69" w:rsidRDefault="00600A69" w:rsidP="00B322A7">
            <w:pPr>
              <w:pBdr>
                <w:bottom w:val="single" w:sz="2" w:space="1" w:color="auto"/>
              </w:pBdr>
              <w:jc w:val="center"/>
              <w:rPr>
                <w:rFonts w:cs="Arabic Transparent"/>
                <w:b/>
                <w:sz w:val="18"/>
                <w:szCs w:val="18"/>
                <w:lang w:val="en-GB"/>
              </w:rPr>
            </w:pPr>
            <w:r>
              <w:rPr>
                <w:rFonts w:cs="Arabic Transparent"/>
                <w:b/>
                <w:sz w:val="18"/>
                <w:szCs w:val="18"/>
              </w:rPr>
              <w:t>2016</w:t>
            </w:r>
            <w:r>
              <w:rPr>
                <w:rFonts w:cs="Arabic Transparent"/>
                <w:b/>
                <w:sz w:val="18"/>
                <w:szCs w:val="18"/>
                <w:lang w:val="en-GB"/>
              </w:rPr>
              <w:br/>
            </w:r>
          </w:p>
        </w:tc>
        <w:tc>
          <w:tcPr>
            <w:tcW w:w="1261" w:type="dxa"/>
          </w:tcPr>
          <w:p w14:paraId="2BEA09E5" w14:textId="77777777" w:rsidR="00600A69" w:rsidRDefault="00600A69" w:rsidP="00B322A7">
            <w:pPr>
              <w:pBdr>
                <w:bottom w:val="single" w:sz="2" w:space="1" w:color="auto"/>
              </w:pBdr>
              <w:jc w:val="center"/>
              <w:rPr>
                <w:rFonts w:cs="Arabic Transparent"/>
                <w:b/>
                <w:sz w:val="18"/>
                <w:szCs w:val="18"/>
                <w:lang w:val="en-GB"/>
              </w:rPr>
            </w:pPr>
            <w:r>
              <w:rPr>
                <w:rFonts w:cs="Arabic Transparent"/>
                <w:b/>
                <w:sz w:val="18"/>
                <w:szCs w:val="18"/>
              </w:rPr>
              <w:t xml:space="preserve">2015 </w:t>
            </w:r>
            <w:r>
              <w:rPr>
                <w:rFonts w:cs="Arabic Transparent"/>
                <w:b/>
                <w:sz w:val="18"/>
                <w:szCs w:val="18"/>
              </w:rPr>
              <w:br/>
            </w:r>
          </w:p>
        </w:tc>
        <w:tc>
          <w:tcPr>
            <w:tcW w:w="1223" w:type="dxa"/>
          </w:tcPr>
          <w:p w14:paraId="4C8A4FC6" w14:textId="77777777" w:rsidR="00600A69" w:rsidRDefault="00600A69" w:rsidP="00B322A7">
            <w:pPr>
              <w:pBdr>
                <w:bottom w:val="single" w:sz="2" w:space="1" w:color="auto"/>
              </w:pBdr>
              <w:jc w:val="center"/>
              <w:rPr>
                <w:rFonts w:cs="Arabic Transparent"/>
                <w:b/>
                <w:sz w:val="18"/>
                <w:szCs w:val="18"/>
                <w:lang w:val="en-GB"/>
              </w:rPr>
            </w:pPr>
            <w:r>
              <w:rPr>
                <w:rFonts w:cs="Arabic Transparent"/>
                <w:b/>
                <w:sz w:val="18"/>
                <w:szCs w:val="18"/>
              </w:rPr>
              <w:t>2014</w:t>
            </w:r>
            <w:r>
              <w:rPr>
                <w:rFonts w:cs="Arabic Transparent"/>
                <w:b/>
                <w:sz w:val="18"/>
                <w:szCs w:val="18"/>
                <w:lang w:val="en-GB"/>
              </w:rPr>
              <w:br/>
            </w:r>
          </w:p>
        </w:tc>
      </w:tr>
      <w:tr w:rsidR="00600A69" w14:paraId="6C2D94BD" w14:textId="77777777" w:rsidTr="00B322A7">
        <w:trPr>
          <w:cantSplit/>
        </w:trPr>
        <w:tc>
          <w:tcPr>
            <w:tcW w:w="4257" w:type="dxa"/>
            <w:vMerge/>
          </w:tcPr>
          <w:p w14:paraId="6FCB592F" w14:textId="77777777" w:rsidR="00600A69" w:rsidRDefault="00600A69" w:rsidP="00B322A7">
            <w:pPr>
              <w:jc w:val="both"/>
              <w:rPr>
                <w:rFonts w:cs="Arabic Transparent"/>
                <w:sz w:val="18"/>
                <w:szCs w:val="18"/>
                <w:lang w:val="en-GB"/>
              </w:rPr>
            </w:pPr>
          </w:p>
        </w:tc>
        <w:tc>
          <w:tcPr>
            <w:tcW w:w="2071" w:type="dxa"/>
            <w:gridSpan w:val="2"/>
          </w:tcPr>
          <w:p w14:paraId="67295CAE" w14:textId="77777777" w:rsidR="00600A69" w:rsidRDefault="00600A69" w:rsidP="00B322A7">
            <w:pPr>
              <w:jc w:val="center"/>
              <w:rPr>
                <w:rFonts w:cs="Arabic Transparent"/>
                <w:sz w:val="18"/>
                <w:szCs w:val="18"/>
              </w:rPr>
            </w:pPr>
          </w:p>
        </w:tc>
        <w:tc>
          <w:tcPr>
            <w:tcW w:w="3655" w:type="dxa"/>
            <w:gridSpan w:val="3"/>
          </w:tcPr>
          <w:p w14:paraId="38D55BC0" w14:textId="77777777" w:rsidR="00600A69" w:rsidRDefault="00600A69" w:rsidP="00B322A7">
            <w:pPr>
              <w:rPr>
                <w:rFonts w:cs="Arabic Transparent"/>
                <w:sz w:val="18"/>
                <w:szCs w:val="18"/>
                <w:lang w:val="en-GB"/>
              </w:rPr>
            </w:pPr>
          </w:p>
        </w:tc>
      </w:tr>
      <w:tr w:rsidR="00600A69" w14:paraId="0A40A714" w14:textId="77777777" w:rsidTr="00B322A7">
        <w:trPr>
          <w:cantSplit/>
        </w:trPr>
        <w:tc>
          <w:tcPr>
            <w:tcW w:w="4257" w:type="dxa"/>
          </w:tcPr>
          <w:p w14:paraId="2BAFF525" w14:textId="77777777" w:rsidR="00600A69" w:rsidRDefault="00600A69" w:rsidP="00B322A7">
            <w:pPr>
              <w:jc w:val="both"/>
              <w:rPr>
                <w:rFonts w:cs="Arabic Transparent"/>
                <w:b/>
                <w:i/>
                <w:sz w:val="18"/>
                <w:szCs w:val="18"/>
                <w:lang w:val="en-GB"/>
              </w:rPr>
            </w:pPr>
            <w:r>
              <w:rPr>
                <w:rFonts w:cs="Arabic Transparent"/>
                <w:b/>
                <w:sz w:val="18"/>
                <w:szCs w:val="18"/>
                <w:lang w:val="en-GB"/>
              </w:rPr>
              <w:t>Cash flows from operating activities</w:t>
            </w:r>
            <w:r>
              <w:rPr>
                <w:rFonts w:cs="Arabic Transparent"/>
                <w:b/>
                <w:i/>
                <w:sz w:val="18"/>
                <w:szCs w:val="18"/>
                <w:lang w:val="en-GB"/>
              </w:rPr>
              <w:t xml:space="preserve"> </w:t>
            </w:r>
          </w:p>
        </w:tc>
        <w:tc>
          <w:tcPr>
            <w:tcW w:w="2071" w:type="dxa"/>
            <w:gridSpan w:val="2"/>
          </w:tcPr>
          <w:p w14:paraId="185C683B" w14:textId="77777777" w:rsidR="00600A69" w:rsidRDefault="00600A69" w:rsidP="00B322A7">
            <w:pPr>
              <w:tabs>
                <w:tab w:val="decimal" w:pos="870"/>
              </w:tabs>
              <w:jc w:val="both"/>
              <w:rPr>
                <w:b/>
                <w:sz w:val="18"/>
                <w:szCs w:val="18"/>
              </w:rPr>
            </w:pPr>
          </w:p>
        </w:tc>
        <w:tc>
          <w:tcPr>
            <w:tcW w:w="1171" w:type="dxa"/>
          </w:tcPr>
          <w:p w14:paraId="2C176678" w14:textId="77777777" w:rsidR="00600A69" w:rsidRDefault="00600A69" w:rsidP="00B322A7">
            <w:pPr>
              <w:tabs>
                <w:tab w:val="decimal" w:pos="870"/>
              </w:tabs>
              <w:jc w:val="both"/>
              <w:rPr>
                <w:b/>
                <w:sz w:val="18"/>
                <w:szCs w:val="18"/>
              </w:rPr>
            </w:pPr>
          </w:p>
        </w:tc>
        <w:tc>
          <w:tcPr>
            <w:tcW w:w="1261" w:type="dxa"/>
          </w:tcPr>
          <w:p w14:paraId="18C2C491" w14:textId="77777777" w:rsidR="00600A69" w:rsidRDefault="00600A69" w:rsidP="00B322A7">
            <w:pPr>
              <w:tabs>
                <w:tab w:val="decimal" w:pos="870"/>
              </w:tabs>
              <w:jc w:val="both"/>
              <w:rPr>
                <w:b/>
                <w:sz w:val="18"/>
                <w:szCs w:val="18"/>
              </w:rPr>
            </w:pPr>
          </w:p>
        </w:tc>
        <w:tc>
          <w:tcPr>
            <w:tcW w:w="1223" w:type="dxa"/>
          </w:tcPr>
          <w:p w14:paraId="02FBA048" w14:textId="77777777" w:rsidR="00600A69" w:rsidRDefault="00600A69" w:rsidP="00B322A7">
            <w:pPr>
              <w:tabs>
                <w:tab w:val="decimal" w:pos="870"/>
              </w:tabs>
              <w:jc w:val="both"/>
              <w:rPr>
                <w:b/>
                <w:sz w:val="18"/>
                <w:szCs w:val="18"/>
              </w:rPr>
            </w:pPr>
          </w:p>
        </w:tc>
      </w:tr>
      <w:tr w:rsidR="00600A69" w14:paraId="6AF407E4" w14:textId="77777777" w:rsidTr="00B322A7">
        <w:trPr>
          <w:cantSplit/>
        </w:trPr>
        <w:tc>
          <w:tcPr>
            <w:tcW w:w="4257" w:type="dxa"/>
            <w:vAlign w:val="center"/>
          </w:tcPr>
          <w:p w14:paraId="6D56513A" w14:textId="77777777" w:rsidR="00600A69" w:rsidRDefault="00600A69" w:rsidP="00B322A7">
            <w:pPr>
              <w:tabs>
                <w:tab w:val="right" w:leader="dot" w:pos="5400"/>
              </w:tabs>
              <w:ind w:right="-7"/>
              <w:jc w:val="both"/>
              <w:rPr>
                <w:rFonts w:cs="Arabic Transparent"/>
                <w:b/>
                <w:sz w:val="18"/>
                <w:szCs w:val="18"/>
                <w:lang w:val="en-GB"/>
              </w:rPr>
            </w:pPr>
            <w:r>
              <w:rPr>
                <w:rFonts w:cs="Arabic Transparent"/>
                <w:b/>
                <w:sz w:val="18"/>
                <w:szCs w:val="18"/>
              </w:rPr>
              <w:t>Operating profit before changes in working capital and provisions</w:t>
            </w:r>
          </w:p>
        </w:tc>
        <w:tc>
          <w:tcPr>
            <w:tcW w:w="1035" w:type="dxa"/>
            <w:vAlign w:val="center"/>
          </w:tcPr>
          <w:p w14:paraId="2377204A" w14:textId="77777777" w:rsidR="00600A69" w:rsidRDefault="00600A69" w:rsidP="00B322A7">
            <w:pPr>
              <w:jc w:val="right"/>
              <w:rPr>
                <w:b/>
                <w:sz w:val="18"/>
                <w:szCs w:val="18"/>
                <w:u w:val="single"/>
                <w:lang w:val="en-GB"/>
              </w:rPr>
            </w:pPr>
            <w:r>
              <w:rPr>
                <w:b/>
                <w:sz w:val="18"/>
                <w:szCs w:val="18"/>
                <w:u w:val="single"/>
                <w:lang w:val="en-GB"/>
              </w:rPr>
              <w:t>2,734</w:t>
            </w:r>
          </w:p>
        </w:tc>
        <w:tc>
          <w:tcPr>
            <w:tcW w:w="1036" w:type="dxa"/>
            <w:vAlign w:val="center"/>
          </w:tcPr>
          <w:p w14:paraId="2C1E75C0" w14:textId="77777777" w:rsidR="00600A69" w:rsidRDefault="00600A69" w:rsidP="00B322A7">
            <w:pPr>
              <w:jc w:val="right"/>
              <w:rPr>
                <w:sz w:val="18"/>
                <w:szCs w:val="18"/>
                <w:u w:val="single"/>
                <w:lang w:val="en-GB"/>
              </w:rPr>
            </w:pPr>
            <w:r>
              <w:rPr>
                <w:b/>
                <w:sz w:val="18"/>
                <w:szCs w:val="18"/>
                <w:u w:val="single"/>
                <w:lang w:val="en-GB"/>
              </w:rPr>
              <w:t>8,458</w:t>
            </w:r>
          </w:p>
        </w:tc>
        <w:tc>
          <w:tcPr>
            <w:tcW w:w="1171" w:type="dxa"/>
            <w:vAlign w:val="center"/>
          </w:tcPr>
          <w:p w14:paraId="27980970" w14:textId="77777777" w:rsidR="00600A69" w:rsidRDefault="00600A69" w:rsidP="00B322A7">
            <w:pPr>
              <w:tabs>
                <w:tab w:val="decimal" w:pos="857"/>
              </w:tabs>
              <w:jc w:val="both"/>
              <w:rPr>
                <w:b/>
                <w:sz w:val="18"/>
                <w:szCs w:val="18"/>
                <w:u w:val="single"/>
                <w:lang w:val="en-GB"/>
              </w:rPr>
            </w:pPr>
            <w:r>
              <w:rPr>
                <w:b/>
                <w:sz w:val="18"/>
                <w:szCs w:val="18"/>
                <w:u w:val="single"/>
                <w:lang w:val="en-GB"/>
              </w:rPr>
              <w:t>4,083</w:t>
            </w:r>
          </w:p>
        </w:tc>
        <w:tc>
          <w:tcPr>
            <w:tcW w:w="1261" w:type="dxa"/>
            <w:vAlign w:val="center"/>
          </w:tcPr>
          <w:p w14:paraId="0EAEDA7E" w14:textId="77777777" w:rsidR="00600A69" w:rsidRDefault="00600A69" w:rsidP="00B322A7">
            <w:pPr>
              <w:tabs>
                <w:tab w:val="decimal" w:pos="870"/>
              </w:tabs>
              <w:jc w:val="both"/>
              <w:rPr>
                <w:b/>
                <w:sz w:val="18"/>
                <w:szCs w:val="18"/>
                <w:u w:val="single"/>
                <w:lang w:val="en-GB"/>
              </w:rPr>
            </w:pPr>
            <w:r>
              <w:rPr>
                <w:b/>
                <w:sz w:val="18"/>
                <w:szCs w:val="18"/>
                <w:u w:val="single"/>
                <w:lang w:val="en-GB"/>
              </w:rPr>
              <w:t>6,070</w:t>
            </w:r>
          </w:p>
        </w:tc>
        <w:tc>
          <w:tcPr>
            <w:tcW w:w="1223" w:type="dxa"/>
            <w:vAlign w:val="center"/>
          </w:tcPr>
          <w:p w14:paraId="6500CE37" w14:textId="77777777" w:rsidR="00600A69" w:rsidRDefault="00600A69" w:rsidP="00B322A7">
            <w:pPr>
              <w:tabs>
                <w:tab w:val="decimal" w:pos="883"/>
              </w:tabs>
              <w:jc w:val="both"/>
              <w:rPr>
                <w:b/>
                <w:sz w:val="18"/>
                <w:szCs w:val="18"/>
                <w:u w:val="single"/>
                <w:lang w:val="en-GB"/>
              </w:rPr>
            </w:pPr>
            <w:r>
              <w:rPr>
                <w:b/>
                <w:sz w:val="18"/>
                <w:szCs w:val="18"/>
                <w:u w:val="single"/>
                <w:lang w:val="en-GB"/>
              </w:rPr>
              <w:t>10,181</w:t>
            </w:r>
          </w:p>
        </w:tc>
      </w:tr>
      <w:tr w:rsidR="00600A69" w14:paraId="0B7214C4" w14:textId="77777777" w:rsidTr="00B322A7">
        <w:trPr>
          <w:cantSplit/>
        </w:trPr>
        <w:tc>
          <w:tcPr>
            <w:tcW w:w="4257" w:type="dxa"/>
            <w:vAlign w:val="center"/>
          </w:tcPr>
          <w:p w14:paraId="2EDFB5F5" w14:textId="77777777" w:rsidR="00600A69" w:rsidRDefault="00600A69" w:rsidP="00B322A7">
            <w:pPr>
              <w:tabs>
                <w:tab w:val="right" w:leader="dot" w:pos="5400"/>
              </w:tabs>
              <w:ind w:right="-7"/>
              <w:jc w:val="both"/>
              <w:rPr>
                <w:rFonts w:cs="Arabic Transparent"/>
                <w:sz w:val="18"/>
                <w:szCs w:val="18"/>
                <w:lang w:val="en-GB"/>
              </w:rPr>
            </w:pPr>
            <w:r>
              <w:rPr>
                <w:rFonts w:cs="Arabic Transparent"/>
                <w:sz w:val="18"/>
                <w:szCs w:val="18"/>
              </w:rPr>
              <w:t>Decrease / (increase) in trade and other receivables</w:t>
            </w:r>
            <w:r>
              <w:rPr>
                <w:rFonts w:cs="Arabic Transparent"/>
                <w:sz w:val="18"/>
                <w:szCs w:val="18"/>
              </w:rPr>
              <w:tab/>
            </w:r>
          </w:p>
        </w:tc>
        <w:tc>
          <w:tcPr>
            <w:tcW w:w="1035" w:type="dxa"/>
            <w:vAlign w:val="bottom"/>
          </w:tcPr>
          <w:p w14:paraId="575442DB" w14:textId="77777777" w:rsidR="00600A69" w:rsidRDefault="00600A69" w:rsidP="00B322A7">
            <w:pPr>
              <w:jc w:val="right"/>
              <w:rPr>
                <w:sz w:val="18"/>
                <w:szCs w:val="18"/>
                <w:lang w:val="en-GB"/>
              </w:rPr>
            </w:pPr>
            <w:r>
              <w:rPr>
                <w:color w:val="000000"/>
                <w:sz w:val="18"/>
                <w:szCs w:val="18"/>
                <w:lang w:val="en-GB" w:eastAsia="en-GB"/>
              </w:rPr>
              <w:t>(722)</w:t>
            </w:r>
          </w:p>
        </w:tc>
        <w:tc>
          <w:tcPr>
            <w:tcW w:w="1036" w:type="dxa"/>
            <w:vAlign w:val="bottom"/>
          </w:tcPr>
          <w:p w14:paraId="5695B701" w14:textId="77777777" w:rsidR="00600A69" w:rsidRDefault="00600A69" w:rsidP="00B322A7">
            <w:pPr>
              <w:jc w:val="right"/>
              <w:rPr>
                <w:sz w:val="18"/>
                <w:szCs w:val="18"/>
                <w:lang w:val="en-GB"/>
              </w:rPr>
            </w:pPr>
            <w:r>
              <w:rPr>
                <w:sz w:val="18"/>
                <w:szCs w:val="18"/>
                <w:lang w:val="en-GB"/>
              </w:rPr>
              <w:t>(4,324)</w:t>
            </w:r>
          </w:p>
        </w:tc>
        <w:tc>
          <w:tcPr>
            <w:tcW w:w="1171" w:type="dxa"/>
            <w:vAlign w:val="center"/>
          </w:tcPr>
          <w:p w14:paraId="489A8D56" w14:textId="77777777" w:rsidR="00600A69" w:rsidRDefault="00600A69" w:rsidP="00B322A7">
            <w:pPr>
              <w:tabs>
                <w:tab w:val="decimal" w:pos="857"/>
              </w:tabs>
              <w:jc w:val="both"/>
              <w:rPr>
                <w:sz w:val="18"/>
                <w:szCs w:val="18"/>
                <w:lang w:val="en-GB"/>
              </w:rPr>
            </w:pPr>
            <w:r>
              <w:rPr>
                <w:sz w:val="18"/>
                <w:szCs w:val="18"/>
                <w:lang w:val="en-GB"/>
              </w:rPr>
              <w:t>(14,505)</w:t>
            </w:r>
          </w:p>
        </w:tc>
        <w:tc>
          <w:tcPr>
            <w:tcW w:w="1261" w:type="dxa"/>
            <w:vAlign w:val="center"/>
          </w:tcPr>
          <w:p w14:paraId="6C2CEC43" w14:textId="77777777" w:rsidR="00600A69" w:rsidRDefault="00600A69" w:rsidP="00B322A7">
            <w:pPr>
              <w:tabs>
                <w:tab w:val="decimal" w:pos="870"/>
              </w:tabs>
              <w:jc w:val="both"/>
              <w:rPr>
                <w:sz w:val="18"/>
                <w:szCs w:val="18"/>
                <w:lang w:val="en-GB"/>
              </w:rPr>
            </w:pPr>
            <w:r>
              <w:rPr>
                <w:sz w:val="18"/>
                <w:szCs w:val="18"/>
                <w:lang w:val="en-GB"/>
              </w:rPr>
              <w:t>(8,555)</w:t>
            </w:r>
          </w:p>
        </w:tc>
        <w:tc>
          <w:tcPr>
            <w:tcW w:w="1223" w:type="dxa"/>
            <w:vAlign w:val="center"/>
          </w:tcPr>
          <w:p w14:paraId="1270C63F" w14:textId="77777777" w:rsidR="00600A69" w:rsidRDefault="00600A69" w:rsidP="00B322A7">
            <w:pPr>
              <w:tabs>
                <w:tab w:val="decimal" w:pos="883"/>
              </w:tabs>
              <w:jc w:val="both"/>
              <w:rPr>
                <w:sz w:val="18"/>
                <w:szCs w:val="18"/>
                <w:lang w:val="en-GB"/>
              </w:rPr>
            </w:pPr>
            <w:r>
              <w:rPr>
                <w:sz w:val="18"/>
                <w:szCs w:val="18"/>
                <w:lang w:val="en-GB"/>
              </w:rPr>
              <w:t>7,561</w:t>
            </w:r>
          </w:p>
        </w:tc>
      </w:tr>
      <w:tr w:rsidR="00600A69" w14:paraId="736BFF92" w14:textId="77777777" w:rsidTr="00B322A7">
        <w:trPr>
          <w:cantSplit/>
        </w:trPr>
        <w:tc>
          <w:tcPr>
            <w:tcW w:w="4257" w:type="dxa"/>
            <w:vAlign w:val="center"/>
          </w:tcPr>
          <w:p w14:paraId="32934752" w14:textId="77777777" w:rsidR="00600A69" w:rsidRDefault="00600A69" w:rsidP="00B322A7">
            <w:pPr>
              <w:tabs>
                <w:tab w:val="right" w:leader="dot" w:pos="5400"/>
              </w:tabs>
              <w:ind w:right="-7"/>
              <w:jc w:val="both"/>
              <w:rPr>
                <w:rFonts w:cs="Arabic Transparent"/>
                <w:sz w:val="18"/>
                <w:szCs w:val="18"/>
              </w:rPr>
            </w:pPr>
            <w:r>
              <w:rPr>
                <w:rFonts w:cs="Arabic Transparent"/>
                <w:sz w:val="18"/>
                <w:szCs w:val="18"/>
              </w:rPr>
              <w:t>(Decrease) / increase in trade and other payables</w:t>
            </w:r>
          </w:p>
        </w:tc>
        <w:tc>
          <w:tcPr>
            <w:tcW w:w="1035" w:type="dxa"/>
            <w:vAlign w:val="bottom"/>
          </w:tcPr>
          <w:p w14:paraId="5723DD65" w14:textId="77777777" w:rsidR="00600A69" w:rsidRDefault="00600A69" w:rsidP="00B322A7">
            <w:pPr>
              <w:jc w:val="right"/>
              <w:rPr>
                <w:sz w:val="18"/>
                <w:szCs w:val="18"/>
              </w:rPr>
            </w:pPr>
            <w:r>
              <w:rPr>
                <w:color w:val="000000"/>
                <w:sz w:val="18"/>
                <w:szCs w:val="18"/>
                <w:lang w:val="en-GB" w:eastAsia="en-GB"/>
              </w:rPr>
              <w:t>4,333</w:t>
            </w:r>
          </w:p>
        </w:tc>
        <w:tc>
          <w:tcPr>
            <w:tcW w:w="1036" w:type="dxa"/>
            <w:vAlign w:val="bottom"/>
          </w:tcPr>
          <w:p w14:paraId="15F145E8" w14:textId="77777777" w:rsidR="00600A69" w:rsidRDefault="00600A69" w:rsidP="00B322A7">
            <w:pPr>
              <w:jc w:val="right"/>
              <w:rPr>
                <w:sz w:val="18"/>
                <w:szCs w:val="18"/>
              </w:rPr>
            </w:pPr>
            <w:r>
              <w:rPr>
                <w:sz w:val="18"/>
                <w:szCs w:val="18"/>
              </w:rPr>
              <w:t>18,794</w:t>
            </w:r>
          </w:p>
        </w:tc>
        <w:tc>
          <w:tcPr>
            <w:tcW w:w="1171" w:type="dxa"/>
            <w:vAlign w:val="center"/>
          </w:tcPr>
          <w:p w14:paraId="6413A36E" w14:textId="77777777" w:rsidR="00600A69" w:rsidRDefault="00600A69" w:rsidP="00B322A7">
            <w:pPr>
              <w:tabs>
                <w:tab w:val="decimal" w:pos="857"/>
              </w:tabs>
              <w:jc w:val="both"/>
              <w:rPr>
                <w:sz w:val="18"/>
                <w:szCs w:val="18"/>
              </w:rPr>
            </w:pPr>
            <w:r>
              <w:rPr>
                <w:sz w:val="18"/>
                <w:szCs w:val="18"/>
              </w:rPr>
              <w:t>28,681</w:t>
            </w:r>
          </w:p>
        </w:tc>
        <w:tc>
          <w:tcPr>
            <w:tcW w:w="1261" w:type="dxa"/>
            <w:vAlign w:val="center"/>
          </w:tcPr>
          <w:p w14:paraId="60719E1B" w14:textId="77777777" w:rsidR="00600A69" w:rsidRDefault="00600A69" w:rsidP="00B322A7">
            <w:pPr>
              <w:tabs>
                <w:tab w:val="decimal" w:pos="870"/>
              </w:tabs>
              <w:jc w:val="both"/>
              <w:rPr>
                <w:sz w:val="18"/>
                <w:szCs w:val="18"/>
              </w:rPr>
            </w:pPr>
            <w:r>
              <w:rPr>
                <w:sz w:val="18"/>
                <w:szCs w:val="18"/>
              </w:rPr>
              <w:t>416</w:t>
            </w:r>
          </w:p>
        </w:tc>
        <w:tc>
          <w:tcPr>
            <w:tcW w:w="1223" w:type="dxa"/>
            <w:vAlign w:val="center"/>
          </w:tcPr>
          <w:p w14:paraId="01CB6846" w14:textId="77777777" w:rsidR="00600A69" w:rsidRDefault="00600A69" w:rsidP="00B322A7">
            <w:pPr>
              <w:tabs>
                <w:tab w:val="decimal" w:pos="883"/>
              </w:tabs>
              <w:jc w:val="both"/>
              <w:rPr>
                <w:sz w:val="18"/>
                <w:szCs w:val="18"/>
              </w:rPr>
            </w:pPr>
            <w:r>
              <w:rPr>
                <w:sz w:val="18"/>
                <w:szCs w:val="18"/>
              </w:rPr>
              <w:t>(12,654)</w:t>
            </w:r>
          </w:p>
        </w:tc>
      </w:tr>
      <w:tr w:rsidR="00600A69" w14:paraId="2AB08ADF" w14:textId="77777777" w:rsidTr="00B322A7">
        <w:trPr>
          <w:cantSplit/>
        </w:trPr>
        <w:tc>
          <w:tcPr>
            <w:tcW w:w="4257" w:type="dxa"/>
            <w:vAlign w:val="center"/>
          </w:tcPr>
          <w:p w14:paraId="11388273" w14:textId="77777777" w:rsidR="00600A69" w:rsidRDefault="00600A69" w:rsidP="00B322A7">
            <w:pPr>
              <w:tabs>
                <w:tab w:val="left" w:pos="3165"/>
                <w:tab w:val="right" w:leader="dot" w:pos="5400"/>
              </w:tabs>
              <w:ind w:right="-7"/>
              <w:jc w:val="both"/>
              <w:rPr>
                <w:rFonts w:cs="Arabic Transparent"/>
                <w:b/>
                <w:sz w:val="18"/>
                <w:szCs w:val="18"/>
                <w:lang w:val="en-GB"/>
              </w:rPr>
            </w:pPr>
            <w:r>
              <w:rPr>
                <w:rFonts w:cs="Arabic Transparent"/>
                <w:b/>
                <w:sz w:val="18"/>
                <w:szCs w:val="18"/>
              </w:rPr>
              <w:t>Cash generated from the operations</w:t>
            </w:r>
          </w:p>
        </w:tc>
        <w:tc>
          <w:tcPr>
            <w:tcW w:w="1035" w:type="dxa"/>
            <w:vAlign w:val="bottom"/>
          </w:tcPr>
          <w:p w14:paraId="3FF12A4D" w14:textId="77777777" w:rsidR="00600A69" w:rsidRDefault="00600A69" w:rsidP="00B322A7">
            <w:pPr>
              <w:jc w:val="right"/>
              <w:rPr>
                <w:b/>
                <w:sz w:val="18"/>
                <w:szCs w:val="18"/>
                <w:u w:val="single"/>
              </w:rPr>
            </w:pPr>
            <w:r>
              <w:rPr>
                <w:b/>
                <w:bCs/>
                <w:color w:val="000000"/>
                <w:sz w:val="18"/>
                <w:szCs w:val="18"/>
                <w:u w:val="single"/>
                <w:lang w:val="en-GB" w:eastAsia="en-GB"/>
              </w:rPr>
              <w:t>6,345</w:t>
            </w:r>
          </w:p>
        </w:tc>
        <w:tc>
          <w:tcPr>
            <w:tcW w:w="1036" w:type="dxa"/>
            <w:vAlign w:val="bottom"/>
          </w:tcPr>
          <w:p w14:paraId="21F0B27A" w14:textId="77777777" w:rsidR="00600A69" w:rsidRDefault="00600A69" w:rsidP="00B322A7">
            <w:pPr>
              <w:jc w:val="right"/>
              <w:rPr>
                <w:b/>
                <w:sz w:val="18"/>
                <w:szCs w:val="18"/>
                <w:u w:val="single"/>
              </w:rPr>
            </w:pPr>
            <w:r>
              <w:rPr>
                <w:b/>
                <w:sz w:val="18"/>
                <w:szCs w:val="18"/>
                <w:u w:val="single"/>
              </w:rPr>
              <w:t>22,928</w:t>
            </w:r>
          </w:p>
        </w:tc>
        <w:tc>
          <w:tcPr>
            <w:tcW w:w="1171" w:type="dxa"/>
          </w:tcPr>
          <w:p w14:paraId="29FBB861" w14:textId="77777777" w:rsidR="00600A69" w:rsidRDefault="00600A69" w:rsidP="00B322A7">
            <w:pPr>
              <w:tabs>
                <w:tab w:val="decimal" w:pos="870"/>
              </w:tabs>
              <w:jc w:val="both"/>
              <w:rPr>
                <w:b/>
                <w:sz w:val="18"/>
                <w:szCs w:val="18"/>
                <w:u w:val="single"/>
              </w:rPr>
            </w:pPr>
            <w:r>
              <w:rPr>
                <w:b/>
                <w:sz w:val="18"/>
                <w:szCs w:val="18"/>
                <w:u w:val="single"/>
              </w:rPr>
              <w:t>18,259</w:t>
            </w:r>
          </w:p>
        </w:tc>
        <w:tc>
          <w:tcPr>
            <w:tcW w:w="1261" w:type="dxa"/>
          </w:tcPr>
          <w:p w14:paraId="38DD34B6" w14:textId="77777777" w:rsidR="00600A69" w:rsidRDefault="00600A69" w:rsidP="00B322A7">
            <w:pPr>
              <w:tabs>
                <w:tab w:val="decimal" w:pos="870"/>
              </w:tabs>
              <w:jc w:val="both"/>
              <w:rPr>
                <w:b/>
                <w:sz w:val="18"/>
                <w:szCs w:val="18"/>
                <w:u w:val="single"/>
              </w:rPr>
            </w:pPr>
            <w:r>
              <w:rPr>
                <w:b/>
                <w:sz w:val="18"/>
                <w:szCs w:val="18"/>
                <w:u w:val="single"/>
              </w:rPr>
              <w:t>(2,072)</w:t>
            </w:r>
          </w:p>
        </w:tc>
        <w:tc>
          <w:tcPr>
            <w:tcW w:w="1223" w:type="dxa"/>
          </w:tcPr>
          <w:p w14:paraId="193BEAEF" w14:textId="77777777" w:rsidR="00600A69" w:rsidRDefault="00600A69" w:rsidP="00B322A7">
            <w:pPr>
              <w:tabs>
                <w:tab w:val="decimal" w:pos="870"/>
              </w:tabs>
              <w:jc w:val="both"/>
              <w:rPr>
                <w:b/>
                <w:sz w:val="18"/>
                <w:szCs w:val="18"/>
                <w:u w:val="single"/>
              </w:rPr>
            </w:pPr>
            <w:r>
              <w:rPr>
                <w:b/>
                <w:sz w:val="18"/>
                <w:szCs w:val="18"/>
                <w:u w:val="single"/>
              </w:rPr>
              <w:t>5,088</w:t>
            </w:r>
          </w:p>
        </w:tc>
      </w:tr>
      <w:tr w:rsidR="00600A69" w14:paraId="32192908" w14:textId="77777777" w:rsidTr="00B322A7">
        <w:trPr>
          <w:cantSplit/>
        </w:trPr>
        <w:tc>
          <w:tcPr>
            <w:tcW w:w="4257" w:type="dxa"/>
            <w:vAlign w:val="center"/>
          </w:tcPr>
          <w:p w14:paraId="51CC61C1" w14:textId="77777777" w:rsidR="00600A69" w:rsidRDefault="00600A69" w:rsidP="00B322A7">
            <w:pPr>
              <w:tabs>
                <w:tab w:val="right" w:leader="dot" w:pos="5400"/>
              </w:tabs>
              <w:ind w:right="-7"/>
              <w:jc w:val="both"/>
              <w:rPr>
                <w:rFonts w:cs="Arabic Transparent"/>
                <w:sz w:val="18"/>
                <w:szCs w:val="18"/>
              </w:rPr>
            </w:pPr>
            <w:r>
              <w:rPr>
                <w:rFonts w:cs="Arabic Transparent"/>
                <w:sz w:val="18"/>
                <w:szCs w:val="18"/>
              </w:rPr>
              <w:t>Interest received</w:t>
            </w:r>
          </w:p>
        </w:tc>
        <w:tc>
          <w:tcPr>
            <w:tcW w:w="1035" w:type="dxa"/>
            <w:vAlign w:val="bottom"/>
          </w:tcPr>
          <w:p w14:paraId="28CF13AA" w14:textId="77777777" w:rsidR="00600A69" w:rsidRDefault="00600A69" w:rsidP="00B322A7">
            <w:pPr>
              <w:jc w:val="right"/>
              <w:rPr>
                <w:sz w:val="18"/>
                <w:szCs w:val="18"/>
              </w:rPr>
            </w:pPr>
            <w:r>
              <w:rPr>
                <w:color w:val="000000"/>
                <w:sz w:val="18"/>
                <w:szCs w:val="18"/>
                <w:lang w:val="en-GB" w:eastAsia="en-GB"/>
              </w:rPr>
              <w:t>21</w:t>
            </w:r>
          </w:p>
        </w:tc>
        <w:tc>
          <w:tcPr>
            <w:tcW w:w="1036" w:type="dxa"/>
            <w:vAlign w:val="bottom"/>
          </w:tcPr>
          <w:p w14:paraId="2B321F79" w14:textId="77777777" w:rsidR="00600A69" w:rsidRDefault="00600A69" w:rsidP="00B322A7">
            <w:pPr>
              <w:jc w:val="right"/>
              <w:rPr>
                <w:sz w:val="18"/>
                <w:szCs w:val="18"/>
              </w:rPr>
            </w:pPr>
            <w:r>
              <w:rPr>
                <w:sz w:val="18"/>
                <w:szCs w:val="18"/>
              </w:rPr>
              <w:t>516</w:t>
            </w:r>
          </w:p>
        </w:tc>
        <w:tc>
          <w:tcPr>
            <w:tcW w:w="1171" w:type="dxa"/>
          </w:tcPr>
          <w:p w14:paraId="3CEE4012" w14:textId="77777777" w:rsidR="00600A69" w:rsidRDefault="00600A69" w:rsidP="00B322A7">
            <w:pPr>
              <w:tabs>
                <w:tab w:val="decimal" w:pos="857"/>
              </w:tabs>
              <w:jc w:val="both"/>
              <w:rPr>
                <w:sz w:val="18"/>
                <w:szCs w:val="18"/>
              </w:rPr>
            </w:pPr>
            <w:r>
              <w:rPr>
                <w:sz w:val="18"/>
                <w:szCs w:val="18"/>
              </w:rPr>
              <w:t>157</w:t>
            </w:r>
          </w:p>
        </w:tc>
        <w:tc>
          <w:tcPr>
            <w:tcW w:w="1261" w:type="dxa"/>
          </w:tcPr>
          <w:p w14:paraId="1B1CC796" w14:textId="77777777" w:rsidR="00600A69" w:rsidRDefault="00600A69" w:rsidP="00B322A7">
            <w:pPr>
              <w:tabs>
                <w:tab w:val="decimal" w:pos="870"/>
              </w:tabs>
              <w:jc w:val="both"/>
              <w:rPr>
                <w:sz w:val="18"/>
                <w:szCs w:val="18"/>
              </w:rPr>
            </w:pPr>
            <w:r>
              <w:rPr>
                <w:sz w:val="18"/>
                <w:szCs w:val="18"/>
              </w:rPr>
              <w:t>21</w:t>
            </w:r>
          </w:p>
        </w:tc>
        <w:tc>
          <w:tcPr>
            <w:tcW w:w="1223" w:type="dxa"/>
          </w:tcPr>
          <w:p w14:paraId="3A217F30" w14:textId="77777777" w:rsidR="00600A69" w:rsidRDefault="00600A69" w:rsidP="00B322A7">
            <w:pPr>
              <w:tabs>
                <w:tab w:val="decimal" w:pos="883"/>
              </w:tabs>
              <w:jc w:val="both"/>
              <w:rPr>
                <w:sz w:val="18"/>
                <w:szCs w:val="18"/>
              </w:rPr>
            </w:pPr>
            <w:r>
              <w:rPr>
                <w:sz w:val="18"/>
                <w:szCs w:val="18"/>
              </w:rPr>
              <w:t>2,880</w:t>
            </w:r>
          </w:p>
        </w:tc>
      </w:tr>
      <w:tr w:rsidR="00600A69" w14:paraId="377F99B0" w14:textId="77777777" w:rsidTr="00B322A7">
        <w:trPr>
          <w:cantSplit/>
        </w:trPr>
        <w:tc>
          <w:tcPr>
            <w:tcW w:w="4257" w:type="dxa"/>
            <w:vAlign w:val="center"/>
          </w:tcPr>
          <w:p w14:paraId="0A47F485" w14:textId="77777777" w:rsidR="00600A69" w:rsidRDefault="00600A69" w:rsidP="00B322A7">
            <w:pPr>
              <w:tabs>
                <w:tab w:val="right" w:leader="dot" w:pos="5400"/>
              </w:tabs>
              <w:ind w:right="-7"/>
              <w:jc w:val="both"/>
              <w:rPr>
                <w:rFonts w:cs="Arabic Transparent"/>
                <w:sz w:val="18"/>
                <w:szCs w:val="18"/>
                <w:lang w:val="en-GB"/>
              </w:rPr>
            </w:pPr>
            <w:r>
              <w:rPr>
                <w:rFonts w:cs="Arabic Transparent"/>
                <w:sz w:val="18"/>
                <w:szCs w:val="18"/>
              </w:rPr>
              <w:t>Interest (paid)</w:t>
            </w:r>
          </w:p>
        </w:tc>
        <w:tc>
          <w:tcPr>
            <w:tcW w:w="1035" w:type="dxa"/>
            <w:vAlign w:val="bottom"/>
          </w:tcPr>
          <w:p w14:paraId="057C5947" w14:textId="77777777" w:rsidR="00600A69" w:rsidRDefault="00600A69" w:rsidP="00B322A7">
            <w:pPr>
              <w:jc w:val="right"/>
              <w:rPr>
                <w:sz w:val="18"/>
                <w:szCs w:val="18"/>
                <w:lang w:val="en-GB"/>
              </w:rPr>
            </w:pPr>
            <w:r>
              <w:rPr>
                <w:color w:val="000000"/>
                <w:sz w:val="18"/>
                <w:szCs w:val="18"/>
                <w:lang w:val="en-GB" w:eastAsia="en-GB"/>
              </w:rPr>
              <w:t>(596)</w:t>
            </w:r>
          </w:p>
        </w:tc>
        <w:tc>
          <w:tcPr>
            <w:tcW w:w="1036" w:type="dxa"/>
            <w:vAlign w:val="bottom"/>
          </w:tcPr>
          <w:p w14:paraId="0E79ACCC" w14:textId="77777777" w:rsidR="00600A69" w:rsidRDefault="00600A69" w:rsidP="00B322A7">
            <w:pPr>
              <w:jc w:val="right"/>
              <w:rPr>
                <w:sz w:val="18"/>
                <w:szCs w:val="18"/>
                <w:lang w:val="en-GB"/>
              </w:rPr>
            </w:pPr>
            <w:r>
              <w:rPr>
                <w:sz w:val="18"/>
                <w:szCs w:val="18"/>
                <w:lang w:val="en-GB"/>
              </w:rPr>
              <w:t>(8,653)</w:t>
            </w:r>
          </w:p>
        </w:tc>
        <w:tc>
          <w:tcPr>
            <w:tcW w:w="1171" w:type="dxa"/>
            <w:vAlign w:val="center"/>
          </w:tcPr>
          <w:p w14:paraId="6CE6C3D5" w14:textId="77777777" w:rsidR="00600A69" w:rsidRDefault="00600A69" w:rsidP="00B322A7">
            <w:pPr>
              <w:tabs>
                <w:tab w:val="decimal" w:pos="857"/>
              </w:tabs>
              <w:jc w:val="both"/>
              <w:rPr>
                <w:sz w:val="18"/>
                <w:szCs w:val="18"/>
                <w:lang w:val="en-GB"/>
              </w:rPr>
            </w:pPr>
            <w:r>
              <w:rPr>
                <w:sz w:val="18"/>
                <w:szCs w:val="18"/>
                <w:lang w:val="en-GB"/>
              </w:rPr>
              <w:t>(10,684)</w:t>
            </w:r>
          </w:p>
        </w:tc>
        <w:tc>
          <w:tcPr>
            <w:tcW w:w="1261" w:type="dxa"/>
            <w:vAlign w:val="center"/>
          </w:tcPr>
          <w:p w14:paraId="6BF3A548" w14:textId="77777777" w:rsidR="00600A69" w:rsidRDefault="00600A69" w:rsidP="00B322A7">
            <w:pPr>
              <w:tabs>
                <w:tab w:val="decimal" w:pos="870"/>
              </w:tabs>
              <w:jc w:val="both"/>
              <w:rPr>
                <w:sz w:val="18"/>
                <w:szCs w:val="18"/>
                <w:lang w:val="en-GB"/>
              </w:rPr>
            </w:pPr>
            <w:r>
              <w:rPr>
                <w:sz w:val="18"/>
                <w:szCs w:val="18"/>
                <w:lang w:val="en-GB"/>
              </w:rPr>
              <w:t>(10,194)</w:t>
            </w:r>
          </w:p>
        </w:tc>
        <w:tc>
          <w:tcPr>
            <w:tcW w:w="1223" w:type="dxa"/>
            <w:vAlign w:val="center"/>
          </w:tcPr>
          <w:p w14:paraId="7D18B25D" w14:textId="77777777" w:rsidR="00600A69" w:rsidRDefault="00600A69" w:rsidP="00B322A7">
            <w:pPr>
              <w:tabs>
                <w:tab w:val="decimal" w:pos="883"/>
              </w:tabs>
              <w:jc w:val="both"/>
              <w:rPr>
                <w:sz w:val="18"/>
                <w:szCs w:val="18"/>
                <w:lang w:val="en-GB"/>
              </w:rPr>
            </w:pPr>
            <w:r>
              <w:rPr>
                <w:sz w:val="18"/>
                <w:szCs w:val="18"/>
                <w:lang w:val="en-GB"/>
              </w:rPr>
              <w:t>(9,093)</w:t>
            </w:r>
          </w:p>
        </w:tc>
      </w:tr>
      <w:tr w:rsidR="00600A69" w14:paraId="1A42EEA0" w14:textId="77777777" w:rsidTr="00B322A7">
        <w:trPr>
          <w:cantSplit/>
        </w:trPr>
        <w:tc>
          <w:tcPr>
            <w:tcW w:w="4257" w:type="dxa"/>
            <w:vAlign w:val="center"/>
          </w:tcPr>
          <w:p w14:paraId="3537D12D" w14:textId="77777777" w:rsidR="00600A69" w:rsidRDefault="00600A69" w:rsidP="00B322A7">
            <w:pPr>
              <w:tabs>
                <w:tab w:val="right" w:leader="dot" w:pos="5400"/>
              </w:tabs>
              <w:ind w:right="-7"/>
              <w:jc w:val="both"/>
              <w:rPr>
                <w:rFonts w:cs="Arabic Transparent"/>
                <w:sz w:val="18"/>
                <w:szCs w:val="18"/>
              </w:rPr>
            </w:pPr>
            <w:r>
              <w:rPr>
                <w:rFonts w:cs="Arabic Transparent"/>
                <w:sz w:val="18"/>
                <w:szCs w:val="18"/>
              </w:rPr>
              <w:t>Income taxes paid</w:t>
            </w:r>
          </w:p>
        </w:tc>
        <w:tc>
          <w:tcPr>
            <w:tcW w:w="1035" w:type="dxa"/>
            <w:vAlign w:val="bottom"/>
          </w:tcPr>
          <w:p w14:paraId="396075D4" w14:textId="77777777" w:rsidR="00600A69" w:rsidRDefault="00600A69" w:rsidP="00B322A7">
            <w:pPr>
              <w:jc w:val="right"/>
              <w:rPr>
                <w:sz w:val="18"/>
                <w:szCs w:val="18"/>
              </w:rPr>
            </w:pPr>
            <w:r>
              <w:rPr>
                <w:color w:val="000000"/>
                <w:sz w:val="18"/>
                <w:szCs w:val="18"/>
                <w:lang w:val="en-GB" w:eastAsia="en-GB"/>
              </w:rPr>
              <w:t>(259)</w:t>
            </w:r>
          </w:p>
        </w:tc>
        <w:tc>
          <w:tcPr>
            <w:tcW w:w="1036" w:type="dxa"/>
            <w:vAlign w:val="bottom"/>
          </w:tcPr>
          <w:p w14:paraId="44950E9F" w14:textId="77777777" w:rsidR="00600A69" w:rsidRDefault="00600A69" w:rsidP="00B322A7">
            <w:pPr>
              <w:jc w:val="right"/>
              <w:rPr>
                <w:sz w:val="18"/>
                <w:szCs w:val="18"/>
              </w:rPr>
            </w:pPr>
            <w:r>
              <w:rPr>
                <w:sz w:val="18"/>
                <w:szCs w:val="18"/>
              </w:rPr>
              <w:t>(225)</w:t>
            </w:r>
          </w:p>
        </w:tc>
        <w:tc>
          <w:tcPr>
            <w:tcW w:w="1171" w:type="dxa"/>
            <w:vAlign w:val="center"/>
          </w:tcPr>
          <w:p w14:paraId="255EC3FA" w14:textId="77777777" w:rsidR="00600A69" w:rsidRDefault="00600A69" w:rsidP="00B322A7">
            <w:pPr>
              <w:tabs>
                <w:tab w:val="decimal" w:pos="857"/>
              </w:tabs>
              <w:jc w:val="both"/>
              <w:rPr>
                <w:sz w:val="18"/>
                <w:szCs w:val="18"/>
              </w:rPr>
            </w:pPr>
            <w:r>
              <w:rPr>
                <w:sz w:val="18"/>
                <w:szCs w:val="18"/>
              </w:rPr>
              <w:t>(939)</w:t>
            </w:r>
          </w:p>
        </w:tc>
        <w:tc>
          <w:tcPr>
            <w:tcW w:w="1261" w:type="dxa"/>
            <w:vAlign w:val="center"/>
          </w:tcPr>
          <w:p w14:paraId="3F911BF9" w14:textId="77777777" w:rsidR="00600A69" w:rsidRDefault="00600A69" w:rsidP="00B322A7">
            <w:pPr>
              <w:tabs>
                <w:tab w:val="decimal" w:pos="870"/>
              </w:tabs>
              <w:jc w:val="both"/>
              <w:rPr>
                <w:sz w:val="18"/>
                <w:szCs w:val="18"/>
              </w:rPr>
            </w:pPr>
            <w:r>
              <w:rPr>
                <w:sz w:val="18"/>
                <w:szCs w:val="18"/>
              </w:rPr>
              <w:t>(364)</w:t>
            </w:r>
          </w:p>
        </w:tc>
        <w:tc>
          <w:tcPr>
            <w:tcW w:w="1223" w:type="dxa"/>
            <w:vAlign w:val="center"/>
          </w:tcPr>
          <w:p w14:paraId="3CEAE43E" w14:textId="77777777" w:rsidR="00600A69" w:rsidRDefault="00600A69" w:rsidP="00B322A7">
            <w:pPr>
              <w:tabs>
                <w:tab w:val="decimal" w:pos="883"/>
              </w:tabs>
              <w:jc w:val="both"/>
              <w:rPr>
                <w:sz w:val="18"/>
                <w:szCs w:val="18"/>
              </w:rPr>
            </w:pPr>
            <w:r>
              <w:rPr>
                <w:sz w:val="18"/>
                <w:szCs w:val="18"/>
              </w:rPr>
              <w:t>(417)</w:t>
            </w:r>
          </w:p>
        </w:tc>
      </w:tr>
      <w:tr w:rsidR="00600A69" w14:paraId="219D7009" w14:textId="77777777" w:rsidTr="00B322A7">
        <w:trPr>
          <w:cantSplit/>
        </w:trPr>
        <w:tc>
          <w:tcPr>
            <w:tcW w:w="4257" w:type="dxa"/>
            <w:vAlign w:val="center"/>
          </w:tcPr>
          <w:p w14:paraId="14C92A46" w14:textId="77777777" w:rsidR="00600A69" w:rsidRDefault="00600A69" w:rsidP="00B322A7">
            <w:pPr>
              <w:tabs>
                <w:tab w:val="right" w:leader="dot" w:pos="5400"/>
              </w:tabs>
              <w:ind w:right="-7"/>
              <w:jc w:val="both"/>
              <w:rPr>
                <w:rFonts w:cs="Arabic Transparent"/>
                <w:b/>
                <w:sz w:val="18"/>
                <w:szCs w:val="18"/>
                <w:lang w:val="en-GB"/>
              </w:rPr>
            </w:pPr>
            <w:r>
              <w:rPr>
                <w:rFonts w:cs="Arabic Transparent"/>
                <w:b/>
                <w:sz w:val="18"/>
                <w:szCs w:val="18"/>
              </w:rPr>
              <w:t>Net cash from operating activities</w:t>
            </w:r>
          </w:p>
        </w:tc>
        <w:tc>
          <w:tcPr>
            <w:tcW w:w="1035" w:type="dxa"/>
            <w:vAlign w:val="bottom"/>
          </w:tcPr>
          <w:p w14:paraId="0467711C" w14:textId="77777777" w:rsidR="00600A69" w:rsidRDefault="00600A69" w:rsidP="00B322A7">
            <w:pPr>
              <w:jc w:val="right"/>
              <w:rPr>
                <w:b/>
                <w:sz w:val="18"/>
                <w:szCs w:val="18"/>
                <w:u w:val="single"/>
              </w:rPr>
            </w:pPr>
            <w:r>
              <w:rPr>
                <w:b/>
                <w:bCs/>
                <w:color w:val="000000"/>
                <w:sz w:val="18"/>
                <w:szCs w:val="18"/>
                <w:u w:val="single"/>
                <w:lang w:val="en-GB" w:eastAsia="en-GB"/>
              </w:rPr>
              <w:t>5,511</w:t>
            </w:r>
          </w:p>
        </w:tc>
        <w:tc>
          <w:tcPr>
            <w:tcW w:w="1036" w:type="dxa"/>
            <w:vAlign w:val="bottom"/>
          </w:tcPr>
          <w:p w14:paraId="0F6B030F" w14:textId="77777777" w:rsidR="00600A69" w:rsidRDefault="00600A69" w:rsidP="00B322A7">
            <w:pPr>
              <w:jc w:val="right"/>
              <w:rPr>
                <w:b/>
                <w:sz w:val="18"/>
                <w:szCs w:val="18"/>
                <w:u w:val="single"/>
              </w:rPr>
            </w:pPr>
            <w:r>
              <w:rPr>
                <w:b/>
                <w:sz w:val="18"/>
                <w:szCs w:val="18"/>
                <w:u w:val="single"/>
              </w:rPr>
              <w:t>14,566</w:t>
            </w:r>
          </w:p>
        </w:tc>
        <w:tc>
          <w:tcPr>
            <w:tcW w:w="1171" w:type="dxa"/>
          </w:tcPr>
          <w:p w14:paraId="17611FA8" w14:textId="77777777" w:rsidR="00600A69" w:rsidRDefault="00600A69" w:rsidP="00B322A7">
            <w:pPr>
              <w:tabs>
                <w:tab w:val="decimal" w:pos="870"/>
              </w:tabs>
              <w:jc w:val="both"/>
              <w:rPr>
                <w:b/>
                <w:sz w:val="18"/>
                <w:szCs w:val="18"/>
                <w:u w:val="single"/>
              </w:rPr>
            </w:pPr>
            <w:r>
              <w:rPr>
                <w:b/>
                <w:sz w:val="18"/>
                <w:szCs w:val="18"/>
                <w:u w:val="single"/>
              </w:rPr>
              <w:t>6,793</w:t>
            </w:r>
          </w:p>
        </w:tc>
        <w:tc>
          <w:tcPr>
            <w:tcW w:w="1261" w:type="dxa"/>
          </w:tcPr>
          <w:p w14:paraId="04083545" w14:textId="77777777" w:rsidR="00600A69" w:rsidRDefault="00600A69" w:rsidP="00B322A7">
            <w:pPr>
              <w:tabs>
                <w:tab w:val="decimal" w:pos="870"/>
              </w:tabs>
              <w:jc w:val="both"/>
              <w:rPr>
                <w:b/>
                <w:sz w:val="18"/>
                <w:szCs w:val="18"/>
                <w:u w:val="single"/>
              </w:rPr>
            </w:pPr>
            <w:r>
              <w:rPr>
                <w:b/>
                <w:sz w:val="18"/>
                <w:szCs w:val="18"/>
                <w:u w:val="single"/>
              </w:rPr>
              <w:t>(12,609)</w:t>
            </w:r>
          </w:p>
        </w:tc>
        <w:tc>
          <w:tcPr>
            <w:tcW w:w="1223" w:type="dxa"/>
          </w:tcPr>
          <w:p w14:paraId="49F0453F" w14:textId="77777777" w:rsidR="00600A69" w:rsidRDefault="00600A69" w:rsidP="00B322A7">
            <w:pPr>
              <w:tabs>
                <w:tab w:val="decimal" w:pos="870"/>
              </w:tabs>
              <w:jc w:val="both"/>
              <w:rPr>
                <w:b/>
                <w:sz w:val="18"/>
                <w:szCs w:val="18"/>
                <w:u w:val="single"/>
              </w:rPr>
            </w:pPr>
            <w:r>
              <w:rPr>
                <w:b/>
                <w:sz w:val="18"/>
                <w:szCs w:val="18"/>
                <w:u w:val="single"/>
              </w:rPr>
              <w:t>(1,542)</w:t>
            </w:r>
          </w:p>
        </w:tc>
      </w:tr>
      <w:tr w:rsidR="00600A69" w14:paraId="47BF27D3" w14:textId="77777777" w:rsidTr="00B322A7">
        <w:trPr>
          <w:cantSplit/>
        </w:trPr>
        <w:tc>
          <w:tcPr>
            <w:tcW w:w="4257" w:type="dxa"/>
            <w:vAlign w:val="center"/>
          </w:tcPr>
          <w:p w14:paraId="2FDFBD32" w14:textId="77777777" w:rsidR="00600A69" w:rsidRDefault="00600A69" w:rsidP="00B322A7">
            <w:pPr>
              <w:tabs>
                <w:tab w:val="right" w:leader="dot" w:pos="5400"/>
              </w:tabs>
              <w:ind w:right="-7"/>
              <w:jc w:val="both"/>
              <w:rPr>
                <w:rFonts w:cs="Arabic Transparent"/>
                <w:b/>
                <w:sz w:val="18"/>
                <w:szCs w:val="18"/>
                <w:lang w:val="en-GB"/>
              </w:rPr>
            </w:pPr>
            <w:r>
              <w:rPr>
                <w:rFonts w:cs="Arabic Transparent"/>
                <w:b/>
                <w:sz w:val="18"/>
                <w:szCs w:val="18"/>
              </w:rPr>
              <w:t xml:space="preserve">Cash flows from investing activities </w:t>
            </w:r>
          </w:p>
        </w:tc>
        <w:tc>
          <w:tcPr>
            <w:tcW w:w="1035" w:type="dxa"/>
            <w:vAlign w:val="bottom"/>
          </w:tcPr>
          <w:p w14:paraId="3569FC49" w14:textId="77777777" w:rsidR="00600A69" w:rsidRDefault="00600A69" w:rsidP="00B322A7">
            <w:pPr>
              <w:jc w:val="right"/>
              <w:rPr>
                <w:b/>
                <w:sz w:val="18"/>
                <w:szCs w:val="18"/>
              </w:rPr>
            </w:pPr>
            <w:r>
              <w:rPr>
                <w:color w:val="000000"/>
                <w:sz w:val="18"/>
                <w:szCs w:val="18"/>
                <w:lang w:val="en-GB" w:eastAsia="en-GB"/>
              </w:rPr>
              <w:t> </w:t>
            </w:r>
          </w:p>
        </w:tc>
        <w:tc>
          <w:tcPr>
            <w:tcW w:w="1036" w:type="dxa"/>
            <w:vAlign w:val="bottom"/>
          </w:tcPr>
          <w:p w14:paraId="3E003D2F" w14:textId="77777777" w:rsidR="00600A69" w:rsidRDefault="00600A69" w:rsidP="00B322A7">
            <w:pPr>
              <w:jc w:val="right"/>
              <w:rPr>
                <w:b/>
                <w:sz w:val="18"/>
                <w:szCs w:val="18"/>
              </w:rPr>
            </w:pPr>
          </w:p>
        </w:tc>
        <w:tc>
          <w:tcPr>
            <w:tcW w:w="1171" w:type="dxa"/>
            <w:vAlign w:val="center"/>
          </w:tcPr>
          <w:p w14:paraId="2A38048D" w14:textId="77777777" w:rsidR="00600A69" w:rsidRDefault="00600A69" w:rsidP="00B322A7">
            <w:pPr>
              <w:tabs>
                <w:tab w:val="decimal" w:pos="857"/>
              </w:tabs>
              <w:jc w:val="both"/>
              <w:rPr>
                <w:b/>
                <w:sz w:val="18"/>
                <w:szCs w:val="18"/>
              </w:rPr>
            </w:pPr>
          </w:p>
        </w:tc>
        <w:tc>
          <w:tcPr>
            <w:tcW w:w="1261" w:type="dxa"/>
            <w:vAlign w:val="center"/>
          </w:tcPr>
          <w:p w14:paraId="42134BD8" w14:textId="77777777" w:rsidR="00600A69" w:rsidRDefault="00600A69" w:rsidP="00B322A7">
            <w:pPr>
              <w:tabs>
                <w:tab w:val="decimal" w:pos="870"/>
              </w:tabs>
              <w:jc w:val="both"/>
              <w:rPr>
                <w:b/>
                <w:sz w:val="18"/>
                <w:szCs w:val="18"/>
              </w:rPr>
            </w:pPr>
          </w:p>
        </w:tc>
        <w:tc>
          <w:tcPr>
            <w:tcW w:w="1223" w:type="dxa"/>
            <w:vAlign w:val="center"/>
          </w:tcPr>
          <w:p w14:paraId="79518744" w14:textId="77777777" w:rsidR="00600A69" w:rsidRDefault="00600A69" w:rsidP="00B322A7">
            <w:pPr>
              <w:tabs>
                <w:tab w:val="decimal" w:pos="883"/>
              </w:tabs>
              <w:jc w:val="both"/>
              <w:rPr>
                <w:b/>
                <w:sz w:val="18"/>
                <w:szCs w:val="18"/>
              </w:rPr>
            </w:pPr>
          </w:p>
        </w:tc>
      </w:tr>
      <w:tr w:rsidR="00600A69" w14:paraId="42C86833" w14:textId="77777777" w:rsidTr="00B322A7">
        <w:trPr>
          <w:cantSplit/>
        </w:trPr>
        <w:tc>
          <w:tcPr>
            <w:tcW w:w="4257" w:type="dxa"/>
            <w:vAlign w:val="center"/>
          </w:tcPr>
          <w:p w14:paraId="0B67A7B1" w14:textId="77777777" w:rsidR="00600A69" w:rsidRDefault="00600A69" w:rsidP="00B322A7">
            <w:pPr>
              <w:tabs>
                <w:tab w:val="right" w:leader="dot" w:pos="5400"/>
              </w:tabs>
              <w:ind w:right="-7"/>
              <w:jc w:val="both"/>
              <w:rPr>
                <w:rFonts w:cs="Arabic Transparent"/>
                <w:sz w:val="18"/>
                <w:szCs w:val="18"/>
              </w:rPr>
            </w:pPr>
            <w:r>
              <w:rPr>
                <w:rFonts w:cs="Arabic Transparent"/>
                <w:sz w:val="18"/>
                <w:szCs w:val="18"/>
              </w:rPr>
              <w:t>Proceeds from disposal of subsidiaries</w:t>
            </w:r>
          </w:p>
        </w:tc>
        <w:tc>
          <w:tcPr>
            <w:tcW w:w="1035" w:type="dxa"/>
            <w:vAlign w:val="bottom"/>
          </w:tcPr>
          <w:p w14:paraId="2298E335" w14:textId="77777777" w:rsidR="00600A69" w:rsidRDefault="00600A69" w:rsidP="00B322A7">
            <w:pPr>
              <w:jc w:val="right"/>
              <w:rPr>
                <w:sz w:val="18"/>
                <w:szCs w:val="18"/>
              </w:rPr>
            </w:pPr>
            <w:r>
              <w:rPr>
                <w:color w:val="000000"/>
                <w:sz w:val="18"/>
                <w:szCs w:val="18"/>
                <w:lang w:val="en-GB" w:eastAsia="en-GB"/>
              </w:rPr>
              <w:t>2</w:t>
            </w:r>
          </w:p>
        </w:tc>
        <w:tc>
          <w:tcPr>
            <w:tcW w:w="1036" w:type="dxa"/>
            <w:vAlign w:val="bottom"/>
          </w:tcPr>
          <w:p w14:paraId="5E511AAE" w14:textId="77777777" w:rsidR="00600A69" w:rsidRDefault="00600A69" w:rsidP="00B322A7">
            <w:pPr>
              <w:jc w:val="right"/>
              <w:rPr>
                <w:sz w:val="18"/>
                <w:szCs w:val="18"/>
              </w:rPr>
            </w:pPr>
            <w:r>
              <w:rPr>
                <w:sz w:val="18"/>
                <w:szCs w:val="18"/>
              </w:rPr>
              <w:t>36</w:t>
            </w:r>
          </w:p>
        </w:tc>
        <w:tc>
          <w:tcPr>
            <w:tcW w:w="1171" w:type="dxa"/>
            <w:vAlign w:val="center"/>
          </w:tcPr>
          <w:p w14:paraId="6879686A" w14:textId="77777777" w:rsidR="00600A69" w:rsidRDefault="00600A69" w:rsidP="00B322A7">
            <w:pPr>
              <w:tabs>
                <w:tab w:val="decimal" w:pos="857"/>
              </w:tabs>
              <w:jc w:val="both"/>
              <w:rPr>
                <w:sz w:val="18"/>
                <w:szCs w:val="18"/>
              </w:rPr>
            </w:pPr>
            <w:r>
              <w:rPr>
                <w:b/>
                <w:sz w:val="18"/>
                <w:szCs w:val="18"/>
              </w:rPr>
              <w:t>_</w:t>
            </w:r>
          </w:p>
        </w:tc>
        <w:tc>
          <w:tcPr>
            <w:tcW w:w="1261" w:type="dxa"/>
            <w:vAlign w:val="center"/>
          </w:tcPr>
          <w:p w14:paraId="14A7973B" w14:textId="77777777" w:rsidR="00600A69" w:rsidRDefault="00600A69" w:rsidP="00B322A7">
            <w:pPr>
              <w:tabs>
                <w:tab w:val="decimal" w:pos="870"/>
              </w:tabs>
              <w:jc w:val="both"/>
              <w:rPr>
                <w:sz w:val="18"/>
                <w:szCs w:val="18"/>
              </w:rPr>
            </w:pPr>
            <w:r>
              <w:rPr>
                <w:b/>
                <w:sz w:val="18"/>
                <w:szCs w:val="18"/>
              </w:rPr>
              <w:t>_</w:t>
            </w:r>
          </w:p>
        </w:tc>
        <w:tc>
          <w:tcPr>
            <w:tcW w:w="1223" w:type="dxa"/>
            <w:vAlign w:val="center"/>
          </w:tcPr>
          <w:p w14:paraId="7C617B69" w14:textId="77777777" w:rsidR="00600A69" w:rsidRDefault="00600A69" w:rsidP="00B322A7">
            <w:pPr>
              <w:tabs>
                <w:tab w:val="decimal" w:pos="883"/>
              </w:tabs>
              <w:jc w:val="both"/>
              <w:rPr>
                <w:sz w:val="18"/>
                <w:szCs w:val="18"/>
              </w:rPr>
            </w:pPr>
            <w:r>
              <w:rPr>
                <w:sz w:val="18"/>
                <w:szCs w:val="18"/>
              </w:rPr>
              <w:t>_</w:t>
            </w:r>
          </w:p>
        </w:tc>
      </w:tr>
      <w:tr w:rsidR="00600A69" w14:paraId="3F1FFA3F" w14:textId="77777777" w:rsidTr="00B322A7">
        <w:trPr>
          <w:cantSplit/>
        </w:trPr>
        <w:tc>
          <w:tcPr>
            <w:tcW w:w="4257" w:type="dxa"/>
            <w:vAlign w:val="center"/>
          </w:tcPr>
          <w:p w14:paraId="1D524C83" w14:textId="77777777" w:rsidR="00600A69" w:rsidRDefault="00600A69" w:rsidP="00B322A7">
            <w:pPr>
              <w:tabs>
                <w:tab w:val="right" w:leader="dot" w:pos="5400"/>
              </w:tabs>
              <w:ind w:right="-7"/>
              <w:jc w:val="both"/>
              <w:rPr>
                <w:rFonts w:cs="Arabic Transparent"/>
                <w:sz w:val="18"/>
                <w:szCs w:val="18"/>
              </w:rPr>
            </w:pPr>
            <w:r>
              <w:rPr>
                <w:rFonts w:cs="Arabic Transparent"/>
                <w:sz w:val="18"/>
                <w:szCs w:val="18"/>
              </w:rPr>
              <w:t>Proceeds from disposal of tangible assets and other</w:t>
            </w:r>
          </w:p>
        </w:tc>
        <w:tc>
          <w:tcPr>
            <w:tcW w:w="2071" w:type="dxa"/>
            <w:gridSpan w:val="2"/>
            <w:vAlign w:val="center"/>
          </w:tcPr>
          <w:p w14:paraId="794E0B36" w14:textId="77777777" w:rsidR="00600A69" w:rsidRDefault="00600A69" w:rsidP="00B322A7">
            <w:pPr>
              <w:jc w:val="right"/>
              <w:rPr>
                <w:sz w:val="18"/>
                <w:szCs w:val="18"/>
              </w:rPr>
            </w:pPr>
            <w:r>
              <w:rPr>
                <w:sz w:val="18"/>
                <w:szCs w:val="18"/>
              </w:rPr>
              <w:t>_</w:t>
            </w:r>
          </w:p>
        </w:tc>
        <w:tc>
          <w:tcPr>
            <w:tcW w:w="1171" w:type="dxa"/>
            <w:vAlign w:val="center"/>
          </w:tcPr>
          <w:p w14:paraId="42111DB7" w14:textId="77777777" w:rsidR="00600A69" w:rsidRDefault="00600A69" w:rsidP="00B322A7">
            <w:pPr>
              <w:tabs>
                <w:tab w:val="decimal" w:pos="857"/>
              </w:tabs>
              <w:jc w:val="both"/>
              <w:rPr>
                <w:sz w:val="18"/>
                <w:szCs w:val="18"/>
              </w:rPr>
            </w:pPr>
            <w:r>
              <w:rPr>
                <w:sz w:val="18"/>
                <w:szCs w:val="18"/>
              </w:rPr>
              <w:t>46</w:t>
            </w:r>
          </w:p>
        </w:tc>
        <w:tc>
          <w:tcPr>
            <w:tcW w:w="1261" w:type="dxa"/>
            <w:vAlign w:val="center"/>
          </w:tcPr>
          <w:p w14:paraId="25ADBC24" w14:textId="77777777" w:rsidR="00600A69" w:rsidRDefault="00600A69" w:rsidP="00B322A7">
            <w:pPr>
              <w:tabs>
                <w:tab w:val="decimal" w:pos="870"/>
              </w:tabs>
              <w:jc w:val="both"/>
              <w:rPr>
                <w:sz w:val="18"/>
                <w:szCs w:val="18"/>
              </w:rPr>
            </w:pPr>
            <w:r>
              <w:rPr>
                <w:sz w:val="18"/>
                <w:szCs w:val="18"/>
              </w:rPr>
              <w:t>337</w:t>
            </w:r>
          </w:p>
        </w:tc>
        <w:tc>
          <w:tcPr>
            <w:tcW w:w="1223" w:type="dxa"/>
            <w:vAlign w:val="center"/>
          </w:tcPr>
          <w:p w14:paraId="15176F92" w14:textId="77777777" w:rsidR="00600A69" w:rsidRDefault="00600A69" w:rsidP="00B322A7">
            <w:pPr>
              <w:tabs>
                <w:tab w:val="decimal" w:pos="883"/>
              </w:tabs>
              <w:jc w:val="both"/>
              <w:rPr>
                <w:sz w:val="18"/>
                <w:szCs w:val="18"/>
              </w:rPr>
            </w:pPr>
            <w:r>
              <w:rPr>
                <w:sz w:val="18"/>
                <w:szCs w:val="18"/>
              </w:rPr>
              <w:t>3,324</w:t>
            </w:r>
          </w:p>
        </w:tc>
      </w:tr>
      <w:tr w:rsidR="00600A69" w14:paraId="48705E88" w14:textId="77777777" w:rsidTr="00B322A7">
        <w:trPr>
          <w:cantSplit/>
        </w:trPr>
        <w:tc>
          <w:tcPr>
            <w:tcW w:w="4257" w:type="dxa"/>
            <w:vAlign w:val="center"/>
          </w:tcPr>
          <w:p w14:paraId="48D0244B" w14:textId="77777777" w:rsidR="00600A69" w:rsidRDefault="00600A69" w:rsidP="00B322A7">
            <w:pPr>
              <w:tabs>
                <w:tab w:val="right" w:leader="dot" w:pos="5400"/>
              </w:tabs>
              <w:ind w:right="-7"/>
              <w:jc w:val="both"/>
              <w:rPr>
                <w:rFonts w:cs="Arabic Transparent"/>
                <w:sz w:val="18"/>
                <w:szCs w:val="18"/>
              </w:rPr>
            </w:pPr>
            <w:r>
              <w:rPr>
                <w:rFonts w:cs="Arabic Transparent"/>
                <w:sz w:val="18"/>
                <w:szCs w:val="18"/>
              </w:rPr>
              <w:t>Acquisition of subsidiaries</w:t>
            </w:r>
          </w:p>
        </w:tc>
        <w:tc>
          <w:tcPr>
            <w:tcW w:w="2071" w:type="dxa"/>
            <w:gridSpan w:val="2"/>
          </w:tcPr>
          <w:p w14:paraId="740D302D" w14:textId="77777777" w:rsidR="00600A69" w:rsidRDefault="00600A69" w:rsidP="00B322A7">
            <w:pPr>
              <w:jc w:val="right"/>
              <w:rPr>
                <w:sz w:val="18"/>
                <w:szCs w:val="18"/>
              </w:rPr>
            </w:pPr>
            <w:r>
              <w:rPr>
                <w:sz w:val="18"/>
                <w:szCs w:val="18"/>
              </w:rPr>
              <w:t>(148)</w:t>
            </w:r>
          </w:p>
        </w:tc>
        <w:tc>
          <w:tcPr>
            <w:tcW w:w="1171" w:type="dxa"/>
          </w:tcPr>
          <w:p w14:paraId="38FE33DF" w14:textId="77777777" w:rsidR="00600A69" w:rsidRDefault="00600A69" w:rsidP="00B322A7">
            <w:pPr>
              <w:tabs>
                <w:tab w:val="decimal" w:pos="870"/>
              </w:tabs>
              <w:jc w:val="both"/>
              <w:rPr>
                <w:sz w:val="18"/>
                <w:szCs w:val="18"/>
              </w:rPr>
            </w:pPr>
            <w:r>
              <w:rPr>
                <w:b/>
                <w:sz w:val="18"/>
                <w:szCs w:val="18"/>
              </w:rPr>
              <w:t>_</w:t>
            </w:r>
          </w:p>
        </w:tc>
        <w:tc>
          <w:tcPr>
            <w:tcW w:w="1261" w:type="dxa"/>
          </w:tcPr>
          <w:p w14:paraId="0B18BFDE" w14:textId="77777777" w:rsidR="00600A69" w:rsidRDefault="00600A69" w:rsidP="00B322A7">
            <w:pPr>
              <w:tabs>
                <w:tab w:val="decimal" w:pos="870"/>
              </w:tabs>
              <w:jc w:val="both"/>
              <w:rPr>
                <w:sz w:val="18"/>
                <w:szCs w:val="18"/>
              </w:rPr>
            </w:pPr>
            <w:r>
              <w:rPr>
                <w:sz w:val="18"/>
                <w:szCs w:val="18"/>
              </w:rPr>
              <w:t>(224)</w:t>
            </w:r>
          </w:p>
        </w:tc>
        <w:tc>
          <w:tcPr>
            <w:tcW w:w="1223" w:type="dxa"/>
          </w:tcPr>
          <w:p w14:paraId="4F85508F" w14:textId="77777777" w:rsidR="00600A69" w:rsidRDefault="00600A69" w:rsidP="00B322A7">
            <w:pPr>
              <w:tabs>
                <w:tab w:val="decimal" w:pos="870"/>
              </w:tabs>
              <w:jc w:val="both"/>
              <w:rPr>
                <w:sz w:val="18"/>
                <w:szCs w:val="18"/>
              </w:rPr>
            </w:pPr>
            <w:r>
              <w:rPr>
                <w:sz w:val="18"/>
                <w:szCs w:val="18"/>
              </w:rPr>
              <w:t>(406)</w:t>
            </w:r>
          </w:p>
        </w:tc>
      </w:tr>
      <w:tr w:rsidR="00600A69" w14:paraId="1A7ABE3E" w14:textId="77777777" w:rsidTr="00B322A7">
        <w:trPr>
          <w:cantSplit/>
        </w:trPr>
        <w:tc>
          <w:tcPr>
            <w:tcW w:w="4257" w:type="dxa"/>
            <w:vAlign w:val="center"/>
          </w:tcPr>
          <w:p w14:paraId="19E7666B" w14:textId="77777777" w:rsidR="00600A69" w:rsidRDefault="00600A69" w:rsidP="00B322A7">
            <w:pPr>
              <w:tabs>
                <w:tab w:val="right" w:leader="dot" w:pos="5400"/>
              </w:tabs>
              <w:ind w:right="-7"/>
              <w:jc w:val="both"/>
              <w:rPr>
                <w:rFonts w:cs="Arabic Transparent"/>
                <w:sz w:val="18"/>
                <w:szCs w:val="18"/>
              </w:rPr>
            </w:pPr>
            <w:r>
              <w:rPr>
                <w:rFonts w:cs="Arabic Transparent"/>
                <w:sz w:val="18"/>
                <w:szCs w:val="18"/>
              </w:rPr>
              <w:t>Investment property and investment property under construction</w:t>
            </w:r>
          </w:p>
        </w:tc>
        <w:tc>
          <w:tcPr>
            <w:tcW w:w="1035" w:type="dxa"/>
            <w:vAlign w:val="center"/>
          </w:tcPr>
          <w:p w14:paraId="5D50D6A2" w14:textId="77777777" w:rsidR="00600A69" w:rsidRDefault="00600A69" w:rsidP="00B322A7">
            <w:pPr>
              <w:jc w:val="right"/>
              <w:rPr>
                <w:sz w:val="18"/>
                <w:szCs w:val="18"/>
              </w:rPr>
            </w:pPr>
            <w:r>
              <w:rPr>
                <w:sz w:val="18"/>
                <w:szCs w:val="18"/>
              </w:rPr>
              <w:t>(68,829)</w:t>
            </w:r>
          </w:p>
        </w:tc>
        <w:tc>
          <w:tcPr>
            <w:tcW w:w="1036" w:type="dxa"/>
            <w:vAlign w:val="center"/>
          </w:tcPr>
          <w:p w14:paraId="0146F4CC" w14:textId="77777777" w:rsidR="00600A69" w:rsidRDefault="00600A69" w:rsidP="00B322A7">
            <w:pPr>
              <w:jc w:val="right"/>
              <w:rPr>
                <w:sz w:val="18"/>
                <w:szCs w:val="18"/>
              </w:rPr>
            </w:pPr>
            <w:r>
              <w:rPr>
                <w:sz w:val="18"/>
                <w:szCs w:val="18"/>
              </w:rPr>
              <w:t>(84,279)</w:t>
            </w:r>
          </w:p>
        </w:tc>
        <w:tc>
          <w:tcPr>
            <w:tcW w:w="1171" w:type="dxa"/>
            <w:vAlign w:val="center"/>
          </w:tcPr>
          <w:p w14:paraId="1A29F7D3" w14:textId="77777777" w:rsidR="00600A69" w:rsidRDefault="00600A69" w:rsidP="00B322A7">
            <w:pPr>
              <w:tabs>
                <w:tab w:val="decimal" w:pos="857"/>
              </w:tabs>
              <w:jc w:val="both"/>
              <w:rPr>
                <w:sz w:val="18"/>
                <w:szCs w:val="18"/>
              </w:rPr>
            </w:pPr>
            <w:r>
              <w:rPr>
                <w:sz w:val="18"/>
                <w:szCs w:val="18"/>
              </w:rPr>
              <w:t>(336,654)</w:t>
            </w:r>
          </w:p>
        </w:tc>
        <w:tc>
          <w:tcPr>
            <w:tcW w:w="1261" w:type="dxa"/>
            <w:vAlign w:val="center"/>
          </w:tcPr>
          <w:p w14:paraId="57151898" w14:textId="77777777" w:rsidR="00600A69" w:rsidRDefault="00600A69" w:rsidP="00B322A7">
            <w:pPr>
              <w:tabs>
                <w:tab w:val="decimal" w:pos="870"/>
              </w:tabs>
              <w:jc w:val="both"/>
              <w:rPr>
                <w:sz w:val="18"/>
                <w:szCs w:val="18"/>
              </w:rPr>
            </w:pPr>
            <w:r>
              <w:rPr>
                <w:sz w:val="18"/>
                <w:szCs w:val="18"/>
              </w:rPr>
              <w:t>(147,490)</w:t>
            </w:r>
          </w:p>
        </w:tc>
        <w:tc>
          <w:tcPr>
            <w:tcW w:w="1223" w:type="dxa"/>
            <w:vAlign w:val="center"/>
          </w:tcPr>
          <w:p w14:paraId="5F5D5460" w14:textId="77777777" w:rsidR="00600A69" w:rsidRDefault="00600A69" w:rsidP="00B322A7">
            <w:pPr>
              <w:tabs>
                <w:tab w:val="decimal" w:pos="883"/>
              </w:tabs>
              <w:jc w:val="both"/>
              <w:rPr>
                <w:sz w:val="18"/>
                <w:szCs w:val="18"/>
              </w:rPr>
            </w:pPr>
            <w:r>
              <w:rPr>
                <w:sz w:val="18"/>
                <w:szCs w:val="18"/>
              </w:rPr>
              <w:t>(112,221)</w:t>
            </w:r>
          </w:p>
        </w:tc>
      </w:tr>
      <w:tr w:rsidR="00600A69" w14:paraId="64F52AF4" w14:textId="77777777" w:rsidTr="00B322A7">
        <w:trPr>
          <w:cantSplit/>
        </w:trPr>
        <w:tc>
          <w:tcPr>
            <w:tcW w:w="4257" w:type="dxa"/>
            <w:vAlign w:val="center"/>
          </w:tcPr>
          <w:p w14:paraId="71E1226B" w14:textId="77777777" w:rsidR="00600A69" w:rsidRDefault="00600A69" w:rsidP="00B322A7">
            <w:pPr>
              <w:tabs>
                <w:tab w:val="right" w:leader="dot" w:pos="5400"/>
              </w:tabs>
              <w:ind w:right="-7"/>
              <w:jc w:val="both"/>
              <w:rPr>
                <w:rFonts w:cs="Arabic Transparent"/>
                <w:sz w:val="18"/>
                <w:szCs w:val="18"/>
              </w:rPr>
            </w:pPr>
            <w:r>
              <w:rPr>
                <w:rFonts w:cs="Arabic Transparent"/>
                <w:sz w:val="18"/>
                <w:szCs w:val="18"/>
              </w:rPr>
              <w:t>Disposal of subsidiaries and investment properties to VGP European logistics joint venture</w:t>
            </w:r>
          </w:p>
        </w:tc>
        <w:tc>
          <w:tcPr>
            <w:tcW w:w="1035" w:type="dxa"/>
            <w:vAlign w:val="center"/>
          </w:tcPr>
          <w:p w14:paraId="64F2512A" w14:textId="77777777" w:rsidR="00600A69" w:rsidRDefault="00600A69" w:rsidP="00B322A7">
            <w:pPr>
              <w:jc w:val="right"/>
              <w:rPr>
                <w:sz w:val="18"/>
                <w:szCs w:val="18"/>
              </w:rPr>
            </w:pPr>
            <w:r>
              <w:rPr>
                <w:sz w:val="18"/>
                <w:szCs w:val="18"/>
              </w:rPr>
              <w:t>90,794</w:t>
            </w:r>
          </w:p>
        </w:tc>
        <w:tc>
          <w:tcPr>
            <w:tcW w:w="1036" w:type="dxa"/>
            <w:vAlign w:val="center"/>
          </w:tcPr>
          <w:p w14:paraId="3F20A07C" w14:textId="77777777" w:rsidR="00600A69" w:rsidRDefault="00600A69" w:rsidP="00B322A7">
            <w:pPr>
              <w:jc w:val="right"/>
              <w:rPr>
                <w:sz w:val="18"/>
                <w:szCs w:val="18"/>
              </w:rPr>
            </w:pPr>
            <w:r>
              <w:rPr>
                <w:sz w:val="18"/>
                <w:szCs w:val="18"/>
              </w:rPr>
              <w:t>155,911</w:t>
            </w:r>
          </w:p>
        </w:tc>
        <w:tc>
          <w:tcPr>
            <w:tcW w:w="1171" w:type="dxa"/>
            <w:vAlign w:val="center"/>
          </w:tcPr>
          <w:p w14:paraId="61B981EC" w14:textId="77777777" w:rsidR="00600A69" w:rsidRDefault="00600A69" w:rsidP="00B322A7">
            <w:pPr>
              <w:tabs>
                <w:tab w:val="decimal" w:pos="857"/>
              </w:tabs>
              <w:jc w:val="both"/>
              <w:rPr>
                <w:sz w:val="18"/>
                <w:szCs w:val="18"/>
              </w:rPr>
            </w:pPr>
            <w:r>
              <w:rPr>
                <w:sz w:val="18"/>
                <w:szCs w:val="18"/>
              </w:rPr>
              <w:t>236,060</w:t>
            </w:r>
          </w:p>
        </w:tc>
        <w:tc>
          <w:tcPr>
            <w:tcW w:w="1261" w:type="dxa"/>
            <w:vAlign w:val="center"/>
          </w:tcPr>
          <w:p w14:paraId="24BA2283" w14:textId="77777777" w:rsidR="00600A69" w:rsidRDefault="00600A69" w:rsidP="00B322A7">
            <w:pPr>
              <w:tabs>
                <w:tab w:val="decimal" w:pos="870"/>
              </w:tabs>
              <w:jc w:val="both"/>
              <w:rPr>
                <w:b/>
                <w:sz w:val="18"/>
                <w:szCs w:val="18"/>
              </w:rPr>
            </w:pPr>
            <w:r>
              <w:rPr>
                <w:b/>
                <w:sz w:val="18"/>
                <w:szCs w:val="18"/>
              </w:rPr>
              <w:t>_</w:t>
            </w:r>
          </w:p>
        </w:tc>
        <w:tc>
          <w:tcPr>
            <w:tcW w:w="1223" w:type="dxa"/>
            <w:vAlign w:val="center"/>
          </w:tcPr>
          <w:p w14:paraId="13CAC506" w14:textId="77777777" w:rsidR="00600A69" w:rsidRDefault="00600A69" w:rsidP="00B322A7">
            <w:pPr>
              <w:tabs>
                <w:tab w:val="decimal" w:pos="883"/>
              </w:tabs>
              <w:jc w:val="both"/>
              <w:rPr>
                <w:b/>
                <w:sz w:val="18"/>
                <w:szCs w:val="18"/>
              </w:rPr>
            </w:pPr>
            <w:r>
              <w:rPr>
                <w:b/>
                <w:sz w:val="18"/>
                <w:szCs w:val="18"/>
              </w:rPr>
              <w:t>-_</w:t>
            </w:r>
          </w:p>
        </w:tc>
      </w:tr>
      <w:tr w:rsidR="00600A69" w14:paraId="20BBA2C6" w14:textId="77777777" w:rsidTr="00B322A7">
        <w:trPr>
          <w:cantSplit/>
        </w:trPr>
        <w:tc>
          <w:tcPr>
            <w:tcW w:w="4257" w:type="dxa"/>
            <w:vAlign w:val="center"/>
          </w:tcPr>
          <w:p w14:paraId="2C7DC030" w14:textId="77777777" w:rsidR="00600A69" w:rsidRDefault="00600A69" w:rsidP="00B322A7">
            <w:pPr>
              <w:tabs>
                <w:tab w:val="left" w:pos="360"/>
                <w:tab w:val="right" w:leader="dot" w:pos="5400"/>
              </w:tabs>
              <w:ind w:right="-7"/>
              <w:jc w:val="both"/>
              <w:rPr>
                <w:rFonts w:cs="Arabic Transparent"/>
                <w:sz w:val="18"/>
                <w:szCs w:val="18"/>
              </w:rPr>
            </w:pPr>
            <w:r>
              <w:rPr>
                <w:rFonts w:cs="Arabic Transparent"/>
                <w:sz w:val="18"/>
                <w:szCs w:val="18"/>
              </w:rPr>
              <w:t>Distribution by/(investment in) VGP European logistics joint venture</w:t>
            </w:r>
          </w:p>
        </w:tc>
        <w:tc>
          <w:tcPr>
            <w:tcW w:w="1035" w:type="dxa"/>
            <w:vAlign w:val="center"/>
          </w:tcPr>
          <w:p w14:paraId="6F42BA57" w14:textId="77777777" w:rsidR="00600A69" w:rsidRDefault="00600A69" w:rsidP="00B322A7">
            <w:pPr>
              <w:jc w:val="right"/>
              <w:rPr>
                <w:sz w:val="18"/>
                <w:szCs w:val="18"/>
              </w:rPr>
            </w:pPr>
            <w:r>
              <w:rPr>
                <w:sz w:val="18"/>
                <w:szCs w:val="18"/>
              </w:rPr>
              <w:t>_</w:t>
            </w:r>
          </w:p>
        </w:tc>
        <w:tc>
          <w:tcPr>
            <w:tcW w:w="1036" w:type="dxa"/>
            <w:vAlign w:val="center"/>
          </w:tcPr>
          <w:p w14:paraId="6DF391B1" w14:textId="77777777" w:rsidR="00600A69" w:rsidRDefault="00600A69" w:rsidP="00B322A7">
            <w:pPr>
              <w:jc w:val="right"/>
              <w:rPr>
                <w:sz w:val="18"/>
                <w:szCs w:val="18"/>
              </w:rPr>
            </w:pPr>
          </w:p>
        </w:tc>
        <w:tc>
          <w:tcPr>
            <w:tcW w:w="1171" w:type="dxa"/>
            <w:vAlign w:val="center"/>
          </w:tcPr>
          <w:p w14:paraId="34291755" w14:textId="77777777" w:rsidR="00600A69" w:rsidRDefault="00600A69" w:rsidP="00B322A7">
            <w:pPr>
              <w:tabs>
                <w:tab w:val="decimal" w:pos="857"/>
              </w:tabs>
              <w:jc w:val="both"/>
              <w:rPr>
                <w:sz w:val="18"/>
                <w:szCs w:val="18"/>
              </w:rPr>
            </w:pPr>
            <w:r>
              <w:rPr>
                <w:sz w:val="18"/>
                <w:szCs w:val="18"/>
              </w:rPr>
              <w:t>4,678</w:t>
            </w:r>
          </w:p>
        </w:tc>
        <w:tc>
          <w:tcPr>
            <w:tcW w:w="1261" w:type="dxa"/>
            <w:vAlign w:val="center"/>
          </w:tcPr>
          <w:p w14:paraId="2770DE3D" w14:textId="77777777" w:rsidR="00600A69" w:rsidRDefault="00600A69" w:rsidP="00B322A7">
            <w:pPr>
              <w:tabs>
                <w:tab w:val="decimal" w:pos="870"/>
              </w:tabs>
              <w:jc w:val="both"/>
              <w:rPr>
                <w:sz w:val="18"/>
                <w:szCs w:val="18"/>
              </w:rPr>
            </w:pPr>
            <w:r>
              <w:rPr>
                <w:sz w:val="18"/>
                <w:szCs w:val="18"/>
              </w:rPr>
              <w:t>-_</w:t>
            </w:r>
          </w:p>
        </w:tc>
        <w:tc>
          <w:tcPr>
            <w:tcW w:w="1223" w:type="dxa"/>
            <w:vAlign w:val="center"/>
          </w:tcPr>
          <w:p w14:paraId="300A9324" w14:textId="77777777" w:rsidR="00600A69" w:rsidRDefault="00600A69" w:rsidP="00B322A7">
            <w:pPr>
              <w:tabs>
                <w:tab w:val="decimal" w:pos="883"/>
              </w:tabs>
              <w:jc w:val="both"/>
              <w:rPr>
                <w:sz w:val="18"/>
                <w:szCs w:val="18"/>
              </w:rPr>
            </w:pPr>
            <w:r>
              <w:rPr>
                <w:sz w:val="18"/>
                <w:szCs w:val="18"/>
              </w:rPr>
              <w:t>-_</w:t>
            </w:r>
          </w:p>
        </w:tc>
      </w:tr>
      <w:tr w:rsidR="00600A69" w14:paraId="3975EFEA" w14:textId="77777777" w:rsidTr="00B322A7">
        <w:trPr>
          <w:cantSplit/>
        </w:trPr>
        <w:tc>
          <w:tcPr>
            <w:tcW w:w="4257" w:type="dxa"/>
            <w:vAlign w:val="center"/>
          </w:tcPr>
          <w:p w14:paraId="59603F79" w14:textId="77777777" w:rsidR="00600A69" w:rsidRDefault="00600A69" w:rsidP="00B322A7">
            <w:pPr>
              <w:tabs>
                <w:tab w:val="left" w:pos="360"/>
                <w:tab w:val="right" w:leader="dot" w:pos="5400"/>
              </w:tabs>
              <w:ind w:right="-7"/>
              <w:jc w:val="both"/>
              <w:rPr>
                <w:rFonts w:cs="Arabic Transparent"/>
                <w:sz w:val="18"/>
                <w:szCs w:val="18"/>
              </w:rPr>
            </w:pPr>
            <w:r>
              <w:rPr>
                <w:rFonts w:cs="Arabic Transparent"/>
                <w:sz w:val="18"/>
                <w:szCs w:val="18"/>
              </w:rPr>
              <w:t>(Loans provided to)/loans repaid by joint venture and associates</w:t>
            </w:r>
          </w:p>
        </w:tc>
        <w:tc>
          <w:tcPr>
            <w:tcW w:w="1035" w:type="dxa"/>
            <w:vAlign w:val="center"/>
          </w:tcPr>
          <w:p w14:paraId="5C6FF1FA" w14:textId="77777777" w:rsidR="00600A69" w:rsidRDefault="00600A69" w:rsidP="00B322A7">
            <w:pPr>
              <w:jc w:val="right"/>
              <w:rPr>
                <w:sz w:val="18"/>
                <w:szCs w:val="18"/>
              </w:rPr>
            </w:pPr>
            <w:r>
              <w:rPr>
                <w:sz w:val="18"/>
                <w:szCs w:val="18"/>
              </w:rPr>
              <w:t>(36,794)</w:t>
            </w:r>
          </w:p>
        </w:tc>
        <w:tc>
          <w:tcPr>
            <w:tcW w:w="1036" w:type="dxa"/>
            <w:vAlign w:val="center"/>
          </w:tcPr>
          <w:p w14:paraId="4DA2E8AC" w14:textId="77777777" w:rsidR="00600A69" w:rsidRDefault="00600A69" w:rsidP="00B322A7">
            <w:pPr>
              <w:jc w:val="right"/>
              <w:rPr>
                <w:sz w:val="18"/>
                <w:szCs w:val="18"/>
              </w:rPr>
            </w:pPr>
          </w:p>
        </w:tc>
        <w:tc>
          <w:tcPr>
            <w:tcW w:w="1171" w:type="dxa"/>
            <w:vAlign w:val="center"/>
          </w:tcPr>
          <w:p w14:paraId="7DC4FB0D" w14:textId="77777777" w:rsidR="00600A69" w:rsidRDefault="00600A69" w:rsidP="00B322A7">
            <w:pPr>
              <w:tabs>
                <w:tab w:val="decimal" w:pos="857"/>
              </w:tabs>
              <w:jc w:val="both"/>
              <w:rPr>
                <w:sz w:val="18"/>
                <w:szCs w:val="18"/>
              </w:rPr>
            </w:pPr>
            <w:r>
              <w:rPr>
                <w:sz w:val="18"/>
                <w:szCs w:val="18"/>
              </w:rPr>
              <w:t>(28,546)</w:t>
            </w:r>
          </w:p>
        </w:tc>
        <w:tc>
          <w:tcPr>
            <w:tcW w:w="1261" w:type="dxa"/>
            <w:vAlign w:val="center"/>
          </w:tcPr>
          <w:p w14:paraId="08E0297F" w14:textId="77777777" w:rsidR="00600A69" w:rsidRDefault="00600A69" w:rsidP="00B322A7">
            <w:pPr>
              <w:tabs>
                <w:tab w:val="decimal" w:pos="870"/>
              </w:tabs>
              <w:jc w:val="both"/>
              <w:rPr>
                <w:sz w:val="18"/>
                <w:szCs w:val="18"/>
              </w:rPr>
            </w:pPr>
            <w:r>
              <w:rPr>
                <w:sz w:val="18"/>
                <w:szCs w:val="18"/>
              </w:rPr>
              <w:t>-_</w:t>
            </w:r>
          </w:p>
        </w:tc>
        <w:tc>
          <w:tcPr>
            <w:tcW w:w="1223" w:type="dxa"/>
            <w:vAlign w:val="center"/>
          </w:tcPr>
          <w:p w14:paraId="1AA4A5B6" w14:textId="77777777" w:rsidR="00600A69" w:rsidRDefault="00600A69" w:rsidP="00B322A7">
            <w:pPr>
              <w:tabs>
                <w:tab w:val="decimal" w:pos="883"/>
              </w:tabs>
              <w:jc w:val="both"/>
              <w:rPr>
                <w:sz w:val="18"/>
                <w:szCs w:val="18"/>
              </w:rPr>
            </w:pPr>
            <w:r>
              <w:rPr>
                <w:sz w:val="18"/>
                <w:szCs w:val="18"/>
              </w:rPr>
              <w:t>49,812</w:t>
            </w:r>
          </w:p>
        </w:tc>
      </w:tr>
      <w:tr w:rsidR="00600A69" w14:paraId="45E71D32" w14:textId="77777777" w:rsidTr="00B322A7">
        <w:trPr>
          <w:cantSplit/>
        </w:trPr>
        <w:tc>
          <w:tcPr>
            <w:tcW w:w="4257" w:type="dxa"/>
            <w:vAlign w:val="center"/>
          </w:tcPr>
          <w:p w14:paraId="7C81B1B5" w14:textId="77777777" w:rsidR="00600A69" w:rsidRDefault="00600A69" w:rsidP="00B322A7">
            <w:pPr>
              <w:tabs>
                <w:tab w:val="left" w:pos="360"/>
                <w:tab w:val="right" w:leader="dot" w:pos="5400"/>
              </w:tabs>
              <w:ind w:right="-7"/>
              <w:jc w:val="both"/>
              <w:rPr>
                <w:rFonts w:cs="Arabic Transparent"/>
                <w:b/>
                <w:sz w:val="18"/>
                <w:szCs w:val="18"/>
              </w:rPr>
            </w:pPr>
            <w:r>
              <w:rPr>
                <w:rFonts w:cs="Arabic Transparent"/>
                <w:b/>
                <w:sz w:val="18"/>
                <w:szCs w:val="18"/>
              </w:rPr>
              <w:t>Net cash generated from (used in) investing activities</w:t>
            </w:r>
          </w:p>
        </w:tc>
        <w:tc>
          <w:tcPr>
            <w:tcW w:w="1035" w:type="dxa"/>
            <w:vAlign w:val="center"/>
          </w:tcPr>
          <w:p w14:paraId="168B5475" w14:textId="77777777" w:rsidR="00600A69" w:rsidRDefault="00600A69" w:rsidP="00B322A7">
            <w:pPr>
              <w:jc w:val="right"/>
              <w:rPr>
                <w:b/>
                <w:sz w:val="18"/>
                <w:szCs w:val="18"/>
                <w:u w:val="single"/>
              </w:rPr>
            </w:pPr>
            <w:r>
              <w:rPr>
                <w:b/>
                <w:sz w:val="18"/>
                <w:szCs w:val="18"/>
                <w:u w:val="single"/>
              </w:rPr>
              <w:t>(14,827)</w:t>
            </w:r>
          </w:p>
        </w:tc>
        <w:tc>
          <w:tcPr>
            <w:tcW w:w="1036" w:type="dxa"/>
            <w:vAlign w:val="center"/>
          </w:tcPr>
          <w:p w14:paraId="7A33CEF6" w14:textId="0360D491" w:rsidR="00600A69" w:rsidRDefault="008A186E" w:rsidP="00B322A7">
            <w:pPr>
              <w:jc w:val="right"/>
              <w:rPr>
                <w:b/>
                <w:sz w:val="18"/>
                <w:szCs w:val="18"/>
                <w:u w:val="single"/>
              </w:rPr>
            </w:pPr>
            <w:r>
              <w:rPr>
                <w:b/>
                <w:sz w:val="18"/>
                <w:szCs w:val="18"/>
                <w:u w:val="single"/>
              </w:rPr>
              <w:t>71,520</w:t>
            </w:r>
          </w:p>
        </w:tc>
        <w:tc>
          <w:tcPr>
            <w:tcW w:w="1171" w:type="dxa"/>
            <w:vAlign w:val="center"/>
          </w:tcPr>
          <w:p w14:paraId="3097B7FE" w14:textId="77777777" w:rsidR="00600A69" w:rsidRDefault="00600A69" w:rsidP="00B322A7">
            <w:pPr>
              <w:tabs>
                <w:tab w:val="decimal" w:pos="857"/>
              </w:tabs>
              <w:jc w:val="both"/>
              <w:rPr>
                <w:b/>
                <w:sz w:val="18"/>
                <w:szCs w:val="18"/>
                <w:u w:val="single"/>
              </w:rPr>
            </w:pPr>
            <w:r>
              <w:rPr>
                <w:b/>
                <w:sz w:val="18"/>
                <w:szCs w:val="18"/>
                <w:u w:val="single"/>
              </w:rPr>
              <w:t>(124,416)</w:t>
            </w:r>
          </w:p>
        </w:tc>
        <w:tc>
          <w:tcPr>
            <w:tcW w:w="1261" w:type="dxa"/>
            <w:vAlign w:val="center"/>
          </w:tcPr>
          <w:p w14:paraId="477A523B" w14:textId="77777777" w:rsidR="00600A69" w:rsidRDefault="00600A69" w:rsidP="00B322A7">
            <w:pPr>
              <w:tabs>
                <w:tab w:val="decimal" w:pos="870"/>
              </w:tabs>
              <w:jc w:val="both"/>
              <w:rPr>
                <w:b/>
                <w:sz w:val="18"/>
                <w:szCs w:val="18"/>
                <w:u w:val="single"/>
              </w:rPr>
            </w:pPr>
            <w:r>
              <w:rPr>
                <w:b/>
                <w:sz w:val="18"/>
                <w:szCs w:val="18"/>
                <w:u w:val="single"/>
              </w:rPr>
              <w:t>(147,377)</w:t>
            </w:r>
          </w:p>
        </w:tc>
        <w:tc>
          <w:tcPr>
            <w:tcW w:w="1223" w:type="dxa"/>
            <w:vAlign w:val="center"/>
          </w:tcPr>
          <w:p w14:paraId="3AB17BCC" w14:textId="77777777" w:rsidR="00600A69" w:rsidRDefault="00600A69" w:rsidP="00B322A7">
            <w:pPr>
              <w:tabs>
                <w:tab w:val="decimal" w:pos="883"/>
              </w:tabs>
              <w:jc w:val="both"/>
              <w:rPr>
                <w:b/>
                <w:sz w:val="18"/>
                <w:szCs w:val="18"/>
                <w:u w:val="single"/>
              </w:rPr>
            </w:pPr>
            <w:r>
              <w:rPr>
                <w:b/>
                <w:sz w:val="18"/>
                <w:szCs w:val="18"/>
                <w:u w:val="single"/>
              </w:rPr>
              <w:t>(59,491)</w:t>
            </w:r>
          </w:p>
        </w:tc>
      </w:tr>
      <w:tr w:rsidR="00600A69" w14:paraId="55F79E9C" w14:textId="77777777" w:rsidTr="00B322A7">
        <w:trPr>
          <w:cantSplit/>
        </w:trPr>
        <w:tc>
          <w:tcPr>
            <w:tcW w:w="4257" w:type="dxa"/>
            <w:vAlign w:val="center"/>
          </w:tcPr>
          <w:p w14:paraId="4E57EA12" w14:textId="77777777" w:rsidR="00600A69" w:rsidRDefault="00600A69" w:rsidP="00B322A7">
            <w:pPr>
              <w:tabs>
                <w:tab w:val="left" w:pos="360"/>
                <w:tab w:val="right" w:leader="dot" w:pos="5400"/>
              </w:tabs>
              <w:ind w:right="-7"/>
              <w:jc w:val="both"/>
              <w:rPr>
                <w:rFonts w:cs="Arabic Transparent"/>
                <w:b/>
                <w:sz w:val="18"/>
                <w:szCs w:val="18"/>
              </w:rPr>
            </w:pPr>
            <w:r>
              <w:rPr>
                <w:rFonts w:cs="Arabic Transparent"/>
                <w:b/>
                <w:sz w:val="18"/>
                <w:szCs w:val="18"/>
              </w:rPr>
              <w:t>Cash flows from financing activities</w:t>
            </w:r>
          </w:p>
        </w:tc>
        <w:tc>
          <w:tcPr>
            <w:tcW w:w="2071" w:type="dxa"/>
            <w:gridSpan w:val="2"/>
            <w:vAlign w:val="center"/>
          </w:tcPr>
          <w:p w14:paraId="1DBB8564" w14:textId="77777777" w:rsidR="00600A69" w:rsidRDefault="00600A69" w:rsidP="00B322A7">
            <w:pPr>
              <w:jc w:val="right"/>
              <w:rPr>
                <w:b/>
                <w:sz w:val="18"/>
                <w:szCs w:val="18"/>
              </w:rPr>
            </w:pPr>
          </w:p>
        </w:tc>
        <w:tc>
          <w:tcPr>
            <w:tcW w:w="1171" w:type="dxa"/>
            <w:vAlign w:val="center"/>
          </w:tcPr>
          <w:p w14:paraId="3DF9006E" w14:textId="77777777" w:rsidR="00600A69" w:rsidRDefault="00600A69" w:rsidP="00B322A7">
            <w:pPr>
              <w:tabs>
                <w:tab w:val="decimal" w:pos="857"/>
              </w:tabs>
              <w:jc w:val="both"/>
              <w:rPr>
                <w:b/>
                <w:sz w:val="18"/>
                <w:szCs w:val="18"/>
              </w:rPr>
            </w:pPr>
          </w:p>
        </w:tc>
        <w:tc>
          <w:tcPr>
            <w:tcW w:w="1261" w:type="dxa"/>
            <w:vAlign w:val="center"/>
          </w:tcPr>
          <w:p w14:paraId="14925128" w14:textId="77777777" w:rsidR="00600A69" w:rsidRDefault="00600A69" w:rsidP="00B322A7">
            <w:pPr>
              <w:tabs>
                <w:tab w:val="decimal" w:pos="870"/>
              </w:tabs>
              <w:jc w:val="both"/>
              <w:rPr>
                <w:b/>
                <w:sz w:val="18"/>
                <w:szCs w:val="18"/>
              </w:rPr>
            </w:pPr>
          </w:p>
        </w:tc>
        <w:tc>
          <w:tcPr>
            <w:tcW w:w="1223" w:type="dxa"/>
            <w:vAlign w:val="center"/>
          </w:tcPr>
          <w:p w14:paraId="4C40332A" w14:textId="77777777" w:rsidR="00600A69" w:rsidRDefault="00600A69" w:rsidP="00B322A7">
            <w:pPr>
              <w:tabs>
                <w:tab w:val="decimal" w:pos="883"/>
              </w:tabs>
              <w:jc w:val="both"/>
              <w:rPr>
                <w:b/>
                <w:sz w:val="18"/>
                <w:szCs w:val="18"/>
              </w:rPr>
            </w:pPr>
          </w:p>
        </w:tc>
      </w:tr>
      <w:tr w:rsidR="00600A69" w14:paraId="173D0AE3" w14:textId="77777777" w:rsidTr="00B322A7">
        <w:trPr>
          <w:cantSplit/>
        </w:trPr>
        <w:tc>
          <w:tcPr>
            <w:tcW w:w="4257" w:type="dxa"/>
            <w:vAlign w:val="center"/>
          </w:tcPr>
          <w:p w14:paraId="178CA409" w14:textId="77777777" w:rsidR="00600A69" w:rsidRDefault="00600A69" w:rsidP="00B322A7">
            <w:pPr>
              <w:tabs>
                <w:tab w:val="left" w:pos="360"/>
                <w:tab w:val="right" w:leader="dot" w:pos="5400"/>
              </w:tabs>
              <w:ind w:right="-7"/>
              <w:jc w:val="both"/>
              <w:rPr>
                <w:rFonts w:cs="Arabic Transparent"/>
                <w:sz w:val="18"/>
                <w:szCs w:val="18"/>
              </w:rPr>
            </w:pPr>
            <w:r>
              <w:rPr>
                <w:rFonts w:cs="Arabic Transparent"/>
                <w:sz w:val="18"/>
                <w:szCs w:val="18"/>
              </w:rPr>
              <w:t>Gross dividends paid</w:t>
            </w:r>
          </w:p>
        </w:tc>
        <w:tc>
          <w:tcPr>
            <w:tcW w:w="2071" w:type="dxa"/>
            <w:gridSpan w:val="2"/>
            <w:vAlign w:val="center"/>
          </w:tcPr>
          <w:p w14:paraId="097DAD30" w14:textId="77777777" w:rsidR="00600A69" w:rsidRDefault="00600A69" w:rsidP="00B322A7">
            <w:pPr>
              <w:jc w:val="right"/>
              <w:rPr>
                <w:sz w:val="18"/>
                <w:szCs w:val="18"/>
              </w:rPr>
            </w:pPr>
            <w:r>
              <w:rPr>
                <w:b/>
                <w:sz w:val="18"/>
                <w:szCs w:val="18"/>
              </w:rPr>
              <w:t>_</w:t>
            </w:r>
          </w:p>
        </w:tc>
        <w:tc>
          <w:tcPr>
            <w:tcW w:w="1171" w:type="dxa"/>
            <w:vAlign w:val="center"/>
          </w:tcPr>
          <w:p w14:paraId="3569BB97" w14:textId="77777777" w:rsidR="00600A69" w:rsidRDefault="00600A69" w:rsidP="00B322A7">
            <w:pPr>
              <w:tabs>
                <w:tab w:val="decimal" w:pos="857"/>
              </w:tabs>
              <w:jc w:val="both"/>
              <w:rPr>
                <w:sz w:val="18"/>
                <w:szCs w:val="18"/>
              </w:rPr>
            </w:pPr>
            <w:r>
              <w:rPr>
                <w:b/>
                <w:sz w:val="18"/>
                <w:szCs w:val="18"/>
              </w:rPr>
              <w:t>_</w:t>
            </w:r>
          </w:p>
        </w:tc>
        <w:tc>
          <w:tcPr>
            <w:tcW w:w="1261" w:type="dxa"/>
            <w:vAlign w:val="center"/>
          </w:tcPr>
          <w:p w14:paraId="344E6FB1" w14:textId="77777777" w:rsidR="00600A69" w:rsidRDefault="00600A69" w:rsidP="00B322A7">
            <w:pPr>
              <w:tabs>
                <w:tab w:val="decimal" w:pos="857"/>
              </w:tabs>
              <w:jc w:val="both"/>
              <w:rPr>
                <w:sz w:val="18"/>
                <w:szCs w:val="18"/>
              </w:rPr>
            </w:pPr>
            <w:r>
              <w:rPr>
                <w:b/>
                <w:sz w:val="18"/>
                <w:szCs w:val="18"/>
              </w:rPr>
              <w:t>_</w:t>
            </w:r>
          </w:p>
        </w:tc>
        <w:tc>
          <w:tcPr>
            <w:tcW w:w="1223" w:type="dxa"/>
            <w:vAlign w:val="center"/>
          </w:tcPr>
          <w:p w14:paraId="401F98FD" w14:textId="77777777" w:rsidR="00600A69" w:rsidRDefault="00600A69" w:rsidP="00B322A7">
            <w:pPr>
              <w:tabs>
                <w:tab w:val="decimal" w:pos="857"/>
              </w:tabs>
              <w:jc w:val="both"/>
              <w:rPr>
                <w:sz w:val="18"/>
                <w:szCs w:val="18"/>
              </w:rPr>
            </w:pPr>
            <w:r>
              <w:rPr>
                <w:sz w:val="18"/>
                <w:szCs w:val="18"/>
              </w:rPr>
              <w:t>_</w:t>
            </w:r>
          </w:p>
        </w:tc>
      </w:tr>
      <w:tr w:rsidR="00600A69" w14:paraId="66733D32" w14:textId="77777777" w:rsidTr="00B322A7">
        <w:trPr>
          <w:cantSplit/>
        </w:trPr>
        <w:tc>
          <w:tcPr>
            <w:tcW w:w="4257" w:type="dxa"/>
            <w:vAlign w:val="center"/>
          </w:tcPr>
          <w:p w14:paraId="1BD76C4D" w14:textId="77777777" w:rsidR="00600A69" w:rsidRDefault="00600A69" w:rsidP="00B322A7">
            <w:pPr>
              <w:tabs>
                <w:tab w:val="left" w:pos="360"/>
                <w:tab w:val="right" w:leader="dot" w:pos="5400"/>
              </w:tabs>
              <w:ind w:right="-7"/>
              <w:jc w:val="both"/>
              <w:rPr>
                <w:rFonts w:cs="Arabic Transparent"/>
                <w:sz w:val="18"/>
                <w:szCs w:val="18"/>
              </w:rPr>
            </w:pPr>
            <w:r>
              <w:rPr>
                <w:rFonts w:cs="Arabic Transparent"/>
                <w:sz w:val="18"/>
                <w:szCs w:val="18"/>
              </w:rPr>
              <w:t>Net proceeds / (cash out) from the issue / (repayment) hybrid instruments</w:t>
            </w:r>
          </w:p>
        </w:tc>
        <w:tc>
          <w:tcPr>
            <w:tcW w:w="2071" w:type="dxa"/>
            <w:gridSpan w:val="2"/>
            <w:vAlign w:val="center"/>
          </w:tcPr>
          <w:p w14:paraId="3262848A" w14:textId="77777777" w:rsidR="00600A69" w:rsidRDefault="00600A69" w:rsidP="00B322A7">
            <w:pPr>
              <w:jc w:val="right"/>
              <w:rPr>
                <w:sz w:val="18"/>
                <w:szCs w:val="18"/>
              </w:rPr>
            </w:pPr>
            <w:r>
              <w:rPr>
                <w:sz w:val="18"/>
                <w:szCs w:val="18"/>
              </w:rPr>
              <w:t>(62,959)</w:t>
            </w:r>
          </w:p>
        </w:tc>
        <w:tc>
          <w:tcPr>
            <w:tcW w:w="1171" w:type="dxa"/>
            <w:vAlign w:val="center"/>
          </w:tcPr>
          <w:p w14:paraId="08836F50" w14:textId="77777777" w:rsidR="00600A69" w:rsidRDefault="00600A69" w:rsidP="00B322A7">
            <w:pPr>
              <w:tabs>
                <w:tab w:val="decimal" w:pos="857"/>
              </w:tabs>
              <w:jc w:val="both"/>
              <w:rPr>
                <w:sz w:val="18"/>
                <w:szCs w:val="18"/>
              </w:rPr>
            </w:pPr>
            <w:r>
              <w:rPr>
                <w:sz w:val="18"/>
                <w:szCs w:val="18"/>
              </w:rPr>
              <w:t>(62,960)</w:t>
            </w:r>
          </w:p>
        </w:tc>
        <w:tc>
          <w:tcPr>
            <w:tcW w:w="1261" w:type="dxa"/>
            <w:vAlign w:val="center"/>
          </w:tcPr>
          <w:p w14:paraId="355206FC" w14:textId="77777777" w:rsidR="00600A69" w:rsidRDefault="00600A69" w:rsidP="00B322A7">
            <w:pPr>
              <w:tabs>
                <w:tab w:val="decimal" w:pos="857"/>
              </w:tabs>
              <w:jc w:val="both"/>
              <w:rPr>
                <w:sz w:val="18"/>
                <w:szCs w:val="18"/>
              </w:rPr>
            </w:pPr>
            <w:r>
              <w:rPr>
                <w:sz w:val="18"/>
                <w:szCs w:val="18"/>
              </w:rPr>
              <w:t>60,000</w:t>
            </w:r>
          </w:p>
        </w:tc>
        <w:tc>
          <w:tcPr>
            <w:tcW w:w="1223" w:type="dxa"/>
            <w:vAlign w:val="center"/>
          </w:tcPr>
          <w:p w14:paraId="26E2D0DC" w14:textId="77777777" w:rsidR="00600A69" w:rsidRDefault="00600A69" w:rsidP="00B322A7">
            <w:pPr>
              <w:tabs>
                <w:tab w:val="decimal" w:pos="857"/>
              </w:tabs>
              <w:jc w:val="both"/>
              <w:rPr>
                <w:sz w:val="18"/>
                <w:szCs w:val="18"/>
              </w:rPr>
            </w:pPr>
            <w:r>
              <w:rPr>
                <w:sz w:val="18"/>
                <w:szCs w:val="18"/>
              </w:rPr>
              <w:t>_</w:t>
            </w:r>
          </w:p>
        </w:tc>
      </w:tr>
      <w:tr w:rsidR="00600A69" w14:paraId="6D1DE47F" w14:textId="77777777" w:rsidTr="00B322A7">
        <w:trPr>
          <w:cantSplit/>
        </w:trPr>
        <w:tc>
          <w:tcPr>
            <w:tcW w:w="4257" w:type="dxa"/>
            <w:vAlign w:val="center"/>
          </w:tcPr>
          <w:p w14:paraId="6DFF869F" w14:textId="77777777" w:rsidR="00600A69" w:rsidRDefault="00600A69" w:rsidP="00B322A7">
            <w:pPr>
              <w:tabs>
                <w:tab w:val="left" w:pos="360"/>
                <w:tab w:val="right" w:leader="dot" w:pos="5400"/>
              </w:tabs>
              <w:ind w:right="-7"/>
              <w:jc w:val="both"/>
              <w:rPr>
                <w:rFonts w:cs="Arabic Transparent"/>
                <w:sz w:val="18"/>
                <w:szCs w:val="18"/>
              </w:rPr>
            </w:pPr>
            <w:r>
              <w:rPr>
                <w:rFonts w:cs="Arabic Transparent"/>
                <w:sz w:val="18"/>
                <w:szCs w:val="18"/>
              </w:rPr>
              <w:t>Proceeds from loans and bonds</w:t>
            </w:r>
          </w:p>
        </w:tc>
        <w:tc>
          <w:tcPr>
            <w:tcW w:w="1035" w:type="dxa"/>
            <w:vAlign w:val="center"/>
          </w:tcPr>
          <w:p w14:paraId="7EDC6B55" w14:textId="77777777" w:rsidR="00600A69" w:rsidRDefault="00600A69" w:rsidP="00B322A7">
            <w:pPr>
              <w:jc w:val="right"/>
              <w:rPr>
                <w:sz w:val="18"/>
                <w:szCs w:val="18"/>
              </w:rPr>
            </w:pPr>
            <w:r>
              <w:rPr>
                <w:sz w:val="18"/>
                <w:szCs w:val="18"/>
              </w:rPr>
              <w:t>79,568</w:t>
            </w:r>
          </w:p>
        </w:tc>
        <w:tc>
          <w:tcPr>
            <w:tcW w:w="1036" w:type="dxa"/>
            <w:vAlign w:val="center"/>
          </w:tcPr>
          <w:p w14:paraId="690E9988" w14:textId="77777777" w:rsidR="00600A69" w:rsidRDefault="00600A69" w:rsidP="00B322A7">
            <w:pPr>
              <w:jc w:val="right"/>
              <w:rPr>
                <w:sz w:val="18"/>
                <w:szCs w:val="18"/>
              </w:rPr>
            </w:pPr>
            <w:r>
              <w:rPr>
                <w:sz w:val="18"/>
                <w:szCs w:val="18"/>
              </w:rPr>
              <w:t>50,009</w:t>
            </w:r>
          </w:p>
        </w:tc>
        <w:tc>
          <w:tcPr>
            <w:tcW w:w="1171" w:type="dxa"/>
            <w:vAlign w:val="center"/>
          </w:tcPr>
          <w:p w14:paraId="7024E7C5" w14:textId="77777777" w:rsidR="00600A69" w:rsidRDefault="00600A69" w:rsidP="00B322A7">
            <w:pPr>
              <w:tabs>
                <w:tab w:val="decimal" w:pos="857"/>
              </w:tabs>
              <w:jc w:val="both"/>
              <w:rPr>
                <w:sz w:val="18"/>
                <w:szCs w:val="18"/>
              </w:rPr>
            </w:pPr>
            <w:r>
              <w:rPr>
                <w:sz w:val="18"/>
                <w:szCs w:val="18"/>
              </w:rPr>
              <w:t>283,367</w:t>
            </w:r>
          </w:p>
        </w:tc>
        <w:tc>
          <w:tcPr>
            <w:tcW w:w="1261" w:type="dxa"/>
            <w:vAlign w:val="center"/>
          </w:tcPr>
          <w:p w14:paraId="52DC69F3" w14:textId="77777777" w:rsidR="00600A69" w:rsidRDefault="00600A69" w:rsidP="00B322A7">
            <w:pPr>
              <w:tabs>
                <w:tab w:val="decimal" w:pos="857"/>
              </w:tabs>
              <w:jc w:val="both"/>
              <w:rPr>
                <w:sz w:val="18"/>
                <w:szCs w:val="18"/>
              </w:rPr>
            </w:pPr>
            <w:r>
              <w:rPr>
                <w:sz w:val="18"/>
                <w:szCs w:val="18"/>
              </w:rPr>
              <w:t>83,967</w:t>
            </w:r>
          </w:p>
        </w:tc>
        <w:tc>
          <w:tcPr>
            <w:tcW w:w="1223" w:type="dxa"/>
            <w:vAlign w:val="center"/>
          </w:tcPr>
          <w:p w14:paraId="6CD97301" w14:textId="77777777" w:rsidR="00600A69" w:rsidRDefault="00600A69" w:rsidP="00B322A7">
            <w:pPr>
              <w:tabs>
                <w:tab w:val="decimal" w:pos="857"/>
              </w:tabs>
              <w:jc w:val="both"/>
              <w:rPr>
                <w:sz w:val="18"/>
                <w:szCs w:val="18"/>
              </w:rPr>
            </w:pPr>
            <w:r>
              <w:rPr>
                <w:sz w:val="18"/>
                <w:szCs w:val="18"/>
              </w:rPr>
              <w:t>26,862</w:t>
            </w:r>
          </w:p>
        </w:tc>
      </w:tr>
      <w:tr w:rsidR="00600A69" w14:paraId="4F5B70E5" w14:textId="77777777" w:rsidTr="00B322A7">
        <w:trPr>
          <w:cantSplit/>
        </w:trPr>
        <w:tc>
          <w:tcPr>
            <w:tcW w:w="4257" w:type="dxa"/>
            <w:vAlign w:val="center"/>
          </w:tcPr>
          <w:p w14:paraId="2ED3D526" w14:textId="77777777" w:rsidR="00600A69" w:rsidRDefault="00600A69" w:rsidP="00B322A7">
            <w:pPr>
              <w:tabs>
                <w:tab w:val="left" w:pos="360"/>
                <w:tab w:val="right" w:leader="dot" w:pos="5400"/>
              </w:tabs>
              <w:ind w:right="-7"/>
              <w:jc w:val="both"/>
              <w:rPr>
                <w:rFonts w:cs="Arabic Transparent"/>
                <w:sz w:val="18"/>
                <w:szCs w:val="18"/>
              </w:rPr>
            </w:pPr>
            <w:r>
              <w:rPr>
                <w:rFonts w:cs="Arabic Transparent"/>
                <w:sz w:val="18"/>
                <w:szCs w:val="18"/>
              </w:rPr>
              <w:t>Loan repayments</w:t>
            </w:r>
          </w:p>
        </w:tc>
        <w:tc>
          <w:tcPr>
            <w:tcW w:w="1035" w:type="dxa"/>
            <w:vAlign w:val="center"/>
          </w:tcPr>
          <w:p w14:paraId="0FA4D3C5" w14:textId="77777777" w:rsidR="00600A69" w:rsidRDefault="00600A69" w:rsidP="00B322A7">
            <w:pPr>
              <w:jc w:val="right"/>
              <w:rPr>
                <w:sz w:val="18"/>
                <w:szCs w:val="18"/>
              </w:rPr>
            </w:pPr>
            <w:r>
              <w:rPr>
                <w:sz w:val="18"/>
                <w:szCs w:val="18"/>
              </w:rPr>
              <w:t>(4,131)</w:t>
            </w:r>
          </w:p>
        </w:tc>
        <w:tc>
          <w:tcPr>
            <w:tcW w:w="1036" w:type="dxa"/>
            <w:vAlign w:val="center"/>
          </w:tcPr>
          <w:p w14:paraId="415CF28D" w14:textId="77777777" w:rsidR="00600A69" w:rsidRDefault="00600A69" w:rsidP="00B322A7">
            <w:pPr>
              <w:jc w:val="right"/>
              <w:rPr>
                <w:sz w:val="18"/>
                <w:szCs w:val="18"/>
              </w:rPr>
            </w:pPr>
            <w:r>
              <w:rPr>
                <w:sz w:val="18"/>
                <w:szCs w:val="18"/>
              </w:rPr>
              <w:t>(50,571)</w:t>
            </w:r>
          </w:p>
        </w:tc>
        <w:tc>
          <w:tcPr>
            <w:tcW w:w="1171" w:type="dxa"/>
            <w:vAlign w:val="center"/>
          </w:tcPr>
          <w:p w14:paraId="25D1D7BA" w14:textId="77777777" w:rsidR="00600A69" w:rsidRDefault="00600A69" w:rsidP="00B322A7">
            <w:pPr>
              <w:tabs>
                <w:tab w:val="decimal" w:pos="857"/>
              </w:tabs>
              <w:jc w:val="both"/>
              <w:rPr>
                <w:sz w:val="18"/>
                <w:szCs w:val="18"/>
              </w:rPr>
            </w:pPr>
            <w:r>
              <w:rPr>
                <w:sz w:val="18"/>
                <w:szCs w:val="18"/>
              </w:rPr>
              <w:t>(51,536)</w:t>
            </w:r>
          </w:p>
        </w:tc>
        <w:tc>
          <w:tcPr>
            <w:tcW w:w="1261" w:type="dxa"/>
            <w:vAlign w:val="center"/>
          </w:tcPr>
          <w:p w14:paraId="7E4DBF80" w14:textId="77777777" w:rsidR="00600A69" w:rsidRDefault="00600A69" w:rsidP="00B322A7">
            <w:pPr>
              <w:tabs>
                <w:tab w:val="decimal" w:pos="857"/>
              </w:tabs>
              <w:jc w:val="both"/>
              <w:rPr>
                <w:sz w:val="18"/>
                <w:szCs w:val="18"/>
              </w:rPr>
            </w:pPr>
            <w:r>
              <w:rPr>
                <w:sz w:val="18"/>
                <w:szCs w:val="18"/>
              </w:rPr>
              <w:t>(3,914)</w:t>
            </w:r>
          </w:p>
        </w:tc>
        <w:tc>
          <w:tcPr>
            <w:tcW w:w="1223" w:type="dxa"/>
            <w:vAlign w:val="center"/>
          </w:tcPr>
          <w:p w14:paraId="07B895E7" w14:textId="77777777" w:rsidR="00600A69" w:rsidRDefault="00600A69" w:rsidP="00B322A7">
            <w:pPr>
              <w:tabs>
                <w:tab w:val="decimal" w:pos="857"/>
              </w:tabs>
              <w:jc w:val="both"/>
              <w:rPr>
                <w:sz w:val="18"/>
                <w:szCs w:val="18"/>
              </w:rPr>
            </w:pPr>
            <w:r>
              <w:rPr>
                <w:sz w:val="18"/>
                <w:szCs w:val="18"/>
              </w:rPr>
              <w:t>(1,612)</w:t>
            </w:r>
          </w:p>
        </w:tc>
      </w:tr>
      <w:tr w:rsidR="00600A69" w14:paraId="0B88667B" w14:textId="77777777" w:rsidTr="00B322A7">
        <w:trPr>
          <w:cantSplit/>
        </w:trPr>
        <w:tc>
          <w:tcPr>
            <w:tcW w:w="4257" w:type="dxa"/>
            <w:vAlign w:val="center"/>
          </w:tcPr>
          <w:p w14:paraId="0206E0F4" w14:textId="77777777" w:rsidR="00600A69" w:rsidRDefault="00600A69" w:rsidP="00B322A7">
            <w:pPr>
              <w:tabs>
                <w:tab w:val="left" w:pos="360"/>
                <w:tab w:val="right" w:leader="dot" w:pos="5400"/>
              </w:tabs>
              <w:ind w:right="-7"/>
              <w:jc w:val="both"/>
              <w:rPr>
                <w:rFonts w:cs="Arabic Transparent"/>
                <w:b/>
                <w:sz w:val="18"/>
                <w:szCs w:val="18"/>
              </w:rPr>
            </w:pPr>
            <w:r>
              <w:rPr>
                <w:rFonts w:cs="Arabic Transparent"/>
                <w:b/>
                <w:sz w:val="18"/>
                <w:szCs w:val="18"/>
              </w:rPr>
              <w:t>Net cash generated from (used in) financing activities</w:t>
            </w:r>
          </w:p>
        </w:tc>
        <w:tc>
          <w:tcPr>
            <w:tcW w:w="1035" w:type="dxa"/>
            <w:vAlign w:val="center"/>
          </w:tcPr>
          <w:p w14:paraId="5CF0A95C" w14:textId="77777777" w:rsidR="00600A69" w:rsidRDefault="00600A69" w:rsidP="00B322A7">
            <w:pPr>
              <w:jc w:val="right"/>
              <w:rPr>
                <w:b/>
                <w:sz w:val="18"/>
                <w:szCs w:val="18"/>
                <w:u w:val="single"/>
              </w:rPr>
            </w:pPr>
            <w:r>
              <w:rPr>
                <w:b/>
                <w:sz w:val="18"/>
                <w:szCs w:val="18"/>
                <w:u w:val="single"/>
              </w:rPr>
              <w:t>75,437</w:t>
            </w:r>
          </w:p>
        </w:tc>
        <w:tc>
          <w:tcPr>
            <w:tcW w:w="1036" w:type="dxa"/>
            <w:vAlign w:val="center"/>
          </w:tcPr>
          <w:p w14:paraId="179E1B86" w14:textId="77777777" w:rsidR="00600A69" w:rsidRDefault="00600A69" w:rsidP="00B322A7">
            <w:pPr>
              <w:jc w:val="right"/>
              <w:rPr>
                <w:b/>
                <w:sz w:val="18"/>
                <w:szCs w:val="18"/>
                <w:u w:val="single"/>
              </w:rPr>
            </w:pPr>
            <w:r>
              <w:rPr>
                <w:b/>
                <w:sz w:val="18"/>
                <w:szCs w:val="18"/>
                <w:u w:val="single"/>
              </w:rPr>
              <w:t>(63,665)</w:t>
            </w:r>
          </w:p>
        </w:tc>
        <w:tc>
          <w:tcPr>
            <w:tcW w:w="1171" w:type="dxa"/>
            <w:vAlign w:val="center"/>
          </w:tcPr>
          <w:p w14:paraId="279299C8" w14:textId="77777777" w:rsidR="00600A69" w:rsidRDefault="00600A69" w:rsidP="00B322A7">
            <w:pPr>
              <w:tabs>
                <w:tab w:val="decimal" w:pos="857"/>
              </w:tabs>
              <w:jc w:val="both"/>
              <w:rPr>
                <w:b/>
                <w:sz w:val="18"/>
                <w:szCs w:val="18"/>
                <w:u w:val="single"/>
              </w:rPr>
            </w:pPr>
            <w:r>
              <w:rPr>
                <w:b/>
                <w:sz w:val="18"/>
                <w:szCs w:val="18"/>
                <w:u w:val="single"/>
              </w:rPr>
              <w:t>168,871</w:t>
            </w:r>
          </w:p>
        </w:tc>
        <w:tc>
          <w:tcPr>
            <w:tcW w:w="1261" w:type="dxa"/>
            <w:vAlign w:val="center"/>
          </w:tcPr>
          <w:p w14:paraId="3E2246AD" w14:textId="77777777" w:rsidR="00600A69" w:rsidRDefault="00600A69" w:rsidP="00B322A7">
            <w:pPr>
              <w:tabs>
                <w:tab w:val="decimal" w:pos="857"/>
              </w:tabs>
              <w:jc w:val="both"/>
              <w:rPr>
                <w:b/>
                <w:sz w:val="18"/>
                <w:szCs w:val="18"/>
                <w:u w:val="single"/>
              </w:rPr>
            </w:pPr>
            <w:r>
              <w:rPr>
                <w:b/>
                <w:sz w:val="18"/>
                <w:szCs w:val="18"/>
                <w:u w:val="single"/>
              </w:rPr>
              <w:t>140,053</w:t>
            </w:r>
          </w:p>
        </w:tc>
        <w:tc>
          <w:tcPr>
            <w:tcW w:w="1223" w:type="dxa"/>
            <w:vAlign w:val="center"/>
          </w:tcPr>
          <w:p w14:paraId="43FE3D74" w14:textId="77777777" w:rsidR="00600A69" w:rsidRDefault="00600A69" w:rsidP="00B322A7">
            <w:pPr>
              <w:tabs>
                <w:tab w:val="decimal" w:pos="857"/>
              </w:tabs>
              <w:jc w:val="both"/>
              <w:rPr>
                <w:b/>
                <w:sz w:val="18"/>
                <w:szCs w:val="18"/>
                <w:u w:val="single"/>
              </w:rPr>
            </w:pPr>
            <w:r>
              <w:rPr>
                <w:b/>
                <w:sz w:val="18"/>
                <w:szCs w:val="18"/>
                <w:u w:val="single"/>
              </w:rPr>
              <w:t>25,250</w:t>
            </w:r>
          </w:p>
        </w:tc>
      </w:tr>
      <w:tr w:rsidR="00600A69" w14:paraId="71036D74" w14:textId="77777777" w:rsidTr="00B322A7">
        <w:trPr>
          <w:cantSplit/>
        </w:trPr>
        <w:tc>
          <w:tcPr>
            <w:tcW w:w="4257" w:type="dxa"/>
            <w:vAlign w:val="center"/>
          </w:tcPr>
          <w:p w14:paraId="0AD04046" w14:textId="77777777" w:rsidR="00600A69" w:rsidRDefault="00600A69" w:rsidP="00B322A7">
            <w:pPr>
              <w:tabs>
                <w:tab w:val="left" w:pos="360"/>
                <w:tab w:val="right" w:leader="dot" w:pos="5400"/>
              </w:tabs>
              <w:ind w:right="-7"/>
              <w:jc w:val="both"/>
              <w:rPr>
                <w:rFonts w:cs="Arabic Transparent"/>
                <w:b/>
                <w:sz w:val="18"/>
                <w:szCs w:val="18"/>
              </w:rPr>
            </w:pPr>
            <w:r>
              <w:rPr>
                <w:rFonts w:cs="Arabic Transparent"/>
                <w:b/>
                <w:sz w:val="18"/>
                <w:szCs w:val="18"/>
              </w:rPr>
              <w:t>Net increase / (decrease) in cash and cash equivalents</w:t>
            </w:r>
          </w:p>
        </w:tc>
        <w:tc>
          <w:tcPr>
            <w:tcW w:w="1035" w:type="dxa"/>
            <w:vAlign w:val="center"/>
          </w:tcPr>
          <w:p w14:paraId="723E6AC2" w14:textId="77777777" w:rsidR="00600A69" w:rsidRDefault="00600A69" w:rsidP="00B322A7">
            <w:pPr>
              <w:jc w:val="right"/>
              <w:rPr>
                <w:b/>
                <w:sz w:val="18"/>
                <w:szCs w:val="18"/>
                <w:u w:val="single"/>
              </w:rPr>
            </w:pPr>
            <w:r>
              <w:rPr>
                <w:b/>
                <w:sz w:val="18"/>
                <w:szCs w:val="18"/>
                <w:u w:val="single"/>
              </w:rPr>
              <w:t>66,121</w:t>
            </w:r>
          </w:p>
        </w:tc>
        <w:tc>
          <w:tcPr>
            <w:tcW w:w="1036" w:type="dxa"/>
            <w:vAlign w:val="center"/>
          </w:tcPr>
          <w:p w14:paraId="5F92908E" w14:textId="77777777" w:rsidR="00600A69" w:rsidRDefault="00600A69" w:rsidP="00B322A7">
            <w:pPr>
              <w:jc w:val="right"/>
              <w:rPr>
                <w:b/>
                <w:sz w:val="18"/>
                <w:szCs w:val="18"/>
                <w:u w:val="single"/>
              </w:rPr>
            </w:pPr>
            <w:r>
              <w:rPr>
                <w:b/>
                <w:sz w:val="18"/>
                <w:szCs w:val="18"/>
                <w:u w:val="single"/>
              </w:rPr>
              <w:t>22,421</w:t>
            </w:r>
          </w:p>
        </w:tc>
        <w:tc>
          <w:tcPr>
            <w:tcW w:w="1171" w:type="dxa"/>
            <w:vAlign w:val="center"/>
          </w:tcPr>
          <w:p w14:paraId="14C09000" w14:textId="77777777" w:rsidR="00600A69" w:rsidRDefault="00600A69" w:rsidP="00B322A7">
            <w:pPr>
              <w:tabs>
                <w:tab w:val="decimal" w:pos="857"/>
              </w:tabs>
              <w:jc w:val="both"/>
              <w:rPr>
                <w:b/>
                <w:sz w:val="18"/>
                <w:szCs w:val="18"/>
                <w:u w:val="single"/>
              </w:rPr>
            </w:pPr>
            <w:r>
              <w:rPr>
                <w:b/>
                <w:sz w:val="18"/>
                <w:szCs w:val="18"/>
                <w:u w:val="single"/>
              </w:rPr>
              <w:t>51,248</w:t>
            </w:r>
          </w:p>
        </w:tc>
        <w:tc>
          <w:tcPr>
            <w:tcW w:w="1261" w:type="dxa"/>
            <w:vAlign w:val="center"/>
          </w:tcPr>
          <w:p w14:paraId="3A60FF81" w14:textId="77777777" w:rsidR="00600A69" w:rsidRDefault="00600A69" w:rsidP="00B322A7">
            <w:pPr>
              <w:tabs>
                <w:tab w:val="decimal" w:pos="857"/>
              </w:tabs>
              <w:jc w:val="both"/>
              <w:rPr>
                <w:b/>
                <w:sz w:val="18"/>
                <w:szCs w:val="18"/>
                <w:u w:val="single"/>
              </w:rPr>
            </w:pPr>
            <w:r>
              <w:rPr>
                <w:b/>
                <w:sz w:val="18"/>
                <w:szCs w:val="18"/>
                <w:u w:val="single"/>
              </w:rPr>
              <w:t>(19,934)</w:t>
            </w:r>
          </w:p>
        </w:tc>
        <w:tc>
          <w:tcPr>
            <w:tcW w:w="1223" w:type="dxa"/>
            <w:vAlign w:val="center"/>
          </w:tcPr>
          <w:p w14:paraId="3636D7D9" w14:textId="77777777" w:rsidR="00600A69" w:rsidRDefault="00600A69" w:rsidP="00B322A7">
            <w:pPr>
              <w:tabs>
                <w:tab w:val="decimal" w:pos="857"/>
              </w:tabs>
              <w:jc w:val="both"/>
              <w:rPr>
                <w:b/>
                <w:sz w:val="18"/>
                <w:szCs w:val="18"/>
                <w:u w:val="single"/>
              </w:rPr>
            </w:pPr>
            <w:r>
              <w:rPr>
                <w:b/>
                <w:sz w:val="18"/>
                <w:szCs w:val="18"/>
                <w:u w:val="single"/>
              </w:rPr>
              <w:t>(35,783)</w:t>
            </w:r>
          </w:p>
        </w:tc>
      </w:tr>
      <w:tr w:rsidR="00600A69" w14:paraId="12E9A125" w14:textId="77777777" w:rsidTr="00B322A7">
        <w:trPr>
          <w:cantSplit/>
        </w:trPr>
        <w:tc>
          <w:tcPr>
            <w:tcW w:w="4257" w:type="dxa"/>
            <w:vAlign w:val="center"/>
          </w:tcPr>
          <w:p w14:paraId="2B8B023D" w14:textId="77777777" w:rsidR="00600A69" w:rsidRDefault="00600A69" w:rsidP="00B322A7">
            <w:pPr>
              <w:tabs>
                <w:tab w:val="left" w:pos="360"/>
                <w:tab w:val="right" w:leader="dot" w:pos="5400"/>
              </w:tabs>
              <w:ind w:right="-7"/>
              <w:jc w:val="both"/>
              <w:rPr>
                <w:rFonts w:cs="Arabic Transparent"/>
                <w:sz w:val="18"/>
                <w:szCs w:val="18"/>
              </w:rPr>
            </w:pPr>
            <w:r>
              <w:rPr>
                <w:rFonts w:cs="Arabic Transparent"/>
                <w:sz w:val="18"/>
                <w:szCs w:val="18"/>
              </w:rPr>
              <w:t>Cash and cash equivalents at the beginning of the period</w:t>
            </w:r>
          </w:p>
        </w:tc>
        <w:tc>
          <w:tcPr>
            <w:tcW w:w="1035" w:type="dxa"/>
            <w:vAlign w:val="center"/>
          </w:tcPr>
          <w:p w14:paraId="0EE1A4D2" w14:textId="77777777" w:rsidR="00600A69" w:rsidRDefault="00600A69" w:rsidP="00B322A7">
            <w:pPr>
              <w:jc w:val="right"/>
              <w:rPr>
                <w:sz w:val="18"/>
                <w:szCs w:val="18"/>
              </w:rPr>
            </w:pPr>
            <w:r>
              <w:rPr>
                <w:sz w:val="18"/>
                <w:szCs w:val="18"/>
              </w:rPr>
              <w:t>71,595</w:t>
            </w:r>
          </w:p>
        </w:tc>
        <w:tc>
          <w:tcPr>
            <w:tcW w:w="1036" w:type="dxa"/>
            <w:vAlign w:val="center"/>
          </w:tcPr>
          <w:p w14:paraId="017CCAC9" w14:textId="77777777" w:rsidR="00600A69" w:rsidRDefault="00600A69" w:rsidP="00B322A7">
            <w:pPr>
              <w:jc w:val="right"/>
              <w:rPr>
                <w:sz w:val="18"/>
                <w:szCs w:val="18"/>
              </w:rPr>
            </w:pPr>
            <w:r>
              <w:rPr>
                <w:sz w:val="18"/>
                <w:szCs w:val="18"/>
              </w:rPr>
              <w:t>9,825</w:t>
            </w:r>
          </w:p>
        </w:tc>
        <w:tc>
          <w:tcPr>
            <w:tcW w:w="1171" w:type="dxa"/>
            <w:vAlign w:val="center"/>
          </w:tcPr>
          <w:p w14:paraId="2B7C20DE" w14:textId="77777777" w:rsidR="00600A69" w:rsidRDefault="00600A69" w:rsidP="00B322A7">
            <w:pPr>
              <w:tabs>
                <w:tab w:val="decimal" w:pos="857"/>
              </w:tabs>
              <w:jc w:val="both"/>
              <w:rPr>
                <w:sz w:val="18"/>
                <w:szCs w:val="18"/>
              </w:rPr>
            </w:pPr>
            <w:r>
              <w:rPr>
                <w:sz w:val="18"/>
                <w:szCs w:val="18"/>
              </w:rPr>
              <w:t>9,825</w:t>
            </w:r>
          </w:p>
        </w:tc>
        <w:tc>
          <w:tcPr>
            <w:tcW w:w="1261" w:type="dxa"/>
            <w:vAlign w:val="center"/>
          </w:tcPr>
          <w:p w14:paraId="54059FB1" w14:textId="77777777" w:rsidR="00600A69" w:rsidRDefault="00600A69" w:rsidP="00B322A7">
            <w:pPr>
              <w:tabs>
                <w:tab w:val="decimal" w:pos="857"/>
              </w:tabs>
              <w:jc w:val="both"/>
              <w:rPr>
                <w:sz w:val="18"/>
                <w:szCs w:val="18"/>
              </w:rPr>
            </w:pPr>
            <w:r>
              <w:rPr>
                <w:sz w:val="18"/>
                <w:szCs w:val="18"/>
              </w:rPr>
              <w:t>43,595</w:t>
            </w:r>
          </w:p>
        </w:tc>
        <w:tc>
          <w:tcPr>
            <w:tcW w:w="1223" w:type="dxa"/>
            <w:vAlign w:val="center"/>
          </w:tcPr>
          <w:p w14:paraId="76CC33BC" w14:textId="77777777" w:rsidR="00600A69" w:rsidRDefault="00600A69" w:rsidP="00B322A7">
            <w:pPr>
              <w:tabs>
                <w:tab w:val="decimal" w:pos="857"/>
              </w:tabs>
              <w:jc w:val="both"/>
              <w:rPr>
                <w:sz w:val="18"/>
                <w:szCs w:val="18"/>
              </w:rPr>
            </w:pPr>
            <w:r>
              <w:rPr>
                <w:sz w:val="18"/>
                <w:szCs w:val="18"/>
              </w:rPr>
              <w:t>79,226</w:t>
            </w:r>
          </w:p>
        </w:tc>
      </w:tr>
      <w:tr w:rsidR="00600A69" w14:paraId="65AC48EC" w14:textId="77777777" w:rsidTr="00B322A7">
        <w:trPr>
          <w:cantSplit/>
        </w:trPr>
        <w:tc>
          <w:tcPr>
            <w:tcW w:w="4257" w:type="dxa"/>
            <w:vAlign w:val="center"/>
          </w:tcPr>
          <w:p w14:paraId="27D7C702" w14:textId="77777777" w:rsidR="00600A69" w:rsidRDefault="00600A69" w:rsidP="00B322A7">
            <w:pPr>
              <w:tabs>
                <w:tab w:val="left" w:pos="360"/>
                <w:tab w:val="right" w:leader="dot" w:pos="5400"/>
              </w:tabs>
              <w:ind w:right="-7"/>
              <w:jc w:val="both"/>
              <w:rPr>
                <w:rFonts w:cs="Arabic Transparent"/>
                <w:sz w:val="18"/>
                <w:szCs w:val="18"/>
              </w:rPr>
            </w:pPr>
            <w:r>
              <w:rPr>
                <w:rFonts w:cs="Arabic Transparent"/>
                <w:sz w:val="18"/>
                <w:szCs w:val="18"/>
              </w:rPr>
              <w:t>Effect of exchange rate fluctuations</w:t>
            </w:r>
          </w:p>
        </w:tc>
        <w:tc>
          <w:tcPr>
            <w:tcW w:w="1035" w:type="dxa"/>
            <w:vAlign w:val="center"/>
          </w:tcPr>
          <w:p w14:paraId="1BFA64E8" w14:textId="77777777" w:rsidR="00600A69" w:rsidRDefault="00600A69" w:rsidP="00B322A7">
            <w:pPr>
              <w:jc w:val="right"/>
              <w:rPr>
                <w:sz w:val="18"/>
                <w:szCs w:val="18"/>
              </w:rPr>
            </w:pPr>
            <w:r>
              <w:rPr>
                <w:sz w:val="18"/>
                <w:szCs w:val="18"/>
              </w:rPr>
              <w:t>412</w:t>
            </w:r>
          </w:p>
        </w:tc>
        <w:tc>
          <w:tcPr>
            <w:tcW w:w="1036" w:type="dxa"/>
            <w:vAlign w:val="center"/>
          </w:tcPr>
          <w:p w14:paraId="6FFDCF33" w14:textId="77777777" w:rsidR="00600A69" w:rsidRDefault="00600A69" w:rsidP="00B322A7">
            <w:pPr>
              <w:jc w:val="right"/>
              <w:rPr>
                <w:sz w:val="18"/>
                <w:szCs w:val="18"/>
              </w:rPr>
            </w:pPr>
            <w:r>
              <w:rPr>
                <w:sz w:val="18"/>
                <w:szCs w:val="18"/>
              </w:rPr>
              <w:t>176</w:t>
            </w:r>
          </w:p>
        </w:tc>
        <w:tc>
          <w:tcPr>
            <w:tcW w:w="1171" w:type="dxa"/>
            <w:vAlign w:val="center"/>
          </w:tcPr>
          <w:p w14:paraId="7702DD32" w14:textId="77777777" w:rsidR="00600A69" w:rsidRDefault="00600A69" w:rsidP="00B322A7">
            <w:pPr>
              <w:tabs>
                <w:tab w:val="decimal" w:pos="857"/>
              </w:tabs>
              <w:jc w:val="both"/>
              <w:rPr>
                <w:sz w:val="18"/>
                <w:szCs w:val="18"/>
              </w:rPr>
            </w:pPr>
            <w:r>
              <w:rPr>
                <w:sz w:val="18"/>
                <w:szCs w:val="18"/>
              </w:rPr>
              <w:t>234</w:t>
            </w:r>
          </w:p>
        </w:tc>
        <w:tc>
          <w:tcPr>
            <w:tcW w:w="1261" w:type="dxa"/>
            <w:vAlign w:val="center"/>
          </w:tcPr>
          <w:p w14:paraId="43ECC92A" w14:textId="77777777" w:rsidR="00600A69" w:rsidRDefault="00600A69" w:rsidP="00B322A7">
            <w:pPr>
              <w:tabs>
                <w:tab w:val="decimal" w:pos="857"/>
              </w:tabs>
              <w:jc w:val="both"/>
              <w:rPr>
                <w:sz w:val="18"/>
                <w:szCs w:val="18"/>
              </w:rPr>
            </w:pPr>
            <w:r>
              <w:rPr>
                <w:sz w:val="18"/>
                <w:szCs w:val="18"/>
              </w:rPr>
              <w:t>347</w:t>
            </w:r>
          </w:p>
        </w:tc>
        <w:tc>
          <w:tcPr>
            <w:tcW w:w="1223" w:type="dxa"/>
            <w:vAlign w:val="center"/>
          </w:tcPr>
          <w:p w14:paraId="6DEE2FCA" w14:textId="77777777" w:rsidR="00600A69" w:rsidRDefault="00600A69" w:rsidP="00B322A7">
            <w:pPr>
              <w:tabs>
                <w:tab w:val="decimal" w:pos="857"/>
              </w:tabs>
              <w:jc w:val="both"/>
              <w:rPr>
                <w:sz w:val="18"/>
                <w:szCs w:val="18"/>
              </w:rPr>
            </w:pPr>
            <w:r>
              <w:rPr>
                <w:sz w:val="18"/>
                <w:szCs w:val="18"/>
              </w:rPr>
              <w:t>152</w:t>
            </w:r>
          </w:p>
        </w:tc>
      </w:tr>
      <w:tr w:rsidR="00600A69" w14:paraId="5FC70F17" w14:textId="77777777" w:rsidTr="00B322A7">
        <w:trPr>
          <w:cantSplit/>
        </w:trPr>
        <w:tc>
          <w:tcPr>
            <w:tcW w:w="4257" w:type="dxa"/>
            <w:vAlign w:val="center"/>
          </w:tcPr>
          <w:p w14:paraId="1D767F58" w14:textId="77777777" w:rsidR="00600A69" w:rsidRDefault="00600A69" w:rsidP="00B322A7">
            <w:pPr>
              <w:tabs>
                <w:tab w:val="left" w:pos="360"/>
                <w:tab w:val="right" w:leader="dot" w:pos="5400"/>
              </w:tabs>
              <w:ind w:right="-7"/>
              <w:jc w:val="both"/>
              <w:rPr>
                <w:rFonts w:cs="Arabic Transparent"/>
                <w:sz w:val="18"/>
                <w:szCs w:val="18"/>
              </w:rPr>
            </w:pPr>
            <w:r>
              <w:rPr>
                <w:rFonts w:cs="Arabic Transparent"/>
                <w:sz w:val="18"/>
                <w:szCs w:val="18"/>
              </w:rPr>
              <w:t>Reclassification to (-) / from held for sale</w:t>
            </w:r>
          </w:p>
        </w:tc>
        <w:tc>
          <w:tcPr>
            <w:tcW w:w="1035" w:type="dxa"/>
            <w:vAlign w:val="center"/>
          </w:tcPr>
          <w:p w14:paraId="6600253D" w14:textId="77777777" w:rsidR="00600A69" w:rsidRDefault="00600A69" w:rsidP="00B322A7">
            <w:pPr>
              <w:jc w:val="right"/>
              <w:rPr>
                <w:sz w:val="18"/>
                <w:szCs w:val="18"/>
                <w:u w:val="single"/>
              </w:rPr>
            </w:pPr>
            <w:r>
              <w:rPr>
                <w:sz w:val="18"/>
                <w:szCs w:val="18"/>
                <w:u w:val="single"/>
              </w:rPr>
              <w:t>3,417</w:t>
            </w:r>
          </w:p>
        </w:tc>
        <w:tc>
          <w:tcPr>
            <w:tcW w:w="1036" w:type="dxa"/>
            <w:vAlign w:val="center"/>
          </w:tcPr>
          <w:p w14:paraId="2EA17FEF" w14:textId="77777777" w:rsidR="00600A69" w:rsidRDefault="00600A69" w:rsidP="00B322A7">
            <w:pPr>
              <w:jc w:val="right"/>
              <w:rPr>
                <w:sz w:val="18"/>
                <w:szCs w:val="18"/>
                <w:u w:val="single"/>
              </w:rPr>
            </w:pPr>
            <w:r>
              <w:rPr>
                <w:sz w:val="18"/>
                <w:szCs w:val="18"/>
                <w:u w:val="single"/>
              </w:rPr>
              <w:t>19,329</w:t>
            </w:r>
          </w:p>
        </w:tc>
        <w:tc>
          <w:tcPr>
            <w:tcW w:w="1171" w:type="dxa"/>
            <w:vAlign w:val="center"/>
          </w:tcPr>
          <w:p w14:paraId="04B5C773" w14:textId="77777777" w:rsidR="00600A69" w:rsidRDefault="00600A69" w:rsidP="00B322A7">
            <w:pPr>
              <w:tabs>
                <w:tab w:val="decimal" w:pos="857"/>
              </w:tabs>
              <w:jc w:val="both"/>
              <w:rPr>
                <w:sz w:val="18"/>
                <w:szCs w:val="18"/>
                <w:u w:val="single"/>
              </w:rPr>
            </w:pPr>
            <w:r>
              <w:rPr>
                <w:sz w:val="18"/>
                <w:szCs w:val="18"/>
                <w:u w:val="single"/>
              </w:rPr>
              <w:t>10,288</w:t>
            </w:r>
          </w:p>
        </w:tc>
        <w:tc>
          <w:tcPr>
            <w:tcW w:w="1261" w:type="dxa"/>
            <w:vAlign w:val="center"/>
          </w:tcPr>
          <w:p w14:paraId="4CB12F2A" w14:textId="77777777" w:rsidR="00600A69" w:rsidRDefault="00600A69" w:rsidP="00B322A7">
            <w:pPr>
              <w:tabs>
                <w:tab w:val="decimal" w:pos="857"/>
              </w:tabs>
              <w:jc w:val="both"/>
              <w:rPr>
                <w:sz w:val="18"/>
                <w:szCs w:val="18"/>
                <w:u w:val="single"/>
              </w:rPr>
            </w:pPr>
            <w:r>
              <w:rPr>
                <w:sz w:val="18"/>
                <w:szCs w:val="18"/>
                <w:u w:val="single"/>
              </w:rPr>
              <w:t>(14,184)</w:t>
            </w:r>
          </w:p>
        </w:tc>
        <w:tc>
          <w:tcPr>
            <w:tcW w:w="1223" w:type="dxa"/>
            <w:vAlign w:val="center"/>
          </w:tcPr>
          <w:p w14:paraId="446B346D" w14:textId="77777777" w:rsidR="00600A69" w:rsidRDefault="00600A69" w:rsidP="00B322A7">
            <w:pPr>
              <w:tabs>
                <w:tab w:val="decimal" w:pos="857"/>
              </w:tabs>
              <w:jc w:val="both"/>
              <w:rPr>
                <w:sz w:val="18"/>
                <w:szCs w:val="18"/>
                <w:u w:val="single"/>
              </w:rPr>
            </w:pPr>
            <w:r>
              <w:rPr>
                <w:sz w:val="18"/>
                <w:szCs w:val="18"/>
                <w:u w:val="single"/>
              </w:rPr>
              <w:t>_</w:t>
            </w:r>
          </w:p>
        </w:tc>
      </w:tr>
      <w:tr w:rsidR="00600A69" w14:paraId="5157FF6C" w14:textId="77777777" w:rsidTr="00B322A7">
        <w:trPr>
          <w:cantSplit/>
        </w:trPr>
        <w:tc>
          <w:tcPr>
            <w:tcW w:w="4257" w:type="dxa"/>
            <w:vAlign w:val="center"/>
          </w:tcPr>
          <w:p w14:paraId="729AC8DC" w14:textId="77777777" w:rsidR="00600A69" w:rsidRDefault="00600A69" w:rsidP="00B322A7">
            <w:pPr>
              <w:tabs>
                <w:tab w:val="left" w:pos="360"/>
                <w:tab w:val="right" w:leader="dot" w:pos="5400"/>
              </w:tabs>
              <w:ind w:right="-7"/>
              <w:jc w:val="both"/>
              <w:rPr>
                <w:rFonts w:cs="Arabic Transparent"/>
                <w:b/>
                <w:sz w:val="18"/>
                <w:szCs w:val="18"/>
              </w:rPr>
            </w:pPr>
            <w:r>
              <w:rPr>
                <w:rFonts w:cs="Arabic Transparent"/>
                <w:b/>
                <w:sz w:val="18"/>
                <w:szCs w:val="18"/>
              </w:rPr>
              <w:t>Cash and cash equivalents at the end of the period/year</w:t>
            </w:r>
          </w:p>
        </w:tc>
        <w:tc>
          <w:tcPr>
            <w:tcW w:w="1035" w:type="dxa"/>
            <w:vAlign w:val="center"/>
          </w:tcPr>
          <w:p w14:paraId="37188227" w14:textId="77777777" w:rsidR="00600A69" w:rsidRDefault="00600A69" w:rsidP="00B322A7">
            <w:pPr>
              <w:jc w:val="right"/>
              <w:rPr>
                <w:b/>
                <w:sz w:val="18"/>
                <w:szCs w:val="18"/>
                <w:u w:val="double"/>
              </w:rPr>
            </w:pPr>
            <w:r>
              <w:rPr>
                <w:b/>
                <w:sz w:val="18"/>
                <w:szCs w:val="18"/>
                <w:u w:val="double"/>
              </w:rPr>
              <w:t>141,545</w:t>
            </w:r>
          </w:p>
        </w:tc>
        <w:tc>
          <w:tcPr>
            <w:tcW w:w="1036" w:type="dxa"/>
            <w:vAlign w:val="center"/>
          </w:tcPr>
          <w:p w14:paraId="4245F11A" w14:textId="77777777" w:rsidR="00600A69" w:rsidRDefault="00600A69" w:rsidP="00B322A7">
            <w:pPr>
              <w:jc w:val="right"/>
              <w:rPr>
                <w:b/>
                <w:sz w:val="18"/>
                <w:szCs w:val="18"/>
                <w:u w:val="double"/>
              </w:rPr>
            </w:pPr>
            <w:r>
              <w:rPr>
                <w:b/>
                <w:sz w:val="18"/>
                <w:szCs w:val="18"/>
                <w:u w:val="double"/>
              </w:rPr>
              <w:t>51,751</w:t>
            </w:r>
          </w:p>
        </w:tc>
        <w:tc>
          <w:tcPr>
            <w:tcW w:w="1171" w:type="dxa"/>
            <w:vAlign w:val="center"/>
          </w:tcPr>
          <w:p w14:paraId="103F519C" w14:textId="77777777" w:rsidR="00600A69" w:rsidRDefault="00600A69" w:rsidP="00B322A7">
            <w:pPr>
              <w:tabs>
                <w:tab w:val="decimal" w:pos="857"/>
              </w:tabs>
              <w:jc w:val="both"/>
              <w:rPr>
                <w:b/>
                <w:sz w:val="18"/>
                <w:szCs w:val="18"/>
                <w:u w:val="double"/>
              </w:rPr>
            </w:pPr>
            <w:r>
              <w:rPr>
                <w:b/>
                <w:sz w:val="18"/>
                <w:szCs w:val="18"/>
                <w:u w:val="double"/>
              </w:rPr>
              <w:t>71,595</w:t>
            </w:r>
          </w:p>
        </w:tc>
        <w:tc>
          <w:tcPr>
            <w:tcW w:w="1261" w:type="dxa"/>
            <w:vAlign w:val="center"/>
          </w:tcPr>
          <w:p w14:paraId="682A7502" w14:textId="77777777" w:rsidR="00600A69" w:rsidRDefault="00600A69" w:rsidP="00B322A7">
            <w:pPr>
              <w:tabs>
                <w:tab w:val="decimal" w:pos="857"/>
              </w:tabs>
              <w:jc w:val="both"/>
              <w:rPr>
                <w:b/>
                <w:sz w:val="18"/>
                <w:szCs w:val="18"/>
                <w:u w:val="double"/>
              </w:rPr>
            </w:pPr>
            <w:r>
              <w:rPr>
                <w:b/>
                <w:sz w:val="18"/>
                <w:szCs w:val="18"/>
                <w:u w:val="double"/>
              </w:rPr>
              <w:t>9,825</w:t>
            </w:r>
          </w:p>
        </w:tc>
        <w:tc>
          <w:tcPr>
            <w:tcW w:w="1223" w:type="dxa"/>
            <w:vAlign w:val="center"/>
          </w:tcPr>
          <w:p w14:paraId="3FD7B56D" w14:textId="77777777" w:rsidR="00600A69" w:rsidRDefault="00600A69" w:rsidP="00B322A7">
            <w:pPr>
              <w:tabs>
                <w:tab w:val="decimal" w:pos="857"/>
              </w:tabs>
              <w:jc w:val="both"/>
              <w:rPr>
                <w:b/>
                <w:sz w:val="18"/>
                <w:szCs w:val="18"/>
                <w:u w:val="double"/>
              </w:rPr>
            </w:pPr>
            <w:r>
              <w:rPr>
                <w:b/>
                <w:sz w:val="18"/>
                <w:szCs w:val="18"/>
                <w:u w:val="double"/>
              </w:rPr>
              <w:t>43,595</w:t>
            </w:r>
          </w:p>
        </w:tc>
      </w:tr>
    </w:tbl>
    <w:p w14:paraId="3E67FF6E" w14:textId="77777777" w:rsidR="00600A69" w:rsidRDefault="00600A69" w:rsidP="002C7466">
      <w:pPr>
        <w:spacing w:after="240"/>
        <w:ind w:firstLine="720"/>
        <w:jc w:val="both"/>
        <w:rPr>
          <w:rFonts w:cs="Arabic Transparent"/>
          <w:color w:val="000000"/>
          <w:spacing w:val="4"/>
          <w:sz w:val="18"/>
          <w:szCs w:val="18"/>
        </w:rPr>
      </w:pPr>
    </w:p>
    <w:bookmarkEnd w:id="53"/>
    <w:p w14:paraId="44C4C17F" w14:textId="77777777" w:rsidR="001D1FD6" w:rsidRDefault="001D1FD6" w:rsidP="001D1FD6">
      <w:pPr>
        <w:jc w:val="both"/>
        <w:rPr>
          <w:rFonts w:cs="Arabic Transparent"/>
          <w:b/>
          <w:i/>
          <w:color w:val="000000"/>
          <w:sz w:val="18"/>
          <w:szCs w:val="18"/>
        </w:rPr>
      </w:pPr>
    </w:p>
    <w:p w14:paraId="4B3FEECA" w14:textId="77777777" w:rsidR="001D1FD6" w:rsidRDefault="001D1FD6" w:rsidP="001D1FD6">
      <w:pPr>
        <w:spacing w:after="240"/>
        <w:jc w:val="both"/>
        <w:rPr>
          <w:b/>
          <w:bCs/>
          <w:i/>
          <w:sz w:val="18"/>
          <w:szCs w:val="18"/>
        </w:rPr>
      </w:pPr>
      <w:r>
        <w:rPr>
          <w:b/>
          <w:bCs/>
          <w:i/>
          <w:sz w:val="18"/>
          <w:szCs w:val="18"/>
        </w:rPr>
        <w:t>Cash flow generated from (used in) operating activities</w:t>
      </w:r>
    </w:p>
    <w:p w14:paraId="6EB8AA6D" w14:textId="0C45EBFE" w:rsidR="001D1FD6" w:rsidRDefault="001D1FD6" w:rsidP="001D1FD6">
      <w:pPr>
        <w:spacing w:after="240"/>
        <w:ind w:firstLine="720"/>
        <w:jc w:val="both"/>
        <w:rPr>
          <w:bCs/>
          <w:sz w:val="18"/>
          <w:szCs w:val="18"/>
        </w:rPr>
      </w:pPr>
      <w:r w:rsidRPr="002C7466">
        <w:rPr>
          <w:bCs/>
          <w:sz w:val="18"/>
          <w:szCs w:val="18"/>
        </w:rPr>
        <w:t>Cash fl</w:t>
      </w:r>
      <w:r w:rsidR="00F90491">
        <w:rPr>
          <w:bCs/>
          <w:sz w:val="18"/>
          <w:szCs w:val="18"/>
        </w:rPr>
        <w:t xml:space="preserve">ow from operating activities decreased </w:t>
      </w:r>
      <w:r w:rsidRPr="002C7466">
        <w:rPr>
          <w:bCs/>
          <w:sz w:val="18"/>
          <w:szCs w:val="18"/>
        </w:rPr>
        <w:t>by €</w:t>
      </w:r>
      <w:r w:rsidR="00C92AC8" w:rsidRPr="002C7466">
        <w:rPr>
          <w:bCs/>
          <w:sz w:val="18"/>
          <w:szCs w:val="18"/>
        </w:rPr>
        <w:t xml:space="preserve"> </w:t>
      </w:r>
      <w:r w:rsidR="002C7466" w:rsidRPr="002C7466">
        <w:rPr>
          <w:bCs/>
          <w:sz w:val="18"/>
          <w:szCs w:val="18"/>
        </w:rPr>
        <w:t>9.0 million or 62</w:t>
      </w:r>
      <w:r w:rsidRPr="002C7466">
        <w:rPr>
          <w:bCs/>
          <w:sz w:val="18"/>
          <w:szCs w:val="18"/>
        </w:rPr>
        <w:t>% to €</w:t>
      </w:r>
      <w:r w:rsidR="00C92AC8" w:rsidRPr="002C7466">
        <w:rPr>
          <w:bCs/>
          <w:sz w:val="18"/>
          <w:szCs w:val="18"/>
        </w:rPr>
        <w:t xml:space="preserve"> </w:t>
      </w:r>
      <w:r w:rsidR="00D15A6D">
        <w:rPr>
          <w:bCs/>
          <w:sz w:val="18"/>
          <w:szCs w:val="18"/>
        </w:rPr>
        <w:t>5.5</w:t>
      </w:r>
      <w:r w:rsidR="00E03395">
        <w:rPr>
          <w:bCs/>
          <w:sz w:val="18"/>
          <w:szCs w:val="18"/>
        </w:rPr>
        <w:t xml:space="preserve"> </w:t>
      </w:r>
      <w:r w:rsidRPr="002C7466">
        <w:rPr>
          <w:bCs/>
          <w:sz w:val="18"/>
          <w:szCs w:val="18"/>
        </w:rPr>
        <w:t xml:space="preserve">million in the period ended </w:t>
      </w:r>
      <w:r w:rsidR="005827AC" w:rsidRPr="002C7466">
        <w:rPr>
          <w:bCs/>
          <w:sz w:val="18"/>
          <w:szCs w:val="18"/>
        </w:rPr>
        <w:t>30 June 2017</w:t>
      </w:r>
      <w:r w:rsidR="005827AC">
        <w:rPr>
          <w:bCs/>
          <w:sz w:val="18"/>
          <w:szCs w:val="18"/>
        </w:rPr>
        <w:t xml:space="preserve"> </w:t>
      </w:r>
      <w:r w:rsidRPr="002C7466">
        <w:rPr>
          <w:bCs/>
          <w:sz w:val="18"/>
          <w:szCs w:val="18"/>
        </w:rPr>
        <w:t>from €</w:t>
      </w:r>
      <w:r w:rsidR="00C92AC8" w:rsidRPr="002C7466">
        <w:rPr>
          <w:bCs/>
          <w:sz w:val="18"/>
          <w:szCs w:val="18"/>
        </w:rPr>
        <w:t xml:space="preserve"> </w:t>
      </w:r>
      <w:r w:rsidR="00D15A6D">
        <w:rPr>
          <w:bCs/>
          <w:sz w:val="18"/>
          <w:szCs w:val="18"/>
        </w:rPr>
        <w:t>14</w:t>
      </w:r>
      <w:r w:rsidRPr="002C7466">
        <w:rPr>
          <w:bCs/>
          <w:sz w:val="18"/>
          <w:szCs w:val="18"/>
        </w:rPr>
        <w:t xml:space="preserve">.5 million in the period ended </w:t>
      </w:r>
      <w:r w:rsidR="005827AC" w:rsidRPr="002C7466">
        <w:rPr>
          <w:bCs/>
          <w:sz w:val="18"/>
          <w:szCs w:val="18"/>
        </w:rPr>
        <w:t>30 June 2016</w:t>
      </w:r>
      <w:r w:rsidRPr="002C7466">
        <w:rPr>
          <w:bCs/>
          <w:sz w:val="18"/>
          <w:szCs w:val="18"/>
        </w:rPr>
        <w:t xml:space="preserve">. </w:t>
      </w:r>
      <w:r w:rsidR="00D15A6D">
        <w:rPr>
          <w:bCs/>
          <w:sz w:val="18"/>
          <w:szCs w:val="18"/>
        </w:rPr>
        <w:t xml:space="preserve">This decrease </w:t>
      </w:r>
      <w:r w:rsidR="002C7466" w:rsidRPr="002C7466">
        <w:rPr>
          <w:bCs/>
          <w:sz w:val="18"/>
          <w:szCs w:val="18"/>
        </w:rPr>
        <w:t>was mainly due to changes in working capital which</w:t>
      </w:r>
      <w:r w:rsidR="00A8264B">
        <w:rPr>
          <w:bCs/>
          <w:sz w:val="18"/>
          <w:szCs w:val="18"/>
        </w:rPr>
        <w:t>,</w:t>
      </w:r>
      <w:r w:rsidR="002C7466" w:rsidRPr="002C7466">
        <w:rPr>
          <w:bCs/>
          <w:sz w:val="18"/>
          <w:szCs w:val="18"/>
        </w:rPr>
        <w:t xml:space="preserve"> saw a net decrease of € 10.6 million mainly due to the increase in trade receivables resulting from the € 31.0 million unpaid amount of Allianz related to the </w:t>
      </w:r>
      <w:r w:rsidR="000F1DAE">
        <w:rPr>
          <w:bCs/>
          <w:sz w:val="18"/>
          <w:szCs w:val="18"/>
        </w:rPr>
        <w:t>Third JV Closing</w:t>
      </w:r>
      <w:r w:rsidR="002C7466" w:rsidRPr="002C7466">
        <w:rPr>
          <w:bCs/>
          <w:sz w:val="18"/>
          <w:szCs w:val="18"/>
        </w:rPr>
        <w:t xml:space="preserve"> and the increase in trade payables resulting from the € 20.1 million unpaid capital distribution.</w:t>
      </w:r>
    </w:p>
    <w:p w14:paraId="3D6EF8C8" w14:textId="6B9BC8FC" w:rsidR="001D1FD6" w:rsidRDefault="001D1FD6" w:rsidP="001D1FD6">
      <w:pPr>
        <w:spacing w:after="240"/>
        <w:ind w:firstLine="720"/>
        <w:jc w:val="both"/>
        <w:rPr>
          <w:bCs/>
          <w:sz w:val="18"/>
          <w:szCs w:val="18"/>
        </w:rPr>
      </w:pPr>
      <w:r>
        <w:rPr>
          <w:bCs/>
          <w:sz w:val="18"/>
          <w:szCs w:val="18"/>
        </w:rPr>
        <w:t>Cash flow from operating activities resulted in a release of cash of € 6.8 million in 2016, as compared to a use of cash of € 12.6 million in 2015. Cash flow from operating activities increased by € 19.4 million, mainly due to changes in working capital which were mainly driven by the divestment of the Seed Portfolio (including the respective working capital) at the end of May 2016.</w:t>
      </w:r>
      <w:r w:rsidR="00FF2ECC">
        <w:rPr>
          <w:bCs/>
          <w:sz w:val="18"/>
          <w:szCs w:val="18"/>
        </w:rPr>
        <w:t xml:space="preserve"> </w:t>
      </w:r>
    </w:p>
    <w:p w14:paraId="654ADAC2" w14:textId="46CEF384" w:rsidR="001D1FD6" w:rsidRDefault="002C7466" w:rsidP="001D1FD6">
      <w:pPr>
        <w:spacing w:after="240"/>
        <w:ind w:firstLine="720"/>
        <w:jc w:val="both"/>
        <w:rPr>
          <w:bCs/>
          <w:sz w:val="18"/>
          <w:szCs w:val="18"/>
        </w:rPr>
      </w:pPr>
      <w:r>
        <w:rPr>
          <w:bCs/>
          <w:sz w:val="18"/>
          <w:szCs w:val="18"/>
        </w:rPr>
        <w:t>Cash flow from operating activities was a use of cash of € 12.6 million in 2015, as compared to a use of cash of € 1.5 million in 2014. The greater use of cash was mainly due to the impact of the disposal of the VGP CZ I and VGP CZ II portfolios during 2014. During 2014 the VGP CZ I and VGP CZ II portfolios had a € 9.3 million positive effect on the 2014 operating cash flow.</w:t>
      </w:r>
    </w:p>
    <w:p w14:paraId="03B736F9" w14:textId="4E22BFD5" w:rsidR="001D1FD6" w:rsidRDefault="001D1FD6" w:rsidP="001D1FD6">
      <w:pPr>
        <w:spacing w:after="240"/>
        <w:jc w:val="both"/>
        <w:rPr>
          <w:rFonts w:cs="Arabic Transparent"/>
          <w:b/>
          <w:i/>
          <w:color w:val="000000"/>
          <w:sz w:val="18"/>
          <w:szCs w:val="18"/>
        </w:rPr>
      </w:pPr>
      <w:r>
        <w:rPr>
          <w:rFonts w:cs="Arabic Transparent"/>
          <w:b/>
          <w:i/>
          <w:color w:val="000000"/>
          <w:sz w:val="18"/>
          <w:szCs w:val="18"/>
        </w:rPr>
        <w:lastRenderedPageBreak/>
        <w:t xml:space="preserve">Cash flow </w:t>
      </w:r>
      <w:r w:rsidR="000A3CC8">
        <w:rPr>
          <w:rFonts w:cs="Arabic Transparent"/>
          <w:b/>
          <w:i/>
          <w:color w:val="000000"/>
          <w:sz w:val="18"/>
          <w:szCs w:val="18"/>
        </w:rPr>
        <w:t>generated from (</w:t>
      </w:r>
      <w:r>
        <w:rPr>
          <w:rFonts w:cs="Arabic Transparent"/>
          <w:b/>
          <w:i/>
          <w:color w:val="000000"/>
          <w:sz w:val="18"/>
          <w:szCs w:val="18"/>
        </w:rPr>
        <w:t>used in</w:t>
      </w:r>
      <w:r w:rsidR="000A3CC8">
        <w:rPr>
          <w:rFonts w:cs="Arabic Transparent"/>
          <w:b/>
          <w:i/>
          <w:color w:val="000000"/>
          <w:sz w:val="18"/>
          <w:szCs w:val="18"/>
        </w:rPr>
        <w:t>)</w:t>
      </w:r>
      <w:r>
        <w:rPr>
          <w:rFonts w:cs="Arabic Transparent"/>
          <w:b/>
          <w:i/>
          <w:color w:val="000000"/>
          <w:sz w:val="18"/>
          <w:szCs w:val="18"/>
        </w:rPr>
        <w:t xml:space="preserve"> investing activities</w:t>
      </w:r>
    </w:p>
    <w:p w14:paraId="26C4908D" w14:textId="5C0FF380" w:rsidR="001D1FD6" w:rsidRDefault="002C7466" w:rsidP="001D1FD6">
      <w:pPr>
        <w:spacing w:after="240"/>
        <w:ind w:firstLine="720"/>
        <w:jc w:val="both"/>
        <w:rPr>
          <w:bCs/>
          <w:sz w:val="18"/>
          <w:szCs w:val="18"/>
        </w:rPr>
      </w:pPr>
      <w:r w:rsidRPr="002C7466">
        <w:rPr>
          <w:bCs/>
          <w:sz w:val="18"/>
          <w:szCs w:val="18"/>
        </w:rPr>
        <w:t>The Group's cash flow from investing activities decreased by €</w:t>
      </w:r>
      <w:r>
        <w:rPr>
          <w:bCs/>
          <w:sz w:val="18"/>
          <w:szCs w:val="18"/>
        </w:rPr>
        <w:t xml:space="preserve"> </w:t>
      </w:r>
      <w:r w:rsidRPr="002C7466">
        <w:rPr>
          <w:bCs/>
          <w:sz w:val="18"/>
          <w:szCs w:val="18"/>
        </w:rPr>
        <w:t>86.4</w:t>
      </w:r>
      <w:r w:rsidR="00F27F6C">
        <w:rPr>
          <w:bCs/>
          <w:sz w:val="18"/>
          <w:szCs w:val="18"/>
        </w:rPr>
        <w:t xml:space="preserve"> million</w:t>
      </w:r>
      <w:r w:rsidRPr="002C7466">
        <w:rPr>
          <w:bCs/>
          <w:sz w:val="18"/>
          <w:szCs w:val="18"/>
        </w:rPr>
        <w:t xml:space="preserve"> from</w:t>
      </w:r>
      <w:r w:rsidR="00A8264B">
        <w:rPr>
          <w:bCs/>
          <w:sz w:val="18"/>
          <w:szCs w:val="18"/>
        </w:rPr>
        <w:t xml:space="preserve"> an inflow of </w:t>
      </w:r>
      <w:r w:rsidRPr="002C7466">
        <w:rPr>
          <w:bCs/>
          <w:sz w:val="18"/>
          <w:szCs w:val="18"/>
        </w:rPr>
        <w:t>€</w:t>
      </w:r>
      <w:r>
        <w:rPr>
          <w:bCs/>
          <w:sz w:val="18"/>
          <w:szCs w:val="18"/>
        </w:rPr>
        <w:t xml:space="preserve"> </w:t>
      </w:r>
      <w:r w:rsidR="00A8264B">
        <w:rPr>
          <w:bCs/>
          <w:sz w:val="18"/>
          <w:szCs w:val="18"/>
        </w:rPr>
        <w:t>71.2 million</w:t>
      </w:r>
      <w:r w:rsidRPr="002C7466">
        <w:rPr>
          <w:bCs/>
          <w:sz w:val="18"/>
          <w:szCs w:val="18"/>
        </w:rPr>
        <w:t xml:space="preserve"> in the period ended in 30 June 2016 to </w:t>
      </w:r>
      <w:r w:rsidR="00A8264B">
        <w:rPr>
          <w:bCs/>
          <w:sz w:val="18"/>
          <w:szCs w:val="18"/>
        </w:rPr>
        <w:t xml:space="preserve">an outflow of </w:t>
      </w:r>
      <w:r w:rsidRPr="002C7466">
        <w:rPr>
          <w:bCs/>
          <w:sz w:val="18"/>
          <w:szCs w:val="18"/>
        </w:rPr>
        <w:t>€</w:t>
      </w:r>
      <w:r>
        <w:rPr>
          <w:bCs/>
          <w:sz w:val="18"/>
          <w:szCs w:val="18"/>
        </w:rPr>
        <w:t xml:space="preserve"> </w:t>
      </w:r>
      <w:r w:rsidRPr="002C7466">
        <w:rPr>
          <w:bCs/>
          <w:sz w:val="18"/>
          <w:szCs w:val="18"/>
        </w:rPr>
        <w:t>14.8 million in the period ended in 30 June 201</w:t>
      </w:r>
      <w:r w:rsidR="00BD04CD">
        <w:rPr>
          <w:bCs/>
          <w:sz w:val="18"/>
          <w:szCs w:val="18"/>
        </w:rPr>
        <w:t>7</w:t>
      </w:r>
      <w:r w:rsidRPr="002C7466">
        <w:rPr>
          <w:bCs/>
          <w:sz w:val="18"/>
          <w:szCs w:val="18"/>
        </w:rPr>
        <w:t>. The inflow in the first half of 2016 was mainly due</w:t>
      </w:r>
      <w:r w:rsidRPr="002C7466">
        <w:rPr>
          <w:sz w:val="18"/>
        </w:rPr>
        <w:t xml:space="preserve"> to </w:t>
      </w:r>
      <w:r w:rsidRPr="002C7466">
        <w:rPr>
          <w:bCs/>
          <w:sz w:val="18"/>
          <w:szCs w:val="18"/>
        </w:rPr>
        <w:t>the € 155.9 million in</w:t>
      </w:r>
      <w:r w:rsidR="00A8264B">
        <w:rPr>
          <w:bCs/>
          <w:sz w:val="18"/>
          <w:szCs w:val="18"/>
        </w:rPr>
        <w:t>flow following the sale of the Seed P</w:t>
      </w:r>
      <w:r w:rsidRPr="002C7466">
        <w:rPr>
          <w:bCs/>
          <w:sz w:val="18"/>
          <w:szCs w:val="18"/>
        </w:rPr>
        <w:t>ortfolio to VGP European Logistics joint venture which more than offset the € 82.3 million of cap</w:t>
      </w:r>
      <w:r w:rsidR="00A8264B">
        <w:rPr>
          <w:bCs/>
          <w:sz w:val="18"/>
          <w:szCs w:val="18"/>
        </w:rPr>
        <w:t xml:space="preserve">ital </w:t>
      </w:r>
      <w:proofErr w:type="spellStart"/>
      <w:r w:rsidRPr="002C7466">
        <w:rPr>
          <w:bCs/>
          <w:sz w:val="18"/>
          <w:szCs w:val="18"/>
        </w:rPr>
        <w:t>ex</w:t>
      </w:r>
      <w:r w:rsidR="00A8264B">
        <w:rPr>
          <w:bCs/>
          <w:sz w:val="18"/>
          <w:szCs w:val="18"/>
        </w:rPr>
        <w:t>pedintures</w:t>
      </w:r>
      <w:proofErr w:type="spellEnd"/>
      <w:r w:rsidRPr="002C7466">
        <w:rPr>
          <w:bCs/>
          <w:sz w:val="18"/>
          <w:szCs w:val="18"/>
        </w:rPr>
        <w:t xml:space="preserve"> outflow.</w:t>
      </w:r>
      <w:r>
        <w:rPr>
          <w:bCs/>
          <w:sz w:val="18"/>
          <w:szCs w:val="18"/>
        </w:rPr>
        <w:t xml:space="preserve"> The outflow in the first half of 2017 was driven by </w:t>
      </w:r>
      <w:r w:rsidR="00A8264B">
        <w:rPr>
          <w:bCs/>
          <w:sz w:val="18"/>
          <w:szCs w:val="18"/>
        </w:rPr>
        <w:t xml:space="preserve">capital expenditures </w:t>
      </w:r>
      <w:r>
        <w:rPr>
          <w:bCs/>
          <w:sz w:val="18"/>
          <w:szCs w:val="18"/>
        </w:rPr>
        <w:t>outflow (€ 68.9 million)</w:t>
      </w:r>
      <w:r w:rsidR="000F1DAE">
        <w:rPr>
          <w:bCs/>
          <w:sz w:val="18"/>
          <w:szCs w:val="18"/>
        </w:rPr>
        <w:t xml:space="preserve"> and</w:t>
      </w:r>
      <w:r>
        <w:rPr>
          <w:bCs/>
          <w:sz w:val="18"/>
          <w:szCs w:val="18"/>
        </w:rPr>
        <w:t xml:space="preserve"> shareholder loans granted to the Joint Venture (€ 36.7 million) </w:t>
      </w:r>
      <w:r w:rsidR="000F1DAE">
        <w:rPr>
          <w:bCs/>
          <w:sz w:val="18"/>
          <w:szCs w:val="18"/>
        </w:rPr>
        <w:t xml:space="preserve">and </w:t>
      </w:r>
      <w:r>
        <w:rPr>
          <w:bCs/>
          <w:sz w:val="18"/>
          <w:szCs w:val="18"/>
        </w:rPr>
        <w:t xml:space="preserve">offset by </w:t>
      </w:r>
      <w:r w:rsidR="00A8264B">
        <w:rPr>
          <w:bCs/>
          <w:sz w:val="18"/>
          <w:szCs w:val="18"/>
        </w:rPr>
        <w:t xml:space="preserve">an inflow of </w:t>
      </w:r>
      <w:r>
        <w:rPr>
          <w:bCs/>
          <w:sz w:val="18"/>
          <w:szCs w:val="18"/>
        </w:rPr>
        <w:t>€ 90.8 million from the Third JV Closing.</w:t>
      </w:r>
    </w:p>
    <w:p w14:paraId="7E462DE4" w14:textId="5326BEE3" w:rsidR="001D1FD6" w:rsidRDefault="001D1FD6" w:rsidP="001D1FD6">
      <w:pPr>
        <w:spacing w:after="240"/>
        <w:ind w:firstLine="720"/>
        <w:jc w:val="both"/>
        <w:rPr>
          <w:bCs/>
          <w:sz w:val="18"/>
          <w:szCs w:val="18"/>
        </w:rPr>
      </w:pPr>
      <w:r>
        <w:rPr>
          <w:bCs/>
          <w:sz w:val="18"/>
          <w:szCs w:val="18"/>
        </w:rPr>
        <w:t>The Group's cash flow from investing activities decreased by €</w:t>
      </w:r>
      <w:r w:rsidR="00C92AC8">
        <w:rPr>
          <w:bCs/>
          <w:sz w:val="18"/>
          <w:szCs w:val="18"/>
        </w:rPr>
        <w:t xml:space="preserve"> </w:t>
      </w:r>
      <w:r>
        <w:rPr>
          <w:bCs/>
          <w:sz w:val="18"/>
          <w:szCs w:val="18"/>
        </w:rPr>
        <w:t>23.0 million or 15.6%, to €</w:t>
      </w:r>
      <w:r w:rsidR="00C92AC8">
        <w:rPr>
          <w:bCs/>
          <w:sz w:val="18"/>
          <w:szCs w:val="18"/>
        </w:rPr>
        <w:t xml:space="preserve"> </w:t>
      </w:r>
      <w:r>
        <w:rPr>
          <w:bCs/>
          <w:sz w:val="18"/>
          <w:szCs w:val="18"/>
        </w:rPr>
        <w:t>124.4 million in 2016 from €</w:t>
      </w:r>
      <w:r w:rsidR="00C92AC8">
        <w:rPr>
          <w:bCs/>
          <w:sz w:val="18"/>
          <w:szCs w:val="18"/>
        </w:rPr>
        <w:t xml:space="preserve"> </w:t>
      </w:r>
      <w:r w:rsidR="00F5209E">
        <w:rPr>
          <w:bCs/>
          <w:sz w:val="18"/>
          <w:szCs w:val="18"/>
        </w:rPr>
        <w:t>147</w:t>
      </w:r>
      <w:r>
        <w:rPr>
          <w:bCs/>
          <w:sz w:val="18"/>
          <w:szCs w:val="18"/>
        </w:rPr>
        <w:t>.4 million in 2015. These changes reflected primarily expenditure of € 336.7 million in connection with the development activities and land acquisition, including the Mango building in Spain; € 236.1 million cash proceeds from the sale of the Seed Portfolio and subsequent closings during the year to the Joint Venture; € 4.7 million cash proceeds from the repayment of equity from the Joint Venture; and € 28.5 million shareholder loans (net) granted to the Joint Venture.</w:t>
      </w:r>
    </w:p>
    <w:p w14:paraId="655B6E39" w14:textId="656233C6" w:rsidR="001D1FD6" w:rsidRDefault="001D1FD6" w:rsidP="001D1FD6">
      <w:pPr>
        <w:spacing w:after="240"/>
        <w:ind w:firstLine="720"/>
        <w:jc w:val="both"/>
        <w:rPr>
          <w:bCs/>
          <w:sz w:val="18"/>
          <w:szCs w:val="18"/>
        </w:rPr>
      </w:pPr>
      <w:r>
        <w:rPr>
          <w:bCs/>
          <w:sz w:val="18"/>
          <w:szCs w:val="18"/>
        </w:rPr>
        <w:t xml:space="preserve">Cash flow from investing activities increased by € 87.9 million or 148%, to € 147.4 </w:t>
      </w:r>
      <w:r w:rsidR="00F90491">
        <w:rPr>
          <w:bCs/>
          <w:sz w:val="18"/>
          <w:szCs w:val="18"/>
        </w:rPr>
        <w:t xml:space="preserve">million </w:t>
      </w:r>
      <w:r>
        <w:rPr>
          <w:bCs/>
          <w:sz w:val="18"/>
          <w:szCs w:val="18"/>
        </w:rPr>
        <w:t xml:space="preserve">in 2015 from € 59.5 million in 2014. The increase reflected increased capital expenditure incurred for the development activities and land acquisition which increased from € 112.2 million as at 2014 to € 147.5 million as at 31 December 2015. The cash flow from investing activities also benefited from the € 49.8 million repayment of shareholder loans granted to </w:t>
      </w:r>
      <w:r>
        <w:rPr>
          <w:bCs/>
          <w:sz w:val="18"/>
          <w:szCs w:val="18"/>
          <w:lang w:val="en-GB"/>
        </w:rPr>
        <w:t xml:space="preserve">Snow Crystal </w:t>
      </w:r>
      <w:proofErr w:type="spellStart"/>
      <w:r>
        <w:rPr>
          <w:bCs/>
          <w:sz w:val="18"/>
          <w:szCs w:val="18"/>
          <w:lang w:val="en-GB"/>
        </w:rPr>
        <w:t>S.à</w:t>
      </w:r>
      <w:proofErr w:type="spellEnd"/>
      <w:r>
        <w:rPr>
          <w:bCs/>
          <w:sz w:val="18"/>
          <w:szCs w:val="18"/>
          <w:lang w:val="en-GB"/>
        </w:rPr>
        <w:t xml:space="preserve"> </w:t>
      </w:r>
      <w:proofErr w:type="spellStart"/>
      <w:r>
        <w:rPr>
          <w:bCs/>
          <w:sz w:val="18"/>
          <w:szCs w:val="18"/>
          <w:lang w:val="en-GB"/>
        </w:rPr>
        <w:t>r.l</w:t>
      </w:r>
      <w:proofErr w:type="spellEnd"/>
      <w:r>
        <w:rPr>
          <w:bCs/>
          <w:sz w:val="18"/>
          <w:szCs w:val="18"/>
          <w:lang w:val="en-GB"/>
        </w:rPr>
        <w:t xml:space="preserve">. and SUN </w:t>
      </w:r>
      <w:proofErr w:type="spellStart"/>
      <w:r>
        <w:rPr>
          <w:bCs/>
          <w:sz w:val="18"/>
          <w:szCs w:val="18"/>
          <w:lang w:val="en-GB"/>
        </w:rPr>
        <w:t>S.à</w:t>
      </w:r>
      <w:proofErr w:type="spellEnd"/>
      <w:r>
        <w:rPr>
          <w:bCs/>
          <w:sz w:val="18"/>
          <w:szCs w:val="18"/>
          <w:lang w:val="en-GB"/>
        </w:rPr>
        <w:t xml:space="preserve"> </w:t>
      </w:r>
      <w:proofErr w:type="spellStart"/>
      <w:r>
        <w:rPr>
          <w:bCs/>
          <w:sz w:val="18"/>
          <w:szCs w:val="18"/>
          <w:lang w:val="en-GB"/>
        </w:rPr>
        <w:t>r.l</w:t>
      </w:r>
      <w:proofErr w:type="spellEnd"/>
      <w:r>
        <w:rPr>
          <w:bCs/>
          <w:sz w:val="18"/>
          <w:szCs w:val="18"/>
          <w:lang w:val="en-GB"/>
        </w:rPr>
        <w:t>.</w:t>
      </w:r>
      <w:r>
        <w:rPr>
          <w:bCs/>
          <w:sz w:val="18"/>
          <w:szCs w:val="18"/>
        </w:rPr>
        <w:t xml:space="preserve"> which were repaid in October 2014. </w:t>
      </w:r>
    </w:p>
    <w:p w14:paraId="7FA07E35" w14:textId="3B0CD5E5" w:rsidR="001D1FD6" w:rsidRDefault="001D1FD6" w:rsidP="001D1FD6">
      <w:pPr>
        <w:spacing w:after="240"/>
        <w:jc w:val="both"/>
        <w:rPr>
          <w:rFonts w:cs="Arabic Transparent"/>
          <w:b/>
          <w:i/>
          <w:color w:val="000000"/>
          <w:sz w:val="18"/>
          <w:szCs w:val="18"/>
        </w:rPr>
      </w:pPr>
      <w:r>
        <w:rPr>
          <w:rFonts w:cs="Arabic Transparent"/>
          <w:b/>
          <w:i/>
          <w:color w:val="000000"/>
          <w:sz w:val="18"/>
          <w:szCs w:val="18"/>
        </w:rPr>
        <w:t>Cash flow generated from</w:t>
      </w:r>
      <w:r w:rsidR="000A3CC8">
        <w:rPr>
          <w:rFonts w:cs="Arabic Transparent"/>
          <w:b/>
          <w:i/>
          <w:color w:val="000000"/>
          <w:sz w:val="18"/>
          <w:szCs w:val="18"/>
        </w:rPr>
        <w:t xml:space="preserve"> (used in)</w:t>
      </w:r>
      <w:r>
        <w:rPr>
          <w:rFonts w:cs="Arabic Transparent"/>
          <w:b/>
          <w:i/>
          <w:color w:val="000000"/>
          <w:sz w:val="18"/>
          <w:szCs w:val="18"/>
        </w:rPr>
        <w:t xml:space="preserve"> financing activities </w:t>
      </w:r>
    </w:p>
    <w:p w14:paraId="4B16C0F9" w14:textId="4AB9EAAF" w:rsidR="001D1FD6" w:rsidRDefault="002C7466" w:rsidP="001D1FD6">
      <w:pPr>
        <w:spacing w:after="240"/>
        <w:ind w:firstLine="720"/>
        <w:jc w:val="both"/>
        <w:rPr>
          <w:bCs/>
          <w:sz w:val="18"/>
          <w:szCs w:val="18"/>
        </w:rPr>
      </w:pPr>
      <w:r w:rsidRPr="002C7466">
        <w:rPr>
          <w:bCs/>
          <w:sz w:val="18"/>
          <w:szCs w:val="18"/>
        </w:rPr>
        <w:t>Cash flow generated from financing activities increased by €</w:t>
      </w:r>
      <w:r>
        <w:rPr>
          <w:bCs/>
          <w:sz w:val="18"/>
          <w:szCs w:val="18"/>
        </w:rPr>
        <w:t xml:space="preserve"> </w:t>
      </w:r>
      <w:r w:rsidRPr="002C7466">
        <w:rPr>
          <w:bCs/>
          <w:sz w:val="18"/>
          <w:szCs w:val="18"/>
        </w:rPr>
        <w:t>139.1</w:t>
      </w:r>
      <w:r w:rsidR="00F27F6C">
        <w:rPr>
          <w:bCs/>
          <w:sz w:val="18"/>
          <w:szCs w:val="18"/>
        </w:rPr>
        <w:t xml:space="preserve"> million</w:t>
      </w:r>
      <w:r w:rsidRPr="002C7466">
        <w:rPr>
          <w:bCs/>
          <w:sz w:val="18"/>
          <w:szCs w:val="18"/>
        </w:rPr>
        <w:t xml:space="preserve">, from </w:t>
      </w:r>
      <w:r w:rsidR="00A8264B">
        <w:rPr>
          <w:bCs/>
          <w:sz w:val="18"/>
          <w:szCs w:val="18"/>
        </w:rPr>
        <w:t xml:space="preserve">an outflow of </w:t>
      </w:r>
      <w:r w:rsidRPr="002C7466">
        <w:rPr>
          <w:bCs/>
          <w:sz w:val="18"/>
          <w:szCs w:val="18"/>
        </w:rPr>
        <w:t>€</w:t>
      </w:r>
      <w:r>
        <w:rPr>
          <w:bCs/>
          <w:sz w:val="18"/>
          <w:szCs w:val="18"/>
        </w:rPr>
        <w:t xml:space="preserve"> </w:t>
      </w:r>
      <w:r w:rsidRPr="002C7466">
        <w:rPr>
          <w:bCs/>
          <w:sz w:val="18"/>
          <w:szCs w:val="18"/>
        </w:rPr>
        <w:t xml:space="preserve">63.6 million in the period ended in 30 June 2016 mainly due to the repayment of the € 63.0 million of hybrid instruments compared to </w:t>
      </w:r>
      <w:r w:rsidR="00A8264B">
        <w:rPr>
          <w:bCs/>
          <w:sz w:val="18"/>
          <w:szCs w:val="18"/>
        </w:rPr>
        <w:t xml:space="preserve">an inflow of </w:t>
      </w:r>
      <w:r w:rsidRPr="002C7466">
        <w:rPr>
          <w:bCs/>
          <w:sz w:val="18"/>
          <w:szCs w:val="18"/>
        </w:rPr>
        <w:t>€</w:t>
      </w:r>
      <w:r>
        <w:rPr>
          <w:bCs/>
          <w:sz w:val="18"/>
          <w:szCs w:val="18"/>
        </w:rPr>
        <w:t xml:space="preserve"> </w:t>
      </w:r>
      <w:r w:rsidR="00B91D8F">
        <w:rPr>
          <w:bCs/>
          <w:sz w:val="18"/>
          <w:szCs w:val="18"/>
        </w:rPr>
        <w:t xml:space="preserve">75.4 </w:t>
      </w:r>
      <w:r w:rsidRPr="002C7466">
        <w:rPr>
          <w:bCs/>
          <w:sz w:val="18"/>
          <w:szCs w:val="18"/>
        </w:rPr>
        <w:t>million for the period ended 30 June 2017 mainly due to the issuance of a new € 80 million bond.</w:t>
      </w:r>
    </w:p>
    <w:p w14:paraId="42F5E4E7" w14:textId="77777777" w:rsidR="001D1FD6" w:rsidRDefault="001D1FD6" w:rsidP="001D1FD6">
      <w:pPr>
        <w:spacing w:after="240"/>
        <w:ind w:firstLine="720"/>
        <w:jc w:val="both"/>
        <w:rPr>
          <w:bCs/>
          <w:sz w:val="18"/>
          <w:szCs w:val="18"/>
        </w:rPr>
      </w:pPr>
      <w:r>
        <w:rPr>
          <w:bCs/>
          <w:sz w:val="18"/>
          <w:szCs w:val="18"/>
        </w:rPr>
        <w:t>Cash flow generated from financing activities increased by € 28.8 million or 21%, to € 168.9 million in 2016 from € 140.1 million in 2015, which was an increase of € 114.8 million from 2014 mainly due to the increase in bank borrowings and the € 60 million hybrid instruments which were subscribed by certain shareholders.</w:t>
      </w:r>
    </w:p>
    <w:p w14:paraId="6E5B4097" w14:textId="77777777" w:rsidR="001D1FD6" w:rsidRDefault="001D1FD6" w:rsidP="001D1FD6">
      <w:pPr>
        <w:spacing w:after="240"/>
        <w:jc w:val="both"/>
        <w:rPr>
          <w:rFonts w:cs="Arabic Transparent"/>
          <w:b/>
          <w:color w:val="000000"/>
          <w:sz w:val="18"/>
          <w:szCs w:val="18"/>
        </w:rPr>
      </w:pPr>
      <w:r>
        <w:rPr>
          <w:rFonts w:cs="Arabic Transparent"/>
          <w:b/>
          <w:color w:val="000000"/>
          <w:sz w:val="18"/>
          <w:szCs w:val="18"/>
        </w:rPr>
        <w:t>Liquidity and capital resources</w:t>
      </w:r>
    </w:p>
    <w:p w14:paraId="3DC9D66B" w14:textId="7E782B07" w:rsidR="001D1FD6" w:rsidRDefault="001D1FD6" w:rsidP="001D1FD6">
      <w:pPr>
        <w:spacing w:after="240"/>
        <w:ind w:firstLine="720"/>
        <w:jc w:val="both"/>
        <w:rPr>
          <w:bCs/>
          <w:sz w:val="18"/>
          <w:szCs w:val="18"/>
        </w:rPr>
      </w:pPr>
      <w:r>
        <w:rPr>
          <w:bCs/>
          <w:sz w:val="18"/>
          <w:szCs w:val="18"/>
        </w:rPr>
        <w:t xml:space="preserve">During the period under review, the Group's primary capital requirements have been to finance the purchase of development land and the financing for its development activities and financing of a new logistics building in Spain. The primary sources of liquidity of the Group have been bond financings, as well as bank lending and, to a lesser extent the rental income from its operating activities. In addition, since the establishment of the Joint Venture, the Group has been and expects to continue generating property management fee income through the Joint Venture, and use this as add-on source of cash. The Group expects to continue to rely on rental income, management fee income and bond financings, as well as, increasingly, sales of assets to the Joint Venture. The Group expects that its next sale of assets to the Joint Venture will be completed </w:t>
      </w:r>
      <w:r w:rsidR="002C7466" w:rsidRPr="002C7466">
        <w:rPr>
          <w:bCs/>
          <w:sz w:val="18"/>
          <w:szCs w:val="18"/>
        </w:rPr>
        <w:t>in February 2018</w:t>
      </w:r>
      <w:r w:rsidR="002C7466">
        <w:rPr>
          <w:bCs/>
          <w:sz w:val="18"/>
          <w:szCs w:val="18"/>
        </w:rPr>
        <w:t>.</w:t>
      </w:r>
    </w:p>
    <w:p w14:paraId="0333A090" w14:textId="77777777" w:rsidR="001D1FD6" w:rsidRDefault="001D1FD6" w:rsidP="001D1FD6">
      <w:pPr>
        <w:spacing w:after="240"/>
        <w:ind w:firstLine="720"/>
        <w:jc w:val="both"/>
        <w:rPr>
          <w:bCs/>
          <w:sz w:val="18"/>
          <w:szCs w:val="18"/>
        </w:rPr>
      </w:pPr>
      <w:r>
        <w:rPr>
          <w:bCs/>
          <w:sz w:val="18"/>
          <w:szCs w:val="18"/>
        </w:rPr>
        <w:t xml:space="preserve">The Group seeks to </w:t>
      </w:r>
      <w:proofErr w:type="spellStart"/>
      <w:r>
        <w:rPr>
          <w:bCs/>
          <w:sz w:val="18"/>
          <w:szCs w:val="18"/>
        </w:rPr>
        <w:t>optimise</w:t>
      </w:r>
      <w:proofErr w:type="spellEnd"/>
      <w:r>
        <w:rPr>
          <w:bCs/>
          <w:sz w:val="18"/>
          <w:szCs w:val="18"/>
        </w:rPr>
        <w:t xml:space="preserve"> its capital structure so as to </w:t>
      </w:r>
      <w:proofErr w:type="spellStart"/>
      <w:r>
        <w:rPr>
          <w:bCs/>
          <w:sz w:val="18"/>
          <w:szCs w:val="18"/>
        </w:rPr>
        <w:t>maximise</w:t>
      </w:r>
      <w:proofErr w:type="spellEnd"/>
      <w:r>
        <w:rPr>
          <w:bCs/>
          <w:sz w:val="18"/>
          <w:szCs w:val="18"/>
        </w:rPr>
        <w:t xml:space="preserve"> shareholder value while keeping flexibility to support its growth. The Group targets a maximum gearing ratio of consolidated total net debt divided by the sum of shareholders' equity and total liabilities of 55%.</w:t>
      </w:r>
    </w:p>
    <w:p w14:paraId="6EA3780C" w14:textId="77777777" w:rsidR="001D1FD6" w:rsidRDefault="001D1FD6" w:rsidP="001D1FD6">
      <w:pPr>
        <w:spacing w:after="240"/>
        <w:jc w:val="both"/>
        <w:rPr>
          <w:rFonts w:cs="Arabic Transparent"/>
          <w:b/>
          <w:i/>
          <w:color w:val="000000"/>
          <w:sz w:val="18"/>
          <w:szCs w:val="18"/>
        </w:rPr>
      </w:pPr>
      <w:r>
        <w:rPr>
          <w:rFonts w:cs="Arabic Transparent"/>
          <w:b/>
          <w:i/>
          <w:color w:val="000000"/>
          <w:sz w:val="18"/>
          <w:szCs w:val="18"/>
        </w:rPr>
        <w:t>Capital expenditures</w:t>
      </w:r>
    </w:p>
    <w:p w14:paraId="104145FF" w14:textId="77777777" w:rsidR="001D1FD6" w:rsidRDefault="001D1FD6" w:rsidP="001D1FD6">
      <w:pPr>
        <w:spacing w:after="240"/>
        <w:ind w:firstLine="720"/>
        <w:jc w:val="both"/>
        <w:rPr>
          <w:bCs/>
          <w:sz w:val="18"/>
          <w:szCs w:val="18"/>
        </w:rPr>
      </w:pPr>
      <w:r>
        <w:rPr>
          <w:bCs/>
          <w:sz w:val="18"/>
          <w:szCs w:val="18"/>
        </w:rPr>
        <w:t xml:space="preserve">The Group's principal capital expenditures, defined as additions to investment properties during the period under review have been for purchases of land and construction of warehouse facilities. </w:t>
      </w:r>
    </w:p>
    <w:p w14:paraId="332705C1" w14:textId="77777777" w:rsidR="001D1FD6" w:rsidRDefault="001D1FD6" w:rsidP="001D1FD6">
      <w:pPr>
        <w:spacing w:after="240"/>
        <w:ind w:firstLine="720"/>
        <w:jc w:val="both"/>
        <w:rPr>
          <w:bCs/>
          <w:sz w:val="18"/>
          <w:szCs w:val="18"/>
        </w:rPr>
      </w:pPr>
      <w:r>
        <w:rPr>
          <w:bCs/>
          <w:sz w:val="18"/>
          <w:szCs w:val="18"/>
        </w:rPr>
        <w:t xml:space="preserve">As at 30 June 2017, the Group had concluded a number of contracts relating to future purchases of land, in the amount of € 32.3 million, and had paid deposits of € 0.6 million. As at 31 December 2016, the Group had concluded a number of contracts relating to future purchases of land, in the amount of € 16.2 million, and had paid deposits of € 0.6 million. </w:t>
      </w:r>
    </w:p>
    <w:p w14:paraId="7B1486D7" w14:textId="77777777" w:rsidR="001D1FD6" w:rsidRDefault="001D1FD6" w:rsidP="001D1FD6">
      <w:pPr>
        <w:spacing w:after="240"/>
        <w:ind w:firstLine="720"/>
        <w:jc w:val="both"/>
        <w:rPr>
          <w:bCs/>
          <w:sz w:val="18"/>
          <w:szCs w:val="18"/>
        </w:rPr>
      </w:pPr>
      <w:r>
        <w:rPr>
          <w:bCs/>
          <w:sz w:val="18"/>
          <w:szCs w:val="18"/>
        </w:rPr>
        <w:t>As at 30 June 2017 and 31 December 2016 the Group had contractual obligations to develop new projects for a total amount of € 114.1 million and € 80.3 million, respectively. These commitments are short-term in nature; the land is expected to be acquired partly during the course of 2017 and partly during the course of 2018, and the construction obligations relate to new buildings or buildings under construction that will be delivered or started-up during 2017 for both the own and Joint Venture portfolios.</w:t>
      </w:r>
    </w:p>
    <w:p w14:paraId="5D85DC1E" w14:textId="77777777" w:rsidR="001D1FD6" w:rsidRDefault="001D1FD6" w:rsidP="001D1FD6">
      <w:pPr>
        <w:spacing w:after="240"/>
        <w:jc w:val="both"/>
        <w:rPr>
          <w:rFonts w:cs="Arabic Transparent"/>
          <w:b/>
          <w:bCs/>
          <w:i/>
          <w:iCs/>
          <w:color w:val="000000"/>
          <w:sz w:val="18"/>
          <w:szCs w:val="18"/>
          <w:lang w:val="en-GB"/>
        </w:rPr>
      </w:pPr>
      <w:r>
        <w:rPr>
          <w:rFonts w:cs="Arabic Transparent"/>
          <w:b/>
          <w:bCs/>
          <w:i/>
          <w:iCs/>
          <w:color w:val="000000"/>
          <w:sz w:val="18"/>
          <w:szCs w:val="18"/>
          <w:lang w:val="en-GB"/>
        </w:rPr>
        <w:t>Indebtedness</w:t>
      </w:r>
    </w:p>
    <w:p w14:paraId="735A4808" w14:textId="1CD8716A" w:rsidR="001D1FD6" w:rsidRDefault="001D1FD6" w:rsidP="001D1FD6">
      <w:pPr>
        <w:spacing w:after="240"/>
        <w:ind w:firstLine="720"/>
        <w:jc w:val="both"/>
        <w:rPr>
          <w:bCs/>
          <w:sz w:val="18"/>
          <w:szCs w:val="18"/>
        </w:rPr>
      </w:pPr>
      <w:r>
        <w:rPr>
          <w:bCs/>
          <w:sz w:val="18"/>
          <w:szCs w:val="18"/>
          <w:lang w:val="en-GB"/>
        </w:rPr>
        <w:t xml:space="preserve">The Group has incurred significant borrowings in order to finance its growth via its currently outstanding bonds and/or via bank credit facilities. Under the terms of these bonds and bank credit facilities, the Group needs to ensure that it all times complies with the </w:t>
      </w:r>
      <w:r w:rsidR="00A4620A">
        <w:rPr>
          <w:bCs/>
          <w:sz w:val="18"/>
          <w:szCs w:val="18"/>
          <w:lang w:val="en-GB"/>
        </w:rPr>
        <w:t>gearing ratios (each as defined in the relevant bond or credit facility agreement)</w:t>
      </w:r>
      <w:r>
        <w:rPr>
          <w:bCs/>
          <w:sz w:val="18"/>
          <w:szCs w:val="18"/>
        </w:rPr>
        <w:t xml:space="preserve">. All of the Group's bank loans and all of its bonds, are denominated in euro. The Company does not have available committed bank credit facilities. Depending on the pace of development and acquisition of new development land the Group </w:t>
      </w:r>
      <w:r w:rsidR="00C1317A">
        <w:rPr>
          <w:bCs/>
          <w:sz w:val="18"/>
          <w:szCs w:val="18"/>
        </w:rPr>
        <w:t>may arrange</w:t>
      </w:r>
      <w:r>
        <w:rPr>
          <w:bCs/>
          <w:sz w:val="18"/>
          <w:szCs w:val="18"/>
        </w:rPr>
        <w:t xml:space="preserve"> additional bank debt to bridge the period up to the next closing with the Joint Venture foreseen during the first quarter. Should this occur the bank debt will be of a short-term nature and it is currently foreseen that it would not exceed an amount of € 50 million. </w:t>
      </w:r>
    </w:p>
    <w:p w14:paraId="4D00502A" w14:textId="07B9A42D" w:rsidR="001D1FD6" w:rsidRDefault="001D1FD6" w:rsidP="002C7466">
      <w:pPr>
        <w:spacing w:after="240"/>
        <w:ind w:firstLine="720"/>
        <w:jc w:val="both"/>
        <w:rPr>
          <w:rFonts w:eastAsia="PMingLiU"/>
          <w:sz w:val="18"/>
          <w:szCs w:val="18"/>
        </w:rPr>
      </w:pPr>
      <w:r>
        <w:rPr>
          <w:bCs/>
          <w:sz w:val="18"/>
          <w:szCs w:val="18"/>
        </w:rPr>
        <w:lastRenderedPageBreak/>
        <w:t>The following table sets forth the contractual maturities of the Group's interest bearing loans and borrowings as at the dates indicated:</w:t>
      </w:r>
    </w:p>
    <w:tbl>
      <w:tblPr>
        <w:tblW w:w="7830" w:type="dxa"/>
        <w:tblLayout w:type="fixed"/>
        <w:tblCellMar>
          <w:left w:w="0" w:type="dxa"/>
          <w:right w:w="0" w:type="dxa"/>
        </w:tblCellMar>
        <w:tblLook w:val="04A0" w:firstRow="1" w:lastRow="0" w:firstColumn="1" w:lastColumn="0" w:noHBand="0" w:noVBand="1"/>
      </w:tblPr>
      <w:tblGrid>
        <w:gridCol w:w="3330"/>
        <w:gridCol w:w="1080"/>
        <w:gridCol w:w="1260"/>
        <w:gridCol w:w="1080"/>
        <w:gridCol w:w="1080"/>
      </w:tblGrid>
      <w:tr w:rsidR="001D1FD6" w14:paraId="4D2502BF" w14:textId="77777777" w:rsidTr="001D1FD6">
        <w:trPr>
          <w:trHeight w:hRule="exact" w:val="288"/>
        </w:trPr>
        <w:tc>
          <w:tcPr>
            <w:tcW w:w="3330" w:type="dxa"/>
          </w:tcPr>
          <w:p w14:paraId="20104403" w14:textId="77777777" w:rsidR="001D1FD6" w:rsidRDefault="001D1FD6" w:rsidP="001D1FD6">
            <w:pPr>
              <w:spacing w:before="92" w:after="459" w:line="183" w:lineRule="exact"/>
              <w:ind w:left="96"/>
              <w:textAlignment w:val="baseline"/>
              <w:rPr>
                <w:rFonts w:eastAsia="Tahoma"/>
                <w:b/>
                <w:color w:val="000000"/>
                <w:sz w:val="18"/>
                <w:szCs w:val="18"/>
              </w:rPr>
            </w:pPr>
          </w:p>
        </w:tc>
        <w:tc>
          <w:tcPr>
            <w:tcW w:w="4500" w:type="dxa"/>
            <w:gridSpan w:val="4"/>
            <w:tcBorders>
              <w:top w:val="single" w:sz="4" w:space="0" w:color="auto"/>
              <w:bottom w:val="single" w:sz="4" w:space="0" w:color="auto"/>
            </w:tcBorders>
            <w:vAlign w:val="center"/>
          </w:tcPr>
          <w:p w14:paraId="2B0DD805" w14:textId="3106C5B8" w:rsidR="001D1FD6" w:rsidRDefault="00C57B27" w:rsidP="001D1FD6">
            <w:pPr>
              <w:spacing w:before="61" w:after="45" w:line="181" w:lineRule="exact"/>
              <w:jc w:val="center"/>
              <w:textAlignment w:val="baseline"/>
              <w:rPr>
                <w:rFonts w:eastAsia="Tahoma"/>
                <w:b/>
                <w:color w:val="000000"/>
                <w:sz w:val="18"/>
                <w:szCs w:val="18"/>
              </w:rPr>
            </w:pPr>
            <w:r>
              <w:rPr>
                <w:rFonts w:eastAsia="Tahoma"/>
                <w:b/>
                <w:color w:val="000000"/>
                <w:sz w:val="18"/>
                <w:szCs w:val="18"/>
              </w:rPr>
              <w:t>As at 30-</w:t>
            </w:r>
            <w:r w:rsidR="001D1FD6">
              <w:rPr>
                <w:rFonts w:eastAsia="Tahoma"/>
                <w:b/>
                <w:color w:val="000000"/>
                <w:sz w:val="18"/>
                <w:szCs w:val="18"/>
              </w:rPr>
              <w:t>Jun</w:t>
            </w:r>
          </w:p>
        </w:tc>
      </w:tr>
      <w:tr w:rsidR="001D1FD6" w14:paraId="2AD77B88" w14:textId="77777777" w:rsidTr="001D1FD6">
        <w:trPr>
          <w:trHeight w:hRule="exact" w:val="288"/>
        </w:trPr>
        <w:tc>
          <w:tcPr>
            <w:tcW w:w="3330" w:type="dxa"/>
            <w:vMerge w:val="restart"/>
          </w:tcPr>
          <w:p w14:paraId="1FE72571" w14:textId="77777777" w:rsidR="001D1FD6" w:rsidRDefault="001D1FD6" w:rsidP="001D1FD6">
            <w:pPr>
              <w:spacing w:before="92" w:after="459" w:line="183" w:lineRule="exact"/>
              <w:ind w:left="96"/>
              <w:textAlignment w:val="baseline"/>
              <w:rPr>
                <w:rFonts w:eastAsia="Tahoma"/>
                <w:b/>
                <w:color w:val="000000"/>
                <w:sz w:val="18"/>
                <w:szCs w:val="18"/>
              </w:rPr>
            </w:pPr>
          </w:p>
        </w:tc>
        <w:tc>
          <w:tcPr>
            <w:tcW w:w="4500" w:type="dxa"/>
            <w:gridSpan w:val="4"/>
            <w:tcBorders>
              <w:top w:val="single" w:sz="4" w:space="0" w:color="auto"/>
              <w:bottom w:val="single" w:sz="4" w:space="0" w:color="auto"/>
            </w:tcBorders>
            <w:vAlign w:val="center"/>
          </w:tcPr>
          <w:p w14:paraId="0194218B" w14:textId="77777777" w:rsidR="001D1FD6" w:rsidRDefault="001D1FD6" w:rsidP="001D1FD6">
            <w:pPr>
              <w:spacing w:before="61" w:after="45" w:line="181" w:lineRule="exact"/>
              <w:jc w:val="center"/>
              <w:textAlignment w:val="baseline"/>
              <w:rPr>
                <w:rFonts w:eastAsia="Tahoma"/>
                <w:b/>
                <w:color w:val="000000"/>
                <w:sz w:val="18"/>
                <w:szCs w:val="18"/>
              </w:rPr>
            </w:pPr>
            <w:r>
              <w:rPr>
                <w:rFonts w:eastAsia="Tahoma"/>
                <w:b/>
                <w:color w:val="000000"/>
                <w:sz w:val="18"/>
                <w:szCs w:val="18"/>
              </w:rPr>
              <w:t>2017</w:t>
            </w:r>
          </w:p>
        </w:tc>
      </w:tr>
      <w:tr w:rsidR="001D1FD6" w14:paraId="265DAF4C" w14:textId="77777777" w:rsidTr="001D1FD6">
        <w:trPr>
          <w:trHeight w:hRule="exact" w:val="503"/>
        </w:trPr>
        <w:tc>
          <w:tcPr>
            <w:tcW w:w="3330" w:type="dxa"/>
            <w:vMerge/>
          </w:tcPr>
          <w:p w14:paraId="27AAE66D" w14:textId="77777777" w:rsidR="001D1FD6" w:rsidRDefault="001D1FD6" w:rsidP="001D1FD6">
            <w:pPr>
              <w:rPr>
                <w:rFonts w:eastAsia="PMingLiU"/>
                <w:sz w:val="18"/>
                <w:szCs w:val="18"/>
              </w:rPr>
            </w:pPr>
          </w:p>
        </w:tc>
        <w:tc>
          <w:tcPr>
            <w:tcW w:w="1080" w:type="dxa"/>
            <w:tcBorders>
              <w:top w:val="single" w:sz="4" w:space="0" w:color="auto"/>
              <w:bottom w:val="single" w:sz="4" w:space="0" w:color="auto"/>
            </w:tcBorders>
            <w:vAlign w:val="center"/>
          </w:tcPr>
          <w:p w14:paraId="6256B6A7" w14:textId="77777777" w:rsidR="001D1FD6" w:rsidRDefault="001D1FD6" w:rsidP="001D1FD6">
            <w:pPr>
              <w:spacing w:before="53" w:after="31" w:line="181" w:lineRule="exact"/>
              <w:jc w:val="center"/>
              <w:textAlignment w:val="baseline"/>
              <w:rPr>
                <w:rFonts w:eastAsia="Tahoma"/>
                <w:b/>
                <w:color w:val="000000"/>
                <w:sz w:val="18"/>
                <w:szCs w:val="18"/>
              </w:rPr>
            </w:pPr>
            <w:r>
              <w:rPr>
                <w:rFonts w:eastAsia="Tahoma"/>
                <w:b/>
                <w:color w:val="000000"/>
                <w:sz w:val="18"/>
                <w:szCs w:val="18"/>
              </w:rPr>
              <w:t>Less than one year</w:t>
            </w:r>
          </w:p>
        </w:tc>
        <w:tc>
          <w:tcPr>
            <w:tcW w:w="1260" w:type="dxa"/>
            <w:tcBorders>
              <w:top w:val="single" w:sz="4" w:space="0" w:color="auto"/>
              <w:bottom w:val="single" w:sz="4" w:space="0" w:color="auto"/>
            </w:tcBorders>
            <w:vAlign w:val="center"/>
          </w:tcPr>
          <w:p w14:paraId="33AA1F10" w14:textId="77777777" w:rsidR="001D1FD6" w:rsidRDefault="001D1FD6" w:rsidP="001D1FD6">
            <w:pPr>
              <w:spacing w:before="53" w:after="31" w:line="181" w:lineRule="exact"/>
              <w:jc w:val="center"/>
              <w:textAlignment w:val="baseline"/>
              <w:rPr>
                <w:rFonts w:eastAsia="Tahoma"/>
                <w:b/>
                <w:color w:val="000000"/>
                <w:sz w:val="18"/>
                <w:szCs w:val="18"/>
              </w:rPr>
            </w:pPr>
            <w:r>
              <w:rPr>
                <w:rFonts w:eastAsia="Tahoma"/>
                <w:b/>
                <w:color w:val="000000"/>
                <w:sz w:val="18"/>
                <w:szCs w:val="18"/>
              </w:rPr>
              <w:t xml:space="preserve">From one to five years </w:t>
            </w:r>
          </w:p>
        </w:tc>
        <w:tc>
          <w:tcPr>
            <w:tcW w:w="1080" w:type="dxa"/>
            <w:tcBorders>
              <w:top w:val="single" w:sz="4" w:space="0" w:color="auto"/>
              <w:bottom w:val="single" w:sz="4" w:space="0" w:color="auto"/>
            </w:tcBorders>
            <w:vAlign w:val="center"/>
          </w:tcPr>
          <w:p w14:paraId="20768AAC" w14:textId="77777777" w:rsidR="001D1FD6" w:rsidRDefault="001D1FD6" w:rsidP="001D1FD6">
            <w:pPr>
              <w:spacing w:before="53" w:after="31" w:line="181" w:lineRule="exact"/>
              <w:jc w:val="center"/>
              <w:textAlignment w:val="baseline"/>
              <w:rPr>
                <w:rFonts w:eastAsia="Tahoma"/>
                <w:b/>
                <w:color w:val="000000"/>
                <w:sz w:val="18"/>
                <w:szCs w:val="18"/>
              </w:rPr>
            </w:pPr>
            <w:r>
              <w:rPr>
                <w:rFonts w:eastAsia="Tahoma"/>
                <w:b/>
                <w:color w:val="000000"/>
                <w:sz w:val="18"/>
                <w:szCs w:val="18"/>
              </w:rPr>
              <w:t>More than five years</w:t>
            </w:r>
          </w:p>
        </w:tc>
        <w:tc>
          <w:tcPr>
            <w:tcW w:w="1080" w:type="dxa"/>
            <w:tcBorders>
              <w:top w:val="single" w:sz="4" w:space="0" w:color="auto"/>
              <w:bottom w:val="single" w:sz="4" w:space="0" w:color="auto"/>
            </w:tcBorders>
            <w:vAlign w:val="center"/>
          </w:tcPr>
          <w:p w14:paraId="7EB2A480" w14:textId="77777777" w:rsidR="001D1FD6" w:rsidRDefault="001D1FD6" w:rsidP="001D1FD6">
            <w:pPr>
              <w:spacing w:before="53" w:after="31" w:line="181" w:lineRule="exact"/>
              <w:jc w:val="center"/>
              <w:textAlignment w:val="baseline"/>
              <w:rPr>
                <w:rFonts w:eastAsia="Tahoma"/>
                <w:b/>
                <w:color w:val="000000"/>
                <w:sz w:val="18"/>
                <w:szCs w:val="18"/>
              </w:rPr>
            </w:pPr>
            <w:r>
              <w:rPr>
                <w:rFonts w:eastAsia="Tahoma"/>
                <w:b/>
                <w:color w:val="000000"/>
                <w:sz w:val="18"/>
                <w:szCs w:val="18"/>
              </w:rPr>
              <w:t>Total</w:t>
            </w:r>
          </w:p>
        </w:tc>
      </w:tr>
      <w:tr w:rsidR="001D1FD6" w14:paraId="6A4584BF" w14:textId="77777777" w:rsidTr="001D1FD6">
        <w:trPr>
          <w:trHeight w:val="370"/>
        </w:trPr>
        <w:tc>
          <w:tcPr>
            <w:tcW w:w="3330" w:type="dxa"/>
            <w:vAlign w:val="center"/>
          </w:tcPr>
          <w:p w14:paraId="731AC68E" w14:textId="77777777" w:rsidR="001D1FD6" w:rsidRDefault="001D1FD6" w:rsidP="001D1FD6">
            <w:pPr>
              <w:tabs>
                <w:tab w:val="right" w:leader="dot" w:pos="4403"/>
              </w:tabs>
              <w:spacing w:before="60" w:after="47" w:line="176" w:lineRule="exact"/>
              <w:ind w:left="29"/>
              <w:textAlignment w:val="baseline"/>
              <w:rPr>
                <w:rFonts w:eastAsia="Verdana"/>
                <w:b/>
                <w:color w:val="000000"/>
                <w:sz w:val="18"/>
                <w:szCs w:val="18"/>
              </w:rPr>
            </w:pPr>
          </w:p>
        </w:tc>
        <w:tc>
          <w:tcPr>
            <w:tcW w:w="4500" w:type="dxa"/>
            <w:gridSpan w:val="4"/>
            <w:tcBorders>
              <w:top w:val="single" w:sz="4" w:space="0" w:color="auto"/>
              <w:bottom w:val="single" w:sz="4" w:space="0" w:color="auto"/>
            </w:tcBorders>
            <w:vAlign w:val="center"/>
          </w:tcPr>
          <w:p w14:paraId="65402E85" w14:textId="77777777" w:rsidR="001D1FD6" w:rsidRDefault="001D1FD6" w:rsidP="001D1FD6">
            <w:pPr>
              <w:spacing w:before="59" w:after="38" w:line="176" w:lineRule="exact"/>
              <w:jc w:val="center"/>
              <w:textAlignment w:val="baseline"/>
              <w:rPr>
                <w:rFonts w:eastAsia="Verdana"/>
                <w:color w:val="000000"/>
                <w:sz w:val="18"/>
                <w:szCs w:val="18"/>
              </w:rPr>
            </w:pPr>
            <w:r>
              <w:rPr>
                <w:rFonts w:eastAsia="Verdana"/>
                <w:color w:val="000000"/>
                <w:sz w:val="18"/>
                <w:szCs w:val="18"/>
              </w:rPr>
              <w:t>(</w:t>
            </w:r>
            <w:r>
              <w:rPr>
                <w:rFonts w:eastAsia="Verdana"/>
                <w:i/>
                <w:color w:val="000000"/>
                <w:sz w:val="18"/>
                <w:szCs w:val="18"/>
              </w:rPr>
              <w:t>thousands of €</w:t>
            </w:r>
            <w:r>
              <w:rPr>
                <w:rFonts w:eastAsia="Verdana"/>
                <w:color w:val="000000"/>
                <w:sz w:val="18"/>
                <w:szCs w:val="18"/>
              </w:rPr>
              <w:t>)</w:t>
            </w:r>
          </w:p>
        </w:tc>
      </w:tr>
      <w:tr w:rsidR="001D1FD6" w14:paraId="3D06E7BF" w14:textId="77777777" w:rsidTr="001D1FD6">
        <w:trPr>
          <w:trHeight w:hRule="exact" w:val="273"/>
        </w:trPr>
        <w:tc>
          <w:tcPr>
            <w:tcW w:w="3330" w:type="dxa"/>
            <w:vAlign w:val="center"/>
          </w:tcPr>
          <w:p w14:paraId="08028AD3" w14:textId="77777777" w:rsidR="001D1FD6" w:rsidRDefault="001D1FD6" w:rsidP="001D1FD6">
            <w:pPr>
              <w:tabs>
                <w:tab w:val="right" w:leader="dot" w:pos="4403"/>
              </w:tabs>
              <w:spacing w:before="54" w:after="38" w:line="176" w:lineRule="exact"/>
              <w:ind w:left="29"/>
              <w:textAlignment w:val="baseline"/>
              <w:rPr>
                <w:rFonts w:eastAsia="Verdana"/>
                <w:color w:val="000000"/>
                <w:sz w:val="18"/>
                <w:szCs w:val="18"/>
              </w:rPr>
            </w:pPr>
          </w:p>
        </w:tc>
        <w:tc>
          <w:tcPr>
            <w:tcW w:w="1080" w:type="dxa"/>
            <w:vAlign w:val="center"/>
          </w:tcPr>
          <w:p w14:paraId="649488A8" w14:textId="77777777" w:rsidR="001D1FD6" w:rsidRDefault="001D1FD6" w:rsidP="001D1FD6">
            <w:pPr>
              <w:spacing w:before="56" w:after="41" w:line="176" w:lineRule="exact"/>
              <w:jc w:val="right"/>
              <w:textAlignment w:val="baseline"/>
              <w:rPr>
                <w:rFonts w:eastAsia="Verdana"/>
                <w:color w:val="000000"/>
                <w:sz w:val="18"/>
                <w:szCs w:val="18"/>
              </w:rPr>
            </w:pPr>
          </w:p>
        </w:tc>
        <w:tc>
          <w:tcPr>
            <w:tcW w:w="1260" w:type="dxa"/>
            <w:vAlign w:val="center"/>
          </w:tcPr>
          <w:p w14:paraId="314B843A" w14:textId="77777777" w:rsidR="001D1FD6" w:rsidRDefault="001D1FD6" w:rsidP="001D1FD6">
            <w:pPr>
              <w:spacing w:before="59" w:after="38" w:line="176" w:lineRule="exact"/>
              <w:jc w:val="right"/>
              <w:textAlignment w:val="baseline"/>
              <w:rPr>
                <w:rFonts w:eastAsia="Verdana"/>
                <w:color w:val="000000"/>
                <w:sz w:val="18"/>
                <w:szCs w:val="18"/>
              </w:rPr>
            </w:pPr>
          </w:p>
        </w:tc>
        <w:tc>
          <w:tcPr>
            <w:tcW w:w="1080" w:type="dxa"/>
            <w:vAlign w:val="center"/>
          </w:tcPr>
          <w:p w14:paraId="391C6DD4" w14:textId="77777777" w:rsidR="001D1FD6" w:rsidRDefault="001D1FD6" w:rsidP="001D1FD6">
            <w:pPr>
              <w:spacing w:before="59" w:after="38" w:line="176" w:lineRule="exact"/>
              <w:jc w:val="right"/>
              <w:textAlignment w:val="baseline"/>
              <w:rPr>
                <w:rFonts w:eastAsia="Verdana"/>
                <w:color w:val="000000"/>
                <w:sz w:val="18"/>
                <w:szCs w:val="18"/>
              </w:rPr>
            </w:pPr>
          </w:p>
        </w:tc>
        <w:tc>
          <w:tcPr>
            <w:tcW w:w="1080" w:type="dxa"/>
            <w:vAlign w:val="center"/>
          </w:tcPr>
          <w:p w14:paraId="12AE1FCE" w14:textId="77777777" w:rsidR="001D1FD6" w:rsidRDefault="001D1FD6" w:rsidP="001D1FD6">
            <w:pPr>
              <w:spacing w:before="59" w:after="38" w:line="176" w:lineRule="exact"/>
              <w:jc w:val="right"/>
              <w:textAlignment w:val="baseline"/>
              <w:rPr>
                <w:rFonts w:eastAsia="Verdana"/>
                <w:color w:val="000000"/>
                <w:sz w:val="18"/>
                <w:szCs w:val="18"/>
              </w:rPr>
            </w:pPr>
          </w:p>
        </w:tc>
      </w:tr>
      <w:tr w:rsidR="001D1FD6" w14:paraId="63DC56D5" w14:textId="77777777" w:rsidTr="001D1FD6">
        <w:trPr>
          <w:trHeight w:hRule="exact" w:val="279"/>
        </w:trPr>
        <w:tc>
          <w:tcPr>
            <w:tcW w:w="3330" w:type="dxa"/>
            <w:vAlign w:val="center"/>
          </w:tcPr>
          <w:p w14:paraId="4CF54FEB" w14:textId="77777777" w:rsidR="001D1FD6" w:rsidRDefault="001D1FD6" w:rsidP="001D1FD6">
            <w:pPr>
              <w:tabs>
                <w:tab w:val="right" w:leader="dot" w:pos="4403"/>
              </w:tabs>
              <w:spacing w:before="54" w:after="38" w:line="176" w:lineRule="exact"/>
              <w:ind w:left="29"/>
              <w:textAlignment w:val="baseline"/>
              <w:rPr>
                <w:rFonts w:eastAsia="Verdana"/>
                <w:color w:val="000000"/>
                <w:sz w:val="18"/>
                <w:szCs w:val="18"/>
              </w:rPr>
            </w:pPr>
            <w:r>
              <w:rPr>
                <w:rFonts w:eastAsia="Verdana"/>
                <w:color w:val="000000"/>
                <w:sz w:val="18"/>
                <w:szCs w:val="18"/>
              </w:rPr>
              <w:t>Accrued Interest</w:t>
            </w:r>
            <w:r>
              <w:rPr>
                <w:rFonts w:eastAsia="Verdana"/>
                <w:color w:val="000000"/>
                <w:sz w:val="18"/>
                <w:szCs w:val="18"/>
              </w:rPr>
              <w:tab/>
              <w:t xml:space="preserve"> </w:t>
            </w:r>
          </w:p>
        </w:tc>
        <w:tc>
          <w:tcPr>
            <w:tcW w:w="1080" w:type="dxa"/>
            <w:tcBorders>
              <w:bottom w:val="single" w:sz="4" w:space="0" w:color="auto"/>
            </w:tcBorders>
            <w:vAlign w:val="center"/>
          </w:tcPr>
          <w:p w14:paraId="7A07D9C9" w14:textId="77777777" w:rsidR="001D1FD6" w:rsidRDefault="001D1FD6" w:rsidP="001D1FD6">
            <w:pPr>
              <w:spacing w:before="56" w:after="41" w:line="176" w:lineRule="exact"/>
              <w:jc w:val="right"/>
              <w:textAlignment w:val="baseline"/>
              <w:rPr>
                <w:rFonts w:eastAsia="Verdana"/>
                <w:color w:val="000000"/>
                <w:sz w:val="18"/>
                <w:szCs w:val="18"/>
              </w:rPr>
            </w:pPr>
            <w:r>
              <w:rPr>
                <w:rFonts w:eastAsia="Verdana"/>
                <w:color w:val="000000"/>
                <w:sz w:val="18"/>
                <w:szCs w:val="18"/>
              </w:rPr>
              <w:t>13,349</w:t>
            </w:r>
          </w:p>
        </w:tc>
        <w:tc>
          <w:tcPr>
            <w:tcW w:w="1260" w:type="dxa"/>
            <w:tcBorders>
              <w:bottom w:val="single" w:sz="4" w:space="0" w:color="auto"/>
            </w:tcBorders>
            <w:vAlign w:val="center"/>
          </w:tcPr>
          <w:p w14:paraId="1A3AF80C"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tcBorders>
              <w:bottom w:val="single" w:sz="4" w:space="0" w:color="auto"/>
            </w:tcBorders>
            <w:vAlign w:val="center"/>
          </w:tcPr>
          <w:p w14:paraId="634A99EE"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tcBorders>
              <w:bottom w:val="single" w:sz="4" w:space="0" w:color="auto"/>
            </w:tcBorders>
            <w:vAlign w:val="center"/>
          </w:tcPr>
          <w:p w14:paraId="40003ACB"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13,349</w:t>
            </w:r>
          </w:p>
        </w:tc>
      </w:tr>
      <w:tr w:rsidR="001D1FD6" w14:paraId="2D9FF45A" w14:textId="77777777" w:rsidTr="001D1FD6">
        <w:trPr>
          <w:trHeight w:val="370"/>
        </w:trPr>
        <w:tc>
          <w:tcPr>
            <w:tcW w:w="3330" w:type="dxa"/>
            <w:vAlign w:val="center"/>
          </w:tcPr>
          <w:p w14:paraId="16FC2876" w14:textId="77777777" w:rsidR="001D1FD6" w:rsidRDefault="001D1FD6" w:rsidP="001D1FD6">
            <w:pPr>
              <w:tabs>
                <w:tab w:val="right" w:leader="dot" w:pos="4403"/>
              </w:tabs>
              <w:spacing w:before="60" w:after="47" w:line="176" w:lineRule="exact"/>
              <w:ind w:left="29"/>
              <w:textAlignment w:val="baseline"/>
              <w:rPr>
                <w:rFonts w:eastAsia="Verdana"/>
                <w:color w:val="000000"/>
                <w:sz w:val="18"/>
                <w:szCs w:val="18"/>
              </w:rPr>
            </w:pPr>
            <w:r>
              <w:rPr>
                <w:rFonts w:eastAsia="Verdana"/>
                <w:color w:val="000000"/>
                <w:sz w:val="18"/>
                <w:szCs w:val="18"/>
              </w:rPr>
              <w:t>Non-Current Bank Borrowings</w:t>
            </w:r>
            <w:r>
              <w:rPr>
                <w:rFonts w:eastAsia="Verdana"/>
                <w:color w:val="000000"/>
                <w:sz w:val="18"/>
                <w:szCs w:val="18"/>
              </w:rPr>
              <w:tab/>
            </w:r>
          </w:p>
        </w:tc>
        <w:tc>
          <w:tcPr>
            <w:tcW w:w="1080" w:type="dxa"/>
            <w:tcBorders>
              <w:top w:val="single" w:sz="4" w:space="0" w:color="auto"/>
              <w:bottom w:val="single" w:sz="4" w:space="0" w:color="auto"/>
            </w:tcBorders>
            <w:vAlign w:val="center"/>
          </w:tcPr>
          <w:p w14:paraId="62A8ECBD" w14:textId="77777777" w:rsidR="001D1FD6" w:rsidRDefault="001D1FD6" w:rsidP="001D1FD6">
            <w:pPr>
              <w:spacing w:before="56" w:after="41" w:line="176" w:lineRule="exact"/>
              <w:jc w:val="right"/>
              <w:textAlignment w:val="baseline"/>
              <w:rPr>
                <w:rFonts w:eastAsia="Verdana"/>
                <w:color w:val="000000"/>
                <w:sz w:val="18"/>
                <w:szCs w:val="18"/>
              </w:rPr>
            </w:pPr>
            <w:r>
              <w:rPr>
                <w:rFonts w:eastAsia="Verdana"/>
                <w:color w:val="000000"/>
                <w:sz w:val="18"/>
                <w:szCs w:val="18"/>
              </w:rPr>
              <w:t>750</w:t>
            </w:r>
          </w:p>
        </w:tc>
        <w:tc>
          <w:tcPr>
            <w:tcW w:w="1260" w:type="dxa"/>
            <w:tcBorders>
              <w:top w:val="single" w:sz="4" w:space="0" w:color="auto"/>
              <w:bottom w:val="single" w:sz="4" w:space="0" w:color="auto"/>
            </w:tcBorders>
            <w:vAlign w:val="center"/>
          </w:tcPr>
          <w:p w14:paraId="058EFF82"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11,772</w:t>
            </w:r>
          </w:p>
        </w:tc>
        <w:tc>
          <w:tcPr>
            <w:tcW w:w="1080" w:type="dxa"/>
            <w:tcBorders>
              <w:top w:val="single" w:sz="4" w:space="0" w:color="auto"/>
              <w:bottom w:val="single" w:sz="4" w:space="0" w:color="auto"/>
            </w:tcBorders>
            <w:vAlign w:val="center"/>
          </w:tcPr>
          <w:p w14:paraId="59ECC078"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tcBorders>
              <w:top w:val="single" w:sz="4" w:space="0" w:color="auto"/>
              <w:bottom w:val="single" w:sz="4" w:space="0" w:color="auto"/>
            </w:tcBorders>
            <w:vAlign w:val="center"/>
          </w:tcPr>
          <w:p w14:paraId="6AA095CE"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12,522</w:t>
            </w:r>
          </w:p>
        </w:tc>
      </w:tr>
      <w:tr w:rsidR="001D1FD6" w14:paraId="20546155" w14:textId="77777777" w:rsidTr="001D1FD6">
        <w:trPr>
          <w:trHeight w:hRule="exact" w:val="279"/>
        </w:trPr>
        <w:tc>
          <w:tcPr>
            <w:tcW w:w="3330" w:type="dxa"/>
            <w:vAlign w:val="center"/>
          </w:tcPr>
          <w:p w14:paraId="6C6DE57A" w14:textId="77777777" w:rsidR="001D1FD6" w:rsidRDefault="001D1FD6" w:rsidP="001D1FD6">
            <w:pPr>
              <w:tabs>
                <w:tab w:val="right" w:leader="dot" w:pos="4403"/>
              </w:tabs>
              <w:spacing w:before="54" w:after="38" w:line="176" w:lineRule="exact"/>
              <w:ind w:left="29"/>
              <w:textAlignment w:val="baseline"/>
              <w:rPr>
                <w:rFonts w:eastAsia="Verdana"/>
                <w:color w:val="000000"/>
                <w:sz w:val="18"/>
                <w:szCs w:val="18"/>
              </w:rPr>
            </w:pPr>
            <w:r>
              <w:rPr>
                <w:rFonts w:eastAsia="Verdana"/>
                <w:color w:val="000000"/>
                <w:sz w:val="18"/>
                <w:szCs w:val="18"/>
              </w:rPr>
              <w:t>Current Bank Borrowings</w:t>
            </w:r>
            <w:r>
              <w:rPr>
                <w:rFonts w:eastAsia="Verdana"/>
                <w:color w:val="000000"/>
                <w:sz w:val="18"/>
                <w:szCs w:val="18"/>
              </w:rPr>
              <w:tab/>
            </w:r>
          </w:p>
        </w:tc>
        <w:tc>
          <w:tcPr>
            <w:tcW w:w="1080" w:type="dxa"/>
            <w:vAlign w:val="center"/>
          </w:tcPr>
          <w:p w14:paraId="4F096FC8" w14:textId="77777777" w:rsidR="001D1FD6" w:rsidRDefault="001D1FD6" w:rsidP="001D1FD6">
            <w:pPr>
              <w:spacing w:before="56" w:after="41" w:line="176" w:lineRule="exact"/>
              <w:jc w:val="right"/>
              <w:textAlignment w:val="baseline"/>
              <w:rPr>
                <w:rFonts w:eastAsia="Verdana"/>
                <w:color w:val="000000"/>
                <w:sz w:val="18"/>
                <w:szCs w:val="18"/>
              </w:rPr>
            </w:pPr>
            <w:r>
              <w:rPr>
                <w:rFonts w:eastAsia="Verdana"/>
                <w:color w:val="000000"/>
                <w:sz w:val="18"/>
                <w:szCs w:val="18"/>
              </w:rPr>
              <w:t>18,751</w:t>
            </w:r>
          </w:p>
        </w:tc>
        <w:tc>
          <w:tcPr>
            <w:tcW w:w="1260" w:type="dxa"/>
            <w:vAlign w:val="center"/>
          </w:tcPr>
          <w:p w14:paraId="38122C3D"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vAlign w:val="center"/>
          </w:tcPr>
          <w:p w14:paraId="2C37FF2C"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vAlign w:val="center"/>
          </w:tcPr>
          <w:p w14:paraId="7B44FABF"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18,751</w:t>
            </w:r>
          </w:p>
        </w:tc>
      </w:tr>
      <w:tr w:rsidR="001D1FD6" w14:paraId="0405744B" w14:textId="77777777" w:rsidTr="001D1FD6">
        <w:trPr>
          <w:trHeight w:hRule="exact" w:val="279"/>
        </w:trPr>
        <w:tc>
          <w:tcPr>
            <w:tcW w:w="3330" w:type="dxa"/>
            <w:vAlign w:val="center"/>
          </w:tcPr>
          <w:p w14:paraId="6026BBBD" w14:textId="77777777" w:rsidR="001D1FD6" w:rsidRDefault="001D1FD6" w:rsidP="001D1FD6">
            <w:pPr>
              <w:tabs>
                <w:tab w:val="right" w:leader="dot" w:pos="4403"/>
              </w:tabs>
              <w:spacing w:before="54" w:after="38" w:line="176" w:lineRule="exact"/>
              <w:ind w:left="29"/>
              <w:textAlignment w:val="baseline"/>
              <w:rPr>
                <w:rFonts w:eastAsia="Verdana"/>
                <w:color w:val="000000"/>
                <w:sz w:val="18"/>
                <w:szCs w:val="18"/>
              </w:rPr>
            </w:pPr>
            <w:r>
              <w:rPr>
                <w:rFonts w:eastAsia="Verdana"/>
                <w:color w:val="000000"/>
                <w:sz w:val="18"/>
                <w:szCs w:val="18"/>
              </w:rPr>
              <w:t>5.15% Bonds Jul-17</w:t>
            </w:r>
            <w:r>
              <w:rPr>
                <w:rFonts w:eastAsia="Verdana"/>
                <w:color w:val="000000"/>
                <w:sz w:val="18"/>
                <w:szCs w:val="18"/>
              </w:rPr>
              <w:tab/>
            </w:r>
          </w:p>
        </w:tc>
        <w:tc>
          <w:tcPr>
            <w:tcW w:w="1080" w:type="dxa"/>
            <w:vAlign w:val="center"/>
          </w:tcPr>
          <w:p w14:paraId="48FD34E6" w14:textId="77777777" w:rsidR="001D1FD6" w:rsidRDefault="001D1FD6" w:rsidP="001D1FD6">
            <w:pPr>
              <w:spacing w:before="56" w:after="41" w:line="176" w:lineRule="exact"/>
              <w:jc w:val="right"/>
              <w:textAlignment w:val="baseline"/>
              <w:rPr>
                <w:rFonts w:eastAsia="Verdana"/>
                <w:color w:val="000000"/>
                <w:sz w:val="18"/>
                <w:szCs w:val="18"/>
              </w:rPr>
            </w:pPr>
            <w:r>
              <w:rPr>
                <w:rFonts w:eastAsia="Verdana"/>
                <w:color w:val="000000"/>
                <w:sz w:val="18"/>
                <w:szCs w:val="18"/>
              </w:rPr>
              <w:t>74,984</w:t>
            </w:r>
          </w:p>
        </w:tc>
        <w:tc>
          <w:tcPr>
            <w:tcW w:w="1260" w:type="dxa"/>
            <w:vAlign w:val="center"/>
          </w:tcPr>
          <w:p w14:paraId="34E34355"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vAlign w:val="center"/>
          </w:tcPr>
          <w:p w14:paraId="0D9ADD50"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vAlign w:val="center"/>
          </w:tcPr>
          <w:p w14:paraId="0928F9D7"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74,984</w:t>
            </w:r>
          </w:p>
        </w:tc>
      </w:tr>
      <w:tr w:rsidR="001D1FD6" w14:paraId="4A8CEF6B" w14:textId="77777777" w:rsidTr="001D1FD6">
        <w:trPr>
          <w:trHeight w:hRule="exact" w:val="279"/>
        </w:trPr>
        <w:tc>
          <w:tcPr>
            <w:tcW w:w="3330" w:type="dxa"/>
            <w:vAlign w:val="center"/>
          </w:tcPr>
          <w:p w14:paraId="604B03C9" w14:textId="77777777" w:rsidR="001D1FD6" w:rsidRDefault="001D1FD6" w:rsidP="001D1FD6">
            <w:pPr>
              <w:tabs>
                <w:tab w:val="right" w:leader="dot" w:pos="4403"/>
              </w:tabs>
              <w:spacing w:before="54" w:after="38" w:line="176" w:lineRule="exact"/>
              <w:ind w:left="29"/>
              <w:textAlignment w:val="baseline"/>
              <w:rPr>
                <w:rFonts w:eastAsia="Verdana"/>
                <w:color w:val="000000"/>
                <w:sz w:val="18"/>
                <w:szCs w:val="18"/>
              </w:rPr>
            </w:pPr>
            <w:r>
              <w:rPr>
                <w:rFonts w:eastAsia="Verdana"/>
                <w:color w:val="000000"/>
                <w:sz w:val="18"/>
                <w:szCs w:val="18"/>
              </w:rPr>
              <w:t>5.10% Bonds Dec-18</w:t>
            </w:r>
            <w:r>
              <w:rPr>
                <w:rFonts w:eastAsia="Verdana"/>
                <w:color w:val="000000"/>
                <w:sz w:val="18"/>
                <w:szCs w:val="18"/>
              </w:rPr>
              <w:tab/>
            </w:r>
          </w:p>
        </w:tc>
        <w:tc>
          <w:tcPr>
            <w:tcW w:w="1080" w:type="dxa"/>
            <w:vAlign w:val="center"/>
          </w:tcPr>
          <w:p w14:paraId="38DD2C1B" w14:textId="77777777" w:rsidR="001D1FD6" w:rsidRDefault="001D1FD6" w:rsidP="001D1FD6">
            <w:pPr>
              <w:spacing w:before="56" w:after="41" w:line="176" w:lineRule="exact"/>
              <w:jc w:val="right"/>
              <w:textAlignment w:val="baseline"/>
              <w:rPr>
                <w:rFonts w:eastAsia="Verdana"/>
                <w:color w:val="000000"/>
                <w:sz w:val="18"/>
                <w:szCs w:val="18"/>
              </w:rPr>
            </w:pPr>
            <w:r>
              <w:rPr>
                <w:rFonts w:eastAsia="Verdana"/>
                <w:color w:val="000000"/>
                <w:sz w:val="18"/>
                <w:szCs w:val="18"/>
              </w:rPr>
              <w:t>-</w:t>
            </w:r>
          </w:p>
        </w:tc>
        <w:tc>
          <w:tcPr>
            <w:tcW w:w="1260" w:type="dxa"/>
            <w:vAlign w:val="center"/>
          </w:tcPr>
          <w:p w14:paraId="17F1EBD7"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74,539</w:t>
            </w:r>
          </w:p>
        </w:tc>
        <w:tc>
          <w:tcPr>
            <w:tcW w:w="1080" w:type="dxa"/>
            <w:vAlign w:val="center"/>
          </w:tcPr>
          <w:p w14:paraId="36F15D64"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vAlign w:val="center"/>
          </w:tcPr>
          <w:p w14:paraId="64988757"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74,539</w:t>
            </w:r>
          </w:p>
        </w:tc>
      </w:tr>
      <w:tr w:rsidR="001D1FD6" w14:paraId="6E9AB362" w14:textId="77777777" w:rsidTr="001D1FD6">
        <w:trPr>
          <w:trHeight w:hRule="exact" w:val="278"/>
        </w:trPr>
        <w:tc>
          <w:tcPr>
            <w:tcW w:w="3330" w:type="dxa"/>
            <w:vAlign w:val="center"/>
          </w:tcPr>
          <w:p w14:paraId="1BC9BB68" w14:textId="77777777" w:rsidR="001D1FD6" w:rsidRDefault="001D1FD6" w:rsidP="001D1FD6">
            <w:pPr>
              <w:tabs>
                <w:tab w:val="right" w:leader="dot" w:pos="4403"/>
              </w:tabs>
              <w:spacing w:before="54" w:after="38" w:line="176" w:lineRule="exact"/>
              <w:ind w:left="29"/>
              <w:textAlignment w:val="baseline"/>
              <w:rPr>
                <w:rFonts w:eastAsia="Verdana"/>
                <w:color w:val="000000"/>
                <w:sz w:val="18"/>
                <w:szCs w:val="18"/>
              </w:rPr>
            </w:pPr>
            <w:r>
              <w:rPr>
                <w:rFonts w:eastAsia="Verdana"/>
                <w:color w:val="000000"/>
                <w:sz w:val="18"/>
                <w:szCs w:val="18"/>
              </w:rPr>
              <w:t>3.90% Bonds Sep-23</w:t>
            </w:r>
            <w:r>
              <w:rPr>
                <w:rFonts w:eastAsia="Verdana"/>
                <w:color w:val="000000"/>
                <w:sz w:val="18"/>
                <w:szCs w:val="18"/>
              </w:rPr>
              <w:tab/>
            </w:r>
          </w:p>
        </w:tc>
        <w:tc>
          <w:tcPr>
            <w:tcW w:w="1080" w:type="dxa"/>
            <w:vAlign w:val="center"/>
          </w:tcPr>
          <w:p w14:paraId="25274EF6" w14:textId="77777777" w:rsidR="001D1FD6" w:rsidRDefault="001D1FD6" w:rsidP="001D1FD6">
            <w:pPr>
              <w:spacing w:before="56" w:after="41" w:line="176" w:lineRule="exact"/>
              <w:jc w:val="right"/>
              <w:textAlignment w:val="baseline"/>
              <w:rPr>
                <w:rFonts w:eastAsia="Verdana"/>
                <w:color w:val="000000"/>
                <w:sz w:val="18"/>
                <w:szCs w:val="18"/>
              </w:rPr>
            </w:pPr>
            <w:r>
              <w:rPr>
                <w:rFonts w:eastAsia="Verdana"/>
                <w:color w:val="000000"/>
                <w:sz w:val="18"/>
                <w:szCs w:val="18"/>
              </w:rPr>
              <w:t>-</w:t>
            </w:r>
          </w:p>
        </w:tc>
        <w:tc>
          <w:tcPr>
            <w:tcW w:w="1260" w:type="dxa"/>
            <w:vAlign w:val="center"/>
          </w:tcPr>
          <w:p w14:paraId="700D0676"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vAlign w:val="center"/>
          </w:tcPr>
          <w:p w14:paraId="3EBDC791"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220,989</w:t>
            </w:r>
          </w:p>
        </w:tc>
        <w:tc>
          <w:tcPr>
            <w:tcW w:w="1080" w:type="dxa"/>
            <w:vAlign w:val="center"/>
          </w:tcPr>
          <w:p w14:paraId="119DD255"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220,989</w:t>
            </w:r>
          </w:p>
        </w:tc>
      </w:tr>
      <w:tr w:rsidR="001D1FD6" w14:paraId="55B73423" w14:textId="77777777" w:rsidTr="001D1FD6">
        <w:trPr>
          <w:trHeight w:hRule="exact" w:val="278"/>
        </w:trPr>
        <w:tc>
          <w:tcPr>
            <w:tcW w:w="3330" w:type="dxa"/>
            <w:vAlign w:val="center"/>
          </w:tcPr>
          <w:p w14:paraId="3FE0B2C2" w14:textId="77777777" w:rsidR="001D1FD6" w:rsidRDefault="001D1FD6" w:rsidP="001D1FD6">
            <w:pPr>
              <w:tabs>
                <w:tab w:val="right" w:leader="dot" w:pos="4403"/>
              </w:tabs>
              <w:spacing w:before="54" w:after="38" w:line="176" w:lineRule="exact"/>
              <w:ind w:left="29"/>
              <w:textAlignment w:val="baseline"/>
              <w:rPr>
                <w:rFonts w:eastAsia="Verdana"/>
                <w:color w:val="000000"/>
                <w:sz w:val="18"/>
                <w:szCs w:val="18"/>
              </w:rPr>
            </w:pPr>
            <w:r>
              <w:rPr>
                <w:rFonts w:eastAsia="Verdana"/>
                <w:color w:val="000000"/>
                <w:sz w:val="18"/>
                <w:szCs w:val="18"/>
              </w:rPr>
              <w:t>3.35% Bonds Mar-25</w:t>
            </w:r>
            <w:r>
              <w:rPr>
                <w:rFonts w:eastAsia="Verdana"/>
                <w:color w:val="000000"/>
                <w:sz w:val="18"/>
                <w:szCs w:val="18"/>
              </w:rPr>
              <w:tab/>
            </w:r>
          </w:p>
        </w:tc>
        <w:tc>
          <w:tcPr>
            <w:tcW w:w="1080" w:type="dxa"/>
            <w:vAlign w:val="center"/>
          </w:tcPr>
          <w:p w14:paraId="2A369591" w14:textId="77777777" w:rsidR="001D1FD6" w:rsidRDefault="001D1FD6" w:rsidP="001D1FD6">
            <w:pPr>
              <w:spacing w:before="56" w:after="41" w:line="176" w:lineRule="exact"/>
              <w:jc w:val="right"/>
              <w:textAlignment w:val="baseline"/>
              <w:rPr>
                <w:rFonts w:eastAsia="Verdana"/>
                <w:color w:val="000000"/>
                <w:sz w:val="18"/>
                <w:szCs w:val="18"/>
              </w:rPr>
            </w:pPr>
            <w:r>
              <w:rPr>
                <w:rFonts w:eastAsia="Verdana"/>
                <w:color w:val="000000"/>
                <w:sz w:val="18"/>
                <w:szCs w:val="18"/>
              </w:rPr>
              <w:t>-</w:t>
            </w:r>
          </w:p>
        </w:tc>
        <w:tc>
          <w:tcPr>
            <w:tcW w:w="1260" w:type="dxa"/>
            <w:vAlign w:val="center"/>
          </w:tcPr>
          <w:p w14:paraId="0B14B465"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vAlign w:val="center"/>
          </w:tcPr>
          <w:p w14:paraId="34593C91"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79,582</w:t>
            </w:r>
          </w:p>
        </w:tc>
        <w:tc>
          <w:tcPr>
            <w:tcW w:w="1080" w:type="dxa"/>
            <w:vAlign w:val="center"/>
          </w:tcPr>
          <w:p w14:paraId="5E755127"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79,582</w:t>
            </w:r>
          </w:p>
        </w:tc>
      </w:tr>
      <w:tr w:rsidR="001D1FD6" w14:paraId="0E5F1518" w14:textId="77777777" w:rsidTr="001D1FD6">
        <w:trPr>
          <w:trHeight w:hRule="exact" w:val="278"/>
        </w:trPr>
        <w:tc>
          <w:tcPr>
            <w:tcW w:w="3330" w:type="dxa"/>
          </w:tcPr>
          <w:p w14:paraId="7057FCED" w14:textId="77777777" w:rsidR="001D1FD6" w:rsidRDefault="001D1FD6" w:rsidP="001D1FD6">
            <w:pPr>
              <w:textAlignment w:val="baseline"/>
              <w:rPr>
                <w:rFonts w:eastAsia="Verdana"/>
                <w:color w:val="000000"/>
                <w:sz w:val="18"/>
                <w:szCs w:val="18"/>
              </w:rPr>
            </w:pPr>
          </w:p>
        </w:tc>
        <w:tc>
          <w:tcPr>
            <w:tcW w:w="1080" w:type="dxa"/>
            <w:tcBorders>
              <w:bottom w:val="single" w:sz="4" w:space="0" w:color="auto"/>
            </w:tcBorders>
            <w:vAlign w:val="center"/>
          </w:tcPr>
          <w:p w14:paraId="7A8F049C" w14:textId="77777777" w:rsidR="001D1FD6" w:rsidRDefault="001D1FD6" w:rsidP="001D1FD6">
            <w:pPr>
              <w:spacing w:before="56" w:after="41" w:line="176" w:lineRule="exact"/>
              <w:jc w:val="right"/>
              <w:textAlignment w:val="baseline"/>
              <w:rPr>
                <w:rFonts w:eastAsia="Verdana"/>
                <w:color w:val="000000"/>
                <w:sz w:val="18"/>
                <w:szCs w:val="18"/>
              </w:rPr>
            </w:pPr>
          </w:p>
        </w:tc>
        <w:tc>
          <w:tcPr>
            <w:tcW w:w="1260" w:type="dxa"/>
            <w:tcBorders>
              <w:bottom w:val="single" w:sz="4" w:space="0" w:color="auto"/>
            </w:tcBorders>
            <w:vAlign w:val="center"/>
          </w:tcPr>
          <w:p w14:paraId="5BB0BFE5" w14:textId="77777777" w:rsidR="001D1FD6" w:rsidRDefault="001D1FD6" w:rsidP="001D1FD6">
            <w:pPr>
              <w:spacing w:before="59" w:after="38" w:line="176" w:lineRule="exact"/>
              <w:jc w:val="right"/>
              <w:textAlignment w:val="baseline"/>
              <w:rPr>
                <w:rFonts w:eastAsia="Verdana"/>
                <w:color w:val="000000"/>
                <w:sz w:val="18"/>
                <w:szCs w:val="18"/>
              </w:rPr>
            </w:pPr>
          </w:p>
        </w:tc>
        <w:tc>
          <w:tcPr>
            <w:tcW w:w="1080" w:type="dxa"/>
            <w:tcBorders>
              <w:bottom w:val="single" w:sz="4" w:space="0" w:color="auto"/>
            </w:tcBorders>
            <w:vAlign w:val="center"/>
          </w:tcPr>
          <w:p w14:paraId="26BE8B56" w14:textId="77777777" w:rsidR="001D1FD6" w:rsidRDefault="001D1FD6" w:rsidP="001D1FD6">
            <w:pPr>
              <w:spacing w:before="59" w:after="38" w:line="176" w:lineRule="exact"/>
              <w:jc w:val="right"/>
              <w:textAlignment w:val="baseline"/>
              <w:rPr>
                <w:rFonts w:eastAsia="Verdana"/>
                <w:color w:val="000000"/>
                <w:sz w:val="18"/>
                <w:szCs w:val="18"/>
              </w:rPr>
            </w:pPr>
          </w:p>
        </w:tc>
        <w:tc>
          <w:tcPr>
            <w:tcW w:w="1080" w:type="dxa"/>
            <w:tcBorders>
              <w:bottom w:val="single" w:sz="4" w:space="0" w:color="auto"/>
            </w:tcBorders>
            <w:vAlign w:val="center"/>
          </w:tcPr>
          <w:p w14:paraId="76F41F3B" w14:textId="77777777" w:rsidR="001D1FD6" w:rsidRDefault="001D1FD6" w:rsidP="001D1FD6">
            <w:pPr>
              <w:spacing w:before="59" w:after="38" w:line="176" w:lineRule="exact"/>
              <w:jc w:val="right"/>
              <w:textAlignment w:val="baseline"/>
              <w:rPr>
                <w:rFonts w:eastAsia="Verdana"/>
                <w:color w:val="000000"/>
                <w:sz w:val="18"/>
                <w:szCs w:val="18"/>
              </w:rPr>
            </w:pPr>
          </w:p>
        </w:tc>
      </w:tr>
      <w:tr w:rsidR="001D1FD6" w14:paraId="47DC8962" w14:textId="77777777" w:rsidTr="001D1FD6">
        <w:trPr>
          <w:trHeight w:hRule="exact" w:val="287"/>
        </w:trPr>
        <w:tc>
          <w:tcPr>
            <w:tcW w:w="3330" w:type="dxa"/>
            <w:vAlign w:val="center"/>
          </w:tcPr>
          <w:p w14:paraId="70B8FA87" w14:textId="77777777" w:rsidR="001D1FD6" w:rsidRDefault="001D1FD6" w:rsidP="001D1FD6">
            <w:pPr>
              <w:tabs>
                <w:tab w:val="right" w:leader="dot" w:pos="4403"/>
              </w:tabs>
              <w:spacing w:before="60" w:after="47" w:line="176" w:lineRule="exact"/>
              <w:ind w:left="29"/>
              <w:textAlignment w:val="baseline"/>
              <w:rPr>
                <w:rFonts w:eastAsia="Verdana"/>
                <w:b/>
                <w:color w:val="000000"/>
                <w:sz w:val="18"/>
                <w:szCs w:val="18"/>
              </w:rPr>
            </w:pPr>
            <w:r>
              <w:rPr>
                <w:rFonts w:eastAsia="Verdana"/>
                <w:b/>
                <w:color w:val="000000"/>
                <w:sz w:val="18"/>
                <w:szCs w:val="18"/>
              </w:rPr>
              <w:t>Total loans and borrowings</w:t>
            </w:r>
            <w:r>
              <w:rPr>
                <w:rFonts w:eastAsia="Verdana"/>
                <w:b/>
                <w:color w:val="000000"/>
                <w:sz w:val="18"/>
                <w:szCs w:val="18"/>
              </w:rPr>
              <w:tab/>
            </w:r>
          </w:p>
        </w:tc>
        <w:tc>
          <w:tcPr>
            <w:tcW w:w="1080" w:type="dxa"/>
            <w:tcBorders>
              <w:top w:val="single" w:sz="4" w:space="0" w:color="auto"/>
              <w:bottom w:val="single" w:sz="4" w:space="0" w:color="auto"/>
            </w:tcBorders>
            <w:vAlign w:val="center"/>
          </w:tcPr>
          <w:p w14:paraId="037011D2" w14:textId="77777777" w:rsidR="001D1FD6" w:rsidRDefault="001D1FD6" w:rsidP="001D1FD6">
            <w:pPr>
              <w:spacing w:before="56" w:after="41" w:line="176" w:lineRule="exact"/>
              <w:jc w:val="right"/>
              <w:textAlignment w:val="baseline"/>
              <w:rPr>
                <w:rFonts w:eastAsia="Verdana"/>
                <w:b/>
                <w:color w:val="000000"/>
                <w:sz w:val="18"/>
                <w:szCs w:val="18"/>
              </w:rPr>
            </w:pPr>
            <w:r>
              <w:rPr>
                <w:rFonts w:eastAsia="Verdana"/>
                <w:b/>
                <w:color w:val="000000"/>
                <w:sz w:val="18"/>
                <w:szCs w:val="18"/>
              </w:rPr>
              <w:t>107,834</w:t>
            </w:r>
          </w:p>
        </w:tc>
        <w:tc>
          <w:tcPr>
            <w:tcW w:w="1260" w:type="dxa"/>
            <w:tcBorders>
              <w:top w:val="single" w:sz="4" w:space="0" w:color="auto"/>
              <w:bottom w:val="single" w:sz="4" w:space="0" w:color="auto"/>
            </w:tcBorders>
            <w:vAlign w:val="center"/>
          </w:tcPr>
          <w:p w14:paraId="7D6853AB" w14:textId="77777777" w:rsidR="001D1FD6" w:rsidRDefault="001D1FD6" w:rsidP="001D1FD6">
            <w:pPr>
              <w:spacing w:before="59" w:after="38" w:line="176" w:lineRule="exact"/>
              <w:jc w:val="right"/>
              <w:textAlignment w:val="baseline"/>
              <w:rPr>
                <w:rFonts w:eastAsia="Verdana"/>
                <w:b/>
                <w:color w:val="000000"/>
                <w:sz w:val="18"/>
                <w:szCs w:val="18"/>
              </w:rPr>
            </w:pPr>
            <w:r>
              <w:rPr>
                <w:rFonts w:eastAsia="Verdana"/>
                <w:b/>
                <w:color w:val="000000"/>
                <w:sz w:val="18"/>
                <w:szCs w:val="18"/>
              </w:rPr>
              <w:t>86,311</w:t>
            </w:r>
          </w:p>
        </w:tc>
        <w:tc>
          <w:tcPr>
            <w:tcW w:w="1080" w:type="dxa"/>
            <w:tcBorders>
              <w:top w:val="single" w:sz="4" w:space="0" w:color="auto"/>
              <w:bottom w:val="single" w:sz="4" w:space="0" w:color="auto"/>
            </w:tcBorders>
            <w:vAlign w:val="center"/>
          </w:tcPr>
          <w:p w14:paraId="265EB1AC" w14:textId="77777777" w:rsidR="001D1FD6" w:rsidRDefault="001D1FD6" w:rsidP="001D1FD6">
            <w:pPr>
              <w:spacing w:before="59" w:after="38" w:line="176" w:lineRule="exact"/>
              <w:jc w:val="right"/>
              <w:textAlignment w:val="baseline"/>
              <w:rPr>
                <w:rFonts w:eastAsia="Verdana"/>
                <w:b/>
                <w:color w:val="000000"/>
                <w:sz w:val="18"/>
                <w:szCs w:val="18"/>
              </w:rPr>
            </w:pPr>
            <w:r>
              <w:rPr>
                <w:rFonts w:eastAsia="Verdana"/>
                <w:b/>
                <w:color w:val="000000"/>
                <w:sz w:val="18"/>
                <w:szCs w:val="18"/>
              </w:rPr>
              <w:t>300,571</w:t>
            </w:r>
          </w:p>
        </w:tc>
        <w:tc>
          <w:tcPr>
            <w:tcW w:w="1080" w:type="dxa"/>
            <w:tcBorders>
              <w:top w:val="single" w:sz="4" w:space="0" w:color="auto"/>
              <w:bottom w:val="single" w:sz="4" w:space="0" w:color="auto"/>
            </w:tcBorders>
            <w:vAlign w:val="center"/>
          </w:tcPr>
          <w:p w14:paraId="19D2D25A" w14:textId="77777777" w:rsidR="001D1FD6" w:rsidRDefault="001D1FD6" w:rsidP="001D1FD6">
            <w:pPr>
              <w:spacing w:before="59" w:after="38" w:line="176" w:lineRule="exact"/>
              <w:jc w:val="right"/>
              <w:textAlignment w:val="baseline"/>
              <w:rPr>
                <w:rFonts w:eastAsia="Verdana"/>
                <w:b/>
                <w:color w:val="000000"/>
                <w:sz w:val="18"/>
                <w:szCs w:val="18"/>
              </w:rPr>
            </w:pPr>
            <w:r>
              <w:rPr>
                <w:rFonts w:eastAsia="Verdana"/>
                <w:b/>
                <w:color w:val="000000"/>
                <w:sz w:val="18"/>
                <w:szCs w:val="18"/>
              </w:rPr>
              <w:t>494,716</w:t>
            </w:r>
          </w:p>
        </w:tc>
      </w:tr>
    </w:tbl>
    <w:p w14:paraId="7CCCED39" w14:textId="77777777" w:rsidR="001D1FD6" w:rsidRDefault="001D1FD6" w:rsidP="001D1FD6">
      <w:pPr>
        <w:rPr>
          <w:rFonts w:eastAsia="PMingLiU"/>
          <w:sz w:val="18"/>
          <w:szCs w:val="18"/>
        </w:rPr>
      </w:pPr>
    </w:p>
    <w:p w14:paraId="5CB5979F" w14:textId="77777777" w:rsidR="001D1FD6" w:rsidRDefault="001D1FD6" w:rsidP="001D1FD6">
      <w:pPr>
        <w:rPr>
          <w:rFonts w:eastAsia="PMingLiU"/>
          <w:sz w:val="18"/>
          <w:szCs w:val="18"/>
        </w:rPr>
      </w:pPr>
    </w:p>
    <w:tbl>
      <w:tblPr>
        <w:tblW w:w="7830" w:type="dxa"/>
        <w:tblLayout w:type="fixed"/>
        <w:tblCellMar>
          <w:left w:w="0" w:type="dxa"/>
          <w:right w:w="0" w:type="dxa"/>
        </w:tblCellMar>
        <w:tblLook w:val="04A0" w:firstRow="1" w:lastRow="0" w:firstColumn="1" w:lastColumn="0" w:noHBand="0" w:noVBand="1"/>
      </w:tblPr>
      <w:tblGrid>
        <w:gridCol w:w="3330"/>
        <w:gridCol w:w="1080"/>
        <w:gridCol w:w="1260"/>
        <w:gridCol w:w="1080"/>
        <w:gridCol w:w="1080"/>
      </w:tblGrid>
      <w:tr w:rsidR="001D1FD6" w14:paraId="64357FC9" w14:textId="77777777" w:rsidTr="001D1FD6">
        <w:trPr>
          <w:trHeight w:hRule="exact" w:val="288"/>
        </w:trPr>
        <w:tc>
          <w:tcPr>
            <w:tcW w:w="3330" w:type="dxa"/>
          </w:tcPr>
          <w:p w14:paraId="3D86889A" w14:textId="77777777" w:rsidR="001D1FD6" w:rsidRDefault="001D1FD6" w:rsidP="001D1FD6">
            <w:pPr>
              <w:spacing w:before="92" w:after="459" w:line="183" w:lineRule="exact"/>
              <w:ind w:left="96"/>
              <w:textAlignment w:val="baseline"/>
              <w:rPr>
                <w:rFonts w:eastAsia="Tahoma"/>
                <w:b/>
                <w:color w:val="000000"/>
                <w:sz w:val="18"/>
                <w:szCs w:val="18"/>
              </w:rPr>
            </w:pPr>
          </w:p>
        </w:tc>
        <w:tc>
          <w:tcPr>
            <w:tcW w:w="4500" w:type="dxa"/>
            <w:gridSpan w:val="4"/>
            <w:tcBorders>
              <w:top w:val="single" w:sz="4" w:space="0" w:color="auto"/>
              <w:bottom w:val="single" w:sz="4" w:space="0" w:color="auto"/>
            </w:tcBorders>
            <w:vAlign w:val="center"/>
          </w:tcPr>
          <w:p w14:paraId="6D334D9D" w14:textId="1E3A7FB6" w:rsidR="001D1FD6" w:rsidRDefault="00C57B27" w:rsidP="001D1FD6">
            <w:pPr>
              <w:spacing w:before="61" w:after="45" w:line="181" w:lineRule="exact"/>
              <w:jc w:val="center"/>
              <w:textAlignment w:val="baseline"/>
              <w:rPr>
                <w:rFonts w:eastAsia="Tahoma"/>
                <w:b/>
                <w:color w:val="000000"/>
                <w:sz w:val="18"/>
                <w:szCs w:val="18"/>
              </w:rPr>
            </w:pPr>
            <w:r>
              <w:rPr>
                <w:rFonts w:eastAsia="Tahoma"/>
                <w:b/>
                <w:color w:val="000000"/>
                <w:sz w:val="18"/>
                <w:szCs w:val="18"/>
              </w:rPr>
              <w:t>As at 31-</w:t>
            </w:r>
            <w:r w:rsidR="001D1FD6">
              <w:rPr>
                <w:rFonts w:eastAsia="Tahoma"/>
                <w:b/>
                <w:color w:val="000000"/>
                <w:sz w:val="18"/>
                <w:szCs w:val="18"/>
              </w:rPr>
              <w:t>Dec</w:t>
            </w:r>
          </w:p>
        </w:tc>
      </w:tr>
      <w:tr w:rsidR="001D1FD6" w14:paraId="002BED78" w14:textId="77777777" w:rsidTr="001D1FD6">
        <w:trPr>
          <w:trHeight w:hRule="exact" w:val="288"/>
        </w:trPr>
        <w:tc>
          <w:tcPr>
            <w:tcW w:w="3330" w:type="dxa"/>
            <w:vMerge w:val="restart"/>
          </w:tcPr>
          <w:p w14:paraId="737436AE" w14:textId="77777777" w:rsidR="001D1FD6" w:rsidRDefault="001D1FD6" w:rsidP="001D1FD6">
            <w:pPr>
              <w:spacing w:before="92" w:after="459" w:line="183" w:lineRule="exact"/>
              <w:ind w:left="96"/>
              <w:textAlignment w:val="baseline"/>
              <w:rPr>
                <w:rFonts w:eastAsia="Tahoma"/>
                <w:b/>
                <w:color w:val="000000"/>
                <w:sz w:val="18"/>
                <w:szCs w:val="18"/>
              </w:rPr>
            </w:pPr>
          </w:p>
        </w:tc>
        <w:tc>
          <w:tcPr>
            <w:tcW w:w="4500" w:type="dxa"/>
            <w:gridSpan w:val="4"/>
            <w:tcBorders>
              <w:top w:val="single" w:sz="4" w:space="0" w:color="auto"/>
              <w:bottom w:val="single" w:sz="4" w:space="0" w:color="auto"/>
            </w:tcBorders>
            <w:vAlign w:val="center"/>
          </w:tcPr>
          <w:p w14:paraId="4C62AA4B" w14:textId="77777777" w:rsidR="001D1FD6" w:rsidRDefault="001D1FD6" w:rsidP="001D1FD6">
            <w:pPr>
              <w:spacing w:before="61" w:after="45" w:line="181" w:lineRule="exact"/>
              <w:jc w:val="center"/>
              <w:textAlignment w:val="baseline"/>
              <w:rPr>
                <w:rFonts w:eastAsia="Tahoma"/>
                <w:b/>
                <w:color w:val="000000"/>
                <w:sz w:val="18"/>
                <w:szCs w:val="18"/>
              </w:rPr>
            </w:pPr>
            <w:r>
              <w:rPr>
                <w:rFonts w:eastAsia="Tahoma"/>
                <w:b/>
                <w:color w:val="000000"/>
                <w:sz w:val="18"/>
                <w:szCs w:val="18"/>
              </w:rPr>
              <w:t>2016</w:t>
            </w:r>
          </w:p>
        </w:tc>
      </w:tr>
      <w:tr w:rsidR="001D1FD6" w14:paraId="60336C56" w14:textId="77777777" w:rsidTr="001D1FD6">
        <w:trPr>
          <w:trHeight w:hRule="exact" w:val="503"/>
        </w:trPr>
        <w:tc>
          <w:tcPr>
            <w:tcW w:w="3330" w:type="dxa"/>
            <w:vMerge/>
          </w:tcPr>
          <w:p w14:paraId="3041CF7D" w14:textId="77777777" w:rsidR="001D1FD6" w:rsidRDefault="001D1FD6" w:rsidP="001D1FD6">
            <w:pPr>
              <w:rPr>
                <w:rFonts w:eastAsia="PMingLiU"/>
                <w:sz w:val="18"/>
                <w:szCs w:val="18"/>
              </w:rPr>
            </w:pPr>
          </w:p>
        </w:tc>
        <w:tc>
          <w:tcPr>
            <w:tcW w:w="1080" w:type="dxa"/>
            <w:tcBorders>
              <w:top w:val="single" w:sz="4" w:space="0" w:color="auto"/>
              <w:bottom w:val="single" w:sz="4" w:space="0" w:color="auto"/>
            </w:tcBorders>
            <w:vAlign w:val="center"/>
          </w:tcPr>
          <w:p w14:paraId="67C1BF68" w14:textId="77777777" w:rsidR="001D1FD6" w:rsidRDefault="001D1FD6" w:rsidP="001D1FD6">
            <w:pPr>
              <w:spacing w:before="53" w:after="31" w:line="181" w:lineRule="exact"/>
              <w:jc w:val="center"/>
              <w:textAlignment w:val="baseline"/>
              <w:rPr>
                <w:rFonts w:eastAsia="Tahoma"/>
                <w:b/>
                <w:color w:val="000000"/>
                <w:sz w:val="18"/>
                <w:szCs w:val="18"/>
              </w:rPr>
            </w:pPr>
            <w:r>
              <w:rPr>
                <w:rFonts w:eastAsia="Tahoma"/>
                <w:b/>
                <w:color w:val="000000"/>
                <w:sz w:val="18"/>
                <w:szCs w:val="18"/>
              </w:rPr>
              <w:t>Less than one year</w:t>
            </w:r>
          </w:p>
        </w:tc>
        <w:tc>
          <w:tcPr>
            <w:tcW w:w="1260" w:type="dxa"/>
            <w:tcBorders>
              <w:top w:val="single" w:sz="4" w:space="0" w:color="auto"/>
              <w:bottom w:val="single" w:sz="4" w:space="0" w:color="auto"/>
            </w:tcBorders>
            <w:vAlign w:val="center"/>
          </w:tcPr>
          <w:p w14:paraId="0ED8EE92" w14:textId="77777777" w:rsidR="001D1FD6" w:rsidRDefault="001D1FD6" w:rsidP="001D1FD6">
            <w:pPr>
              <w:spacing w:before="53" w:after="31" w:line="181" w:lineRule="exact"/>
              <w:jc w:val="center"/>
              <w:textAlignment w:val="baseline"/>
              <w:rPr>
                <w:rFonts w:eastAsia="Tahoma"/>
                <w:b/>
                <w:color w:val="000000"/>
                <w:sz w:val="18"/>
                <w:szCs w:val="18"/>
              </w:rPr>
            </w:pPr>
            <w:r>
              <w:rPr>
                <w:rFonts w:eastAsia="Tahoma"/>
                <w:b/>
                <w:color w:val="000000"/>
                <w:sz w:val="18"/>
                <w:szCs w:val="18"/>
              </w:rPr>
              <w:t xml:space="preserve">From one to five years </w:t>
            </w:r>
          </w:p>
        </w:tc>
        <w:tc>
          <w:tcPr>
            <w:tcW w:w="1080" w:type="dxa"/>
            <w:tcBorders>
              <w:top w:val="single" w:sz="4" w:space="0" w:color="auto"/>
              <w:bottom w:val="single" w:sz="4" w:space="0" w:color="auto"/>
            </w:tcBorders>
            <w:vAlign w:val="center"/>
          </w:tcPr>
          <w:p w14:paraId="33451F32" w14:textId="77777777" w:rsidR="001D1FD6" w:rsidRDefault="001D1FD6" w:rsidP="001D1FD6">
            <w:pPr>
              <w:spacing w:before="53" w:after="31" w:line="181" w:lineRule="exact"/>
              <w:jc w:val="center"/>
              <w:textAlignment w:val="baseline"/>
              <w:rPr>
                <w:rFonts w:eastAsia="Tahoma"/>
                <w:b/>
                <w:color w:val="000000"/>
                <w:sz w:val="18"/>
                <w:szCs w:val="18"/>
              </w:rPr>
            </w:pPr>
            <w:r>
              <w:rPr>
                <w:rFonts w:eastAsia="Tahoma"/>
                <w:b/>
                <w:color w:val="000000"/>
                <w:sz w:val="18"/>
                <w:szCs w:val="18"/>
              </w:rPr>
              <w:t>More than five years</w:t>
            </w:r>
          </w:p>
        </w:tc>
        <w:tc>
          <w:tcPr>
            <w:tcW w:w="1080" w:type="dxa"/>
            <w:tcBorders>
              <w:top w:val="single" w:sz="4" w:space="0" w:color="auto"/>
              <w:bottom w:val="single" w:sz="4" w:space="0" w:color="auto"/>
            </w:tcBorders>
            <w:vAlign w:val="center"/>
          </w:tcPr>
          <w:p w14:paraId="7DCA97ED" w14:textId="77777777" w:rsidR="001D1FD6" w:rsidRDefault="001D1FD6" w:rsidP="001D1FD6">
            <w:pPr>
              <w:spacing w:before="53" w:after="31" w:line="181" w:lineRule="exact"/>
              <w:jc w:val="center"/>
              <w:textAlignment w:val="baseline"/>
              <w:rPr>
                <w:rFonts w:eastAsia="Tahoma"/>
                <w:b/>
                <w:color w:val="000000"/>
                <w:sz w:val="18"/>
                <w:szCs w:val="18"/>
              </w:rPr>
            </w:pPr>
            <w:r>
              <w:rPr>
                <w:rFonts w:eastAsia="Tahoma"/>
                <w:b/>
                <w:color w:val="000000"/>
                <w:sz w:val="18"/>
                <w:szCs w:val="18"/>
              </w:rPr>
              <w:t>Total</w:t>
            </w:r>
          </w:p>
        </w:tc>
      </w:tr>
      <w:tr w:rsidR="001D1FD6" w14:paraId="2E3E2D47" w14:textId="77777777" w:rsidTr="001D1FD6">
        <w:trPr>
          <w:trHeight w:val="370"/>
        </w:trPr>
        <w:tc>
          <w:tcPr>
            <w:tcW w:w="3330" w:type="dxa"/>
            <w:vAlign w:val="center"/>
          </w:tcPr>
          <w:p w14:paraId="2FD00838" w14:textId="77777777" w:rsidR="001D1FD6" w:rsidRDefault="001D1FD6" w:rsidP="001D1FD6">
            <w:pPr>
              <w:tabs>
                <w:tab w:val="right" w:leader="dot" w:pos="4403"/>
              </w:tabs>
              <w:spacing w:before="60" w:after="47" w:line="176" w:lineRule="exact"/>
              <w:ind w:left="29"/>
              <w:textAlignment w:val="baseline"/>
              <w:rPr>
                <w:rFonts w:eastAsia="Verdana"/>
                <w:b/>
                <w:color w:val="000000"/>
                <w:sz w:val="18"/>
                <w:szCs w:val="18"/>
              </w:rPr>
            </w:pPr>
          </w:p>
        </w:tc>
        <w:tc>
          <w:tcPr>
            <w:tcW w:w="4500" w:type="dxa"/>
            <w:gridSpan w:val="4"/>
            <w:tcBorders>
              <w:top w:val="single" w:sz="4" w:space="0" w:color="auto"/>
              <w:bottom w:val="single" w:sz="4" w:space="0" w:color="auto"/>
            </w:tcBorders>
            <w:vAlign w:val="center"/>
          </w:tcPr>
          <w:p w14:paraId="5AD8122D" w14:textId="77777777" w:rsidR="001D1FD6" w:rsidRDefault="001D1FD6" w:rsidP="001D1FD6">
            <w:pPr>
              <w:spacing w:before="59" w:after="38" w:line="176" w:lineRule="exact"/>
              <w:jc w:val="center"/>
              <w:textAlignment w:val="baseline"/>
              <w:rPr>
                <w:rFonts w:eastAsia="Verdana"/>
                <w:color w:val="000000"/>
                <w:sz w:val="18"/>
                <w:szCs w:val="18"/>
              </w:rPr>
            </w:pPr>
            <w:r>
              <w:rPr>
                <w:rFonts w:eastAsia="Verdana"/>
                <w:color w:val="000000"/>
                <w:sz w:val="18"/>
                <w:szCs w:val="18"/>
              </w:rPr>
              <w:t>(</w:t>
            </w:r>
            <w:r>
              <w:rPr>
                <w:rFonts w:eastAsia="Verdana"/>
                <w:i/>
                <w:color w:val="000000"/>
                <w:sz w:val="18"/>
                <w:szCs w:val="18"/>
              </w:rPr>
              <w:t>thousands of €</w:t>
            </w:r>
            <w:r>
              <w:rPr>
                <w:rFonts w:eastAsia="Verdana"/>
                <w:color w:val="000000"/>
                <w:sz w:val="18"/>
                <w:szCs w:val="18"/>
              </w:rPr>
              <w:t>)</w:t>
            </w:r>
          </w:p>
        </w:tc>
      </w:tr>
      <w:tr w:rsidR="001D1FD6" w14:paraId="569A75CB" w14:textId="77777777" w:rsidTr="001D1FD6">
        <w:trPr>
          <w:trHeight w:hRule="exact" w:val="273"/>
        </w:trPr>
        <w:tc>
          <w:tcPr>
            <w:tcW w:w="3330" w:type="dxa"/>
            <w:vAlign w:val="center"/>
          </w:tcPr>
          <w:p w14:paraId="225BC9F9" w14:textId="77777777" w:rsidR="001D1FD6" w:rsidRDefault="001D1FD6" w:rsidP="001D1FD6">
            <w:pPr>
              <w:tabs>
                <w:tab w:val="right" w:leader="dot" w:pos="4403"/>
              </w:tabs>
              <w:spacing w:before="54" w:after="38" w:line="176" w:lineRule="exact"/>
              <w:ind w:left="29"/>
              <w:textAlignment w:val="baseline"/>
              <w:rPr>
                <w:rFonts w:eastAsia="Verdana"/>
                <w:color w:val="000000"/>
                <w:sz w:val="18"/>
                <w:szCs w:val="18"/>
              </w:rPr>
            </w:pPr>
          </w:p>
        </w:tc>
        <w:tc>
          <w:tcPr>
            <w:tcW w:w="1080" w:type="dxa"/>
            <w:vAlign w:val="center"/>
          </w:tcPr>
          <w:p w14:paraId="36600C61" w14:textId="77777777" w:rsidR="001D1FD6" w:rsidRDefault="001D1FD6" w:rsidP="001D1FD6">
            <w:pPr>
              <w:spacing w:before="56" w:after="41" w:line="176" w:lineRule="exact"/>
              <w:jc w:val="right"/>
              <w:textAlignment w:val="baseline"/>
              <w:rPr>
                <w:rFonts w:eastAsia="Verdana"/>
                <w:color w:val="000000"/>
                <w:sz w:val="18"/>
                <w:szCs w:val="18"/>
              </w:rPr>
            </w:pPr>
          </w:p>
        </w:tc>
        <w:tc>
          <w:tcPr>
            <w:tcW w:w="1260" w:type="dxa"/>
            <w:vAlign w:val="center"/>
          </w:tcPr>
          <w:p w14:paraId="1DC7C48D" w14:textId="77777777" w:rsidR="001D1FD6" w:rsidRDefault="001D1FD6" w:rsidP="001D1FD6">
            <w:pPr>
              <w:spacing w:before="59" w:after="38" w:line="176" w:lineRule="exact"/>
              <w:jc w:val="right"/>
              <w:textAlignment w:val="baseline"/>
              <w:rPr>
                <w:rFonts w:eastAsia="Verdana"/>
                <w:color w:val="000000"/>
                <w:sz w:val="18"/>
                <w:szCs w:val="18"/>
              </w:rPr>
            </w:pPr>
          </w:p>
        </w:tc>
        <w:tc>
          <w:tcPr>
            <w:tcW w:w="1080" w:type="dxa"/>
            <w:vAlign w:val="center"/>
          </w:tcPr>
          <w:p w14:paraId="13CC0A80" w14:textId="77777777" w:rsidR="001D1FD6" w:rsidRDefault="001D1FD6" w:rsidP="001D1FD6">
            <w:pPr>
              <w:spacing w:before="59" w:after="38" w:line="176" w:lineRule="exact"/>
              <w:jc w:val="right"/>
              <w:textAlignment w:val="baseline"/>
              <w:rPr>
                <w:rFonts w:eastAsia="Verdana"/>
                <w:color w:val="000000"/>
                <w:sz w:val="18"/>
                <w:szCs w:val="18"/>
              </w:rPr>
            </w:pPr>
          </w:p>
        </w:tc>
        <w:tc>
          <w:tcPr>
            <w:tcW w:w="1080" w:type="dxa"/>
            <w:vAlign w:val="center"/>
          </w:tcPr>
          <w:p w14:paraId="15BB8999" w14:textId="77777777" w:rsidR="001D1FD6" w:rsidRDefault="001D1FD6" w:rsidP="001D1FD6">
            <w:pPr>
              <w:spacing w:before="59" w:after="38" w:line="176" w:lineRule="exact"/>
              <w:jc w:val="right"/>
              <w:textAlignment w:val="baseline"/>
              <w:rPr>
                <w:rFonts w:eastAsia="Verdana"/>
                <w:color w:val="000000"/>
                <w:sz w:val="18"/>
                <w:szCs w:val="18"/>
              </w:rPr>
            </w:pPr>
          </w:p>
        </w:tc>
      </w:tr>
      <w:tr w:rsidR="001D1FD6" w14:paraId="07F0205A" w14:textId="77777777" w:rsidTr="001D1FD6">
        <w:trPr>
          <w:trHeight w:hRule="exact" w:val="279"/>
        </w:trPr>
        <w:tc>
          <w:tcPr>
            <w:tcW w:w="3330" w:type="dxa"/>
            <w:vAlign w:val="center"/>
          </w:tcPr>
          <w:p w14:paraId="7EA5C3F6" w14:textId="77777777" w:rsidR="001D1FD6" w:rsidRDefault="001D1FD6" w:rsidP="001D1FD6">
            <w:pPr>
              <w:tabs>
                <w:tab w:val="right" w:leader="dot" w:pos="4403"/>
              </w:tabs>
              <w:spacing w:before="54" w:after="38" w:line="176" w:lineRule="exact"/>
              <w:ind w:left="29"/>
              <w:textAlignment w:val="baseline"/>
              <w:rPr>
                <w:rFonts w:eastAsia="Verdana"/>
                <w:color w:val="000000"/>
                <w:sz w:val="18"/>
                <w:szCs w:val="18"/>
              </w:rPr>
            </w:pPr>
            <w:r>
              <w:rPr>
                <w:rFonts w:eastAsia="Verdana"/>
                <w:color w:val="000000"/>
                <w:sz w:val="18"/>
                <w:szCs w:val="18"/>
              </w:rPr>
              <w:t>Accrued Interest</w:t>
            </w:r>
            <w:r>
              <w:rPr>
                <w:rFonts w:eastAsia="Verdana"/>
                <w:color w:val="000000"/>
                <w:sz w:val="18"/>
                <w:szCs w:val="18"/>
              </w:rPr>
              <w:tab/>
              <w:t xml:space="preserve"> </w:t>
            </w:r>
          </w:p>
        </w:tc>
        <w:tc>
          <w:tcPr>
            <w:tcW w:w="1080" w:type="dxa"/>
            <w:tcBorders>
              <w:bottom w:val="single" w:sz="4" w:space="0" w:color="auto"/>
            </w:tcBorders>
            <w:vAlign w:val="center"/>
          </w:tcPr>
          <w:p w14:paraId="385B9EB1" w14:textId="77777777" w:rsidR="001D1FD6" w:rsidRDefault="001D1FD6" w:rsidP="001D1FD6">
            <w:pPr>
              <w:spacing w:before="56" w:after="41" w:line="176" w:lineRule="exact"/>
              <w:jc w:val="right"/>
              <w:textAlignment w:val="baseline"/>
              <w:rPr>
                <w:rFonts w:eastAsia="Verdana"/>
                <w:color w:val="000000"/>
                <w:sz w:val="18"/>
                <w:szCs w:val="18"/>
              </w:rPr>
            </w:pPr>
            <w:r>
              <w:rPr>
                <w:rFonts w:eastAsia="Verdana"/>
                <w:color w:val="000000"/>
                <w:sz w:val="18"/>
                <w:szCs w:val="18"/>
              </w:rPr>
              <w:t>4,510</w:t>
            </w:r>
          </w:p>
        </w:tc>
        <w:tc>
          <w:tcPr>
            <w:tcW w:w="1260" w:type="dxa"/>
            <w:tcBorders>
              <w:bottom w:val="single" w:sz="4" w:space="0" w:color="auto"/>
            </w:tcBorders>
            <w:vAlign w:val="center"/>
          </w:tcPr>
          <w:p w14:paraId="2DE3BC8D"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tcBorders>
              <w:bottom w:val="single" w:sz="4" w:space="0" w:color="auto"/>
            </w:tcBorders>
            <w:vAlign w:val="center"/>
          </w:tcPr>
          <w:p w14:paraId="14C5354E"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tcBorders>
              <w:bottom w:val="single" w:sz="4" w:space="0" w:color="auto"/>
            </w:tcBorders>
            <w:vAlign w:val="center"/>
          </w:tcPr>
          <w:p w14:paraId="6C9AC122"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4,510</w:t>
            </w:r>
          </w:p>
        </w:tc>
      </w:tr>
      <w:tr w:rsidR="001D1FD6" w14:paraId="08A13768" w14:textId="77777777" w:rsidTr="001D1FD6">
        <w:trPr>
          <w:trHeight w:val="370"/>
        </w:trPr>
        <w:tc>
          <w:tcPr>
            <w:tcW w:w="3330" w:type="dxa"/>
            <w:vAlign w:val="center"/>
          </w:tcPr>
          <w:p w14:paraId="2215DEDC" w14:textId="77777777" w:rsidR="001D1FD6" w:rsidRDefault="001D1FD6" w:rsidP="001D1FD6">
            <w:pPr>
              <w:tabs>
                <w:tab w:val="right" w:leader="dot" w:pos="4403"/>
              </w:tabs>
              <w:spacing w:before="60" w:after="47" w:line="176" w:lineRule="exact"/>
              <w:ind w:left="29"/>
              <w:textAlignment w:val="baseline"/>
              <w:rPr>
                <w:rFonts w:eastAsia="Verdana"/>
                <w:color w:val="000000"/>
                <w:sz w:val="18"/>
                <w:szCs w:val="18"/>
              </w:rPr>
            </w:pPr>
            <w:r>
              <w:rPr>
                <w:rFonts w:eastAsia="Verdana"/>
                <w:color w:val="000000"/>
                <w:sz w:val="18"/>
                <w:szCs w:val="18"/>
              </w:rPr>
              <w:t>Non-Current Bank Borrowings</w:t>
            </w:r>
            <w:r>
              <w:rPr>
                <w:rFonts w:eastAsia="Verdana"/>
                <w:color w:val="000000"/>
                <w:sz w:val="18"/>
                <w:szCs w:val="18"/>
              </w:rPr>
              <w:tab/>
            </w:r>
          </w:p>
        </w:tc>
        <w:tc>
          <w:tcPr>
            <w:tcW w:w="1080" w:type="dxa"/>
            <w:tcBorders>
              <w:top w:val="single" w:sz="4" w:space="0" w:color="auto"/>
              <w:bottom w:val="single" w:sz="4" w:space="0" w:color="auto"/>
            </w:tcBorders>
            <w:vAlign w:val="center"/>
          </w:tcPr>
          <w:p w14:paraId="3C13604F" w14:textId="77777777" w:rsidR="001D1FD6" w:rsidRDefault="001D1FD6" w:rsidP="001D1FD6">
            <w:pPr>
              <w:spacing w:before="56" w:after="41" w:line="176" w:lineRule="exact"/>
              <w:jc w:val="right"/>
              <w:textAlignment w:val="baseline"/>
              <w:rPr>
                <w:rFonts w:eastAsia="Verdana"/>
                <w:color w:val="000000"/>
                <w:sz w:val="18"/>
                <w:szCs w:val="18"/>
              </w:rPr>
            </w:pPr>
            <w:r>
              <w:rPr>
                <w:rFonts w:eastAsia="Verdana"/>
                <w:color w:val="000000"/>
                <w:sz w:val="18"/>
                <w:szCs w:val="18"/>
              </w:rPr>
              <w:t>2,417</w:t>
            </w:r>
          </w:p>
        </w:tc>
        <w:tc>
          <w:tcPr>
            <w:tcW w:w="1260" w:type="dxa"/>
            <w:tcBorders>
              <w:top w:val="single" w:sz="4" w:space="0" w:color="auto"/>
              <w:bottom w:val="single" w:sz="4" w:space="0" w:color="auto"/>
            </w:tcBorders>
            <w:vAlign w:val="center"/>
          </w:tcPr>
          <w:p w14:paraId="4E628DFD"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32,873</w:t>
            </w:r>
          </w:p>
        </w:tc>
        <w:tc>
          <w:tcPr>
            <w:tcW w:w="1080" w:type="dxa"/>
            <w:tcBorders>
              <w:top w:val="single" w:sz="4" w:space="0" w:color="auto"/>
              <w:bottom w:val="single" w:sz="4" w:space="0" w:color="auto"/>
            </w:tcBorders>
            <w:vAlign w:val="center"/>
          </w:tcPr>
          <w:p w14:paraId="35EE1434"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tcBorders>
              <w:top w:val="single" w:sz="4" w:space="0" w:color="auto"/>
              <w:bottom w:val="single" w:sz="4" w:space="0" w:color="auto"/>
            </w:tcBorders>
            <w:vAlign w:val="center"/>
          </w:tcPr>
          <w:p w14:paraId="0989DAF2"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35,290</w:t>
            </w:r>
          </w:p>
        </w:tc>
      </w:tr>
      <w:tr w:rsidR="001D1FD6" w14:paraId="7C9419C8" w14:textId="77777777" w:rsidTr="001D1FD6">
        <w:trPr>
          <w:trHeight w:hRule="exact" w:val="279"/>
        </w:trPr>
        <w:tc>
          <w:tcPr>
            <w:tcW w:w="3330" w:type="dxa"/>
            <w:vAlign w:val="center"/>
          </w:tcPr>
          <w:p w14:paraId="2BD73AD1" w14:textId="77777777" w:rsidR="001D1FD6" w:rsidRDefault="001D1FD6" w:rsidP="001D1FD6">
            <w:pPr>
              <w:tabs>
                <w:tab w:val="right" w:leader="dot" w:pos="4403"/>
              </w:tabs>
              <w:spacing w:before="54" w:after="38" w:line="176" w:lineRule="exact"/>
              <w:ind w:left="29"/>
              <w:textAlignment w:val="baseline"/>
              <w:rPr>
                <w:rFonts w:eastAsia="Verdana"/>
                <w:color w:val="000000"/>
                <w:sz w:val="18"/>
                <w:szCs w:val="18"/>
              </w:rPr>
            </w:pPr>
            <w:r>
              <w:rPr>
                <w:rFonts w:eastAsia="Verdana"/>
                <w:color w:val="000000"/>
                <w:sz w:val="18"/>
                <w:szCs w:val="18"/>
              </w:rPr>
              <w:t>5.15% Bonds Jul-17</w:t>
            </w:r>
            <w:r>
              <w:rPr>
                <w:rFonts w:eastAsia="Verdana"/>
                <w:color w:val="000000"/>
                <w:sz w:val="18"/>
                <w:szCs w:val="18"/>
              </w:rPr>
              <w:tab/>
            </w:r>
          </w:p>
        </w:tc>
        <w:tc>
          <w:tcPr>
            <w:tcW w:w="1080" w:type="dxa"/>
            <w:vAlign w:val="center"/>
          </w:tcPr>
          <w:p w14:paraId="7AF839F1" w14:textId="77777777" w:rsidR="001D1FD6" w:rsidRDefault="001D1FD6" w:rsidP="001D1FD6">
            <w:pPr>
              <w:spacing w:before="56" w:after="41" w:line="176" w:lineRule="exact"/>
              <w:jc w:val="right"/>
              <w:textAlignment w:val="baseline"/>
              <w:rPr>
                <w:rFonts w:eastAsia="Verdana"/>
                <w:color w:val="000000"/>
                <w:sz w:val="18"/>
                <w:szCs w:val="18"/>
              </w:rPr>
            </w:pPr>
            <w:r>
              <w:rPr>
                <w:rFonts w:eastAsia="Verdana"/>
                <w:color w:val="000000"/>
                <w:sz w:val="18"/>
                <w:szCs w:val="18"/>
              </w:rPr>
              <w:t>74,747</w:t>
            </w:r>
          </w:p>
        </w:tc>
        <w:tc>
          <w:tcPr>
            <w:tcW w:w="1260" w:type="dxa"/>
            <w:vAlign w:val="center"/>
          </w:tcPr>
          <w:p w14:paraId="1FD3C079"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vAlign w:val="center"/>
          </w:tcPr>
          <w:p w14:paraId="198BA76B"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vAlign w:val="center"/>
          </w:tcPr>
          <w:p w14:paraId="1DA275F6"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74,747</w:t>
            </w:r>
          </w:p>
        </w:tc>
      </w:tr>
      <w:tr w:rsidR="001D1FD6" w14:paraId="0097D6B7" w14:textId="77777777" w:rsidTr="001D1FD6">
        <w:trPr>
          <w:trHeight w:hRule="exact" w:val="279"/>
        </w:trPr>
        <w:tc>
          <w:tcPr>
            <w:tcW w:w="3330" w:type="dxa"/>
            <w:vAlign w:val="center"/>
          </w:tcPr>
          <w:p w14:paraId="58AE0F6E" w14:textId="77777777" w:rsidR="001D1FD6" w:rsidRDefault="001D1FD6" w:rsidP="001D1FD6">
            <w:pPr>
              <w:tabs>
                <w:tab w:val="right" w:leader="dot" w:pos="4403"/>
              </w:tabs>
              <w:spacing w:before="54" w:after="38" w:line="176" w:lineRule="exact"/>
              <w:ind w:left="29"/>
              <w:textAlignment w:val="baseline"/>
              <w:rPr>
                <w:rFonts w:eastAsia="Verdana"/>
                <w:color w:val="000000"/>
                <w:sz w:val="18"/>
                <w:szCs w:val="18"/>
              </w:rPr>
            </w:pPr>
            <w:r>
              <w:rPr>
                <w:rFonts w:eastAsia="Verdana"/>
                <w:color w:val="000000"/>
                <w:sz w:val="18"/>
                <w:szCs w:val="18"/>
              </w:rPr>
              <w:t>5.10% Bonds Dec-18</w:t>
            </w:r>
            <w:r>
              <w:rPr>
                <w:rFonts w:eastAsia="Verdana"/>
                <w:color w:val="000000"/>
                <w:sz w:val="18"/>
                <w:szCs w:val="18"/>
              </w:rPr>
              <w:tab/>
            </w:r>
          </w:p>
        </w:tc>
        <w:tc>
          <w:tcPr>
            <w:tcW w:w="1080" w:type="dxa"/>
            <w:vAlign w:val="center"/>
          </w:tcPr>
          <w:p w14:paraId="2892DFE1" w14:textId="77777777" w:rsidR="001D1FD6" w:rsidRDefault="001D1FD6" w:rsidP="001D1FD6">
            <w:pPr>
              <w:spacing w:before="56" w:after="41" w:line="176" w:lineRule="exact"/>
              <w:jc w:val="right"/>
              <w:textAlignment w:val="baseline"/>
              <w:rPr>
                <w:rFonts w:eastAsia="Verdana"/>
                <w:color w:val="000000"/>
                <w:sz w:val="18"/>
                <w:szCs w:val="18"/>
              </w:rPr>
            </w:pPr>
            <w:r>
              <w:rPr>
                <w:rFonts w:eastAsia="Verdana"/>
                <w:color w:val="000000"/>
                <w:sz w:val="18"/>
                <w:szCs w:val="18"/>
              </w:rPr>
              <w:t>-</w:t>
            </w:r>
          </w:p>
        </w:tc>
        <w:tc>
          <w:tcPr>
            <w:tcW w:w="1260" w:type="dxa"/>
            <w:vAlign w:val="center"/>
          </w:tcPr>
          <w:p w14:paraId="25A38A50"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74,380</w:t>
            </w:r>
          </w:p>
        </w:tc>
        <w:tc>
          <w:tcPr>
            <w:tcW w:w="1080" w:type="dxa"/>
            <w:vAlign w:val="center"/>
          </w:tcPr>
          <w:p w14:paraId="0DFDF529"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vAlign w:val="center"/>
          </w:tcPr>
          <w:p w14:paraId="62B2CE0E"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74,380</w:t>
            </w:r>
          </w:p>
        </w:tc>
      </w:tr>
      <w:tr w:rsidR="001D1FD6" w14:paraId="3C8D42D6" w14:textId="77777777" w:rsidTr="001D1FD6">
        <w:trPr>
          <w:trHeight w:hRule="exact" w:val="278"/>
        </w:trPr>
        <w:tc>
          <w:tcPr>
            <w:tcW w:w="3330" w:type="dxa"/>
            <w:vAlign w:val="center"/>
          </w:tcPr>
          <w:p w14:paraId="5C14E5F9" w14:textId="77777777" w:rsidR="001D1FD6" w:rsidRDefault="001D1FD6" w:rsidP="001D1FD6">
            <w:pPr>
              <w:tabs>
                <w:tab w:val="right" w:leader="dot" w:pos="4403"/>
              </w:tabs>
              <w:spacing w:before="54" w:after="38" w:line="176" w:lineRule="exact"/>
              <w:ind w:left="29"/>
              <w:textAlignment w:val="baseline"/>
              <w:rPr>
                <w:rFonts w:eastAsia="Verdana"/>
                <w:color w:val="000000"/>
                <w:sz w:val="18"/>
                <w:szCs w:val="18"/>
              </w:rPr>
            </w:pPr>
            <w:r>
              <w:rPr>
                <w:rFonts w:eastAsia="Verdana"/>
                <w:color w:val="000000"/>
                <w:sz w:val="18"/>
                <w:szCs w:val="18"/>
              </w:rPr>
              <w:t>3.90% Bonds Sep-23</w:t>
            </w:r>
            <w:r>
              <w:rPr>
                <w:rFonts w:eastAsia="Verdana"/>
                <w:color w:val="000000"/>
                <w:sz w:val="18"/>
                <w:szCs w:val="18"/>
              </w:rPr>
              <w:tab/>
            </w:r>
          </w:p>
        </w:tc>
        <w:tc>
          <w:tcPr>
            <w:tcW w:w="1080" w:type="dxa"/>
            <w:vAlign w:val="center"/>
          </w:tcPr>
          <w:p w14:paraId="28C763D7" w14:textId="77777777" w:rsidR="001D1FD6" w:rsidRDefault="001D1FD6" w:rsidP="001D1FD6">
            <w:pPr>
              <w:spacing w:before="56" w:after="41" w:line="176" w:lineRule="exact"/>
              <w:jc w:val="right"/>
              <w:textAlignment w:val="baseline"/>
              <w:rPr>
                <w:rFonts w:eastAsia="Verdana"/>
                <w:color w:val="000000"/>
                <w:sz w:val="18"/>
                <w:szCs w:val="18"/>
              </w:rPr>
            </w:pPr>
            <w:r>
              <w:rPr>
                <w:rFonts w:eastAsia="Verdana"/>
                <w:color w:val="000000"/>
                <w:sz w:val="18"/>
                <w:szCs w:val="18"/>
              </w:rPr>
              <w:t>-</w:t>
            </w:r>
          </w:p>
        </w:tc>
        <w:tc>
          <w:tcPr>
            <w:tcW w:w="1260" w:type="dxa"/>
            <w:vAlign w:val="center"/>
          </w:tcPr>
          <w:p w14:paraId="044E0102"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w:t>
            </w:r>
          </w:p>
        </w:tc>
        <w:tc>
          <w:tcPr>
            <w:tcW w:w="1080" w:type="dxa"/>
            <w:vAlign w:val="center"/>
          </w:tcPr>
          <w:p w14:paraId="3F894B4B"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220,670</w:t>
            </w:r>
          </w:p>
        </w:tc>
        <w:tc>
          <w:tcPr>
            <w:tcW w:w="1080" w:type="dxa"/>
            <w:vAlign w:val="center"/>
          </w:tcPr>
          <w:p w14:paraId="111A6479"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220,670</w:t>
            </w:r>
          </w:p>
        </w:tc>
      </w:tr>
      <w:tr w:rsidR="001D1FD6" w14:paraId="3E6BB886" w14:textId="77777777" w:rsidTr="001D1FD6">
        <w:trPr>
          <w:trHeight w:hRule="exact" w:val="278"/>
        </w:trPr>
        <w:tc>
          <w:tcPr>
            <w:tcW w:w="3330" w:type="dxa"/>
          </w:tcPr>
          <w:p w14:paraId="1249CD28" w14:textId="77777777" w:rsidR="001D1FD6" w:rsidRDefault="001D1FD6" w:rsidP="001D1FD6">
            <w:pPr>
              <w:textAlignment w:val="baseline"/>
              <w:rPr>
                <w:rFonts w:eastAsia="Verdana"/>
                <w:color w:val="000000"/>
                <w:sz w:val="18"/>
                <w:szCs w:val="18"/>
              </w:rPr>
            </w:pPr>
          </w:p>
        </w:tc>
        <w:tc>
          <w:tcPr>
            <w:tcW w:w="1080" w:type="dxa"/>
            <w:tcBorders>
              <w:bottom w:val="single" w:sz="4" w:space="0" w:color="auto"/>
            </w:tcBorders>
            <w:vAlign w:val="center"/>
          </w:tcPr>
          <w:p w14:paraId="345040F6" w14:textId="77777777" w:rsidR="001D1FD6" w:rsidRDefault="001D1FD6" w:rsidP="001D1FD6">
            <w:pPr>
              <w:spacing w:before="56" w:after="41" w:line="176" w:lineRule="exact"/>
              <w:jc w:val="right"/>
              <w:textAlignment w:val="baseline"/>
              <w:rPr>
                <w:rFonts w:eastAsia="Verdana"/>
                <w:color w:val="000000"/>
                <w:sz w:val="18"/>
                <w:szCs w:val="18"/>
              </w:rPr>
            </w:pPr>
          </w:p>
        </w:tc>
        <w:tc>
          <w:tcPr>
            <w:tcW w:w="1260" w:type="dxa"/>
            <w:tcBorders>
              <w:bottom w:val="single" w:sz="4" w:space="0" w:color="auto"/>
            </w:tcBorders>
            <w:vAlign w:val="center"/>
          </w:tcPr>
          <w:p w14:paraId="05D8F783"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74,380</w:t>
            </w:r>
          </w:p>
        </w:tc>
        <w:tc>
          <w:tcPr>
            <w:tcW w:w="1080" w:type="dxa"/>
            <w:tcBorders>
              <w:bottom w:val="single" w:sz="4" w:space="0" w:color="auto"/>
            </w:tcBorders>
            <w:vAlign w:val="center"/>
          </w:tcPr>
          <w:p w14:paraId="6F9BFD68"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220,670</w:t>
            </w:r>
          </w:p>
        </w:tc>
        <w:tc>
          <w:tcPr>
            <w:tcW w:w="1080" w:type="dxa"/>
            <w:tcBorders>
              <w:bottom w:val="single" w:sz="4" w:space="0" w:color="auto"/>
            </w:tcBorders>
            <w:vAlign w:val="center"/>
          </w:tcPr>
          <w:p w14:paraId="4E556E0D" w14:textId="77777777" w:rsidR="001D1FD6" w:rsidRDefault="001D1FD6" w:rsidP="001D1FD6">
            <w:pPr>
              <w:spacing w:before="59" w:after="38" w:line="176" w:lineRule="exact"/>
              <w:jc w:val="right"/>
              <w:textAlignment w:val="baseline"/>
              <w:rPr>
                <w:rFonts w:eastAsia="Verdana"/>
                <w:color w:val="000000"/>
                <w:sz w:val="18"/>
                <w:szCs w:val="18"/>
              </w:rPr>
            </w:pPr>
            <w:r>
              <w:rPr>
                <w:rFonts w:eastAsia="Verdana"/>
                <w:color w:val="000000"/>
                <w:sz w:val="18"/>
                <w:szCs w:val="18"/>
              </w:rPr>
              <w:t>295,050</w:t>
            </w:r>
          </w:p>
        </w:tc>
      </w:tr>
      <w:tr w:rsidR="001D1FD6" w14:paraId="3A61739D" w14:textId="77777777" w:rsidTr="001D1FD6">
        <w:trPr>
          <w:trHeight w:hRule="exact" w:val="287"/>
        </w:trPr>
        <w:tc>
          <w:tcPr>
            <w:tcW w:w="3330" w:type="dxa"/>
            <w:vAlign w:val="center"/>
          </w:tcPr>
          <w:p w14:paraId="4592B150" w14:textId="77777777" w:rsidR="001D1FD6" w:rsidRDefault="001D1FD6" w:rsidP="001D1FD6">
            <w:pPr>
              <w:tabs>
                <w:tab w:val="right" w:leader="dot" w:pos="4403"/>
              </w:tabs>
              <w:spacing w:before="60" w:after="47" w:line="176" w:lineRule="exact"/>
              <w:ind w:left="29"/>
              <w:textAlignment w:val="baseline"/>
              <w:rPr>
                <w:rFonts w:eastAsia="Verdana"/>
                <w:b/>
                <w:color w:val="000000"/>
                <w:sz w:val="18"/>
                <w:szCs w:val="18"/>
              </w:rPr>
            </w:pPr>
            <w:r>
              <w:rPr>
                <w:rFonts w:eastAsia="Verdana"/>
                <w:b/>
                <w:color w:val="000000"/>
                <w:sz w:val="18"/>
                <w:szCs w:val="18"/>
              </w:rPr>
              <w:t>Total loans and borrowings</w:t>
            </w:r>
            <w:r>
              <w:rPr>
                <w:rFonts w:eastAsia="Verdana"/>
                <w:b/>
                <w:color w:val="000000"/>
                <w:sz w:val="18"/>
                <w:szCs w:val="18"/>
              </w:rPr>
              <w:tab/>
            </w:r>
          </w:p>
        </w:tc>
        <w:tc>
          <w:tcPr>
            <w:tcW w:w="1080" w:type="dxa"/>
            <w:tcBorders>
              <w:top w:val="single" w:sz="4" w:space="0" w:color="auto"/>
              <w:bottom w:val="single" w:sz="4" w:space="0" w:color="auto"/>
            </w:tcBorders>
            <w:vAlign w:val="center"/>
          </w:tcPr>
          <w:p w14:paraId="27A93297" w14:textId="77777777" w:rsidR="001D1FD6" w:rsidRDefault="001D1FD6" w:rsidP="001D1FD6">
            <w:pPr>
              <w:spacing w:before="56" w:after="41" w:line="176" w:lineRule="exact"/>
              <w:jc w:val="right"/>
              <w:textAlignment w:val="baseline"/>
              <w:rPr>
                <w:rFonts w:eastAsia="Verdana"/>
                <w:b/>
                <w:color w:val="000000"/>
                <w:sz w:val="18"/>
                <w:szCs w:val="18"/>
              </w:rPr>
            </w:pPr>
            <w:r>
              <w:rPr>
                <w:rFonts w:eastAsia="Verdana"/>
                <w:b/>
                <w:color w:val="000000"/>
                <w:sz w:val="18"/>
                <w:szCs w:val="18"/>
              </w:rPr>
              <w:t>81,674</w:t>
            </w:r>
          </w:p>
        </w:tc>
        <w:tc>
          <w:tcPr>
            <w:tcW w:w="1260" w:type="dxa"/>
            <w:tcBorders>
              <w:top w:val="single" w:sz="4" w:space="0" w:color="auto"/>
              <w:bottom w:val="single" w:sz="4" w:space="0" w:color="auto"/>
            </w:tcBorders>
            <w:vAlign w:val="center"/>
          </w:tcPr>
          <w:p w14:paraId="21068D3F" w14:textId="77777777" w:rsidR="001D1FD6" w:rsidRDefault="001D1FD6" w:rsidP="001D1FD6">
            <w:pPr>
              <w:spacing w:before="59" w:after="38" w:line="176" w:lineRule="exact"/>
              <w:jc w:val="right"/>
              <w:textAlignment w:val="baseline"/>
              <w:rPr>
                <w:rFonts w:eastAsia="Verdana"/>
                <w:b/>
                <w:color w:val="000000"/>
                <w:sz w:val="18"/>
                <w:szCs w:val="18"/>
              </w:rPr>
            </w:pPr>
            <w:r>
              <w:rPr>
                <w:rFonts w:eastAsia="Verdana"/>
                <w:b/>
                <w:color w:val="000000"/>
                <w:sz w:val="18"/>
                <w:szCs w:val="18"/>
              </w:rPr>
              <w:t>107,253</w:t>
            </w:r>
          </w:p>
        </w:tc>
        <w:tc>
          <w:tcPr>
            <w:tcW w:w="1080" w:type="dxa"/>
            <w:tcBorders>
              <w:top w:val="single" w:sz="4" w:space="0" w:color="auto"/>
              <w:bottom w:val="single" w:sz="4" w:space="0" w:color="auto"/>
            </w:tcBorders>
            <w:vAlign w:val="center"/>
          </w:tcPr>
          <w:p w14:paraId="13655AD1" w14:textId="77777777" w:rsidR="001D1FD6" w:rsidRDefault="001D1FD6" w:rsidP="001D1FD6">
            <w:pPr>
              <w:spacing w:before="59" w:after="38" w:line="176" w:lineRule="exact"/>
              <w:jc w:val="right"/>
              <w:textAlignment w:val="baseline"/>
              <w:rPr>
                <w:rFonts w:eastAsia="Verdana"/>
                <w:b/>
                <w:color w:val="000000"/>
                <w:sz w:val="18"/>
                <w:szCs w:val="18"/>
              </w:rPr>
            </w:pPr>
            <w:r>
              <w:rPr>
                <w:rFonts w:eastAsia="Verdana"/>
                <w:b/>
                <w:color w:val="000000"/>
                <w:sz w:val="18"/>
                <w:szCs w:val="18"/>
              </w:rPr>
              <w:t>220,670</w:t>
            </w:r>
          </w:p>
        </w:tc>
        <w:tc>
          <w:tcPr>
            <w:tcW w:w="1080" w:type="dxa"/>
            <w:tcBorders>
              <w:top w:val="single" w:sz="4" w:space="0" w:color="auto"/>
              <w:bottom w:val="single" w:sz="4" w:space="0" w:color="auto"/>
            </w:tcBorders>
            <w:vAlign w:val="center"/>
          </w:tcPr>
          <w:p w14:paraId="3259CEDB" w14:textId="77777777" w:rsidR="001D1FD6" w:rsidRDefault="001D1FD6" w:rsidP="001D1FD6">
            <w:pPr>
              <w:spacing w:before="59" w:after="38" w:line="176" w:lineRule="exact"/>
              <w:jc w:val="right"/>
              <w:textAlignment w:val="baseline"/>
              <w:rPr>
                <w:rFonts w:eastAsia="Verdana"/>
                <w:b/>
                <w:color w:val="000000"/>
                <w:sz w:val="18"/>
                <w:szCs w:val="18"/>
              </w:rPr>
            </w:pPr>
            <w:r>
              <w:rPr>
                <w:rFonts w:eastAsia="Verdana"/>
                <w:b/>
                <w:color w:val="000000"/>
                <w:sz w:val="18"/>
                <w:szCs w:val="18"/>
              </w:rPr>
              <w:t>409,597</w:t>
            </w:r>
          </w:p>
        </w:tc>
      </w:tr>
    </w:tbl>
    <w:p w14:paraId="479D0F86" w14:textId="77777777" w:rsidR="001D1FD6" w:rsidRDefault="001D1FD6" w:rsidP="001D1FD6">
      <w:pPr>
        <w:spacing w:after="240"/>
        <w:jc w:val="both"/>
        <w:rPr>
          <w:rFonts w:cs="Arabic Transparent"/>
          <w:color w:val="000000"/>
          <w:sz w:val="18"/>
          <w:szCs w:val="18"/>
        </w:rPr>
      </w:pPr>
    </w:p>
    <w:p w14:paraId="6F695813" w14:textId="685AA879" w:rsidR="001D1FD6" w:rsidRDefault="001D1FD6" w:rsidP="001D1FD6">
      <w:pPr>
        <w:spacing w:after="240"/>
        <w:ind w:firstLine="720"/>
        <w:jc w:val="both"/>
        <w:rPr>
          <w:bCs/>
          <w:sz w:val="18"/>
          <w:szCs w:val="18"/>
        </w:rPr>
      </w:pPr>
      <w:r>
        <w:rPr>
          <w:bCs/>
          <w:sz w:val="18"/>
          <w:szCs w:val="18"/>
        </w:rPr>
        <w:t xml:space="preserve">On 6 July 2017, the Group issued the 2024 Bond. The bank loan with </w:t>
      </w:r>
      <w:proofErr w:type="spellStart"/>
      <w:r>
        <w:rPr>
          <w:bCs/>
          <w:sz w:val="18"/>
          <w:szCs w:val="18"/>
        </w:rPr>
        <w:t>Swedbank</w:t>
      </w:r>
      <w:proofErr w:type="spellEnd"/>
      <w:r>
        <w:rPr>
          <w:bCs/>
          <w:sz w:val="18"/>
          <w:szCs w:val="18"/>
        </w:rPr>
        <w:t xml:space="preserve"> amounting to € 18.6 million was repaid on </w:t>
      </w:r>
      <w:r w:rsidR="00B91D8F">
        <w:rPr>
          <w:bCs/>
          <w:sz w:val="18"/>
          <w:szCs w:val="18"/>
        </w:rPr>
        <w:t>14</w:t>
      </w:r>
      <w:r w:rsidR="000A3CC8">
        <w:rPr>
          <w:bCs/>
          <w:sz w:val="18"/>
          <w:szCs w:val="18"/>
        </w:rPr>
        <w:t> September</w:t>
      </w:r>
      <w:r>
        <w:rPr>
          <w:bCs/>
          <w:sz w:val="18"/>
          <w:szCs w:val="18"/>
        </w:rPr>
        <w:t xml:space="preserve"> 2017.</w:t>
      </w:r>
    </w:p>
    <w:p w14:paraId="3764CD49" w14:textId="77777777" w:rsidR="001D1FD6" w:rsidRDefault="001D1FD6" w:rsidP="001D1FD6">
      <w:pPr>
        <w:spacing w:after="240"/>
        <w:ind w:firstLine="720"/>
        <w:jc w:val="both"/>
        <w:rPr>
          <w:bCs/>
          <w:sz w:val="18"/>
          <w:szCs w:val="18"/>
        </w:rPr>
      </w:pPr>
      <w:r>
        <w:rPr>
          <w:bCs/>
          <w:sz w:val="18"/>
          <w:szCs w:val="18"/>
        </w:rPr>
        <w:t xml:space="preserve">The balances as at 30 June 2017 include </w:t>
      </w:r>
      <w:proofErr w:type="spellStart"/>
      <w:r>
        <w:rPr>
          <w:bCs/>
          <w:sz w:val="18"/>
          <w:szCs w:val="18"/>
        </w:rPr>
        <w:t>capitalised</w:t>
      </w:r>
      <w:proofErr w:type="spellEnd"/>
      <w:r>
        <w:rPr>
          <w:bCs/>
          <w:sz w:val="18"/>
          <w:szCs w:val="18"/>
        </w:rPr>
        <w:t xml:space="preserve"> finance costs on bank borrowings of € 114,000 (€ 228,000 as at 31 December 2016) and </w:t>
      </w:r>
      <w:proofErr w:type="spellStart"/>
      <w:r>
        <w:rPr>
          <w:bCs/>
          <w:sz w:val="18"/>
          <w:szCs w:val="18"/>
        </w:rPr>
        <w:t>capitalised</w:t>
      </w:r>
      <w:proofErr w:type="spellEnd"/>
      <w:r>
        <w:rPr>
          <w:bCs/>
          <w:sz w:val="18"/>
          <w:szCs w:val="18"/>
        </w:rPr>
        <w:t xml:space="preserve"> finance costs on bonds of € 4,906,000 (€ 5,023,000 as at 31 December 2016).</w:t>
      </w:r>
    </w:p>
    <w:p w14:paraId="31243114" w14:textId="77777777" w:rsidR="001D1FD6" w:rsidRDefault="001D1FD6" w:rsidP="001D1FD6">
      <w:pPr>
        <w:spacing w:after="240"/>
        <w:jc w:val="both"/>
        <w:rPr>
          <w:rFonts w:cs="Arabic Transparent"/>
          <w:i/>
          <w:color w:val="000000"/>
          <w:sz w:val="18"/>
          <w:szCs w:val="18"/>
        </w:rPr>
      </w:pPr>
      <w:r>
        <w:rPr>
          <w:rFonts w:cs="Arabic Transparent"/>
          <w:i/>
          <w:color w:val="000000"/>
          <w:sz w:val="18"/>
          <w:szCs w:val="18"/>
        </w:rPr>
        <w:t>Bank borrowings</w:t>
      </w:r>
    </w:p>
    <w:p w14:paraId="547B91A6" w14:textId="347E91B1" w:rsidR="001D1FD6" w:rsidRDefault="002C7466" w:rsidP="001D1FD6">
      <w:pPr>
        <w:spacing w:after="240"/>
        <w:ind w:firstLine="720"/>
        <w:jc w:val="both"/>
        <w:rPr>
          <w:bCs/>
          <w:sz w:val="18"/>
          <w:szCs w:val="18"/>
        </w:rPr>
      </w:pPr>
      <w:r>
        <w:rPr>
          <w:bCs/>
          <w:sz w:val="18"/>
          <w:szCs w:val="18"/>
        </w:rPr>
        <w:t xml:space="preserve">As at 30 June 2017, the Company's subsidiaries had committed credit facilities of € 34.9 million, of which € 31.4 million was drawn. As at 31 December 2016, the Company's subsidiaries had committed credit facilities of € 39.0 million, of which € 35.5 million was drawn. These loans were granted by </w:t>
      </w:r>
      <w:proofErr w:type="spellStart"/>
      <w:r>
        <w:rPr>
          <w:bCs/>
          <w:sz w:val="18"/>
          <w:szCs w:val="18"/>
        </w:rPr>
        <w:t>Raifeissen</w:t>
      </w:r>
      <w:proofErr w:type="spellEnd"/>
      <w:r>
        <w:rPr>
          <w:bCs/>
          <w:sz w:val="18"/>
          <w:szCs w:val="18"/>
        </w:rPr>
        <w:t xml:space="preserve"> Bank – Romania and </w:t>
      </w:r>
      <w:proofErr w:type="spellStart"/>
      <w:r>
        <w:rPr>
          <w:bCs/>
          <w:sz w:val="18"/>
          <w:szCs w:val="18"/>
        </w:rPr>
        <w:t>Swedbank</w:t>
      </w:r>
      <w:proofErr w:type="spellEnd"/>
      <w:r>
        <w:rPr>
          <w:bCs/>
          <w:sz w:val="18"/>
          <w:szCs w:val="18"/>
        </w:rPr>
        <w:t xml:space="preserve"> – Estonia and a residual loan (€ 4,000) from another financial institution, due in 2018 and 2019. Substantially all of these loans are denominated in euro. The</w:t>
      </w:r>
      <w:r w:rsidRPr="00E30463">
        <w:rPr>
          <w:sz w:val="18"/>
        </w:rPr>
        <w:t xml:space="preserve"> </w:t>
      </w:r>
      <w:proofErr w:type="spellStart"/>
      <w:r w:rsidRPr="00E30463">
        <w:rPr>
          <w:sz w:val="18"/>
        </w:rPr>
        <w:t>Swedbank</w:t>
      </w:r>
      <w:proofErr w:type="spellEnd"/>
      <w:r w:rsidRPr="00E30463">
        <w:rPr>
          <w:sz w:val="18"/>
        </w:rPr>
        <w:t xml:space="preserve"> </w:t>
      </w:r>
      <w:r>
        <w:rPr>
          <w:bCs/>
          <w:sz w:val="18"/>
          <w:szCs w:val="18"/>
        </w:rPr>
        <w:t>loan</w:t>
      </w:r>
      <w:r w:rsidRPr="00E30463">
        <w:rPr>
          <w:sz w:val="18"/>
        </w:rPr>
        <w:t xml:space="preserve"> was repaid </w:t>
      </w:r>
      <w:r>
        <w:rPr>
          <w:bCs/>
          <w:sz w:val="18"/>
          <w:szCs w:val="18"/>
        </w:rPr>
        <w:t>on 14 September 2017 following the closing</w:t>
      </w:r>
      <w:r w:rsidRPr="00E30463">
        <w:rPr>
          <w:sz w:val="18"/>
        </w:rPr>
        <w:t xml:space="preserve"> of the </w:t>
      </w:r>
      <w:r>
        <w:rPr>
          <w:bCs/>
          <w:sz w:val="18"/>
          <w:szCs w:val="18"/>
        </w:rPr>
        <w:t xml:space="preserve">sale of the VGP Park </w:t>
      </w:r>
      <w:proofErr w:type="spellStart"/>
      <w:r>
        <w:rPr>
          <w:bCs/>
          <w:sz w:val="18"/>
          <w:szCs w:val="18"/>
        </w:rPr>
        <w:t>Nehatu</w:t>
      </w:r>
      <w:proofErr w:type="spellEnd"/>
      <w:r>
        <w:rPr>
          <w:bCs/>
          <w:sz w:val="18"/>
          <w:szCs w:val="18"/>
        </w:rPr>
        <w:t>.</w:t>
      </w:r>
    </w:p>
    <w:p w14:paraId="238F6ECA" w14:textId="77777777" w:rsidR="001D1FD6" w:rsidRDefault="001D1FD6" w:rsidP="001D1FD6">
      <w:pPr>
        <w:spacing w:after="240"/>
        <w:ind w:firstLine="720"/>
        <w:jc w:val="both"/>
        <w:rPr>
          <w:bCs/>
          <w:sz w:val="18"/>
          <w:szCs w:val="18"/>
        </w:rPr>
      </w:pPr>
      <w:r>
        <w:rPr>
          <w:bCs/>
          <w:sz w:val="18"/>
          <w:szCs w:val="18"/>
        </w:rPr>
        <w:t xml:space="preserve">The security for the </w:t>
      </w:r>
      <w:proofErr w:type="spellStart"/>
      <w:r>
        <w:rPr>
          <w:bCs/>
          <w:sz w:val="18"/>
          <w:szCs w:val="18"/>
        </w:rPr>
        <w:t>Raiffeisen</w:t>
      </w:r>
      <w:proofErr w:type="spellEnd"/>
      <w:r>
        <w:rPr>
          <w:bCs/>
          <w:sz w:val="18"/>
          <w:szCs w:val="18"/>
        </w:rPr>
        <w:t xml:space="preserve"> loan can be summarized as follows:</w:t>
      </w:r>
    </w:p>
    <w:p w14:paraId="5099FAEC" w14:textId="34EE1ADB" w:rsidR="001D1FD6" w:rsidRDefault="001D1FD6" w:rsidP="001D1FD6">
      <w:pPr>
        <w:numPr>
          <w:ilvl w:val="0"/>
          <w:numId w:val="72"/>
        </w:numPr>
        <w:spacing w:after="240"/>
        <w:jc w:val="both"/>
        <w:rPr>
          <w:rFonts w:cs="Arabic Transparent"/>
          <w:color w:val="000000"/>
          <w:sz w:val="18"/>
          <w:szCs w:val="18"/>
          <w:lang w:val="en-GB"/>
        </w:rPr>
      </w:pPr>
      <w:r>
        <w:rPr>
          <w:rFonts w:cs="Arabic Transparent"/>
          <w:color w:val="000000"/>
          <w:sz w:val="18"/>
          <w:szCs w:val="18"/>
          <w:lang w:val="en-GB"/>
        </w:rPr>
        <w:t>Mortgage agreement over the existing properties</w:t>
      </w:r>
      <w:r w:rsidR="00A4620A">
        <w:rPr>
          <w:rFonts w:cs="Arabic Transparent"/>
          <w:color w:val="000000"/>
          <w:sz w:val="18"/>
          <w:szCs w:val="18"/>
          <w:lang w:val="en-GB"/>
        </w:rPr>
        <w:t xml:space="preserve"> of the borr</w:t>
      </w:r>
      <w:r w:rsidR="005B313D">
        <w:rPr>
          <w:rFonts w:cs="Arabic Transparent"/>
          <w:color w:val="000000"/>
          <w:sz w:val="18"/>
          <w:szCs w:val="18"/>
          <w:lang w:val="en-GB"/>
        </w:rPr>
        <w:t>ower</w:t>
      </w:r>
      <w:r>
        <w:rPr>
          <w:rFonts w:cs="Arabic Transparent"/>
          <w:color w:val="000000"/>
          <w:sz w:val="18"/>
          <w:szCs w:val="18"/>
          <w:lang w:val="en-GB"/>
        </w:rPr>
        <w:t xml:space="preserve">; </w:t>
      </w:r>
    </w:p>
    <w:p w14:paraId="3E3C0AC6" w14:textId="0C6AC759" w:rsidR="001D1FD6" w:rsidRDefault="001D1FD6" w:rsidP="001D1FD6">
      <w:pPr>
        <w:numPr>
          <w:ilvl w:val="0"/>
          <w:numId w:val="72"/>
        </w:numPr>
        <w:spacing w:after="240"/>
        <w:jc w:val="both"/>
        <w:rPr>
          <w:rFonts w:cs="Arabic Transparent"/>
          <w:color w:val="000000"/>
          <w:sz w:val="18"/>
          <w:szCs w:val="18"/>
          <w:lang w:val="en-GB"/>
        </w:rPr>
      </w:pPr>
      <w:r>
        <w:rPr>
          <w:rFonts w:cs="Arabic Transparent"/>
          <w:color w:val="000000"/>
          <w:sz w:val="18"/>
          <w:szCs w:val="18"/>
          <w:lang w:val="en-GB"/>
        </w:rPr>
        <w:t>Pledge on all existing and future receivables</w:t>
      </w:r>
      <w:r w:rsidR="005B313D">
        <w:rPr>
          <w:rFonts w:cs="Arabic Transparent"/>
          <w:color w:val="000000"/>
          <w:sz w:val="18"/>
          <w:szCs w:val="18"/>
          <w:lang w:val="en-GB"/>
        </w:rPr>
        <w:t xml:space="preserve"> of the borrower</w:t>
      </w:r>
      <w:r>
        <w:rPr>
          <w:rFonts w:cs="Arabic Transparent"/>
          <w:color w:val="000000"/>
          <w:sz w:val="18"/>
          <w:szCs w:val="18"/>
          <w:lang w:val="en-GB"/>
        </w:rPr>
        <w:t>;</w:t>
      </w:r>
    </w:p>
    <w:p w14:paraId="20761C02" w14:textId="5547AEF2" w:rsidR="001D1FD6" w:rsidRDefault="001D1FD6" w:rsidP="001D1FD6">
      <w:pPr>
        <w:numPr>
          <w:ilvl w:val="0"/>
          <w:numId w:val="72"/>
        </w:numPr>
        <w:spacing w:after="240"/>
        <w:jc w:val="both"/>
        <w:rPr>
          <w:rFonts w:cs="Arabic Transparent"/>
          <w:color w:val="000000"/>
          <w:sz w:val="18"/>
          <w:szCs w:val="18"/>
          <w:lang w:val="en-GB"/>
        </w:rPr>
      </w:pPr>
      <w:r>
        <w:rPr>
          <w:rFonts w:cs="Arabic Transparent"/>
          <w:color w:val="000000"/>
          <w:sz w:val="18"/>
          <w:szCs w:val="18"/>
          <w:lang w:val="en-GB"/>
        </w:rPr>
        <w:lastRenderedPageBreak/>
        <w:t xml:space="preserve">Pledge over the shares </w:t>
      </w:r>
      <w:r w:rsidR="005B313D">
        <w:rPr>
          <w:rFonts w:cs="Arabic Transparent"/>
          <w:color w:val="000000"/>
          <w:sz w:val="18"/>
          <w:szCs w:val="18"/>
          <w:lang w:val="en-GB"/>
        </w:rPr>
        <w:t xml:space="preserve">of the borrower owned by VGP NV </w:t>
      </w:r>
      <w:r>
        <w:rPr>
          <w:rFonts w:cs="Arabic Transparent"/>
          <w:color w:val="000000"/>
          <w:sz w:val="18"/>
          <w:szCs w:val="18"/>
          <w:lang w:val="en-GB"/>
        </w:rPr>
        <w:t xml:space="preserve">whereby VGP NV as the </w:t>
      </w:r>
      <w:proofErr w:type="spellStart"/>
      <w:r>
        <w:rPr>
          <w:rFonts w:cs="Arabic Transparent"/>
          <w:color w:val="000000"/>
          <w:sz w:val="18"/>
          <w:szCs w:val="18"/>
          <w:lang w:val="en-GB"/>
        </w:rPr>
        <w:t>pledgor</w:t>
      </w:r>
      <w:proofErr w:type="spellEnd"/>
      <w:r>
        <w:rPr>
          <w:rFonts w:cs="Arabic Transparent"/>
          <w:color w:val="000000"/>
          <w:sz w:val="18"/>
          <w:szCs w:val="18"/>
          <w:lang w:val="en-GB"/>
        </w:rPr>
        <w:t xml:space="preserve"> and the security agent as the pledgee enter</w:t>
      </w:r>
      <w:r w:rsidR="00B91D8F">
        <w:rPr>
          <w:rFonts w:cs="Arabic Transparent"/>
          <w:color w:val="000000"/>
          <w:sz w:val="18"/>
          <w:szCs w:val="18"/>
          <w:lang w:val="en-GB"/>
        </w:rPr>
        <w:t>ed</w:t>
      </w:r>
      <w:r>
        <w:rPr>
          <w:rFonts w:cs="Arabic Transparent"/>
          <w:color w:val="000000"/>
          <w:sz w:val="18"/>
          <w:szCs w:val="18"/>
          <w:lang w:val="en-GB"/>
        </w:rPr>
        <w:t xml:space="preserve"> into </w:t>
      </w:r>
      <w:r w:rsidR="00F5209E">
        <w:rPr>
          <w:rFonts w:cs="Arabic Transparent"/>
          <w:color w:val="000000"/>
          <w:sz w:val="18"/>
          <w:szCs w:val="18"/>
          <w:lang w:val="en-GB"/>
        </w:rPr>
        <w:t>a share pledge a</w:t>
      </w:r>
      <w:r>
        <w:rPr>
          <w:rFonts w:cs="Arabic Transparent"/>
          <w:color w:val="000000"/>
          <w:sz w:val="18"/>
          <w:szCs w:val="18"/>
          <w:lang w:val="en-GB"/>
        </w:rPr>
        <w:t>greement.</w:t>
      </w:r>
      <w:r w:rsidR="00FF2ECC">
        <w:rPr>
          <w:rFonts w:cs="Arabic Transparent"/>
          <w:color w:val="000000"/>
          <w:sz w:val="18"/>
          <w:szCs w:val="18"/>
          <w:lang w:val="en-GB"/>
        </w:rPr>
        <w:t xml:space="preserve"> </w:t>
      </w:r>
      <w:r>
        <w:rPr>
          <w:rFonts w:cs="Arabic Transparent"/>
          <w:color w:val="000000"/>
          <w:sz w:val="18"/>
          <w:szCs w:val="18"/>
          <w:lang w:val="en-GB"/>
        </w:rPr>
        <w:t>All shares issued by the borrower</w:t>
      </w:r>
      <w:r w:rsidR="005B313D">
        <w:rPr>
          <w:rFonts w:cs="Arabic Transparent"/>
          <w:color w:val="000000"/>
          <w:sz w:val="18"/>
          <w:szCs w:val="18"/>
          <w:lang w:val="en-GB"/>
        </w:rPr>
        <w:t xml:space="preserve"> and owned by VGP NV</w:t>
      </w:r>
      <w:r>
        <w:rPr>
          <w:rFonts w:cs="Arabic Transparent"/>
          <w:color w:val="000000"/>
          <w:sz w:val="18"/>
          <w:szCs w:val="18"/>
          <w:lang w:val="en-GB"/>
        </w:rPr>
        <w:t xml:space="preserve"> are pledged in favour of the security agent;</w:t>
      </w:r>
    </w:p>
    <w:p w14:paraId="6E1D368A" w14:textId="7E49FE20" w:rsidR="001D1FD6" w:rsidRDefault="001D1FD6" w:rsidP="001D1FD6">
      <w:pPr>
        <w:numPr>
          <w:ilvl w:val="0"/>
          <w:numId w:val="72"/>
        </w:numPr>
        <w:spacing w:after="240"/>
        <w:jc w:val="both"/>
        <w:rPr>
          <w:rFonts w:cs="Arabic Transparent"/>
          <w:color w:val="000000"/>
          <w:sz w:val="18"/>
          <w:szCs w:val="18"/>
          <w:lang w:val="en-GB"/>
        </w:rPr>
      </w:pPr>
      <w:r>
        <w:rPr>
          <w:rFonts w:cs="Arabic Transparent"/>
          <w:color w:val="000000"/>
          <w:sz w:val="18"/>
          <w:szCs w:val="18"/>
          <w:lang w:val="en-GB"/>
        </w:rPr>
        <w:t>Pledge over shareholder loans</w:t>
      </w:r>
      <w:r w:rsidR="005B313D">
        <w:rPr>
          <w:rFonts w:cs="Arabic Transparent"/>
          <w:color w:val="000000"/>
          <w:sz w:val="18"/>
          <w:szCs w:val="18"/>
          <w:lang w:val="en-GB"/>
        </w:rPr>
        <w:t xml:space="preserve"> granted by VGP NV to the borrower</w:t>
      </w:r>
      <w:r>
        <w:rPr>
          <w:rFonts w:cs="Arabic Transparent"/>
          <w:color w:val="000000"/>
          <w:sz w:val="18"/>
          <w:szCs w:val="18"/>
          <w:lang w:val="en-GB"/>
        </w:rPr>
        <w:t>;</w:t>
      </w:r>
    </w:p>
    <w:p w14:paraId="71C246B6" w14:textId="528EE7B3" w:rsidR="001D1FD6" w:rsidRDefault="001D1FD6" w:rsidP="001D1FD6">
      <w:pPr>
        <w:numPr>
          <w:ilvl w:val="0"/>
          <w:numId w:val="72"/>
        </w:numPr>
        <w:spacing w:after="240"/>
        <w:jc w:val="both"/>
        <w:rPr>
          <w:rFonts w:cs="Arabic Transparent"/>
          <w:color w:val="000000"/>
          <w:sz w:val="18"/>
          <w:szCs w:val="18"/>
          <w:lang w:val="en-GB"/>
        </w:rPr>
      </w:pPr>
      <w:r>
        <w:rPr>
          <w:rFonts w:cs="Arabic Transparent"/>
          <w:color w:val="000000"/>
          <w:sz w:val="18"/>
          <w:szCs w:val="18"/>
          <w:lang w:val="en-GB"/>
        </w:rPr>
        <w:t>Pledge of bank accounts receivables</w:t>
      </w:r>
      <w:r w:rsidR="005B313D">
        <w:rPr>
          <w:rFonts w:cs="Arabic Transparent"/>
          <w:color w:val="000000"/>
          <w:sz w:val="18"/>
          <w:szCs w:val="18"/>
          <w:lang w:val="en-GB"/>
        </w:rPr>
        <w:t xml:space="preserve"> of the borrower</w:t>
      </w:r>
      <w:r>
        <w:rPr>
          <w:rFonts w:cs="Arabic Transparent"/>
          <w:color w:val="000000"/>
          <w:sz w:val="18"/>
          <w:szCs w:val="18"/>
          <w:lang w:val="en-GB"/>
        </w:rPr>
        <w:t>.</w:t>
      </w:r>
    </w:p>
    <w:p w14:paraId="451FBA9D" w14:textId="4CCBC7E2" w:rsidR="001D1FD6" w:rsidRDefault="005B313D" w:rsidP="001D1FD6">
      <w:pPr>
        <w:spacing w:after="240"/>
        <w:jc w:val="both"/>
        <w:rPr>
          <w:bCs/>
          <w:sz w:val="18"/>
          <w:szCs w:val="18"/>
        </w:rPr>
      </w:pPr>
      <w:r>
        <w:rPr>
          <w:bCs/>
          <w:sz w:val="18"/>
          <w:szCs w:val="18"/>
        </w:rPr>
        <w:t>This loan is</w:t>
      </w:r>
      <w:r w:rsidR="001D1FD6">
        <w:rPr>
          <w:bCs/>
          <w:sz w:val="18"/>
          <w:szCs w:val="18"/>
        </w:rPr>
        <w:t xml:space="preserve"> also subject to a number of covenants, including:</w:t>
      </w:r>
    </w:p>
    <w:p w14:paraId="6D46F4AC" w14:textId="77777777" w:rsidR="001D1FD6" w:rsidRDefault="001D1FD6" w:rsidP="001D1FD6">
      <w:pPr>
        <w:numPr>
          <w:ilvl w:val="0"/>
          <w:numId w:val="84"/>
        </w:numPr>
        <w:spacing w:after="240"/>
        <w:jc w:val="both"/>
        <w:rPr>
          <w:rFonts w:cs="Arabic Transparent"/>
          <w:color w:val="000000"/>
          <w:sz w:val="18"/>
          <w:szCs w:val="18"/>
          <w:lang w:val="en-GB"/>
        </w:rPr>
      </w:pPr>
      <w:r>
        <w:rPr>
          <w:rFonts w:cs="Arabic Transparent"/>
          <w:color w:val="000000"/>
          <w:sz w:val="18"/>
          <w:szCs w:val="18"/>
          <w:lang w:val="en-GB"/>
        </w:rPr>
        <w:t>Loan to value ratio for investment loan tranches equal or less than 65%</w:t>
      </w:r>
    </w:p>
    <w:p w14:paraId="562549F1" w14:textId="77777777" w:rsidR="001D1FD6" w:rsidRDefault="001D1FD6" w:rsidP="001D1FD6">
      <w:pPr>
        <w:numPr>
          <w:ilvl w:val="0"/>
          <w:numId w:val="84"/>
        </w:numPr>
        <w:spacing w:after="240"/>
        <w:jc w:val="both"/>
        <w:rPr>
          <w:rFonts w:cs="Arabic Transparent"/>
          <w:color w:val="000000"/>
          <w:sz w:val="18"/>
          <w:szCs w:val="18"/>
          <w:lang w:val="en-GB"/>
        </w:rPr>
      </w:pPr>
      <w:r>
        <w:rPr>
          <w:rFonts w:cs="Arabic Transparent"/>
          <w:color w:val="000000"/>
          <w:sz w:val="18"/>
          <w:szCs w:val="18"/>
          <w:lang w:val="en-GB"/>
        </w:rPr>
        <w:t>Debt service cover ratio equal or higher than 1.2</w:t>
      </w:r>
    </w:p>
    <w:p w14:paraId="6F928C46" w14:textId="77777777" w:rsidR="001D1FD6" w:rsidRDefault="001D1FD6" w:rsidP="001D1FD6">
      <w:pPr>
        <w:spacing w:after="240"/>
        <w:ind w:firstLine="720"/>
        <w:jc w:val="both"/>
        <w:rPr>
          <w:bCs/>
          <w:sz w:val="18"/>
          <w:szCs w:val="18"/>
        </w:rPr>
      </w:pPr>
      <w:r>
        <w:rPr>
          <w:bCs/>
          <w:sz w:val="18"/>
          <w:szCs w:val="18"/>
        </w:rPr>
        <w:t>These loans are at floating rates, but the Group has entered into hedging contracts in order to manage its interest rate risk. See section “</w:t>
      </w:r>
      <w:r>
        <w:rPr>
          <w:bCs/>
          <w:i/>
          <w:sz w:val="18"/>
          <w:szCs w:val="18"/>
        </w:rPr>
        <w:t>Operating and financial Review – Quantitative and qualitative disclosures about market risk – Interest rate risk</w:t>
      </w:r>
      <w:r>
        <w:rPr>
          <w:bCs/>
          <w:sz w:val="18"/>
          <w:szCs w:val="18"/>
        </w:rPr>
        <w:t>”.</w:t>
      </w:r>
    </w:p>
    <w:p w14:paraId="641C3E95" w14:textId="77777777" w:rsidR="001D1FD6" w:rsidRDefault="001D1FD6" w:rsidP="001D1FD6">
      <w:pPr>
        <w:spacing w:after="240"/>
        <w:jc w:val="both"/>
        <w:rPr>
          <w:rFonts w:cs="Arabic Transparent"/>
          <w:color w:val="000000"/>
          <w:sz w:val="18"/>
          <w:szCs w:val="18"/>
        </w:rPr>
      </w:pPr>
      <w:r>
        <w:rPr>
          <w:rFonts w:cs="Arabic Transparent"/>
          <w:i/>
          <w:color w:val="000000"/>
          <w:sz w:val="18"/>
          <w:szCs w:val="18"/>
        </w:rPr>
        <w:t>Bonds</w:t>
      </w:r>
    </w:p>
    <w:p w14:paraId="2A99BC5D" w14:textId="29ADA19C" w:rsidR="001D1FD6" w:rsidRDefault="001D1FD6" w:rsidP="001D1FD6">
      <w:pPr>
        <w:spacing w:after="240"/>
        <w:ind w:firstLine="720"/>
        <w:jc w:val="both"/>
        <w:rPr>
          <w:bCs/>
          <w:sz w:val="18"/>
          <w:szCs w:val="18"/>
        </w:rPr>
      </w:pPr>
      <w:r>
        <w:rPr>
          <w:bCs/>
          <w:sz w:val="18"/>
          <w:szCs w:val="18"/>
        </w:rPr>
        <w:t>The</w:t>
      </w:r>
      <w:r w:rsidR="005B313D">
        <w:rPr>
          <w:bCs/>
          <w:sz w:val="18"/>
          <w:szCs w:val="18"/>
        </w:rPr>
        <w:t xml:space="preserve"> Group has issued the following bonds:</w:t>
      </w: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3"/>
      </w:tblGrid>
      <w:tr w:rsidR="001D1FD6" w14:paraId="1F374659" w14:textId="77777777" w:rsidTr="001D1FD6">
        <w:trPr>
          <w:trHeight w:val="501"/>
        </w:trPr>
        <w:tc>
          <w:tcPr>
            <w:tcW w:w="9543" w:type="dxa"/>
          </w:tcPr>
          <w:p w14:paraId="66DBF447" w14:textId="02580F0D" w:rsidR="001D1FD6" w:rsidRDefault="001D1FD6" w:rsidP="001D1FD6">
            <w:pPr>
              <w:pStyle w:val="ListParagraph"/>
              <w:numPr>
                <w:ilvl w:val="0"/>
                <w:numId w:val="88"/>
              </w:numPr>
              <w:spacing w:after="240"/>
              <w:jc w:val="both"/>
              <w:rPr>
                <w:rFonts w:ascii="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the € 75 million fixed rate bond which matured </w:t>
            </w:r>
            <w:r w:rsidR="00E763DC">
              <w:rPr>
                <w:rFonts w:ascii="Times New Roman" w:hAnsi="Times New Roman" w:cs="Times New Roman"/>
                <w:color w:val="000000"/>
                <w:sz w:val="18"/>
                <w:szCs w:val="18"/>
                <w:lang w:val="en-GB"/>
              </w:rPr>
              <w:t xml:space="preserve">and was repaid </w:t>
            </w:r>
            <w:r>
              <w:rPr>
                <w:rFonts w:ascii="Times New Roman" w:hAnsi="Times New Roman" w:cs="Times New Roman"/>
                <w:color w:val="000000"/>
                <w:sz w:val="18"/>
                <w:szCs w:val="18"/>
                <w:lang w:val="en-GB"/>
              </w:rPr>
              <w:t>on 12 July 2017 and which carried a coupon of 5.15% per annum and as was listed on the regulated mar</w:t>
            </w:r>
            <w:r w:rsidR="005B313D">
              <w:rPr>
                <w:rFonts w:ascii="Times New Roman" w:hAnsi="Times New Roman" w:cs="Times New Roman"/>
                <w:color w:val="000000"/>
                <w:sz w:val="18"/>
                <w:szCs w:val="18"/>
                <w:lang w:val="en-GB"/>
              </w:rPr>
              <w:t>ket of Euronext Brussels (the “</w:t>
            </w:r>
            <w:r>
              <w:rPr>
                <w:rFonts w:ascii="Times New Roman" w:hAnsi="Times New Roman" w:cs="Times New Roman"/>
                <w:color w:val="000000"/>
                <w:sz w:val="18"/>
                <w:szCs w:val="18"/>
                <w:lang w:val="en-GB"/>
              </w:rPr>
              <w:t>2017 Bond”);</w:t>
            </w:r>
          </w:p>
        </w:tc>
      </w:tr>
      <w:tr w:rsidR="001D1FD6" w14:paraId="60973D7E" w14:textId="77777777" w:rsidTr="001D1FD6">
        <w:trPr>
          <w:trHeight w:val="537"/>
        </w:trPr>
        <w:tc>
          <w:tcPr>
            <w:tcW w:w="9543" w:type="dxa"/>
          </w:tcPr>
          <w:p w14:paraId="26929628" w14:textId="77777777" w:rsidR="001D1FD6" w:rsidRDefault="001D1FD6" w:rsidP="001D1FD6">
            <w:pPr>
              <w:pStyle w:val="ListParagraph"/>
              <w:numPr>
                <w:ilvl w:val="0"/>
                <w:numId w:val="88"/>
              </w:numPr>
              <w:spacing w:after="240"/>
              <w:jc w:val="both"/>
              <w:rPr>
                <w:rFonts w:ascii="Times New Roman" w:hAnsi="Times New Roman" w:cs="Times New Roman"/>
                <w:color w:val="000000"/>
                <w:sz w:val="18"/>
                <w:szCs w:val="18"/>
                <w:lang w:val="en-GB"/>
              </w:rPr>
            </w:pPr>
            <w:r>
              <w:rPr>
                <w:rFonts w:ascii="Times New Roman" w:hAnsi="Times New Roman" w:cs="Times New Roman"/>
                <w:color w:val="000000"/>
                <w:sz w:val="18"/>
                <w:szCs w:val="18"/>
                <w:lang w:val="en-GB"/>
              </w:rPr>
              <w:t>the € 75 million fixed rate bond maturing on 6 December 2018 which carries a coupon of 5.10% per annum and as listed on the regulated market of Euronext Brussels (the “2018 Bond”);</w:t>
            </w:r>
          </w:p>
        </w:tc>
      </w:tr>
      <w:tr w:rsidR="001D1FD6" w14:paraId="2FFB2CC4" w14:textId="77777777" w:rsidTr="001D1FD6">
        <w:trPr>
          <w:trHeight w:val="555"/>
        </w:trPr>
        <w:tc>
          <w:tcPr>
            <w:tcW w:w="9543" w:type="dxa"/>
          </w:tcPr>
          <w:p w14:paraId="251EF71F" w14:textId="77777777" w:rsidR="001D1FD6" w:rsidRDefault="001D1FD6" w:rsidP="001D1FD6">
            <w:pPr>
              <w:pStyle w:val="ListParagraph"/>
              <w:numPr>
                <w:ilvl w:val="0"/>
                <w:numId w:val="88"/>
              </w:numPr>
              <w:spacing w:after="240"/>
              <w:jc w:val="both"/>
              <w:rPr>
                <w:rFonts w:ascii="Times New Roman" w:hAnsi="Times New Roman" w:cs="Times New Roman"/>
                <w:color w:val="000000"/>
                <w:sz w:val="18"/>
                <w:szCs w:val="18"/>
                <w:lang w:val="en-GB"/>
              </w:rPr>
            </w:pPr>
            <w:r>
              <w:rPr>
                <w:rFonts w:ascii="Times New Roman" w:hAnsi="Times New Roman" w:cs="Times New Roman"/>
                <w:color w:val="000000"/>
                <w:sz w:val="18"/>
                <w:szCs w:val="18"/>
                <w:lang w:val="en-GB"/>
              </w:rPr>
              <w:t>the € 225 million fixed rate bond maturing on 21 September 2023 which carries a coupon of 3.90% per annum and as listed on the regulated market of Euronext Brussels (the “2023 Bond”);</w:t>
            </w:r>
          </w:p>
        </w:tc>
      </w:tr>
      <w:tr w:rsidR="001D1FD6" w14:paraId="2A6ABCC0" w14:textId="77777777" w:rsidTr="001D1FD6">
        <w:trPr>
          <w:trHeight w:val="573"/>
        </w:trPr>
        <w:tc>
          <w:tcPr>
            <w:tcW w:w="9543" w:type="dxa"/>
          </w:tcPr>
          <w:p w14:paraId="51F12023" w14:textId="77777777" w:rsidR="001D1FD6" w:rsidRDefault="001D1FD6" w:rsidP="001D1FD6">
            <w:pPr>
              <w:pStyle w:val="ListParagraph"/>
              <w:numPr>
                <w:ilvl w:val="0"/>
                <w:numId w:val="88"/>
              </w:numPr>
              <w:spacing w:after="240"/>
              <w:jc w:val="both"/>
              <w:rPr>
                <w:rFonts w:ascii="Times New Roman" w:hAnsi="Times New Roman" w:cs="Times New Roman"/>
                <w:color w:val="000000"/>
                <w:sz w:val="18"/>
                <w:szCs w:val="18"/>
                <w:lang w:val="en-GB"/>
              </w:rPr>
            </w:pPr>
            <w:r>
              <w:rPr>
                <w:rFonts w:ascii="Times New Roman" w:hAnsi="Times New Roman" w:cs="Times New Roman"/>
                <w:color w:val="000000"/>
                <w:sz w:val="18"/>
                <w:szCs w:val="18"/>
                <w:lang w:val="en-GB"/>
              </w:rPr>
              <w:t>the € 75 million fixed rated bond maturing on 6 July 2024 which carries a coupon of 3.25% per annum and as listed on the regulated market of Euronext Brussels (the “2024 Bond”);</w:t>
            </w:r>
          </w:p>
        </w:tc>
      </w:tr>
      <w:tr w:rsidR="001D1FD6" w14:paraId="0539743F" w14:textId="77777777" w:rsidTr="001D1FD6">
        <w:trPr>
          <w:trHeight w:val="519"/>
        </w:trPr>
        <w:tc>
          <w:tcPr>
            <w:tcW w:w="9543" w:type="dxa"/>
          </w:tcPr>
          <w:p w14:paraId="5BD7EA04" w14:textId="77777777" w:rsidR="001D1FD6" w:rsidRDefault="001D1FD6" w:rsidP="001D1FD6">
            <w:pPr>
              <w:pStyle w:val="ListParagraph"/>
              <w:numPr>
                <w:ilvl w:val="0"/>
                <w:numId w:val="88"/>
              </w:numPr>
              <w:spacing w:after="240"/>
              <w:jc w:val="both"/>
              <w:rPr>
                <w:rFonts w:ascii="Times New Roman" w:hAnsi="Times New Roman" w:cs="Times New Roman"/>
                <w:color w:val="000000"/>
                <w:sz w:val="18"/>
                <w:szCs w:val="18"/>
                <w:lang w:val="en-GB"/>
              </w:rPr>
            </w:pPr>
            <w:r>
              <w:rPr>
                <w:rFonts w:ascii="Times New Roman" w:hAnsi="Times New Roman" w:cs="Times New Roman"/>
                <w:color w:val="000000"/>
                <w:sz w:val="18"/>
                <w:szCs w:val="18"/>
                <w:lang w:val="en-GB"/>
              </w:rPr>
              <w:t>the € 80 million fixed rate bond maturing on 30 March 2025 which carries a coupon of 3.35% per annum (unlisted) (the “2025 Bond”).</w:t>
            </w:r>
          </w:p>
        </w:tc>
      </w:tr>
    </w:tbl>
    <w:p w14:paraId="082D51BB" w14:textId="77777777" w:rsidR="001D1FD6" w:rsidRDefault="001D1FD6" w:rsidP="001D1FD6">
      <w:pPr>
        <w:spacing w:after="240"/>
        <w:jc w:val="both"/>
        <w:rPr>
          <w:bCs/>
          <w:sz w:val="18"/>
          <w:szCs w:val="18"/>
        </w:rPr>
      </w:pPr>
    </w:p>
    <w:p w14:paraId="4DA5394A" w14:textId="77777777" w:rsidR="001D1FD6" w:rsidRDefault="001D1FD6" w:rsidP="001D1FD6">
      <w:pPr>
        <w:spacing w:after="240"/>
        <w:ind w:firstLine="720"/>
        <w:jc w:val="both"/>
        <w:rPr>
          <w:bCs/>
          <w:sz w:val="18"/>
          <w:szCs w:val="18"/>
        </w:rPr>
      </w:pPr>
      <w:r>
        <w:rPr>
          <w:bCs/>
          <w:sz w:val="18"/>
          <w:szCs w:val="18"/>
        </w:rPr>
        <w:t xml:space="preserve">The bonds carry covenants requiring that the Group maintain consolidated gearing equal to or below 55% for the 2018 Bond and 65% for the remaining bonds and interest cover ratio equal to or above 1.2; and a debt service cover ratio equal to or above 1.2. </w:t>
      </w:r>
    </w:p>
    <w:p w14:paraId="5693BB3A" w14:textId="77777777" w:rsidR="001D1FD6" w:rsidRDefault="001D1FD6" w:rsidP="001D1FD6">
      <w:pPr>
        <w:spacing w:after="240"/>
        <w:jc w:val="both"/>
        <w:rPr>
          <w:rFonts w:cs="Arabic Transparent"/>
          <w:b/>
          <w:i/>
          <w:color w:val="000000"/>
          <w:sz w:val="18"/>
          <w:szCs w:val="18"/>
        </w:rPr>
      </w:pPr>
      <w:r>
        <w:rPr>
          <w:rFonts w:cs="Arabic Transparent"/>
          <w:b/>
          <w:i/>
          <w:color w:val="000000"/>
          <w:sz w:val="18"/>
          <w:szCs w:val="18"/>
        </w:rPr>
        <w:t>Joint Venture funding</w:t>
      </w:r>
    </w:p>
    <w:p w14:paraId="7C8276C2" w14:textId="77777777" w:rsidR="001D1FD6" w:rsidRDefault="001D1FD6" w:rsidP="001D1FD6">
      <w:pPr>
        <w:spacing w:after="240"/>
        <w:ind w:firstLine="720"/>
        <w:jc w:val="both"/>
        <w:rPr>
          <w:bCs/>
          <w:sz w:val="18"/>
          <w:szCs w:val="18"/>
        </w:rPr>
      </w:pPr>
      <w:r>
        <w:rPr>
          <w:bCs/>
          <w:sz w:val="18"/>
          <w:szCs w:val="18"/>
        </w:rPr>
        <w:t xml:space="preserve">The primary sources of financing of the Joint Venture have been, and are expected to be, bank financing and shareholder loans. </w:t>
      </w:r>
    </w:p>
    <w:p w14:paraId="3412F6C0" w14:textId="77777777" w:rsidR="001D1FD6" w:rsidRDefault="001D1FD6" w:rsidP="001D1FD6">
      <w:pPr>
        <w:spacing w:after="240"/>
        <w:jc w:val="both"/>
        <w:rPr>
          <w:rFonts w:cs="Arabic Transparent"/>
          <w:i/>
          <w:color w:val="000000"/>
          <w:sz w:val="18"/>
          <w:szCs w:val="18"/>
        </w:rPr>
      </w:pPr>
      <w:r>
        <w:rPr>
          <w:rFonts w:cs="Arabic Transparent"/>
          <w:i/>
          <w:color w:val="000000"/>
          <w:sz w:val="18"/>
          <w:szCs w:val="18"/>
        </w:rPr>
        <w:t>Bank financing</w:t>
      </w:r>
    </w:p>
    <w:p w14:paraId="5690EA68" w14:textId="77777777" w:rsidR="001D1FD6" w:rsidRDefault="001D1FD6" w:rsidP="001D1FD6">
      <w:pPr>
        <w:spacing w:after="240"/>
        <w:ind w:firstLine="360"/>
        <w:jc w:val="both"/>
        <w:rPr>
          <w:bCs/>
          <w:sz w:val="18"/>
          <w:szCs w:val="18"/>
        </w:rPr>
      </w:pPr>
      <w:r>
        <w:rPr>
          <w:bCs/>
          <w:sz w:val="18"/>
          <w:szCs w:val="18"/>
        </w:rPr>
        <w:t>The Joint Venture's principal credit facilities are set out below.</w:t>
      </w:r>
    </w:p>
    <w:p w14:paraId="7C10AFB1" w14:textId="6F40784D" w:rsidR="00A01869" w:rsidRPr="00A01869" w:rsidRDefault="00A01869" w:rsidP="00A01869">
      <w:pPr>
        <w:numPr>
          <w:ilvl w:val="0"/>
          <w:numId w:val="72"/>
        </w:numPr>
        <w:spacing w:after="240"/>
        <w:jc w:val="both"/>
        <w:rPr>
          <w:rFonts w:cs="Arabic Transparent"/>
          <w:color w:val="000000"/>
          <w:sz w:val="18"/>
          <w:szCs w:val="18"/>
        </w:rPr>
      </w:pPr>
      <w:r w:rsidRPr="00A01869">
        <w:rPr>
          <w:rFonts w:cs="Arabic Transparent"/>
          <w:color w:val="000000"/>
          <w:sz w:val="18"/>
          <w:szCs w:val="18"/>
        </w:rPr>
        <w:t xml:space="preserve">A € 368.2 million credit facility arranged by </w:t>
      </w:r>
      <w:proofErr w:type="spellStart"/>
      <w:r w:rsidRPr="00A01869">
        <w:rPr>
          <w:rFonts w:cs="Arabic Transparent"/>
          <w:color w:val="000000"/>
          <w:sz w:val="18"/>
          <w:szCs w:val="18"/>
        </w:rPr>
        <w:t>Aareal</w:t>
      </w:r>
      <w:proofErr w:type="spellEnd"/>
      <w:r w:rsidRPr="00A01869">
        <w:rPr>
          <w:rFonts w:cs="Arabic Transparent"/>
          <w:color w:val="000000"/>
          <w:sz w:val="18"/>
          <w:szCs w:val="18"/>
        </w:rPr>
        <w:t xml:space="preserve"> Bank AG, as agent, arranger and sole lending bank, entered into on 24 May 2016. The outstanding amount drawn under the credit facility as at 30 June 2017 was € </w:t>
      </w:r>
      <w:r w:rsidR="00115A39">
        <w:rPr>
          <w:rFonts w:cs="Arabic Transparent"/>
          <w:color w:val="000000"/>
          <w:sz w:val="18"/>
          <w:szCs w:val="18"/>
        </w:rPr>
        <w:t>266.5</w:t>
      </w:r>
      <w:r w:rsidRPr="00A01869">
        <w:rPr>
          <w:rFonts w:cs="Arabic Transparent"/>
          <w:color w:val="000000"/>
          <w:sz w:val="18"/>
          <w:szCs w:val="18"/>
        </w:rPr>
        <w:t xml:space="preserve"> million (€ 189.0 million as at 31 December 2016). The maturity date of this credit facility is 31 May 2026. </w:t>
      </w:r>
    </w:p>
    <w:p w14:paraId="2731189B" w14:textId="23D4BC44" w:rsidR="00A01869" w:rsidRPr="00A01869" w:rsidRDefault="00A01869" w:rsidP="00A01869">
      <w:pPr>
        <w:numPr>
          <w:ilvl w:val="0"/>
          <w:numId w:val="72"/>
        </w:numPr>
        <w:spacing w:after="240"/>
        <w:jc w:val="both"/>
        <w:rPr>
          <w:rFonts w:cs="Arabic Transparent"/>
          <w:color w:val="000000"/>
          <w:sz w:val="18"/>
          <w:szCs w:val="18"/>
        </w:rPr>
      </w:pPr>
      <w:r w:rsidRPr="00A01869">
        <w:rPr>
          <w:rFonts w:cs="Arabic Transparent"/>
          <w:color w:val="000000"/>
          <w:sz w:val="18"/>
          <w:szCs w:val="18"/>
        </w:rPr>
        <w:t xml:space="preserve">A 146.4 million credit facility arranged by </w:t>
      </w:r>
      <w:proofErr w:type="spellStart"/>
      <w:r w:rsidRPr="00A01869">
        <w:rPr>
          <w:rFonts w:cs="Arabic Transparent"/>
          <w:color w:val="000000"/>
          <w:sz w:val="18"/>
          <w:szCs w:val="18"/>
        </w:rPr>
        <w:t>Československá</w:t>
      </w:r>
      <w:proofErr w:type="spellEnd"/>
      <w:r w:rsidRPr="00A01869">
        <w:rPr>
          <w:rFonts w:cs="Arabic Transparent"/>
          <w:color w:val="000000"/>
          <w:sz w:val="18"/>
          <w:szCs w:val="18"/>
        </w:rPr>
        <w:t xml:space="preserve"> </w:t>
      </w:r>
      <w:proofErr w:type="spellStart"/>
      <w:r w:rsidRPr="00A01869">
        <w:rPr>
          <w:rFonts w:cs="Arabic Transparent"/>
          <w:color w:val="000000"/>
          <w:sz w:val="18"/>
          <w:szCs w:val="18"/>
        </w:rPr>
        <w:t>obchodní</w:t>
      </w:r>
      <w:proofErr w:type="spellEnd"/>
      <w:r w:rsidRPr="00A01869">
        <w:rPr>
          <w:rFonts w:cs="Arabic Transparent"/>
          <w:color w:val="000000"/>
          <w:sz w:val="18"/>
          <w:szCs w:val="18"/>
        </w:rPr>
        <w:t xml:space="preserve"> </w:t>
      </w:r>
      <w:proofErr w:type="spellStart"/>
      <w:r w:rsidRPr="00A01869">
        <w:rPr>
          <w:rFonts w:cs="Arabic Transparent"/>
          <w:color w:val="000000"/>
          <w:sz w:val="18"/>
          <w:szCs w:val="18"/>
        </w:rPr>
        <w:t>banka</w:t>
      </w:r>
      <w:proofErr w:type="spellEnd"/>
      <w:r w:rsidRPr="00A01869">
        <w:rPr>
          <w:rFonts w:cs="Arabic Transparent"/>
          <w:color w:val="000000"/>
          <w:sz w:val="18"/>
          <w:szCs w:val="18"/>
        </w:rPr>
        <w:t xml:space="preserve"> (“CSOB”), as agent, arranger and sole lending bank of the credit facility, entered into on 26 May 2016. The outstanding amount drawn under the credit facility as at 30 June 2017 was € </w:t>
      </w:r>
      <w:r w:rsidR="00115A39">
        <w:rPr>
          <w:rFonts w:cs="Arabic Transparent"/>
          <w:color w:val="000000"/>
          <w:sz w:val="18"/>
          <w:szCs w:val="18"/>
        </w:rPr>
        <w:t>107.1</w:t>
      </w:r>
      <w:r w:rsidRPr="00A01869">
        <w:rPr>
          <w:rFonts w:cs="Arabic Transparent"/>
          <w:color w:val="000000"/>
          <w:sz w:val="18"/>
          <w:szCs w:val="18"/>
        </w:rPr>
        <w:t xml:space="preserve"> million (€ 87.7 million as at 31 December 2016). The maturity d</w:t>
      </w:r>
      <w:r w:rsidR="00E763DC">
        <w:rPr>
          <w:rFonts w:cs="Arabic Transparent"/>
          <w:color w:val="000000"/>
          <w:sz w:val="18"/>
          <w:szCs w:val="18"/>
        </w:rPr>
        <w:t>ate of the credit facility is 26</w:t>
      </w:r>
      <w:r w:rsidRPr="00A01869">
        <w:rPr>
          <w:rFonts w:cs="Arabic Transparent"/>
          <w:color w:val="000000"/>
          <w:sz w:val="18"/>
          <w:szCs w:val="18"/>
        </w:rPr>
        <w:t xml:space="preserve"> May 2026. </w:t>
      </w:r>
    </w:p>
    <w:p w14:paraId="1844F3A5" w14:textId="1DBB6630" w:rsidR="001D1FD6" w:rsidRDefault="00A01869" w:rsidP="00A01869">
      <w:pPr>
        <w:numPr>
          <w:ilvl w:val="0"/>
          <w:numId w:val="72"/>
        </w:numPr>
        <w:spacing w:after="240"/>
        <w:jc w:val="both"/>
        <w:rPr>
          <w:rFonts w:cs="Arabic Transparent"/>
          <w:color w:val="000000"/>
          <w:sz w:val="18"/>
          <w:szCs w:val="18"/>
        </w:rPr>
      </w:pPr>
      <w:r w:rsidRPr="00A01869">
        <w:rPr>
          <w:rFonts w:cs="Arabic Transparent"/>
          <w:color w:val="000000"/>
          <w:sz w:val="18"/>
          <w:szCs w:val="18"/>
        </w:rPr>
        <w:t xml:space="preserve">A € 35.1 million credit facility arranged by </w:t>
      </w:r>
      <w:proofErr w:type="spellStart"/>
      <w:r w:rsidRPr="00A01869">
        <w:rPr>
          <w:rFonts w:cs="Arabic Transparent"/>
          <w:color w:val="000000"/>
          <w:sz w:val="18"/>
          <w:szCs w:val="18"/>
        </w:rPr>
        <w:t>UniCredit</w:t>
      </w:r>
      <w:proofErr w:type="spellEnd"/>
      <w:r w:rsidRPr="00A01869">
        <w:rPr>
          <w:rFonts w:cs="Arabic Transparent"/>
          <w:color w:val="000000"/>
          <w:sz w:val="18"/>
          <w:szCs w:val="18"/>
        </w:rPr>
        <w:t xml:space="preserve"> Bank Hungary, as agent, arranger and sole lending bank of the credit facility, entered into or 26 May 2016. The outstanding amount under the credit facility as at 30 June 2017 was € </w:t>
      </w:r>
      <w:r w:rsidR="00115A39">
        <w:rPr>
          <w:rFonts w:cs="Arabic Transparent"/>
          <w:color w:val="000000"/>
          <w:sz w:val="18"/>
          <w:szCs w:val="18"/>
        </w:rPr>
        <w:t>25.8</w:t>
      </w:r>
      <w:r w:rsidRPr="00A01869">
        <w:rPr>
          <w:rFonts w:cs="Arabic Transparent"/>
          <w:color w:val="000000"/>
          <w:sz w:val="18"/>
          <w:szCs w:val="18"/>
        </w:rPr>
        <w:t xml:space="preserve"> million (€ 26.5 million as at 31 December 2016). The maturity d</w:t>
      </w:r>
      <w:r w:rsidR="00E763DC">
        <w:rPr>
          <w:rFonts w:cs="Arabic Transparent"/>
          <w:color w:val="000000"/>
          <w:sz w:val="18"/>
          <w:szCs w:val="18"/>
        </w:rPr>
        <w:t>ate of the credit facility is 26</w:t>
      </w:r>
      <w:r w:rsidRPr="00A01869">
        <w:rPr>
          <w:rFonts w:cs="Arabic Transparent"/>
          <w:color w:val="000000"/>
          <w:sz w:val="18"/>
          <w:szCs w:val="18"/>
        </w:rPr>
        <w:t xml:space="preserve"> May 2026.</w:t>
      </w:r>
    </w:p>
    <w:p w14:paraId="2843B984" w14:textId="77777777" w:rsidR="001D1FD6" w:rsidRDefault="001D1FD6" w:rsidP="001D1FD6">
      <w:pPr>
        <w:spacing w:after="240"/>
        <w:ind w:firstLine="720"/>
        <w:jc w:val="both"/>
        <w:rPr>
          <w:bCs/>
          <w:sz w:val="18"/>
          <w:szCs w:val="18"/>
        </w:rPr>
      </w:pPr>
      <w:r>
        <w:rPr>
          <w:bCs/>
          <w:sz w:val="18"/>
          <w:szCs w:val="18"/>
        </w:rPr>
        <w:t>These credit facilities are secured by means of (</w:t>
      </w:r>
      <w:proofErr w:type="spellStart"/>
      <w:r>
        <w:rPr>
          <w:bCs/>
          <w:sz w:val="18"/>
          <w:szCs w:val="18"/>
        </w:rPr>
        <w:t>i</w:t>
      </w:r>
      <w:proofErr w:type="spellEnd"/>
      <w:r>
        <w:rPr>
          <w:bCs/>
          <w:sz w:val="18"/>
          <w:szCs w:val="18"/>
        </w:rPr>
        <w:t xml:space="preserve">) a mortgage on the property, (ii) a pledge or assignment of receivables (including receivables arising under leases, bank accounts and insurances), (iii) a pledge over the shares of the respective project companies and (iv) subordination of shareholder loans. In addition, each of the credit facilities is subject to covenants, including with respect to the debt service coverage ratio and loan to value ratio associated with the relevant assets. Distributions from the project </w:t>
      </w:r>
      <w:r>
        <w:rPr>
          <w:bCs/>
          <w:sz w:val="18"/>
          <w:szCs w:val="18"/>
        </w:rPr>
        <w:lastRenderedPageBreak/>
        <w:t>companies under these credit facilities are also limited to principal and interest under shareholder loans; management fees payable to the Group; and certain dividends to the Joint Venture.</w:t>
      </w:r>
    </w:p>
    <w:p w14:paraId="4930B5C0" w14:textId="4CE59491" w:rsidR="001D1FD6" w:rsidRDefault="001D1FD6" w:rsidP="001D1FD6">
      <w:pPr>
        <w:spacing w:after="240"/>
        <w:ind w:firstLine="720"/>
        <w:jc w:val="both"/>
        <w:rPr>
          <w:bCs/>
          <w:sz w:val="18"/>
          <w:szCs w:val="18"/>
        </w:rPr>
      </w:pPr>
      <w:r>
        <w:rPr>
          <w:bCs/>
          <w:sz w:val="18"/>
          <w:szCs w:val="18"/>
        </w:rPr>
        <w:t xml:space="preserve">As at 30 June 2017 and 31 December 2016, investment properties (comprising the completed projects, projects under construction and development land) with a carrying value of € 710.5 million and € 574.3 million, respectively, were pledged to lenders. </w:t>
      </w:r>
    </w:p>
    <w:p w14:paraId="29CCAFE1" w14:textId="50942AED" w:rsidR="00ED3097" w:rsidRPr="00ED3097" w:rsidRDefault="00ED3097" w:rsidP="00ED3097">
      <w:pPr>
        <w:spacing w:after="240"/>
        <w:ind w:firstLine="720"/>
        <w:jc w:val="both"/>
        <w:rPr>
          <w:bCs/>
          <w:sz w:val="18"/>
          <w:szCs w:val="18"/>
        </w:rPr>
      </w:pPr>
      <w:r w:rsidRPr="00ED3097">
        <w:rPr>
          <w:bCs/>
          <w:sz w:val="18"/>
          <w:szCs w:val="18"/>
        </w:rPr>
        <w:t xml:space="preserve">The Joint Venture has a gearing ratio calculated as the Joint Venture's net debt divided by the </w:t>
      </w:r>
      <w:r>
        <w:rPr>
          <w:bCs/>
          <w:sz w:val="18"/>
          <w:szCs w:val="18"/>
        </w:rPr>
        <w:t>total assets, of 58.1% as of 30 June 2017or 54.4% exclud</w:t>
      </w:r>
      <w:r w:rsidRPr="00ED3097">
        <w:rPr>
          <w:bCs/>
          <w:sz w:val="18"/>
          <w:szCs w:val="18"/>
        </w:rPr>
        <w:t>ing shareholder loans.</w:t>
      </w:r>
    </w:p>
    <w:p w14:paraId="6CB95473" w14:textId="455A9FA0" w:rsidR="001D1FD6" w:rsidRDefault="001D1FD6" w:rsidP="00ED3097">
      <w:pPr>
        <w:spacing w:after="240"/>
        <w:jc w:val="both"/>
        <w:rPr>
          <w:rFonts w:cs="Arabic Transparent"/>
          <w:b/>
          <w:i/>
          <w:color w:val="000000"/>
          <w:sz w:val="18"/>
          <w:szCs w:val="18"/>
          <w:lang w:val="en-GB"/>
        </w:rPr>
      </w:pPr>
      <w:r>
        <w:rPr>
          <w:rFonts w:cs="Arabic Transparent"/>
          <w:b/>
          <w:i/>
          <w:color w:val="000000"/>
          <w:sz w:val="18"/>
          <w:szCs w:val="18"/>
          <w:lang w:val="en-GB"/>
        </w:rPr>
        <w:t>Shareholder loans</w:t>
      </w:r>
    </w:p>
    <w:p w14:paraId="1CE9A77B" w14:textId="77777777" w:rsidR="001D1FD6" w:rsidRDefault="001D1FD6" w:rsidP="001D1FD6">
      <w:pPr>
        <w:spacing w:after="240"/>
        <w:ind w:firstLine="720"/>
        <w:jc w:val="both"/>
        <w:rPr>
          <w:bCs/>
          <w:sz w:val="18"/>
          <w:szCs w:val="18"/>
        </w:rPr>
      </w:pPr>
      <w:r>
        <w:rPr>
          <w:bCs/>
          <w:sz w:val="18"/>
          <w:szCs w:val="18"/>
        </w:rPr>
        <w:t>VGP and Allianz have provided shareholder loans in proportion to their aggregate interest in the Joint Venture. For project companies holding German assets, in accordance with the JVA, VGP is required to provide 52.55% of the total shareholder loans and Allianz is required to grant 47.45%; for all other project companies, VGP and Allianz provide shareholder loans in equal proportion. VGP also provides 100% of the development and construction loans to the Joint Venture.</w:t>
      </w:r>
    </w:p>
    <w:p w14:paraId="636C55B3" w14:textId="40ADB6F5" w:rsidR="001D1FD6" w:rsidRDefault="001D1FD6" w:rsidP="001D1FD6">
      <w:pPr>
        <w:spacing w:before="240" w:beforeAutospacing="1" w:afterAutospacing="1"/>
        <w:ind w:firstLine="857"/>
        <w:rPr>
          <w:sz w:val="18"/>
          <w:szCs w:val="18"/>
        </w:rPr>
      </w:pPr>
      <w:r>
        <w:rPr>
          <w:sz w:val="18"/>
          <w:szCs w:val="18"/>
        </w:rPr>
        <w:t>As at 30 June 2017 and 31 December 2016, the outstanding shareholder loans provided by VGP to the Joint Venture were as follows:</w:t>
      </w:r>
    </w:p>
    <w:tbl>
      <w:tblPr>
        <w:tblStyle w:val="TableGrid21"/>
        <w:tblW w:w="7853" w:type="dxa"/>
        <w:tblInd w:w="1361" w:type="dxa"/>
        <w:tblLayout w:type="fixed"/>
        <w:tblLook w:val="04A0" w:firstRow="1" w:lastRow="0" w:firstColumn="1" w:lastColumn="0" w:noHBand="0" w:noVBand="1"/>
      </w:tblPr>
      <w:tblGrid>
        <w:gridCol w:w="3283"/>
        <w:gridCol w:w="1843"/>
        <w:gridCol w:w="1314"/>
        <w:gridCol w:w="1413"/>
      </w:tblGrid>
      <w:tr w:rsidR="001D1FD6" w14:paraId="2AD58024" w14:textId="77777777" w:rsidTr="00C57B27">
        <w:tc>
          <w:tcPr>
            <w:tcW w:w="3283" w:type="dxa"/>
            <w:tcBorders>
              <w:left w:val="nil"/>
              <w:right w:val="nil"/>
            </w:tcBorders>
          </w:tcPr>
          <w:p w14:paraId="4E20A133" w14:textId="77777777" w:rsidR="001D1FD6" w:rsidRDefault="001D1FD6" w:rsidP="001D1FD6">
            <w:pPr>
              <w:widowControl w:val="0"/>
              <w:jc w:val="both"/>
              <w:outlineLvl w:val="1"/>
              <w:rPr>
                <w:rFonts w:ascii="Times New Roman" w:hAnsi="Times New Roman"/>
                <w:b/>
                <w:kern w:val="20"/>
                <w:sz w:val="18"/>
                <w:szCs w:val="18"/>
                <w:lang w:val="en-GB"/>
              </w:rPr>
            </w:pPr>
            <w:bookmarkStart w:id="54" w:name="_Toc460854327"/>
            <w:r>
              <w:rPr>
                <w:rFonts w:ascii="Times New Roman" w:hAnsi="Times New Roman"/>
                <w:b/>
                <w:kern w:val="20"/>
                <w:sz w:val="18"/>
                <w:szCs w:val="18"/>
                <w:lang w:val="en-GB"/>
              </w:rPr>
              <w:t xml:space="preserve">In thousands of </w:t>
            </w:r>
            <w:bookmarkEnd w:id="54"/>
            <w:r>
              <w:rPr>
                <w:rFonts w:ascii="Times New Roman" w:hAnsi="Times New Roman"/>
                <w:b/>
                <w:kern w:val="20"/>
                <w:sz w:val="18"/>
                <w:szCs w:val="18"/>
                <w:lang w:val="en-GB"/>
              </w:rPr>
              <w:t>€</w:t>
            </w:r>
          </w:p>
        </w:tc>
        <w:tc>
          <w:tcPr>
            <w:tcW w:w="1843" w:type="dxa"/>
            <w:tcBorders>
              <w:left w:val="nil"/>
              <w:right w:val="nil"/>
            </w:tcBorders>
          </w:tcPr>
          <w:p w14:paraId="54D4EDF4" w14:textId="77777777" w:rsidR="001D1FD6" w:rsidRDefault="001D1FD6" w:rsidP="001D1FD6">
            <w:pPr>
              <w:widowControl w:val="0"/>
              <w:jc w:val="right"/>
              <w:rPr>
                <w:rFonts w:ascii="Times New Roman" w:hAnsi="Times New Roman"/>
                <w:b/>
                <w:kern w:val="20"/>
                <w:sz w:val="18"/>
                <w:szCs w:val="18"/>
                <w:lang w:val="en-GB"/>
              </w:rPr>
            </w:pPr>
          </w:p>
        </w:tc>
        <w:tc>
          <w:tcPr>
            <w:tcW w:w="1314" w:type="dxa"/>
            <w:tcBorders>
              <w:left w:val="nil"/>
              <w:right w:val="nil"/>
            </w:tcBorders>
          </w:tcPr>
          <w:p w14:paraId="07B98DF9" w14:textId="37581665" w:rsidR="001D1FD6" w:rsidRDefault="00C57B27" w:rsidP="001D1FD6">
            <w:pPr>
              <w:widowControl w:val="0"/>
              <w:jc w:val="right"/>
              <w:rPr>
                <w:rFonts w:ascii="Times New Roman" w:hAnsi="Times New Roman"/>
                <w:b/>
                <w:kern w:val="20"/>
                <w:sz w:val="18"/>
                <w:szCs w:val="18"/>
                <w:lang w:val="en-GB"/>
              </w:rPr>
            </w:pPr>
            <w:r>
              <w:rPr>
                <w:rFonts w:ascii="Times New Roman" w:hAnsi="Times New Roman"/>
                <w:b/>
                <w:kern w:val="20"/>
                <w:sz w:val="18"/>
                <w:szCs w:val="18"/>
                <w:lang w:val="en-GB"/>
              </w:rPr>
              <w:t>As at 30-Jun-</w:t>
            </w:r>
            <w:r w:rsidR="001D1FD6">
              <w:rPr>
                <w:rFonts w:ascii="Times New Roman" w:hAnsi="Times New Roman"/>
                <w:b/>
                <w:kern w:val="20"/>
                <w:sz w:val="18"/>
                <w:szCs w:val="18"/>
                <w:lang w:val="en-GB"/>
              </w:rPr>
              <w:t>2017</w:t>
            </w:r>
          </w:p>
        </w:tc>
        <w:tc>
          <w:tcPr>
            <w:tcW w:w="1413" w:type="dxa"/>
            <w:tcBorders>
              <w:left w:val="nil"/>
              <w:right w:val="nil"/>
            </w:tcBorders>
          </w:tcPr>
          <w:p w14:paraId="7488453F" w14:textId="3CA8F186" w:rsidR="001D1FD6" w:rsidRDefault="00C57B27" w:rsidP="001D1FD6">
            <w:pPr>
              <w:widowControl w:val="0"/>
              <w:jc w:val="right"/>
              <w:rPr>
                <w:b/>
                <w:kern w:val="20"/>
                <w:sz w:val="18"/>
                <w:szCs w:val="18"/>
                <w:lang w:val="en-GB"/>
              </w:rPr>
            </w:pPr>
            <w:r>
              <w:rPr>
                <w:rFonts w:ascii="Times New Roman" w:hAnsi="Times New Roman"/>
                <w:b/>
                <w:kern w:val="20"/>
                <w:sz w:val="18"/>
                <w:szCs w:val="18"/>
                <w:lang w:val="en-GB"/>
              </w:rPr>
              <w:t>As at 31-Dec-</w:t>
            </w:r>
            <w:r w:rsidR="001D1FD6">
              <w:rPr>
                <w:rFonts w:ascii="Times New Roman" w:hAnsi="Times New Roman"/>
                <w:b/>
                <w:kern w:val="20"/>
                <w:sz w:val="18"/>
                <w:szCs w:val="18"/>
                <w:lang w:val="en-GB"/>
              </w:rPr>
              <w:t>2016</w:t>
            </w:r>
          </w:p>
        </w:tc>
      </w:tr>
      <w:tr w:rsidR="001D1FD6" w14:paraId="3F6E5419" w14:textId="77777777" w:rsidTr="00C57B27">
        <w:tc>
          <w:tcPr>
            <w:tcW w:w="3283" w:type="dxa"/>
            <w:tcBorders>
              <w:left w:val="nil"/>
              <w:right w:val="nil"/>
            </w:tcBorders>
            <w:vAlign w:val="center"/>
          </w:tcPr>
          <w:p w14:paraId="5BA1C177" w14:textId="77777777" w:rsidR="001D1FD6" w:rsidRDefault="001D1FD6" w:rsidP="001D1FD6">
            <w:pPr>
              <w:widowControl w:val="0"/>
              <w:jc w:val="both"/>
              <w:rPr>
                <w:rFonts w:ascii="Times New Roman" w:hAnsi="Times New Roman"/>
                <w:kern w:val="20"/>
                <w:sz w:val="18"/>
                <w:szCs w:val="18"/>
                <w:lang w:val="en-GB"/>
              </w:rPr>
            </w:pPr>
            <w:r>
              <w:rPr>
                <w:rFonts w:ascii="Times New Roman" w:hAnsi="Times New Roman"/>
                <w:color w:val="000000"/>
                <w:kern w:val="20"/>
                <w:sz w:val="18"/>
                <w:szCs w:val="18"/>
                <w:lang w:val="en-GB" w:eastAsia="nl-NL"/>
              </w:rPr>
              <w:t xml:space="preserve">VGP European Logistics </w:t>
            </w:r>
            <w:proofErr w:type="spellStart"/>
            <w:r>
              <w:rPr>
                <w:rFonts w:ascii="Times New Roman" w:hAnsi="Times New Roman"/>
                <w:color w:val="000000"/>
                <w:kern w:val="20"/>
                <w:sz w:val="18"/>
                <w:szCs w:val="18"/>
                <w:lang w:val="en-GB" w:eastAsia="nl-NL"/>
              </w:rPr>
              <w:t>S.à</w:t>
            </w:r>
            <w:proofErr w:type="spellEnd"/>
            <w:r>
              <w:rPr>
                <w:rFonts w:ascii="Times New Roman" w:hAnsi="Times New Roman"/>
                <w:color w:val="000000"/>
                <w:kern w:val="20"/>
                <w:sz w:val="18"/>
                <w:szCs w:val="18"/>
                <w:lang w:val="en-GB" w:eastAsia="nl-NL"/>
              </w:rPr>
              <w:t xml:space="preserve"> </w:t>
            </w:r>
            <w:proofErr w:type="spellStart"/>
            <w:r>
              <w:rPr>
                <w:rFonts w:ascii="Times New Roman" w:hAnsi="Times New Roman"/>
                <w:color w:val="000000"/>
                <w:kern w:val="20"/>
                <w:sz w:val="18"/>
                <w:szCs w:val="18"/>
                <w:lang w:val="en-GB" w:eastAsia="nl-NL"/>
              </w:rPr>
              <w:t>r.l</w:t>
            </w:r>
            <w:proofErr w:type="spellEnd"/>
            <w:r>
              <w:rPr>
                <w:rFonts w:ascii="Times New Roman" w:hAnsi="Times New Roman"/>
                <w:color w:val="000000"/>
                <w:kern w:val="20"/>
                <w:sz w:val="18"/>
                <w:szCs w:val="18"/>
                <w:lang w:val="en-GB" w:eastAsia="nl-NL"/>
              </w:rPr>
              <w:t>.</w:t>
            </w:r>
          </w:p>
        </w:tc>
        <w:tc>
          <w:tcPr>
            <w:tcW w:w="1843" w:type="dxa"/>
            <w:tcBorders>
              <w:left w:val="nil"/>
              <w:right w:val="nil"/>
            </w:tcBorders>
            <w:vAlign w:val="bottom"/>
          </w:tcPr>
          <w:p w14:paraId="6787CAA5" w14:textId="77777777" w:rsidR="001D1FD6" w:rsidRDefault="001D1FD6" w:rsidP="001D1FD6">
            <w:pPr>
              <w:widowControl w:val="0"/>
              <w:jc w:val="both"/>
              <w:outlineLvl w:val="1"/>
              <w:rPr>
                <w:rFonts w:ascii="Times New Roman" w:hAnsi="Times New Roman"/>
                <w:kern w:val="20"/>
                <w:sz w:val="18"/>
                <w:szCs w:val="18"/>
                <w:lang w:val="en-GB"/>
              </w:rPr>
            </w:pPr>
            <w:bookmarkStart w:id="55" w:name="_Toc460854328"/>
            <w:r>
              <w:rPr>
                <w:rFonts w:ascii="Times New Roman" w:hAnsi="Times New Roman"/>
                <w:kern w:val="20"/>
                <w:sz w:val="18"/>
                <w:szCs w:val="18"/>
                <w:lang w:val="en-GB" w:eastAsia="nl-NL"/>
              </w:rPr>
              <w:t>Holding</w:t>
            </w:r>
            <w:bookmarkEnd w:id="55"/>
          </w:p>
        </w:tc>
        <w:tc>
          <w:tcPr>
            <w:tcW w:w="1314" w:type="dxa"/>
            <w:tcBorders>
              <w:left w:val="nil"/>
              <w:right w:val="nil"/>
            </w:tcBorders>
            <w:vAlign w:val="bottom"/>
          </w:tcPr>
          <w:p w14:paraId="5F7602AB"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14,757</w:t>
            </w:r>
          </w:p>
        </w:tc>
        <w:tc>
          <w:tcPr>
            <w:tcW w:w="1413" w:type="dxa"/>
            <w:tcBorders>
              <w:left w:val="nil"/>
              <w:right w:val="nil"/>
            </w:tcBorders>
            <w:vAlign w:val="bottom"/>
          </w:tcPr>
          <w:p w14:paraId="4D513515"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7,506</w:t>
            </w:r>
          </w:p>
        </w:tc>
      </w:tr>
      <w:tr w:rsidR="001D1FD6" w14:paraId="6FFE3D95" w14:textId="77777777" w:rsidTr="00C57B27">
        <w:tc>
          <w:tcPr>
            <w:tcW w:w="3283" w:type="dxa"/>
            <w:tcBorders>
              <w:left w:val="nil"/>
              <w:right w:val="nil"/>
            </w:tcBorders>
            <w:vAlign w:val="center"/>
          </w:tcPr>
          <w:p w14:paraId="069D2B63" w14:textId="77777777" w:rsidR="001D1FD6" w:rsidRDefault="001D1FD6" w:rsidP="001D1FD6">
            <w:pPr>
              <w:widowControl w:val="0"/>
              <w:jc w:val="both"/>
              <w:rPr>
                <w:rFonts w:ascii="Times New Roman" w:hAnsi="Times New Roman"/>
                <w:kern w:val="20"/>
                <w:sz w:val="18"/>
                <w:szCs w:val="18"/>
                <w:lang w:val="en-GB"/>
              </w:rPr>
            </w:pPr>
            <w:r>
              <w:rPr>
                <w:rFonts w:ascii="Times New Roman" w:hAnsi="Times New Roman"/>
                <w:color w:val="000000"/>
                <w:kern w:val="20"/>
                <w:sz w:val="18"/>
                <w:szCs w:val="18"/>
                <w:lang w:val="en-GB" w:eastAsia="nl-NL"/>
              </w:rPr>
              <w:t xml:space="preserve">VGP Park </w:t>
            </w:r>
            <w:proofErr w:type="spellStart"/>
            <w:r>
              <w:rPr>
                <w:rFonts w:ascii="Times New Roman" w:hAnsi="Times New Roman"/>
                <w:color w:val="000000"/>
                <w:kern w:val="20"/>
                <w:sz w:val="18"/>
                <w:szCs w:val="18"/>
                <w:lang w:val="en-GB" w:eastAsia="nl-NL"/>
              </w:rPr>
              <w:t>Rodgau</w:t>
            </w:r>
            <w:proofErr w:type="spellEnd"/>
            <w:r>
              <w:rPr>
                <w:rFonts w:ascii="Times New Roman" w:hAnsi="Times New Roman"/>
                <w:color w:val="000000"/>
                <w:kern w:val="20"/>
                <w:sz w:val="18"/>
                <w:szCs w:val="18"/>
                <w:lang w:val="en-GB" w:eastAsia="nl-NL"/>
              </w:rPr>
              <w:t xml:space="preserve"> GmbH</w:t>
            </w:r>
          </w:p>
        </w:tc>
        <w:tc>
          <w:tcPr>
            <w:tcW w:w="1843" w:type="dxa"/>
            <w:tcBorders>
              <w:left w:val="nil"/>
              <w:right w:val="nil"/>
            </w:tcBorders>
            <w:vAlign w:val="bottom"/>
          </w:tcPr>
          <w:p w14:paraId="56962272" w14:textId="77777777" w:rsidR="001D1FD6" w:rsidRDefault="001D1FD6" w:rsidP="001D1FD6">
            <w:pPr>
              <w:widowControl w:val="0"/>
              <w:jc w:val="both"/>
              <w:outlineLvl w:val="1"/>
              <w:rPr>
                <w:rFonts w:ascii="Times New Roman" w:hAnsi="Times New Roman"/>
                <w:kern w:val="20"/>
                <w:sz w:val="18"/>
                <w:szCs w:val="18"/>
                <w:lang w:val="en-GB"/>
              </w:rPr>
            </w:pPr>
            <w:bookmarkStart w:id="56" w:name="_Toc460854329"/>
            <w:r>
              <w:rPr>
                <w:rFonts w:ascii="Times New Roman" w:hAnsi="Times New Roman"/>
                <w:kern w:val="20"/>
                <w:sz w:val="18"/>
                <w:szCs w:val="18"/>
                <w:lang w:val="en-GB" w:eastAsia="nl-NL"/>
              </w:rPr>
              <w:t>German portfolio</w:t>
            </w:r>
            <w:bookmarkEnd w:id="56"/>
          </w:p>
        </w:tc>
        <w:tc>
          <w:tcPr>
            <w:tcW w:w="1314" w:type="dxa"/>
            <w:tcBorders>
              <w:left w:val="nil"/>
              <w:right w:val="nil"/>
            </w:tcBorders>
            <w:vAlign w:val="bottom"/>
          </w:tcPr>
          <w:p w14:paraId="58B45311"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201</w:t>
            </w:r>
          </w:p>
        </w:tc>
        <w:tc>
          <w:tcPr>
            <w:tcW w:w="1413" w:type="dxa"/>
            <w:tcBorders>
              <w:left w:val="nil"/>
              <w:right w:val="nil"/>
            </w:tcBorders>
          </w:tcPr>
          <w:p w14:paraId="18E3A359"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196</w:t>
            </w:r>
          </w:p>
        </w:tc>
      </w:tr>
      <w:tr w:rsidR="001D1FD6" w14:paraId="39270BDE" w14:textId="77777777" w:rsidTr="00C57B27">
        <w:tc>
          <w:tcPr>
            <w:tcW w:w="3283" w:type="dxa"/>
            <w:tcBorders>
              <w:left w:val="nil"/>
              <w:right w:val="nil"/>
            </w:tcBorders>
            <w:vAlign w:val="center"/>
          </w:tcPr>
          <w:p w14:paraId="078D7C70" w14:textId="77777777" w:rsidR="001D1FD6" w:rsidRDefault="001D1FD6" w:rsidP="001D1FD6">
            <w:pPr>
              <w:widowControl w:val="0"/>
              <w:jc w:val="both"/>
              <w:rPr>
                <w:rFonts w:ascii="Times New Roman" w:hAnsi="Times New Roman"/>
                <w:kern w:val="20"/>
                <w:sz w:val="18"/>
                <w:szCs w:val="18"/>
                <w:lang w:val="en-GB"/>
              </w:rPr>
            </w:pPr>
            <w:r>
              <w:rPr>
                <w:rFonts w:ascii="Times New Roman" w:hAnsi="Times New Roman"/>
                <w:color w:val="000000"/>
                <w:kern w:val="20"/>
                <w:sz w:val="18"/>
                <w:szCs w:val="18"/>
                <w:lang w:val="en-GB" w:eastAsia="nl-NL"/>
              </w:rPr>
              <w:t>VGP Park Berlin GmbH</w:t>
            </w:r>
          </w:p>
        </w:tc>
        <w:tc>
          <w:tcPr>
            <w:tcW w:w="1843" w:type="dxa"/>
            <w:tcBorders>
              <w:left w:val="nil"/>
              <w:right w:val="nil"/>
            </w:tcBorders>
          </w:tcPr>
          <w:p w14:paraId="59EB792D" w14:textId="77777777" w:rsidR="001D1FD6" w:rsidRDefault="001D1FD6" w:rsidP="001D1FD6">
            <w:pPr>
              <w:widowControl w:val="0"/>
              <w:jc w:val="both"/>
              <w:outlineLvl w:val="1"/>
              <w:rPr>
                <w:rFonts w:ascii="Times New Roman" w:hAnsi="Times New Roman"/>
                <w:kern w:val="20"/>
                <w:sz w:val="18"/>
                <w:szCs w:val="18"/>
                <w:lang w:val="en-GB"/>
              </w:rPr>
            </w:pPr>
            <w:bookmarkStart w:id="57" w:name="_Toc460854330"/>
            <w:r>
              <w:rPr>
                <w:rFonts w:ascii="Times New Roman" w:hAnsi="Times New Roman"/>
                <w:kern w:val="20"/>
                <w:sz w:val="18"/>
                <w:szCs w:val="18"/>
                <w:lang w:val="en-GB" w:eastAsia="nl-NL"/>
              </w:rPr>
              <w:t>German portfolio</w:t>
            </w:r>
            <w:bookmarkEnd w:id="57"/>
          </w:p>
        </w:tc>
        <w:tc>
          <w:tcPr>
            <w:tcW w:w="1314" w:type="dxa"/>
            <w:tcBorders>
              <w:left w:val="nil"/>
              <w:right w:val="nil"/>
            </w:tcBorders>
            <w:vAlign w:val="bottom"/>
          </w:tcPr>
          <w:p w14:paraId="39949ECC"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18</w:t>
            </w:r>
          </w:p>
        </w:tc>
        <w:tc>
          <w:tcPr>
            <w:tcW w:w="1413" w:type="dxa"/>
            <w:tcBorders>
              <w:left w:val="nil"/>
              <w:right w:val="nil"/>
            </w:tcBorders>
          </w:tcPr>
          <w:p w14:paraId="159CBDB8"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18</w:t>
            </w:r>
          </w:p>
        </w:tc>
      </w:tr>
      <w:tr w:rsidR="001D1FD6" w14:paraId="1A154F46" w14:textId="77777777" w:rsidTr="00C57B27">
        <w:tc>
          <w:tcPr>
            <w:tcW w:w="3283" w:type="dxa"/>
            <w:tcBorders>
              <w:left w:val="nil"/>
              <w:right w:val="nil"/>
            </w:tcBorders>
            <w:vAlign w:val="center"/>
          </w:tcPr>
          <w:p w14:paraId="29FF1D30" w14:textId="77777777" w:rsidR="001D1FD6" w:rsidRDefault="001D1FD6" w:rsidP="001D1FD6">
            <w:pPr>
              <w:widowControl w:val="0"/>
              <w:jc w:val="both"/>
              <w:rPr>
                <w:rFonts w:ascii="Times New Roman" w:hAnsi="Times New Roman"/>
                <w:kern w:val="20"/>
                <w:sz w:val="18"/>
                <w:szCs w:val="18"/>
                <w:lang w:val="en-GB"/>
              </w:rPr>
            </w:pPr>
            <w:r>
              <w:rPr>
                <w:rFonts w:ascii="Times New Roman" w:hAnsi="Times New Roman"/>
                <w:color w:val="000000"/>
                <w:kern w:val="20"/>
                <w:sz w:val="18"/>
                <w:szCs w:val="18"/>
                <w:lang w:val="en-GB" w:eastAsia="nl-NL"/>
              </w:rPr>
              <w:t>VGP Park Hamburg GmbH</w:t>
            </w:r>
          </w:p>
        </w:tc>
        <w:tc>
          <w:tcPr>
            <w:tcW w:w="1843" w:type="dxa"/>
            <w:tcBorders>
              <w:left w:val="nil"/>
              <w:right w:val="nil"/>
            </w:tcBorders>
          </w:tcPr>
          <w:p w14:paraId="3B0F969A" w14:textId="77777777" w:rsidR="001D1FD6" w:rsidRDefault="001D1FD6" w:rsidP="001D1FD6">
            <w:pPr>
              <w:widowControl w:val="0"/>
              <w:jc w:val="both"/>
              <w:outlineLvl w:val="1"/>
              <w:rPr>
                <w:rFonts w:ascii="Times New Roman" w:hAnsi="Times New Roman"/>
                <w:kern w:val="20"/>
                <w:sz w:val="18"/>
                <w:szCs w:val="18"/>
                <w:lang w:val="en-GB"/>
              </w:rPr>
            </w:pPr>
            <w:bookmarkStart w:id="58" w:name="_Toc460854331"/>
            <w:r>
              <w:rPr>
                <w:rFonts w:ascii="Times New Roman" w:hAnsi="Times New Roman"/>
                <w:kern w:val="20"/>
                <w:sz w:val="18"/>
                <w:szCs w:val="18"/>
                <w:lang w:val="en-GB" w:eastAsia="nl-NL"/>
              </w:rPr>
              <w:t>German portfolio</w:t>
            </w:r>
            <w:bookmarkEnd w:id="58"/>
          </w:p>
        </w:tc>
        <w:tc>
          <w:tcPr>
            <w:tcW w:w="1314" w:type="dxa"/>
            <w:tcBorders>
              <w:left w:val="nil"/>
              <w:right w:val="nil"/>
            </w:tcBorders>
            <w:vAlign w:val="bottom"/>
          </w:tcPr>
          <w:p w14:paraId="60115574"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263</w:t>
            </w:r>
          </w:p>
        </w:tc>
        <w:tc>
          <w:tcPr>
            <w:tcW w:w="1413" w:type="dxa"/>
            <w:tcBorders>
              <w:left w:val="nil"/>
              <w:right w:val="nil"/>
            </w:tcBorders>
          </w:tcPr>
          <w:p w14:paraId="1408363C"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257</w:t>
            </w:r>
          </w:p>
        </w:tc>
      </w:tr>
      <w:tr w:rsidR="001D1FD6" w14:paraId="50E1C0CF" w14:textId="77777777" w:rsidTr="00C57B27">
        <w:tc>
          <w:tcPr>
            <w:tcW w:w="3283" w:type="dxa"/>
            <w:tcBorders>
              <w:left w:val="nil"/>
              <w:right w:val="nil"/>
            </w:tcBorders>
            <w:vAlign w:val="center"/>
          </w:tcPr>
          <w:p w14:paraId="3E8F021A" w14:textId="77777777" w:rsidR="001D1FD6" w:rsidRDefault="001D1FD6" w:rsidP="001D1FD6">
            <w:pPr>
              <w:widowControl w:val="0"/>
              <w:jc w:val="both"/>
              <w:rPr>
                <w:rFonts w:ascii="Times New Roman" w:hAnsi="Times New Roman"/>
                <w:kern w:val="20"/>
                <w:sz w:val="18"/>
                <w:szCs w:val="18"/>
                <w:lang w:val="en-GB"/>
              </w:rPr>
            </w:pPr>
            <w:r>
              <w:rPr>
                <w:rFonts w:ascii="Times New Roman" w:hAnsi="Times New Roman"/>
                <w:color w:val="000000"/>
                <w:kern w:val="20"/>
                <w:sz w:val="18"/>
                <w:szCs w:val="18"/>
                <w:lang w:val="en-GB" w:eastAsia="nl-NL"/>
              </w:rPr>
              <w:t xml:space="preserve">VGP Park </w:t>
            </w:r>
            <w:proofErr w:type="spellStart"/>
            <w:r>
              <w:rPr>
                <w:rFonts w:ascii="Times New Roman" w:hAnsi="Times New Roman"/>
                <w:color w:val="000000"/>
                <w:kern w:val="20"/>
                <w:sz w:val="18"/>
                <w:szCs w:val="18"/>
                <w:lang w:val="en-GB" w:eastAsia="nl-NL"/>
              </w:rPr>
              <w:t>Höchstadt</w:t>
            </w:r>
            <w:proofErr w:type="spellEnd"/>
            <w:r>
              <w:rPr>
                <w:rFonts w:ascii="Times New Roman" w:hAnsi="Times New Roman"/>
                <w:color w:val="000000"/>
                <w:kern w:val="20"/>
                <w:sz w:val="18"/>
                <w:szCs w:val="18"/>
                <w:lang w:val="en-GB" w:eastAsia="nl-NL"/>
              </w:rPr>
              <w:t xml:space="preserve"> GmbH</w:t>
            </w:r>
          </w:p>
        </w:tc>
        <w:tc>
          <w:tcPr>
            <w:tcW w:w="1843" w:type="dxa"/>
            <w:tcBorders>
              <w:left w:val="nil"/>
              <w:right w:val="nil"/>
            </w:tcBorders>
          </w:tcPr>
          <w:p w14:paraId="0F5078D7" w14:textId="77777777" w:rsidR="001D1FD6" w:rsidRDefault="001D1FD6" w:rsidP="001D1FD6">
            <w:pPr>
              <w:widowControl w:val="0"/>
              <w:jc w:val="both"/>
              <w:outlineLvl w:val="1"/>
              <w:rPr>
                <w:rFonts w:ascii="Times New Roman" w:hAnsi="Times New Roman"/>
                <w:kern w:val="20"/>
                <w:sz w:val="18"/>
                <w:szCs w:val="18"/>
                <w:lang w:val="en-GB"/>
              </w:rPr>
            </w:pPr>
            <w:bookmarkStart w:id="59" w:name="_Toc460854332"/>
            <w:r>
              <w:rPr>
                <w:rFonts w:ascii="Times New Roman" w:hAnsi="Times New Roman"/>
                <w:kern w:val="20"/>
                <w:sz w:val="18"/>
                <w:szCs w:val="18"/>
                <w:lang w:val="en-GB" w:eastAsia="nl-NL"/>
              </w:rPr>
              <w:t>German portfolio</w:t>
            </w:r>
            <w:bookmarkEnd w:id="59"/>
          </w:p>
        </w:tc>
        <w:tc>
          <w:tcPr>
            <w:tcW w:w="1314" w:type="dxa"/>
            <w:tcBorders>
              <w:left w:val="nil"/>
              <w:right w:val="nil"/>
            </w:tcBorders>
            <w:vAlign w:val="bottom"/>
          </w:tcPr>
          <w:p w14:paraId="1D3877F8"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100</w:t>
            </w:r>
          </w:p>
        </w:tc>
        <w:tc>
          <w:tcPr>
            <w:tcW w:w="1413" w:type="dxa"/>
            <w:tcBorders>
              <w:left w:val="nil"/>
              <w:right w:val="nil"/>
            </w:tcBorders>
          </w:tcPr>
          <w:p w14:paraId="1A5F30D9"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98</w:t>
            </w:r>
          </w:p>
        </w:tc>
      </w:tr>
      <w:tr w:rsidR="001D1FD6" w14:paraId="6530408C" w14:textId="77777777" w:rsidTr="00C57B27">
        <w:tc>
          <w:tcPr>
            <w:tcW w:w="3283" w:type="dxa"/>
            <w:tcBorders>
              <w:left w:val="nil"/>
              <w:right w:val="nil"/>
            </w:tcBorders>
            <w:vAlign w:val="center"/>
          </w:tcPr>
          <w:p w14:paraId="7FAEA614" w14:textId="77777777" w:rsidR="001D1FD6" w:rsidRPr="000078A9" w:rsidRDefault="001D1FD6" w:rsidP="001D1FD6">
            <w:pPr>
              <w:widowControl w:val="0"/>
              <w:jc w:val="both"/>
              <w:rPr>
                <w:rFonts w:ascii="Times New Roman" w:hAnsi="Times New Roman"/>
                <w:kern w:val="20"/>
                <w:sz w:val="18"/>
                <w:szCs w:val="18"/>
              </w:rPr>
            </w:pPr>
            <w:r w:rsidRPr="000078A9">
              <w:rPr>
                <w:rFonts w:ascii="Times New Roman" w:hAnsi="Times New Roman"/>
                <w:color w:val="000000"/>
                <w:kern w:val="20"/>
                <w:sz w:val="18"/>
                <w:szCs w:val="18"/>
                <w:lang w:eastAsia="nl-NL"/>
              </w:rPr>
              <w:t xml:space="preserve">VGP Park Leipzig </w:t>
            </w:r>
            <w:proofErr w:type="spellStart"/>
            <w:r w:rsidRPr="000078A9">
              <w:rPr>
                <w:rFonts w:ascii="Times New Roman" w:hAnsi="Times New Roman"/>
                <w:color w:val="000000"/>
                <w:kern w:val="20"/>
                <w:sz w:val="18"/>
                <w:szCs w:val="18"/>
                <w:lang w:eastAsia="nl-NL"/>
              </w:rPr>
              <w:t>S.à</w:t>
            </w:r>
            <w:proofErr w:type="spellEnd"/>
            <w:r w:rsidRPr="000078A9">
              <w:rPr>
                <w:rFonts w:ascii="Times New Roman" w:hAnsi="Times New Roman"/>
                <w:color w:val="000000"/>
                <w:kern w:val="20"/>
                <w:sz w:val="18"/>
                <w:szCs w:val="18"/>
                <w:lang w:eastAsia="nl-NL"/>
              </w:rPr>
              <w:t xml:space="preserve"> </w:t>
            </w:r>
            <w:proofErr w:type="spellStart"/>
            <w:r w:rsidRPr="000078A9">
              <w:rPr>
                <w:rFonts w:ascii="Times New Roman" w:hAnsi="Times New Roman"/>
                <w:color w:val="000000"/>
                <w:kern w:val="20"/>
                <w:sz w:val="18"/>
                <w:szCs w:val="18"/>
                <w:lang w:eastAsia="nl-NL"/>
              </w:rPr>
              <w:t>r.l</w:t>
            </w:r>
            <w:proofErr w:type="spellEnd"/>
            <w:r w:rsidRPr="000078A9">
              <w:rPr>
                <w:rFonts w:ascii="Times New Roman" w:hAnsi="Times New Roman"/>
                <w:color w:val="000000"/>
                <w:kern w:val="20"/>
                <w:sz w:val="18"/>
                <w:szCs w:val="18"/>
                <w:lang w:eastAsia="nl-NL"/>
              </w:rPr>
              <w:t>.</w:t>
            </w:r>
          </w:p>
        </w:tc>
        <w:tc>
          <w:tcPr>
            <w:tcW w:w="1843" w:type="dxa"/>
            <w:tcBorders>
              <w:left w:val="nil"/>
              <w:right w:val="nil"/>
            </w:tcBorders>
          </w:tcPr>
          <w:p w14:paraId="6A264825" w14:textId="77777777" w:rsidR="001D1FD6" w:rsidRDefault="001D1FD6" w:rsidP="001D1FD6">
            <w:pPr>
              <w:widowControl w:val="0"/>
              <w:jc w:val="both"/>
              <w:outlineLvl w:val="1"/>
              <w:rPr>
                <w:rFonts w:ascii="Times New Roman" w:hAnsi="Times New Roman"/>
                <w:kern w:val="20"/>
                <w:sz w:val="18"/>
                <w:szCs w:val="18"/>
                <w:lang w:val="en-GB"/>
              </w:rPr>
            </w:pPr>
            <w:bookmarkStart w:id="60" w:name="_Toc460854333"/>
            <w:r>
              <w:rPr>
                <w:rFonts w:ascii="Times New Roman" w:hAnsi="Times New Roman"/>
                <w:kern w:val="20"/>
                <w:sz w:val="18"/>
                <w:szCs w:val="18"/>
                <w:lang w:val="en-GB" w:eastAsia="nl-NL"/>
              </w:rPr>
              <w:t>German portfolio</w:t>
            </w:r>
            <w:bookmarkEnd w:id="60"/>
          </w:p>
        </w:tc>
        <w:tc>
          <w:tcPr>
            <w:tcW w:w="1314" w:type="dxa"/>
            <w:tcBorders>
              <w:left w:val="nil"/>
              <w:right w:val="nil"/>
            </w:tcBorders>
            <w:vAlign w:val="bottom"/>
          </w:tcPr>
          <w:p w14:paraId="59AAAF72"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106</w:t>
            </w:r>
          </w:p>
        </w:tc>
        <w:tc>
          <w:tcPr>
            <w:tcW w:w="1413" w:type="dxa"/>
            <w:tcBorders>
              <w:left w:val="nil"/>
              <w:right w:val="nil"/>
            </w:tcBorders>
          </w:tcPr>
          <w:p w14:paraId="041999DC"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104</w:t>
            </w:r>
          </w:p>
        </w:tc>
      </w:tr>
      <w:tr w:rsidR="001D1FD6" w14:paraId="36730140" w14:textId="77777777" w:rsidTr="00C57B27">
        <w:tc>
          <w:tcPr>
            <w:tcW w:w="3283" w:type="dxa"/>
            <w:tcBorders>
              <w:left w:val="nil"/>
              <w:right w:val="nil"/>
            </w:tcBorders>
            <w:vAlign w:val="center"/>
          </w:tcPr>
          <w:p w14:paraId="07291A79" w14:textId="77777777" w:rsidR="001D1FD6" w:rsidRDefault="001D1FD6" w:rsidP="001D1FD6">
            <w:pPr>
              <w:widowControl w:val="0"/>
              <w:jc w:val="both"/>
              <w:rPr>
                <w:rFonts w:ascii="Times New Roman" w:hAnsi="Times New Roman"/>
                <w:kern w:val="20"/>
                <w:sz w:val="18"/>
                <w:szCs w:val="18"/>
                <w:lang w:val="de-DE"/>
              </w:rPr>
            </w:pPr>
            <w:r>
              <w:rPr>
                <w:rFonts w:ascii="Times New Roman" w:hAnsi="Times New Roman"/>
                <w:color w:val="000000"/>
                <w:kern w:val="20"/>
                <w:sz w:val="18"/>
                <w:szCs w:val="18"/>
                <w:lang w:val="de-DE" w:eastAsia="nl-NL"/>
              </w:rPr>
              <w:t xml:space="preserve">VGP Park Frankenthal </w:t>
            </w:r>
            <w:proofErr w:type="spellStart"/>
            <w:r>
              <w:rPr>
                <w:rFonts w:ascii="Times New Roman" w:hAnsi="Times New Roman"/>
                <w:color w:val="000000"/>
                <w:kern w:val="20"/>
                <w:sz w:val="18"/>
                <w:szCs w:val="18"/>
                <w:lang w:val="de-DE" w:eastAsia="nl-NL"/>
              </w:rPr>
              <w:t>S.à</w:t>
            </w:r>
            <w:proofErr w:type="spellEnd"/>
            <w:r>
              <w:rPr>
                <w:rFonts w:ascii="Times New Roman" w:hAnsi="Times New Roman"/>
                <w:color w:val="000000"/>
                <w:kern w:val="20"/>
                <w:sz w:val="18"/>
                <w:szCs w:val="18"/>
                <w:lang w:val="de-DE" w:eastAsia="nl-NL"/>
              </w:rPr>
              <w:t xml:space="preserve"> </w:t>
            </w:r>
            <w:proofErr w:type="spellStart"/>
            <w:r>
              <w:rPr>
                <w:rFonts w:ascii="Times New Roman" w:hAnsi="Times New Roman"/>
                <w:color w:val="000000"/>
                <w:kern w:val="20"/>
                <w:sz w:val="18"/>
                <w:szCs w:val="18"/>
                <w:lang w:val="de-DE" w:eastAsia="nl-NL"/>
              </w:rPr>
              <w:t>r.l</w:t>
            </w:r>
            <w:proofErr w:type="spellEnd"/>
            <w:r>
              <w:rPr>
                <w:rFonts w:ascii="Times New Roman" w:hAnsi="Times New Roman"/>
                <w:color w:val="000000"/>
                <w:kern w:val="20"/>
                <w:sz w:val="18"/>
                <w:szCs w:val="18"/>
                <w:lang w:val="de-DE" w:eastAsia="nl-NL"/>
              </w:rPr>
              <w:t>.</w:t>
            </w:r>
          </w:p>
        </w:tc>
        <w:tc>
          <w:tcPr>
            <w:tcW w:w="1843" w:type="dxa"/>
            <w:tcBorders>
              <w:left w:val="nil"/>
              <w:right w:val="nil"/>
            </w:tcBorders>
          </w:tcPr>
          <w:p w14:paraId="4EE93EBE" w14:textId="77777777" w:rsidR="001D1FD6" w:rsidRDefault="001D1FD6" w:rsidP="001D1FD6">
            <w:pPr>
              <w:widowControl w:val="0"/>
              <w:jc w:val="both"/>
              <w:outlineLvl w:val="1"/>
              <w:rPr>
                <w:rFonts w:ascii="Times New Roman" w:hAnsi="Times New Roman"/>
                <w:kern w:val="20"/>
                <w:sz w:val="18"/>
                <w:szCs w:val="18"/>
                <w:lang w:val="en-GB"/>
              </w:rPr>
            </w:pPr>
            <w:r>
              <w:rPr>
                <w:rFonts w:ascii="Times New Roman" w:hAnsi="Times New Roman"/>
                <w:kern w:val="20"/>
                <w:sz w:val="18"/>
                <w:szCs w:val="18"/>
                <w:lang w:val="en-GB" w:eastAsia="nl-NL"/>
              </w:rPr>
              <w:t>German portfolio</w:t>
            </w:r>
          </w:p>
        </w:tc>
        <w:tc>
          <w:tcPr>
            <w:tcW w:w="1314" w:type="dxa"/>
            <w:tcBorders>
              <w:left w:val="nil"/>
              <w:right w:val="nil"/>
            </w:tcBorders>
            <w:vAlign w:val="bottom"/>
          </w:tcPr>
          <w:p w14:paraId="6518CDFF"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138</w:t>
            </w:r>
          </w:p>
        </w:tc>
        <w:tc>
          <w:tcPr>
            <w:tcW w:w="1413" w:type="dxa"/>
            <w:tcBorders>
              <w:left w:val="nil"/>
              <w:right w:val="nil"/>
            </w:tcBorders>
          </w:tcPr>
          <w:p w14:paraId="03A39AB7"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136</w:t>
            </w:r>
          </w:p>
        </w:tc>
      </w:tr>
      <w:tr w:rsidR="001D1FD6" w14:paraId="7C120C76" w14:textId="77777777" w:rsidTr="00C57B27">
        <w:trPr>
          <w:trHeight w:val="47"/>
        </w:trPr>
        <w:tc>
          <w:tcPr>
            <w:tcW w:w="3283" w:type="dxa"/>
            <w:tcBorders>
              <w:left w:val="nil"/>
              <w:right w:val="nil"/>
            </w:tcBorders>
            <w:vAlign w:val="center"/>
          </w:tcPr>
          <w:p w14:paraId="7503B283" w14:textId="77777777" w:rsidR="001D1FD6" w:rsidRDefault="001D1FD6" w:rsidP="001D1FD6">
            <w:pPr>
              <w:widowControl w:val="0"/>
              <w:jc w:val="both"/>
              <w:rPr>
                <w:rFonts w:ascii="Times New Roman" w:hAnsi="Times New Roman"/>
                <w:bCs/>
                <w:color w:val="000000"/>
                <w:kern w:val="20"/>
                <w:sz w:val="18"/>
                <w:szCs w:val="18"/>
                <w:lang w:val="de-DE" w:eastAsia="nl-NL"/>
              </w:rPr>
            </w:pPr>
            <w:r>
              <w:rPr>
                <w:rFonts w:ascii="Times New Roman" w:hAnsi="Times New Roman"/>
                <w:bCs/>
                <w:color w:val="000000"/>
                <w:kern w:val="20"/>
                <w:sz w:val="18"/>
                <w:szCs w:val="18"/>
                <w:lang w:val="de-DE" w:eastAsia="nl-NL"/>
              </w:rPr>
              <w:t>VGP Park Leipzig GmbH</w:t>
            </w:r>
          </w:p>
        </w:tc>
        <w:tc>
          <w:tcPr>
            <w:tcW w:w="1843" w:type="dxa"/>
            <w:tcBorders>
              <w:left w:val="nil"/>
              <w:right w:val="nil"/>
            </w:tcBorders>
          </w:tcPr>
          <w:p w14:paraId="29E4499F" w14:textId="77777777" w:rsidR="001D1FD6" w:rsidRDefault="001D1FD6" w:rsidP="001D1FD6">
            <w:pPr>
              <w:widowControl w:val="0"/>
              <w:jc w:val="both"/>
              <w:outlineLvl w:val="1"/>
              <w:rPr>
                <w:rFonts w:ascii="Times New Roman" w:hAnsi="Times New Roman"/>
                <w:kern w:val="20"/>
                <w:sz w:val="18"/>
                <w:szCs w:val="18"/>
                <w:lang w:val="de-DE"/>
              </w:rPr>
            </w:pPr>
            <w:r>
              <w:rPr>
                <w:rFonts w:ascii="Times New Roman" w:hAnsi="Times New Roman"/>
                <w:kern w:val="20"/>
                <w:sz w:val="18"/>
                <w:szCs w:val="18"/>
                <w:lang w:val="en-GB" w:eastAsia="nl-NL"/>
              </w:rPr>
              <w:t>German portfolio</w:t>
            </w:r>
          </w:p>
        </w:tc>
        <w:tc>
          <w:tcPr>
            <w:tcW w:w="1314" w:type="dxa"/>
            <w:tcBorders>
              <w:left w:val="nil"/>
              <w:right w:val="nil"/>
            </w:tcBorders>
            <w:vAlign w:val="bottom"/>
          </w:tcPr>
          <w:p w14:paraId="35E92052"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73</w:t>
            </w:r>
          </w:p>
        </w:tc>
        <w:tc>
          <w:tcPr>
            <w:tcW w:w="1413" w:type="dxa"/>
            <w:tcBorders>
              <w:left w:val="nil"/>
              <w:right w:val="nil"/>
            </w:tcBorders>
          </w:tcPr>
          <w:p w14:paraId="4B89AF2C" w14:textId="77777777" w:rsidR="001D1FD6" w:rsidRDefault="001D1FD6" w:rsidP="001D1FD6">
            <w:pPr>
              <w:jc w:val="right"/>
              <w:rPr>
                <w:color w:val="000000"/>
                <w:sz w:val="18"/>
                <w:szCs w:val="18"/>
                <w:lang w:val="en-GB"/>
              </w:rPr>
            </w:pPr>
            <w:r>
              <w:rPr>
                <w:rFonts w:ascii="Times New Roman" w:hAnsi="Times New Roman"/>
                <w:sz w:val="18"/>
                <w:szCs w:val="18"/>
                <w:lang w:val="de-DE" w:eastAsia="nl-NL"/>
              </w:rPr>
              <w:t>-</w:t>
            </w:r>
          </w:p>
        </w:tc>
      </w:tr>
      <w:tr w:rsidR="001D1FD6" w14:paraId="28BE08CE" w14:textId="77777777" w:rsidTr="00C57B27">
        <w:trPr>
          <w:trHeight w:val="47"/>
        </w:trPr>
        <w:tc>
          <w:tcPr>
            <w:tcW w:w="3283" w:type="dxa"/>
            <w:tcBorders>
              <w:left w:val="nil"/>
              <w:right w:val="nil"/>
            </w:tcBorders>
            <w:vAlign w:val="center"/>
          </w:tcPr>
          <w:p w14:paraId="5B751722" w14:textId="77777777" w:rsidR="001D1FD6" w:rsidRDefault="001D1FD6" w:rsidP="001D1FD6">
            <w:pPr>
              <w:widowControl w:val="0"/>
              <w:jc w:val="both"/>
              <w:rPr>
                <w:rFonts w:ascii="Times New Roman" w:hAnsi="Times New Roman"/>
                <w:bCs/>
                <w:color w:val="000000"/>
                <w:kern w:val="20"/>
                <w:sz w:val="18"/>
                <w:szCs w:val="18"/>
                <w:lang w:val="de-DE" w:eastAsia="nl-NL"/>
              </w:rPr>
            </w:pPr>
            <w:r>
              <w:rPr>
                <w:rFonts w:ascii="Times New Roman" w:hAnsi="Times New Roman"/>
                <w:bCs/>
                <w:color w:val="000000"/>
                <w:kern w:val="20"/>
                <w:sz w:val="18"/>
                <w:szCs w:val="18"/>
                <w:lang w:val="de-DE" w:eastAsia="nl-NL"/>
              </w:rPr>
              <w:t xml:space="preserve">VGP Park Hamburg 3 </w:t>
            </w:r>
            <w:proofErr w:type="spellStart"/>
            <w:r>
              <w:rPr>
                <w:rFonts w:ascii="Times New Roman" w:hAnsi="Times New Roman"/>
                <w:bCs/>
                <w:color w:val="000000"/>
                <w:kern w:val="20"/>
                <w:sz w:val="18"/>
                <w:szCs w:val="18"/>
                <w:lang w:val="de-DE" w:eastAsia="nl-NL"/>
              </w:rPr>
              <w:t>S.à</w:t>
            </w:r>
            <w:proofErr w:type="spellEnd"/>
            <w:r>
              <w:rPr>
                <w:rFonts w:ascii="Times New Roman" w:hAnsi="Times New Roman"/>
                <w:bCs/>
                <w:color w:val="000000"/>
                <w:kern w:val="20"/>
                <w:sz w:val="18"/>
                <w:szCs w:val="18"/>
                <w:lang w:val="de-DE" w:eastAsia="nl-NL"/>
              </w:rPr>
              <w:t xml:space="preserve"> </w:t>
            </w:r>
            <w:proofErr w:type="spellStart"/>
            <w:r>
              <w:rPr>
                <w:rFonts w:ascii="Times New Roman" w:hAnsi="Times New Roman"/>
                <w:bCs/>
                <w:color w:val="000000"/>
                <w:kern w:val="20"/>
                <w:sz w:val="18"/>
                <w:szCs w:val="18"/>
                <w:lang w:val="de-DE" w:eastAsia="nl-NL"/>
              </w:rPr>
              <w:t>r.l</w:t>
            </w:r>
            <w:proofErr w:type="spellEnd"/>
            <w:r>
              <w:rPr>
                <w:rFonts w:ascii="Times New Roman" w:hAnsi="Times New Roman"/>
                <w:bCs/>
                <w:color w:val="000000"/>
                <w:kern w:val="20"/>
                <w:sz w:val="18"/>
                <w:szCs w:val="18"/>
                <w:lang w:val="de-DE" w:eastAsia="nl-NL"/>
              </w:rPr>
              <w:t>.</w:t>
            </w:r>
          </w:p>
        </w:tc>
        <w:tc>
          <w:tcPr>
            <w:tcW w:w="1843" w:type="dxa"/>
            <w:tcBorders>
              <w:left w:val="nil"/>
              <w:right w:val="nil"/>
            </w:tcBorders>
          </w:tcPr>
          <w:p w14:paraId="36054E64" w14:textId="77777777" w:rsidR="001D1FD6" w:rsidRDefault="001D1FD6" w:rsidP="001D1FD6">
            <w:pPr>
              <w:widowControl w:val="0"/>
              <w:jc w:val="both"/>
              <w:outlineLvl w:val="1"/>
              <w:rPr>
                <w:rFonts w:ascii="Times New Roman" w:hAnsi="Times New Roman"/>
                <w:kern w:val="20"/>
                <w:sz w:val="18"/>
                <w:szCs w:val="18"/>
                <w:lang w:val="de-DE"/>
              </w:rPr>
            </w:pPr>
            <w:r>
              <w:rPr>
                <w:rFonts w:ascii="Times New Roman" w:hAnsi="Times New Roman"/>
                <w:kern w:val="20"/>
                <w:sz w:val="18"/>
                <w:szCs w:val="18"/>
                <w:lang w:val="en-GB" w:eastAsia="nl-NL"/>
              </w:rPr>
              <w:t>German portfolio</w:t>
            </w:r>
          </w:p>
        </w:tc>
        <w:tc>
          <w:tcPr>
            <w:tcW w:w="1314" w:type="dxa"/>
            <w:tcBorders>
              <w:left w:val="nil"/>
              <w:right w:val="nil"/>
            </w:tcBorders>
            <w:vAlign w:val="bottom"/>
          </w:tcPr>
          <w:p w14:paraId="049D2068"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w:t>
            </w:r>
          </w:p>
        </w:tc>
        <w:tc>
          <w:tcPr>
            <w:tcW w:w="1413" w:type="dxa"/>
            <w:tcBorders>
              <w:left w:val="nil"/>
              <w:right w:val="nil"/>
            </w:tcBorders>
          </w:tcPr>
          <w:p w14:paraId="1AF0F39A" w14:textId="77777777" w:rsidR="001D1FD6" w:rsidRDefault="001D1FD6" w:rsidP="001D1FD6">
            <w:pPr>
              <w:jc w:val="right"/>
              <w:rPr>
                <w:color w:val="000000"/>
                <w:sz w:val="18"/>
                <w:szCs w:val="18"/>
                <w:lang w:val="en-GB"/>
              </w:rPr>
            </w:pPr>
            <w:r>
              <w:rPr>
                <w:rFonts w:ascii="Times New Roman" w:hAnsi="Times New Roman"/>
                <w:sz w:val="18"/>
                <w:szCs w:val="18"/>
                <w:lang w:val="de-DE" w:eastAsia="nl-NL"/>
              </w:rPr>
              <w:t>-</w:t>
            </w:r>
          </w:p>
        </w:tc>
      </w:tr>
      <w:tr w:rsidR="001D1FD6" w14:paraId="2B590502" w14:textId="77777777" w:rsidTr="00C57B27">
        <w:trPr>
          <w:trHeight w:val="47"/>
        </w:trPr>
        <w:tc>
          <w:tcPr>
            <w:tcW w:w="3283" w:type="dxa"/>
            <w:tcBorders>
              <w:left w:val="nil"/>
              <w:right w:val="nil"/>
            </w:tcBorders>
            <w:vAlign w:val="center"/>
          </w:tcPr>
          <w:p w14:paraId="1D64809C" w14:textId="77777777" w:rsidR="001D1FD6" w:rsidRDefault="001D1FD6" w:rsidP="001D1FD6">
            <w:pPr>
              <w:widowControl w:val="0"/>
              <w:jc w:val="both"/>
              <w:rPr>
                <w:rFonts w:ascii="Times New Roman" w:hAnsi="Times New Roman"/>
                <w:bCs/>
                <w:color w:val="000000"/>
                <w:kern w:val="20"/>
                <w:sz w:val="18"/>
                <w:szCs w:val="18"/>
                <w:lang w:val="fr-BE" w:eastAsia="nl-NL"/>
              </w:rPr>
            </w:pPr>
            <w:r>
              <w:rPr>
                <w:rFonts w:ascii="Times New Roman" w:hAnsi="Times New Roman"/>
                <w:bCs/>
                <w:color w:val="000000"/>
                <w:kern w:val="20"/>
                <w:sz w:val="18"/>
                <w:szCs w:val="18"/>
                <w:lang w:val="fr-BE" w:eastAsia="nl-NL"/>
              </w:rPr>
              <w:t xml:space="preserve">VGP DEU 3 </w:t>
            </w:r>
            <w:proofErr w:type="spellStart"/>
            <w:r>
              <w:rPr>
                <w:rFonts w:ascii="Times New Roman" w:hAnsi="Times New Roman"/>
                <w:bCs/>
                <w:color w:val="000000"/>
                <w:kern w:val="20"/>
                <w:sz w:val="18"/>
                <w:szCs w:val="18"/>
                <w:lang w:val="fr-BE" w:eastAsia="nl-NL"/>
              </w:rPr>
              <w:t>S.à</w:t>
            </w:r>
            <w:proofErr w:type="spellEnd"/>
            <w:r>
              <w:rPr>
                <w:rFonts w:ascii="Times New Roman" w:hAnsi="Times New Roman"/>
                <w:bCs/>
                <w:color w:val="000000"/>
                <w:kern w:val="20"/>
                <w:sz w:val="18"/>
                <w:szCs w:val="18"/>
                <w:lang w:val="fr-BE" w:eastAsia="nl-NL"/>
              </w:rPr>
              <w:t xml:space="preserve"> </w:t>
            </w:r>
            <w:proofErr w:type="spellStart"/>
            <w:r>
              <w:rPr>
                <w:rFonts w:ascii="Times New Roman" w:hAnsi="Times New Roman"/>
                <w:bCs/>
                <w:color w:val="000000"/>
                <w:kern w:val="20"/>
                <w:sz w:val="18"/>
                <w:szCs w:val="18"/>
                <w:lang w:val="fr-BE" w:eastAsia="nl-NL"/>
              </w:rPr>
              <w:t>r.l</w:t>
            </w:r>
            <w:proofErr w:type="spellEnd"/>
            <w:r>
              <w:rPr>
                <w:rFonts w:ascii="Times New Roman" w:hAnsi="Times New Roman"/>
                <w:bCs/>
                <w:color w:val="000000"/>
                <w:kern w:val="20"/>
                <w:sz w:val="18"/>
                <w:szCs w:val="18"/>
                <w:lang w:val="fr-BE" w:eastAsia="nl-NL"/>
              </w:rPr>
              <w:t>.</w:t>
            </w:r>
          </w:p>
        </w:tc>
        <w:tc>
          <w:tcPr>
            <w:tcW w:w="1843" w:type="dxa"/>
            <w:tcBorders>
              <w:left w:val="nil"/>
              <w:right w:val="nil"/>
            </w:tcBorders>
          </w:tcPr>
          <w:p w14:paraId="33A695DF" w14:textId="77777777" w:rsidR="001D1FD6" w:rsidRDefault="001D1FD6" w:rsidP="001D1FD6">
            <w:pPr>
              <w:widowControl w:val="0"/>
              <w:jc w:val="both"/>
              <w:outlineLvl w:val="1"/>
              <w:rPr>
                <w:rFonts w:ascii="Times New Roman" w:hAnsi="Times New Roman"/>
                <w:kern w:val="20"/>
                <w:sz w:val="18"/>
                <w:szCs w:val="18"/>
                <w:lang w:val="de-DE"/>
              </w:rPr>
            </w:pPr>
            <w:r>
              <w:rPr>
                <w:rFonts w:ascii="Times New Roman" w:hAnsi="Times New Roman"/>
                <w:kern w:val="20"/>
                <w:sz w:val="18"/>
                <w:szCs w:val="18"/>
                <w:lang w:val="en-GB" w:eastAsia="nl-NL"/>
              </w:rPr>
              <w:t>German portfolio</w:t>
            </w:r>
          </w:p>
        </w:tc>
        <w:tc>
          <w:tcPr>
            <w:tcW w:w="1314" w:type="dxa"/>
            <w:tcBorders>
              <w:left w:val="nil"/>
              <w:right w:val="nil"/>
            </w:tcBorders>
            <w:vAlign w:val="bottom"/>
          </w:tcPr>
          <w:p w14:paraId="18D06481"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429</w:t>
            </w:r>
          </w:p>
        </w:tc>
        <w:tc>
          <w:tcPr>
            <w:tcW w:w="1413" w:type="dxa"/>
            <w:tcBorders>
              <w:left w:val="nil"/>
              <w:right w:val="nil"/>
            </w:tcBorders>
          </w:tcPr>
          <w:p w14:paraId="0DAC7033" w14:textId="77777777" w:rsidR="001D1FD6" w:rsidRDefault="001D1FD6" w:rsidP="001D1FD6">
            <w:pPr>
              <w:jc w:val="right"/>
              <w:rPr>
                <w:color w:val="000000"/>
                <w:sz w:val="18"/>
                <w:szCs w:val="18"/>
                <w:lang w:val="en-GB"/>
              </w:rPr>
            </w:pPr>
            <w:r>
              <w:rPr>
                <w:rFonts w:ascii="Times New Roman" w:hAnsi="Times New Roman"/>
                <w:sz w:val="18"/>
                <w:szCs w:val="18"/>
                <w:lang w:val="de-DE" w:eastAsia="nl-NL"/>
              </w:rPr>
              <w:t>-</w:t>
            </w:r>
          </w:p>
        </w:tc>
      </w:tr>
      <w:tr w:rsidR="001D1FD6" w14:paraId="425CA5AC" w14:textId="77777777" w:rsidTr="00C57B27">
        <w:trPr>
          <w:trHeight w:val="47"/>
        </w:trPr>
        <w:tc>
          <w:tcPr>
            <w:tcW w:w="3283" w:type="dxa"/>
            <w:tcBorders>
              <w:left w:val="nil"/>
              <w:right w:val="nil"/>
            </w:tcBorders>
            <w:vAlign w:val="center"/>
          </w:tcPr>
          <w:p w14:paraId="1121E536" w14:textId="77777777" w:rsidR="001D1FD6" w:rsidRDefault="001D1FD6" w:rsidP="001D1FD6">
            <w:pPr>
              <w:widowControl w:val="0"/>
              <w:jc w:val="both"/>
              <w:rPr>
                <w:rFonts w:ascii="Times New Roman" w:hAnsi="Times New Roman"/>
                <w:bCs/>
                <w:color w:val="000000"/>
                <w:kern w:val="20"/>
                <w:sz w:val="18"/>
                <w:szCs w:val="18"/>
                <w:lang w:val="en-GB" w:eastAsia="nl-NL"/>
              </w:rPr>
            </w:pPr>
            <w:r>
              <w:rPr>
                <w:rFonts w:ascii="Times New Roman" w:hAnsi="Times New Roman"/>
                <w:bCs/>
                <w:color w:val="000000"/>
                <w:kern w:val="20"/>
                <w:sz w:val="18"/>
                <w:szCs w:val="18"/>
                <w:lang w:val="en-GB" w:eastAsia="nl-NL"/>
              </w:rPr>
              <w:t xml:space="preserve">VGP Park Cesky </w:t>
            </w:r>
            <w:proofErr w:type="spellStart"/>
            <w:r>
              <w:rPr>
                <w:rFonts w:ascii="Times New Roman" w:hAnsi="Times New Roman"/>
                <w:bCs/>
                <w:color w:val="000000"/>
                <w:kern w:val="20"/>
                <w:sz w:val="18"/>
                <w:szCs w:val="18"/>
                <w:lang w:val="en-GB" w:eastAsia="nl-NL"/>
              </w:rPr>
              <w:t>Ujezd</w:t>
            </w:r>
            <w:proofErr w:type="spellEnd"/>
          </w:p>
        </w:tc>
        <w:tc>
          <w:tcPr>
            <w:tcW w:w="1843" w:type="dxa"/>
            <w:tcBorders>
              <w:left w:val="nil"/>
              <w:right w:val="nil"/>
            </w:tcBorders>
            <w:vAlign w:val="bottom"/>
          </w:tcPr>
          <w:p w14:paraId="5C630708" w14:textId="77777777" w:rsidR="001D1FD6" w:rsidRDefault="001D1FD6" w:rsidP="001D1FD6">
            <w:pPr>
              <w:widowControl w:val="0"/>
              <w:jc w:val="both"/>
              <w:outlineLvl w:val="1"/>
              <w:rPr>
                <w:rFonts w:ascii="Times New Roman" w:hAnsi="Times New Roman"/>
                <w:kern w:val="20"/>
                <w:sz w:val="18"/>
                <w:szCs w:val="18"/>
                <w:lang w:val="en-GB"/>
              </w:rPr>
            </w:pPr>
            <w:r>
              <w:rPr>
                <w:rFonts w:ascii="Times New Roman" w:hAnsi="Times New Roman"/>
                <w:kern w:val="20"/>
                <w:sz w:val="18"/>
                <w:szCs w:val="18"/>
                <w:lang w:val="en-GB"/>
              </w:rPr>
              <w:t>Czech Portfolio</w:t>
            </w:r>
          </w:p>
        </w:tc>
        <w:tc>
          <w:tcPr>
            <w:tcW w:w="1314" w:type="dxa"/>
            <w:tcBorders>
              <w:left w:val="nil"/>
              <w:right w:val="nil"/>
            </w:tcBorders>
            <w:vAlign w:val="bottom"/>
          </w:tcPr>
          <w:p w14:paraId="5E11A382" w14:textId="77777777" w:rsidR="001D1FD6" w:rsidRDefault="001D1FD6" w:rsidP="001D1FD6">
            <w:pPr>
              <w:jc w:val="right"/>
              <w:rPr>
                <w:rFonts w:ascii="Times New Roman" w:hAnsi="Times New Roman"/>
                <w:b/>
                <w:bCs/>
                <w:color w:val="000000"/>
                <w:sz w:val="18"/>
                <w:szCs w:val="18"/>
                <w:lang w:val="en-GB"/>
              </w:rPr>
            </w:pPr>
            <w:r>
              <w:rPr>
                <w:rFonts w:ascii="Times New Roman" w:hAnsi="Times New Roman"/>
                <w:color w:val="000000"/>
                <w:sz w:val="18"/>
                <w:szCs w:val="18"/>
                <w:lang w:val="en-GB"/>
              </w:rPr>
              <w:t>147</w:t>
            </w:r>
          </w:p>
        </w:tc>
        <w:tc>
          <w:tcPr>
            <w:tcW w:w="1413" w:type="dxa"/>
            <w:tcBorders>
              <w:left w:val="nil"/>
              <w:right w:val="nil"/>
            </w:tcBorders>
          </w:tcPr>
          <w:p w14:paraId="65BA97C1" w14:textId="77777777" w:rsidR="001D1FD6" w:rsidRDefault="001D1FD6" w:rsidP="001D1FD6">
            <w:pPr>
              <w:jc w:val="right"/>
              <w:rPr>
                <w:color w:val="000000"/>
                <w:sz w:val="18"/>
                <w:szCs w:val="18"/>
                <w:lang w:val="en-GB"/>
              </w:rPr>
            </w:pPr>
          </w:p>
        </w:tc>
      </w:tr>
      <w:tr w:rsidR="001D1FD6" w14:paraId="7E529DFF" w14:textId="77777777" w:rsidTr="00C57B27">
        <w:trPr>
          <w:trHeight w:val="47"/>
        </w:trPr>
        <w:tc>
          <w:tcPr>
            <w:tcW w:w="3283" w:type="dxa"/>
            <w:tcBorders>
              <w:left w:val="nil"/>
              <w:right w:val="nil"/>
            </w:tcBorders>
            <w:vAlign w:val="center"/>
          </w:tcPr>
          <w:p w14:paraId="774C9A29" w14:textId="77777777" w:rsidR="001D1FD6" w:rsidRDefault="001D1FD6" w:rsidP="001D1FD6">
            <w:pPr>
              <w:widowControl w:val="0"/>
              <w:jc w:val="both"/>
              <w:rPr>
                <w:rFonts w:ascii="Times New Roman" w:hAnsi="Times New Roman"/>
                <w:kern w:val="20"/>
                <w:sz w:val="18"/>
                <w:szCs w:val="18"/>
                <w:lang w:val="en-GB"/>
              </w:rPr>
            </w:pPr>
            <w:r>
              <w:rPr>
                <w:rFonts w:ascii="Times New Roman" w:hAnsi="Times New Roman"/>
                <w:b/>
                <w:bCs/>
                <w:color w:val="000000"/>
                <w:kern w:val="20"/>
                <w:sz w:val="18"/>
                <w:szCs w:val="18"/>
                <w:lang w:val="en-GB" w:eastAsia="nl-NL"/>
              </w:rPr>
              <w:t>Shareholder loans</w:t>
            </w:r>
          </w:p>
        </w:tc>
        <w:tc>
          <w:tcPr>
            <w:tcW w:w="1843" w:type="dxa"/>
            <w:tcBorders>
              <w:left w:val="nil"/>
              <w:right w:val="nil"/>
            </w:tcBorders>
            <w:vAlign w:val="bottom"/>
          </w:tcPr>
          <w:p w14:paraId="50C31F90" w14:textId="77777777" w:rsidR="001D1FD6" w:rsidRDefault="001D1FD6" w:rsidP="001D1FD6">
            <w:pPr>
              <w:widowControl w:val="0"/>
              <w:jc w:val="both"/>
              <w:outlineLvl w:val="1"/>
              <w:rPr>
                <w:rFonts w:ascii="Times New Roman" w:hAnsi="Times New Roman"/>
                <w:kern w:val="20"/>
                <w:sz w:val="18"/>
                <w:szCs w:val="18"/>
                <w:lang w:val="en-GB"/>
              </w:rPr>
            </w:pPr>
          </w:p>
        </w:tc>
        <w:tc>
          <w:tcPr>
            <w:tcW w:w="1314" w:type="dxa"/>
            <w:tcBorders>
              <w:left w:val="nil"/>
              <w:right w:val="nil"/>
            </w:tcBorders>
            <w:vAlign w:val="bottom"/>
          </w:tcPr>
          <w:p w14:paraId="689EBD23" w14:textId="77777777" w:rsidR="001D1FD6" w:rsidRDefault="001D1FD6" w:rsidP="001D1FD6">
            <w:pPr>
              <w:jc w:val="right"/>
              <w:rPr>
                <w:rFonts w:ascii="Times New Roman" w:hAnsi="Times New Roman"/>
                <w:b/>
                <w:bCs/>
                <w:color w:val="000000"/>
                <w:sz w:val="18"/>
                <w:szCs w:val="18"/>
                <w:lang w:val="en-GB"/>
              </w:rPr>
            </w:pPr>
            <w:r>
              <w:rPr>
                <w:rFonts w:ascii="Times New Roman" w:hAnsi="Times New Roman"/>
                <w:b/>
                <w:bCs/>
                <w:color w:val="000000"/>
                <w:sz w:val="18"/>
                <w:szCs w:val="18"/>
                <w:lang w:val="en-GB"/>
              </w:rPr>
              <w:t>16,232</w:t>
            </w:r>
          </w:p>
        </w:tc>
        <w:tc>
          <w:tcPr>
            <w:tcW w:w="1413" w:type="dxa"/>
            <w:tcBorders>
              <w:left w:val="nil"/>
              <w:right w:val="nil"/>
            </w:tcBorders>
          </w:tcPr>
          <w:p w14:paraId="2CCAE226" w14:textId="77777777" w:rsidR="001D1FD6" w:rsidRDefault="001D1FD6" w:rsidP="001D1FD6">
            <w:pPr>
              <w:jc w:val="right"/>
              <w:rPr>
                <w:b/>
                <w:bCs/>
                <w:color w:val="000000"/>
                <w:sz w:val="18"/>
                <w:szCs w:val="18"/>
                <w:lang w:val="en-GB"/>
              </w:rPr>
            </w:pPr>
            <w:r>
              <w:rPr>
                <w:rFonts w:ascii="Times New Roman" w:hAnsi="Times New Roman"/>
                <w:b/>
                <w:sz w:val="18"/>
                <w:szCs w:val="18"/>
                <w:lang w:val="nl-NL" w:eastAsia="nl-NL"/>
              </w:rPr>
              <w:t>8,315</w:t>
            </w:r>
          </w:p>
        </w:tc>
      </w:tr>
      <w:tr w:rsidR="001D1FD6" w14:paraId="23EBD24E" w14:textId="77777777" w:rsidTr="00C57B27">
        <w:tc>
          <w:tcPr>
            <w:tcW w:w="3283" w:type="dxa"/>
            <w:tcBorders>
              <w:left w:val="nil"/>
              <w:right w:val="nil"/>
            </w:tcBorders>
            <w:vAlign w:val="center"/>
          </w:tcPr>
          <w:p w14:paraId="428449CE" w14:textId="77777777" w:rsidR="001D1FD6" w:rsidRDefault="001D1FD6" w:rsidP="001D1FD6">
            <w:pPr>
              <w:widowControl w:val="0"/>
              <w:jc w:val="both"/>
              <w:rPr>
                <w:rFonts w:ascii="Times New Roman" w:hAnsi="Times New Roman"/>
                <w:kern w:val="20"/>
                <w:sz w:val="18"/>
                <w:szCs w:val="18"/>
                <w:lang w:val="en-GB"/>
              </w:rPr>
            </w:pPr>
            <w:r>
              <w:rPr>
                <w:rFonts w:ascii="Times New Roman" w:hAnsi="Times New Roman"/>
                <w:color w:val="000000"/>
                <w:kern w:val="20"/>
                <w:sz w:val="18"/>
                <w:szCs w:val="18"/>
                <w:lang w:val="en-GB" w:eastAsia="nl-NL"/>
              </w:rPr>
              <w:t> </w:t>
            </w:r>
          </w:p>
        </w:tc>
        <w:tc>
          <w:tcPr>
            <w:tcW w:w="1843" w:type="dxa"/>
            <w:tcBorders>
              <w:left w:val="nil"/>
              <w:right w:val="nil"/>
            </w:tcBorders>
            <w:vAlign w:val="bottom"/>
          </w:tcPr>
          <w:p w14:paraId="68103B93" w14:textId="77777777" w:rsidR="001D1FD6" w:rsidRDefault="001D1FD6" w:rsidP="001D1FD6">
            <w:pPr>
              <w:widowControl w:val="0"/>
              <w:jc w:val="both"/>
              <w:outlineLvl w:val="1"/>
              <w:rPr>
                <w:rFonts w:ascii="Times New Roman" w:hAnsi="Times New Roman"/>
                <w:kern w:val="20"/>
                <w:sz w:val="18"/>
                <w:szCs w:val="18"/>
                <w:lang w:val="en-GB"/>
              </w:rPr>
            </w:pPr>
          </w:p>
        </w:tc>
        <w:tc>
          <w:tcPr>
            <w:tcW w:w="1314" w:type="dxa"/>
            <w:tcBorders>
              <w:left w:val="nil"/>
              <w:right w:val="nil"/>
            </w:tcBorders>
            <w:vAlign w:val="bottom"/>
          </w:tcPr>
          <w:p w14:paraId="51CA6B24" w14:textId="77777777" w:rsidR="001D1FD6" w:rsidRDefault="001D1FD6" w:rsidP="001D1FD6">
            <w:pPr>
              <w:jc w:val="center"/>
              <w:rPr>
                <w:rFonts w:ascii="Times New Roman" w:hAnsi="Times New Roman"/>
                <w:sz w:val="18"/>
                <w:szCs w:val="18"/>
                <w:lang w:val="nl-NL" w:eastAsia="nl-NL"/>
              </w:rPr>
            </w:pPr>
          </w:p>
        </w:tc>
        <w:tc>
          <w:tcPr>
            <w:tcW w:w="1413" w:type="dxa"/>
            <w:tcBorders>
              <w:left w:val="nil"/>
              <w:right w:val="nil"/>
            </w:tcBorders>
            <w:vAlign w:val="bottom"/>
          </w:tcPr>
          <w:p w14:paraId="5D7D1DC4" w14:textId="77777777" w:rsidR="001D1FD6" w:rsidRDefault="001D1FD6" w:rsidP="001D1FD6">
            <w:pPr>
              <w:jc w:val="center"/>
              <w:rPr>
                <w:sz w:val="18"/>
                <w:szCs w:val="18"/>
                <w:lang w:val="nl-NL" w:eastAsia="nl-NL"/>
              </w:rPr>
            </w:pPr>
          </w:p>
        </w:tc>
      </w:tr>
      <w:tr w:rsidR="001D1FD6" w14:paraId="4E4763E3" w14:textId="77777777" w:rsidTr="00C57B27">
        <w:tc>
          <w:tcPr>
            <w:tcW w:w="3283" w:type="dxa"/>
            <w:tcBorders>
              <w:left w:val="nil"/>
              <w:right w:val="nil"/>
            </w:tcBorders>
            <w:vAlign w:val="center"/>
          </w:tcPr>
          <w:p w14:paraId="28EFB59B" w14:textId="77777777" w:rsidR="001D1FD6" w:rsidRDefault="001D1FD6" w:rsidP="001D1FD6">
            <w:pPr>
              <w:widowControl w:val="0"/>
              <w:jc w:val="both"/>
              <w:rPr>
                <w:rFonts w:ascii="Times New Roman" w:hAnsi="Times New Roman"/>
                <w:kern w:val="20"/>
                <w:sz w:val="18"/>
                <w:szCs w:val="18"/>
                <w:lang w:val="en-GB"/>
              </w:rPr>
            </w:pPr>
            <w:r>
              <w:rPr>
                <w:rFonts w:ascii="Times New Roman" w:hAnsi="Times New Roman"/>
                <w:color w:val="000000"/>
                <w:kern w:val="20"/>
                <w:sz w:val="18"/>
                <w:szCs w:val="18"/>
                <w:lang w:val="en-GB" w:eastAsia="nl-NL"/>
              </w:rPr>
              <w:t xml:space="preserve">VGP CZ V </w:t>
            </w:r>
            <w:proofErr w:type="spellStart"/>
            <w:r>
              <w:rPr>
                <w:rFonts w:ascii="Times New Roman" w:hAnsi="Times New Roman"/>
                <w:color w:val="000000"/>
                <w:kern w:val="20"/>
                <w:sz w:val="18"/>
                <w:szCs w:val="18"/>
                <w:lang w:val="en-GB" w:eastAsia="nl-NL"/>
              </w:rPr>
              <w:t>a.s</w:t>
            </w:r>
            <w:proofErr w:type="spellEnd"/>
            <w:r>
              <w:rPr>
                <w:rFonts w:ascii="Times New Roman" w:hAnsi="Times New Roman"/>
                <w:color w:val="000000"/>
                <w:kern w:val="20"/>
                <w:sz w:val="18"/>
                <w:szCs w:val="18"/>
                <w:lang w:val="en-GB" w:eastAsia="nl-NL"/>
              </w:rPr>
              <w:t>.</w:t>
            </w:r>
          </w:p>
        </w:tc>
        <w:tc>
          <w:tcPr>
            <w:tcW w:w="1843" w:type="dxa"/>
            <w:tcBorders>
              <w:left w:val="nil"/>
              <w:right w:val="nil"/>
            </w:tcBorders>
            <w:vAlign w:val="bottom"/>
          </w:tcPr>
          <w:p w14:paraId="0F16C8CA" w14:textId="77777777" w:rsidR="001D1FD6" w:rsidRDefault="001D1FD6" w:rsidP="001D1FD6">
            <w:pPr>
              <w:widowControl w:val="0"/>
              <w:jc w:val="both"/>
              <w:outlineLvl w:val="1"/>
              <w:rPr>
                <w:rFonts w:ascii="Times New Roman" w:hAnsi="Times New Roman"/>
                <w:kern w:val="20"/>
                <w:sz w:val="18"/>
                <w:szCs w:val="18"/>
                <w:lang w:val="en-GB"/>
              </w:rPr>
            </w:pPr>
            <w:bookmarkStart w:id="61" w:name="_Toc460854334"/>
            <w:r>
              <w:rPr>
                <w:rFonts w:ascii="Times New Roman" w:hAnsi="Times New Roman"/>
                <w:kern w:val="20"/>
                <w:sz w:val="18"/>
                <w:szCs w:val="18"/>
                <w:lang w:val="en-GB" w:eastAsia="nl-NL"/>
              </w:rPr>
              <w:t>Czech portfolio</w:t>
            </w:r>
            <w:bookmarkEnd w:id="61"/>
          </w:p>
        </w:tc>
        <w:tc>
          <w:tcPr>
            <w:tcW w:w="1314" w:type="dxa"/>
            <w:tcBorders>
              <w:left w:val="nil"/>
              <w:right w:val="nil"/>
            </w:tcBorders>
            <w:vAlign w:val="bottom"/>
          </w:tcPr>
          <w:p w14:paraId="782199D0" w14:textId="77777777" w:rsidR="001D1FD6" w:rsidRDefault="001D1FD6" w:rsidP="001D1FD6">
            <w:pPr>
              <w:jc w:val="right"/>
              <w:rPr>
                <w:rFonts w:ascii="Times New Roman" w:hAnsi="Times New Roman"/>
                <w:sz w:val="18"/>
                <w:szCs w:val="18"/>
                <w:lang w:val="nl-NL" w:eastAsia="nl-NL"/>
              </w:rPr>
            </w:pPr>
            <w:r>
              <w:rPr>
                <w:rFonts w:ascii="Times New Roman" w:hAnsi="Times New Roman"/>
                <w:color w:val="000000"/>
                <w:sz w:val="18"/>
                <w:szCs w:val="18"/>
                <w:lang w:val="en-GB"/>
              </w:rPr>
              <w:t>0</w:t>
            </w:r>
          </w:p>
        </w:tc>
        <w:tc>
          <w:tcPr>
            <w:tcW w:w="1413" w:type="dxa"/>
            <w:tcBorders>
              <w:left w:val="nil"/>
              <w:right w:val="nil"/>
            </w:tcBorders>
            <w:vAlign w:val="bottom"/>
          </w:tcPr>
          <w:p w14:paraId="3C16B5C0"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3,059</w:t>
            </w:r>
          </w:p>
        </w:tc>
      </w:tr>
      <w:tr w:rsidR="001D1FD6" w14:paraId="2F94C4AF" w14:textId="77777777" w:rsidTr="00C57B27">
        <w:tc>
          <w:tcPr>
            <w:tcW w:w="3283" w:type="dxa"/>
            <w:tcBorders>
              <w:left w:val="nil"/>
              <w:right w:val="nil"/>
            </w:tcBorders>
            <w:vAlign w:val="center"/>
          </w:tcPr>
          <w:p w14:paraId="23CFCCD7" w14:textId="77777777" w:rsidR="001D1FD6" w:rsidRDefault="001D1FD6" w:rsidP="001D1FD6">
            <w:pPr>
              <w:widowControl w:val="0"/>
              <w:jc w:val="both"/>
              <w:rPr>
                <w:rFonts w:ascii="Times New Roman" w:hAnsi="Times New Roman"/>
                <w:kern w:val="20"/>
                <w:sz w:val="18"/>
                <w:szCs w:val="18"/>
                <w:lang w:val="en-GB"/>
              </w:rPr>
            </w:pPr>
            <w:r>
              <w:rPr>
                <w:rFonts w:ascii="Times New Roman" w:hAnsi="Times New Roman"/>
                <w:color w:val="000000"/>
                <w:kern w:val="20"/>
                <w:sz w:val="18"/>
                <w:szCs w:val="18"/>
                <w:lang w:val="en-GB" w:eastAsia="nl-NL"/>
              </w:rPr>
              <w:t xml:space="preserve">VGP CZ VI </w:t>
            </w:r>
            <w:proofErr w:type="spellStart"/>
            <w:r>
              <w:rPr>
                <w:rFonts w:ascii="Times New Roman" w:hAnsi="Times New Roman"/>
                <w:color w:val="000000"/>
                <w:kern w:val="20"/>
                <w:sz w:val="18"/>
                <w:szCs w:val="18"/>
                <w:lang w:val="en-GB" w:eastAsia="nl-NL"/>
              </w:rPr>
              <w:t>a.s</w:t>
            </w:r>
            <w:proofErr w:type="spellEnd"/>
            <w:r>
              <w:rPr>
                <w:rFonts w:ascii="Times New Roman" w:hAnsi="Times New Roman"/>
                <w:color w:val="000000"/>
                <w:kern w:val="20"/>
                <w:sz w:val="18"/>
                <w:szCs w:val="18"/>
                <w:lang w:val="en-GB" w:eastAsia="nl-NL"/>
              </w:rPr>
              <w:t>.</w:t>
            </w:r>
          </w:p>
        </w:tc>
        <w:tc>
          <w:tcPr>
            <w:tcW w:w="1843" w:type="dxa"/>
            <w:tcBorders>
              <w:left w:val="nil"/>
              <w:right w:val="nil"/>
            </w:tcBorders>
            <w:vAlign w:val="bottom"/>
          </w:tcPr>
          <w:p w14:paraId="75F2119E" w14:textId="77777777" w:rsidR="001D1FD6" w:rsidRDefault="001D1FD6" w:rsidP="001D1FD6">
            <w:pPr>
              <w:widowControl w:val="0"/>
              <w:jc w:val="both"/>
              <w:outlineLvl w:val="1"/>
              <w:rPr>
                <w:rFonts w:ascii="Times New Roman" w:hAnsi="Times New Roman"/>
                <w:kern w:val="20"/>
                <w:sz w:val="18"/>
                <w:szCs w:val="18"/>
                <w:lang w:val="en-GB"/>
              </w:rPr>
            </w:pPr>
            <w:bookmarkStart w:id="62" w:name="_Toc460854335"/>
            <w:r>
              <w:rPr>
                <w:rFonts w:ascii="Times New Roman" w:hAnsi="Times New Roman"/>
                <w:kern w:val="20"/>
                <w:sz w:val="18"/>
                <w:szCs w:val="18"/>
                <w:lang w:val="en-GB" w:eastAsia="nl-NL"/>
              </w:rPr>
              <w:t>Czech portfolio</w:t>
            </w:r>
            <w:bookmarkEnd w:id="62"/>
            <w:r>
              <w:rPr>
                <w:rFonts w:ascii="Times New Roman" w:hAnsi="Times New Roman"/>
                <w:kern w:val="20"/>
                <w:sz w:val="18"/>
                <w:szCs w:val="18"/>
                <w:lang w:val="en-GB" w:eastAsia="nl-NL"/>
              </w:rPr>
              <w:t xml:space="preserve"> </w:t>
            </w:r>
          </w:p>
        </w:tc>
        <w:tc>
          <w:tcPr>
            <w:tcW w:w="1314" w:type="dxa"/>
            <w:tcBorders>
              <w:left w:val="nil"/>
              <w:right w:val="nil"/>
            </w:tcBorders>
            <w:vAlign w:val="bottom"/>
          </w:tcPr>
          <w:p w14:paraId="629ADF78"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2,856</w:t>
            </w:r>
          </w:p>
        </w:tc>
        <w:tc>
          <w:tcPr>
            <w:tcW w:w="1413" w:type="dxa"/>
            <w:tcBorders>
              <w:left w:val="nil"/>
              <w:right w:val="nil"/>
            </w:tcBorders>
            <w:vAlign w:val="bottom"/>
          </w:tcPr>
          <w:p w14:paraId="6A7BEF35"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2,681</w:t>
            </w:r>
          </w:p>
        </w:tc>
      </w:tr>
      <w:tr w:rsidR="001D1FD6" w14:paraId="40148A31" w14:textId="77777777" w:rsidTr="00C57B27">
        <w:tc>
          <w:tcPr>
            <w:tcW w:w="3283" w:type="dxa"/>
            <w:tcBorders>
              <w:left w:val="nil"/>
              <w:right w:val="nil"/>
            </w:tcBorders>
            <w:vAlign w:val="center"/>
          </w:tcPr>
          <w:p w14:paraId="794A2DC9" w14:textId="77777777" w:rsidR="001D1FD6" w:rsidRDefault="001D1FD6" w:rsidP="001D1FD6">
            <w:pPr>
              <w:jc w:val="both"/>
              <w:rPr>
                <w:rFonts w:ascii="Times New Roman" w:hAnsi="Times New Roman"/>
                <w:color w:val="000000"/>
                <w:sz w:val="18"/>
                <w:szCs w:val="18"/>
                <w:lang w:val="en-GB" w:eastAsia="nl-NL"/>
              </w:rPr>
            </w:pPr>
            <w:r>
              <w:rPr>
                <w:rFonts w:ascii="Times New Roman" w:hAnsi="Times New Roman"/>
                <w:color w:val="000000"/>
                <w:sz w:val="18"/>
                <w:szCs w:val="18"/>
                <w:lang w:val="en-GB"/>
              </w:rPr>
              <w:t xml:space="preserve">VGP Park Cesky </w:t>
            </w:r>
            <w:proofErr w:type="spellStart"/>
            <w:r>
              <w:rPr>
                <w:rFonts w:ascii="Times New Roman" w:hAnsi="Times New Roman"/>
                <w:color w:val="000000"/>
                <w:sz w:val="18"/>
                <w:szCs w:val="18"/>
                <w:lang w:val="en-GB"/>
              </w:rPr>
              <w:t>Ujezd</w:t>
            </w:r>
            <w:proofErr w:type="spellEnd"/>
          </w:p>
        </w:tc>
        <w:tc>
          <w:tcPr>
            <w:tcW w:w="1843" w:type="dxa"/>
            <w:tcBorders>
              <w:left w:val="nil"/>
              <w:right w:val="nil"/>
            </w:tcBorders>
            <w:vAlign w:val="bottom"/>
          </w:tcPr>
          <w:p w14:paraId="2DCB6B69" w14:textId="77777777" w:rsidR="001D1FD6" w:rsidRDefault="001D1FD6" w:rsidP="001D1FD6">
            <w:pPr>
              <w:widowControl w:val="0"/>
              <w:jc w:val="both"/>
              <w:outlineLvl w:val="1"/>
              <w:rPr>
                <w:rFonts w:ascii="Times New Roman" w:hAnsi="Times New Roman"/>
                <w:kern w:val="20"/>
                <w:sz w:val="18"/>
                <w:szCs w:val="18"/>
                <w:lang w:val="en-GB" w:eastAsia="nl-NL"/>
              </w:rPr>
            </w:pPr>
            <w:r>
              <w:rPr>
                <w:rFonts w:ascii="Times New Roman" w:hAnsi="Times New Roman"/>
                <w:kern w:val="20"/>
                <w:sz w:val="18"/>
                <w:szCs w:val="18"/>
                <w:lang w:val="en-GB" w:eastAsia="nl-NL"/>
              </w:rPr>
              <w:t>Czech portfolio</w:t>
            </w:r>
          </w:p>
        </w:tc>
        <w:tc>
          <w:tcPr>
            <w:tcW w:w="1314" w:type="dxa"/>
            <w:tcBorders>
              <w:left w:val="nil"/>
              <w:right w:val="nil"/>
            </w:tcBorders>
            <w:vAlign w:val="bottom"/>
          </w:tcPr>
          <w:p w14:paraId="6FE46A7E"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1,384</w:t>
            </w:r>
          </w:p>
        </w:tc>
        <w:tc>
          <w:tcPr>
            <w:tcW w:w="1413" w:type="dxa"/>
            <w:tcBorders>
              <w:left w:val="nil"/>
              <w:right w:val="nil"/>
            </w:tcBorders>
          </w:tcPr>
          <w:p w14:paraId="28D64B53" w14:textId="77777777" w:rsidR="001D1FD6" w:rsidRDefault="001D1FD6" w:rsidP="001D1FD6">
            <w:pPr>
              <w:jc w:val="right"/>
              <w:rPr>
                <w:color w:val="000000"/>
                <w:sz w:val="18"/>
                <w:szCs w:val="18"/>
                <w:lang w:val="en-GB"/>
              </w:rPr>
            </w:pPr>
          </w:p>
        </w:tc>
      </w:tr>
      <w:tr w:rsidR="001D1FD6" w14:paraId="5447E88C" w14:textId="77777777" w:rsidTr="00C57B27">
        <w:tc>
          <w:tcPr>
            <w:tcW w:w="3283" w:type="dxa"/>
            <w:tcBorders>
              <w:left w:val="nil"/>
              <w:right w:val="nil"/>
            </w:tcBorders>
            <w:vAlign w:val="center"/>
          </w:tcPr>
          <w:p w14:paraId="6F0647E0" w14:textId="77777777" w:rsidR="001D1FD6" w:rsidRDefault="001D1FD6" w:rsidP="001D1FD6">
            <w:pPr>
              <w:widowControl w:val="0"/>
              <w:jc w:val="both"/>
              <w:rPr>
                <w:rFonts w:ascii="Times New Roman" w:hAnsi="Times New Roman"/>
                <w:kern w:val="20"/>
                <w:sz w:val="18"/>
                <w:szCs w:val="18"/>
                <w:lang w:val="en-GB"/>
              </w:rPr>
            </w:pPr>
            <w:r>
              <w:rPr>
                <w:rFonts w:ascii="Times New Roman" w:hAnsi="Times New Roman"/>
                <w:color w:val="000000"/>
                <w:kern w:val="20"/>
                <w:sz w:val="18"/>
                <w:szCs w:val="18"/>
                <w:lang w:val="en-GB" w:eastAsia="nl-NL"/>
              </w:rPr>
              <w:t xml:space="preserve">VGP Park </w:t>
            </w:r>
            <w:proofErr w:type="spellStart"/>
            <w:r>
              <w:rPr>
                <w:rFonts w:ascii="Times New Roman" w:hAnsi="Times New Roman"/>
                <w:color w:val="000000"/>
                <w:kern w:val="20"/>
                <w:sz w:val="18"/>
                <w:szCs w:val="18"/>
                <w:lang w:val="en-GB" w:eastAsia="nl-NL"/>
              </w:rPr>
              <w:t>Malacky</w:t>
            </w:r>
            <w:proofErr w:type="spellEnd"/>
            <w:r>
              <w:rPr>
                <w:rFonts w:ascii="Times New Roman" w:hAnsi="Times New Roman"/>
                <w:color w:val="000000"/>
                <w:kern w:val="20"/>
                <w:sz w:val="18"/>
                <w:szCs w:val="18"/>
                <w:lang w:val="en-GB" w:eastAsia="nl-NL"/>
              </w:rPr>
              <w:t xml:space="preserve"> </w:t>
            </w:r>
            <w:proofErr w:type="spellStart"/>
            <w:r>
              <w:rPr>
                <w:rFonts w:ascii="Times New Roman" w:hAnsi="Times New Roman"/>
                <w:color w:val="000000"/>
                <w:kern w:val="20"/>
                <w:sz w:val="18"/>
                <w:szCs w:val="18"/>
                <w:lang w:val="en-GB" w:eastAsia="nl-NL"/>
              </w:rPr>
              <w:t>a.s</w:t>
            </w:r>
            <w:proofErr w:type="spellEnd"/>
            <w:r>
              <w:rPr>
                <w:rFonts w:ascii="Times New Roman" w:hAnsi="Times New Roman"/>
                <w:color w:val="000000"/>
                <w:kern w:val="20"/>
                <w:sz w:val="18"/>
                <w:szCs w:val="18"/>
                <w:lang w:val="en-GB" w:eastAsia="nl-NL"/>
              </w:rPr>
              <w:t xml:space="preserve">. </w:t>
            </w:r>
          </w:p>
        </w:tc>
        <w:tc>
          <w:tcPr>
            <w:tcW w:w="1843" w:type="dxa"/>
            <w:tcBorders>
              <w:left w:val="nil"/>
              <w:right w:val="nil"/>
            </w:tcBorders>
            <w:vAlign w:val="bottom"/>
          </w:tcPr>
          <w:p w14:paraId="5F00408D" w14:textId="77777777" w:rsidR="001D1FD6" w:rsidRDefault="001D1FD6" w:rsidP="001D1FD6">
            <w:pPr>
              <w:widowControl w:val="0"/>
              <w:jc w:val="both"/>
              <w:outlineLvl w:val="1"/>
              <w:rPr>
                <w:rFonts w:ascii="Times New Roman" w:hAnsi="Times New Roman"/>
                <w:kern w:val="20"/>
                <w:sz w:val="18"/>
                <w:szCs w:val="18"/>
                <w:lang w:val="en-GB"/>
              </w:rPr>
            </w:pPr>
            <w:bookmarkStart w:id="63" w:name="_Toc460854336"/>
            <w:r>
              <w:rPr>
                <w:rFonts w:ascii="Times New Roman" w:hAnsi="Times New Roman"/>
                <w:kern w:val="20"/>
                <w:sz w:val="18"/>
                <w:szCs w:val="18"/>
                <w:lang w:val="en-GB" w:eastAsia="nl-NL"/>
              </w:rPr>
              <w:t>Slovakian portfolio</w:t>
            </w:r>
            <w:bookmarkEnd w:id="63"/>
          </w:p>
        </w:tc>
        <w:tc>
          <w:tcPr>
            <w:tcW w:w="1314" w:type="dxa"/>
            <w:tcBorders>
              <w:left w:val="nil"/>
              <w:right w:val="nil"/>
            </w:tcBorders>
            <w:vAlign w:val="bottom"/>
          </w:tcPr>
          <w:p w14:paraId="27B95BE2"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5,073</w:t>
            </w:r>
          </w:p>
        </w:tc>
        <w:tc>
          <w:tcPr>
            <w:tcW w:w="1413" w:type="dxa"/>
            <w:tcBorders>
              <w:left w:val="nil"/>
              <w:right w:val="nil"/>
            </w:tcBorders>
            <w:vAlign w:val="bottom"/>
          </w:tcPr>
          <w:p w14:paraId="0D06ADD8"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4,674</w:t>
            </w:r>
          </w:p>
        </w:tc>
      </w:tr>
      <w:tr w:rsidR="001D1FD6" w14:paraId="4A2DD20A" w14:textId="77777777" w:rsidTr="00C57B27">
        <w:tc>
          <w:tcPr>
            <w:tcW w:w="3283" w:type="dxa"/>
            <w:tcBorders>
              <w:left w:val="nil"/>
              <w:right w:val="nil"/>
            </w:tcBorders>
            <w:vAlign w:val="center"/>
          </w:tcPr>
          <w:p w14:paraId="65B11BB9" w14:textId="77777777" w:rsidR="001D1FD6" w:rsidRDefault="001D1FD6" w:rsidP="001D1FD6">
            <w:pPr>
              <w:widowControl w:val="0"/>
              <w:jc w:val="both"/>
              <w:rPr>
                <w:rFonts w:ascii="Times New Roman" w:hAnsi="Times New Roman"/>
                <w:kern w:val="20"/>
                <w:sz w:val="18"/>
                <w:szCs w:val="18"/>
                <w:lang w:val="en-GB"/>
              </w:rPr>
            </w:pPr>
            <w:r>
              <w:rPr>
                <w:rFonts w:ascii="Times New Roman" w:hAnsi="Times New Roman"/>
                <w:color w:val="000000"/>
                <w:kern w:val="20"/>
                <w:sz w:val="18"/>
                <w:szCs w:val="18"/>
                <w:lang w:val="en-GB" w:eastAsia="nl-NL"/>
              </w:rPr>
              <w:t xml:space="preserve">VGP Park </w:t>
            </w:r>
            <w:proofErr w:type="spellStart"/>
            <w:r>
              <w:rPr>
                <w:rFonts w:ascii="Times New Roman" w:hAnsi="Times New Roman"/>
                <w:color w:val="000000"/>
                <w:kern w:val="20"/>
                <w:sz w:val="18"/>
                <w:szCs w:val="18"/>
                <w:lang w:val="en-GB" w:eastAsia="nl-NL"/>
              </w:rPr>
              <w:t>Rodgau</w:t>
            </w:r>
            <w:proofErr w:type="spellEnd"/>
            <w:r>
              <w:rPr>
                <w:rFonts w:ascii="Times New Roman" w:hAnsi="Times New Roman"/>
                <w:color w:val="000000"/>
                <w:kern w:val="20"/>
                <w:sz w:val="18"/>
                <w:szCs w:val="18"/>
                <w:lang w:val="en-GB" w:eastAsia="nl-NL"/>
              </w:rPr>
              <w:t xml:space="preserve"> GmbH</w:t>
            </w:r>
          </w:p>
        </w:tc>
        <w:tc>
          <w:tcPr>
            <w:tcW w:w="1843" w:type="dxa"/>
            <w:tcBorders>
              <w:left w:val="nil"/>
              <w:right w:val="nil"/>
            </w:tcBorders>
          </w:tcPr>
          <w:p w14:paraId="56817261" w14:textId="77777777" w:rsidR="001D1FD6" w:rsidRDefault="001D1FD6" w:rsidP="001D1FD6">
            <w:pPr>
              <w:widowControl w:val="0"/>
              <w:jc w:val="both"/>
              <w:outlineLvl w:val="1"/>
              <w:rPr>
                <w:rFonts w:ascii="Times New Roman" w:hAnsi="Times New Roman"/>
                <w:kern w:val="20"/>
                <w:sz w:val="18"/>
                <w:szCs w:val="18"/>
                <w:lang w:val="en-GB"/>
              </w:rPr>
            </w:pPr>
            <w:bookmarkStart w:id="64" w:name="_Toc460854337"/>
            <w:r>
              <w:rPr>
                <w:rFonts w:ascii="Times New Roman" w:hAnsi="Times New Roman"/>
                <w:kern w:val="20"/>
                <w:sz w:val="18"/>
                <w:szCs w:val="18"/>
                <w:lang w:val="en-GB" w:eastAsia="nl-NL"/>
              </w:rPr>
              <w:t>German portfolio</w:t>
            </w:r>
            <w:bookmarkEnd w:id="64"/>
          </w:p>
        </w:tc>
        <w:tc>
          <w:tcPr>
            <w:tcW w:w="1314" w:type="dxa"/>
            <w:tcBorders>
              <w:left w:val="nil"/>
              <w:right w:val="nil"/>
            </w:tcBorders>
            <w:vAlign w:val="bottom"/>
          </w:tcPr>
          <w:p w14:paraId="3F0DDBD7"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0</w:t>
            </w:r>
          </w:p>
        </w:tc>
        <w:tc>
          <w:tcPr>
            <w:tcW w:w="1413" w:type="dxa"/>
            <w:tcBorders>
              <w:left w:val="nil"/>
              <w:right w:val="nil"/>
            </w:tcBorders>
            <w:vAlign w:val="bottom"/>
          </w:tcPr>
          <w:p w14:paraId="11B79077"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w:t>
            </w:r>
          </w:p>
        </w:tc>
      </w:tr>
      <w:tr w:rsidR="001D1FD6" w14:paraId="496B3DE6" w14:textId="77777777" w:rsidTr="00C57B27">
        <w:tc>
          <w:tcPr>
            <w:tcW w:w="3283" w:type="dxa"/>
            <w:tcBorders>
              <w:left w:val="nil"/>
              <w:right w:val="nil"/>
            </w:tcBorders>
            <w:vAlign w:val="center"/>
          </w:tcPr>
          <w:p w14:paraId="5ADF94EF" w14:textId="77777777" w:rsidR="001D1FD6" w:rsidRDefault="001D1FD6" w:rsidP="001D1FD6">
            <w:pPr>
              <w:widowControl w:val="0"/>
              <w:jc w:val="both"/>
              <w:rPr>
                <w:rFonts w:ascii="Times New Roman" w:hAnsi="Times New Roman"/>
                <w:kern w:val="20"/>
                <w:sz w:val="18"/>
                <w:szCs w:val="18"/>
                <w:lang w:val="en-GB"/>
              </w:rPr>
            </w:pPr>
            <w:r>
              <w:rPr>
                <w:rFonts w:ascii="Times New Roman" w:hAnsi="Times New Roman"/>
                <w:color w:val="000000"/>
                <w:kern w:val="20"/>
                <w:sz w:val="18"/>
                <w:szCs w:val="18"/>
                <w:lang w:val="en-GB" w:eastAsia="nl-NL"/>
              </w:rPr>
              <w:t>VGP Park Hamburg GmbH</w:t>
            </w:r>
          </w:p>
        </w:tc>
        <w:tc>
          <w:tcPr>
            <w:tcW w:w="1843" w:type="dxa"/>
            <w:tcBorders>
              <w:left w:val="nil"/>
              <w:right w:val="nil"/>
            </w:tcBorders>
          </w:tcPr>
          <w:p w14:paraId="4E6183B8" w14:textId="77777777" w:rsidR="001D1FD6" w:rsidRDefault="001D1FD6" w:rsidP="001D1FD6">
            <w:pPr>
              <w:widowControl w:val="0"/>
              <w:jc w:val="both"/>
              <w:outlineLvl w:val="1"/>
              <w:rPr>
                <w:rFonts w:ascii="Times New Roman" w:hAnsi="Times New Roman"/>
                <w:kern w:val="20"/>
                <w:sz w:val="18"/>
                <w:szCs w:val="18"/>
                <w:lang w:val="en-GB"/>
              </w:rPr>
            </w:pPr>
            <w:bookmarkStart w:id="65" w:name="_Toc460854338"/>
            <w:r>
              <w:rPr>
                <w:rFonts w:ascii="Times New Roman" w:hAnsi="Times New Roman"/>
                <w:kern w:val="20"/>
                <w:sz w:val="18"/>
                <w:szCs w:val="18"/>
                <w:lang w:val="en-GB" w:eastAsia="nl-NL"/>
              </w:rPr>
              <w:t>German portfolio</w:t>
            </w:r>
            <w:bookmarkEnd w:id="65"/>
          </w:p>
        </w:tc>
        <w:tc>
          <w:tcPr>
            <w:tcW w:w="1314" w:type="dxa"/>
            <w:tcBorders>
              <w:left w:val="nil"/>
              <w:right w:val="nil"/>
            </w:tcBorders>
            <w:vAlign w:val="bottom"/>
          </w:tcPr>
          <w:p w14:paraId="0E06FD18"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2,226</w:t>
            </w:r>
          </w:p>
        </w:tc>
        <w:tc>
          <w:tcPr>
            <w:tcW w:w="1413" w:type="dxa"/>
            <w:tcBorders>
              <w:left w:val="nil"/>
              <w:right w:val="nil"/>
            </w:tcBorders>
            <w:vAlign w:val="bottom"/>
          </w:tcPr>
          <w:p w14:paraId="3D282DA1"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2,182</w:t>
            </w:r>
          </w:p>
        </w:tc>
      </w:tr>
      <w:tr w:rsidR="001D1FD6" w14:paraId="3BC30A87" w14:textId="77777777" w:rsidTr="00C57B27">
        <w:tc>
          <w:tcPr>
            <w:tcW w:w="3283" w:type="dxa"/>
            <w:tcBorders>
              <w:left w:val="nil"/>
              <w:right w:val="nil"/>
            </w:tcBorders>
            <w:vAlign w:val="center"/>
          </w:tcPr>
          <w:p w14:paraId="3232742D" w14:textId="77777777" w:rsidR="001D1FD6" w:rsidRDefault="001D1FD6" w:rsidP="001D1FD6">
            <w:pPr>
              <w:widowControl w:val="0"/>
              <w:jc w:val="both"/>
              <w:rPr>
                <w:rFonts w:ascii="Times New Roman" w:hAnsi="Times New Roman"/>
                <w:kern w:val="20"/>
                <w:sz w:val="18"/>
                <w:szCs w:val="18"/>
                <w:lang w:val="en-GB"/>
              </w:rPr>
            </w:pPr>
            <w:r>
              <w:rPr>
                <w:rFonts w:ascii="Times New Roman" w:hAnsi="Times New Roman"/>
                <w:color w:val="000000"/>
                <w:kern w:val="20"/>
                <w:sz w:val="18"/>
                <w:szCs w:val="18"/>
                <w:lang w:val="en-GB" w:eastAsia="nl-NL"/>
              </w:rPr>
              <w:t xml:space="preserve">VGP Park Hamburg 2 </w:t>
            </w:r>
            <w:proofErr w:type="spellStart"/>
            <w:r>
              <w:rPr>
                <w:rFonts w:ascii="Times New Roman" w:hAnsi="Times New Roman"/>
                <w:color w:val="000000"/>
                <w:kern w:val="20"/>
                <w:sz w:val="18"/>
                <w:szCs w:val="18"/>
                <w:lang w:val="en-GB" w:eastAsia="nl-NL"/>
              </w:rPr>
              <w:t>S.à</w:t>
            </w:r>
            <w:proofErr w:type="spellEnd"/>
            <w:r>
              <w:rPr>
                <w:rFonts w:ascii="Times New Roman" w:hAnsi="Times New Roman"/>
                <w:color w:val="000000"/>
                <w:kern w:val="20"/>
                <w:sz w:val="18"/>
                <w:szCs w:val="18"/>
                <w:lang w:val="en-GB" w:eastAsia="nl-NL"/>
              </w:rPr>
              <w:t xml:space="preserve"> </w:t>
            </w:r>
            <w:proofErr w:type="spellStart"/>
            <w:r>
              <w:rPr>
                <w:rFonts w:ascii="Times New Roman" w:hAnsi="Times New Roman"/>
                <w:color w:val="000000"/>
                <w:kern w:val="20"/>
                <w:sz w:val="18"/>
                <w:szCs w:val="18"/>
                <w:lang w:val="en-GB" w:eastAsia="nl-NL"/>
              </w:rPr>
              <w:t>r.l</w:t>
            </w:r>
            <w:proofErr w:type="spellEnd"/>
            <w:r>
              <w:rPr>
                <w:rFonts w:ascii="Times New Roman" w:hAnsi="Times New Roman"/>
                <w:color w:val="000000"/>
                <w:kern w:val="20"/>
                <w:sz w:val="18"/>
                <w:szCs w:val="18"/>
                <w:lang w:val="en-GB" w:eastAsia="nl-NL"/>
              </w:rPr>
              <w:t>.</w:t>
            </w:r>
          </w:p>
        </w:tc>
        <w:tc>
          <w:tcPr>
            <w:tcW w:w="1843" w:type="dxa"/>
            <w:tcBorders>
              <w:left w:val="nil"/>
              <w:right w:val="nil"/>
            </w:tcBorders>
          </w:tcPr>
          <w:p w14:paraId="549FB119" w14:textId="77777777" w:rsidR="001D1FD6" w:rsidRDefault="001D1FD6" w:rsidP="001D1FD6">
            <w:pPr>
              <w:widowControl w:val="0"/>
              <w:jc w:val="both"/>
              <w:outlineLvl w:val="1"/>
              <w:rPr>
                <w:rFonts w:ascii="Times New Roman" w:hAnsi="Times New Roman"/>
                <w:kern w:val="20"/>
                <w:sz w:val="18"/>
                <w:szCs w:val="18"/>
                <w:lang w:val="en-GB"/>
              </w:rPr>
            </w:pPr>
            <w:bookmarkStart w:id="66" w:name="_Toc460854339"/>
            <w:r>
              <w:rPr>
                <w:rFonts w:ascii="Times New Roman" w:hAnsi="Times New Roman"/>
                <w:kern w:val="20"/>
                <w:sz w:val="18"/>
                <w:szCs w:val="18"/>
                <w:lang w:val="en-GB" w:eastAsia="nl-NL"/>
              </w:rPr>
              <w:t>German portfolio</w:t>
            </w:r>
            <w:bookmarkEnd w:id="66"/>
          </w:p>
        </w:tc>
        <w:tc>
          <w:tcPr>
            <w:tcW w:w="1314" w:type="dxa"/>
            <w:tcBorders>
              <w:left w:val="nil"/>
              <w:right w:val="nil"/>
            </w:tcBorders>
            <w:vAlign w:val="bottom"/>
          </w:tcPr>
          <w:p w14:paraId="0D59E241"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3,513</w:t>
            </w:r>
          </w:p>
        </w:tc>
        <w:tc>
          <w:tcPr>
            <w:tcW w:w="1413" w:type="dxa"/>
            <w:tcBorders>
              <w:left w:val="nil"/>
              <w:right w:val="nil"/>
            </w:tcBorders>
            <w:vAlign w:val="bottom"/>
          </w:tcPr>
          <w:p w14:paraId="4C4986BE"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23,603</w:t>
            </w:r>
          </w:p>
        </w:tc>
      </w:tr>
      <w:tr w:rsidR="001D1FD6" w14:paraId="1443C489" w14:textId="77777777" w:rsidTr="00C57B27">
        <w:tc>
          <w:tcPr>
            <w:tcW w:w="3283" w:type="dxa"/>
            <w:tcBorders>
              <w:left w:val="nil"/>
              <w:right w:val="nil"/>
            </w:tcBorders>
            <w:vAlign w:val="center"/>
          </w:tcPr>
          <w:p w14:paraId="4477BF46" w14:textId="77777777" w:rsidR="001D1FD6" w:rsidRDefault="001D1FD6" w:rsidP="001D1FD6">
            <w:pPr>
              <w:widowControl w:val="0"/>
              <w:jc w:val="both"/>
              <w:rPr>
                <w:rFonts w:ascii="Times New Roman" w:hAnsi="Times New Roman"/>
                <w:kern w:val="20"/>
                <w:sz w:val="18"/>
                <w:szCs w:val="18"/>
                <w:lang w:val="de-DE"/>
              </w:rPr>
            </w:pPr>
            <w:r>
              <w:rPr>
                <w:rFonts w:ascii="Times New Roman" w:hAnsi="Times New Roman"/>
                <w:color w:val="000000"/>
                <w:kern w:val="20"/>
                <w:sz w:val="18"/>
                <w:szCs w:val="18"/>
                <w:lang w:val="de-DE" w:eastAsia="nl-NL"/>
              </w:rPr>
              <w:t xml:space="preserve">VGP Park Frankenthal </w:t>
            </w:r>
            <w:proofErr w:type="spellStart"/>
            <w:r>
              <w:rPr>
                <w:rFonts w:ascii="Times New Roman" w:hAnsi="Times New Roman"/>
                <w:color w:val="000000"/>
                <w:kern w:val="20"/>
                <w:sz w:val="18"/>
                <w:szCs w:val="18"/>
                <w:lang w:val="de-DE" w:eastAsia="nl-NL"/>
              </w:rPr>
              <w:t>S.à</w:t>
            </w:r>
            <w:proofErr w:type="spellEnd"/>
            <w:r>
              <w:rPr>
                <w:rFonts w:ascii="Times New Roman" w:hAnsi="Times New Roman"/>
                <w:color w:val="000000"/>
                <w:kern w:val="20"/>
                <w:sz w:val="18"/>
                <w:szCs w:val="18"/>
                <w:lang w:val="de-DE" w:eastAsia="nl-NL"/>
              </w:rPr>
              <w:t xml:space="preserve"> </w:t>
            </w:r>
            <w:proofErr w:type="spellStart"/>
            <w:r>
              <w:rPr>
                <w:rFonts w:ascii="Times New Roman" w:hAnsi="Times New Roman"/>
                <w:color w:val="000000"/>
                <w:kern w:val="20"/>
                <w:sz w:val="18"/>
                <w:szCs w:val="18"/>
                <w:lang w:val="de-DE" w:eastAsia="nl-NL"/>
              </w:rPr>
              <w:t>r.l</w:t>
            </w:r>
            <w:proofErr w:type="spellEnd"/>
            <w:r>
              <w:rPr>
                <w:rFonts w:ascii="Times New Roman" w:hAnsi="Times New Roman"/>
                <w:color w:val="000000"/>
                <w:kern w:val="20"/>
                <w:sz w:val="18"/>
                <w:szCs w:val="18"/>
                <w:lang w:val="de-DE" w:eastAsia="nl-NL"/>
              </w:rPr>
              <w:t>.</w:t>
            </w:r>
          </w:p>
        </w:tc>
        <w:tc>
          <w:tcPr>
            <w:tcW w:w="1843" w:type="dxa"/>
            <w:tcBorders>
              <w:left w:val="nil"/>
              <w:right w:val="nil"/>
            </w:tcBorders>
            <w:vAlign w:val="bottom"/>
          </w:tcPr>
          <w:p w14:paraId="40F1BF4A" w14:textId="77777777" w:rsidR="001D1FD6" w:rsidRDefault="001D1FD6" w:rsidP="001D1FD6">
            <w:pPr>
              <w:widowControl w:val="0"/>
              <w:jc w:val="both"/>
              <w:outlineLvl w:val="1"/>
              <w:rPr>
                <w:rFonts w:ascii="Times New Roman" w:hAnsi="Times New Roman"/>
                <w:kern w:val="20"/>
                <w:sz w:val="18"/>
                <w:szCs w:val="18"/>
                <w:lang w:val="en-GB"/>
              </w:rPr>
            </w:pPr>
            <w:bookmarkStart w:id="67" w:name="_Toc460854340"/>
            <w:r>
              <w:rPr>
                <w:rFonts w:ascii="Times New Roman" w:hAnsi="Times New Roman"/>
                <w:kern w:val="20"/>
                <w:sz w:val="18"/>
                <w:szCs w:val="18"/>
                <w:lang w:val="en-GB" w:eastAsia="nl-NL"/>
              </w:rPr>
              <w:t>German portfolio</w:t>
            </w:r>
            <w:bookmarkEnd w:id="67"/>
          </w:p>
        </w:tc>
        <w:tc>
          <w:tcPr>
            <w:tcW w:w="1314" w:type="dxa"/>
            <w:tcBorders>
              <w:left w:val="nil"/>
              <w:right w:val="nil"/>
            </w:tcBorders>
            <w:vAlign w:val="bottom"/>
          </w:tcPr>
          <w:p w14:paraId="15445214"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69,131</w:t>
            </w:r>
          </w:p>
        </w:tc>
        <w:tc>
          <w:tcPr>
            <w:tcW w:w="1413" w:type="dxa"/>
            <w:tcBorders>
              <w:left w:val="nil"/>
              <w:right w:val="nil"/>
            </w:tcBorders>
            <w:vAlign w:val="bottom"/>
          </w:tcPr>
          <w:p w14:paraId="790D74B9"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43,561</w:t>
            </w:r>
          </w:p>
        </w:tc>
      </w:tr>
      <w:tr w:rsidR="001D1FD6" w14:paraId="3F291DA5" w14:textId="77777777" w:rsidTr="00C57B27">
        <w:tc>
          <w:tcPr>
            <w:tcW w:w="3283" w:type="dxa"/>
            <w:tcBorders>
              <w:left w:val="nil"/>
              <w:right w:val="nil"/>
            </w:tcBorders>
            <w:vAlign w:val="center"/>
          </w:tcPr>
          <w:p w14:paraId="06D781D5" w14:textId="77777777" w:rsidR="001D1FD6" w:rsidRDefault="001D1FD6" w:rsidP="001D1FD6">
            <w:pPr>
              <w:widowControl w:val="0"/>
              <w:jc w:val="both"/>
              <w:rPr>
                <w:rFonts w:ascii="Times New Roman" w:hAnsi="Times New Roman"/>
                <w:color w:val="000000"/>
                <w:kern w:val="20"/>
                <w:sz w:val="18"/>
                <w:szCs w:val="18"/>
                <w:lang w:val="en-GB" w:eastAsia="nl-NL"/>
              </w:rPr>
            </w:pPr>
            <w:r>
              <w:rPr>
                <w:rFonts w:ascii="Times New Roman" w:hAnsi="Times New Roman"/>
                <w:bCs/>
                <w:color w:val="000000"/>
                <w:kern w:val="20"/>
                <w:sz w:val="18"/>
                <w:szCs w:val="18"/>
                <w:lang w:val="de-DE" w:eastAsia="nl-NL"/>
              </w:rPr>
              <w:t>VGP Park Leipzig GmbH</w:t>
            </w:r>
          </w:p>
        </w:tc>
        <w:tc>
          <w:tcPr>
            <w:tcW w:w="1843" w:type="dxa"/>
            <w:tcBorders>
              <w:left w:val="nil"/>
              <w:right w:val="nil"/>
            </w:tcBorders>
            <w:vAlign w:val="bottom"/>
          </w:tcPr>
          <w:p w14:paraId="149C757D" w14:textId="77777777" w:rsidR="001D1FD6" w:rsidRDefault="001D1FD6" w:rsidP="001D1FD6">
            <w:pPr>
              <w:widowControl w:val="0"/>
              <w:jc w:val="both"/>
              <w:outlineLvl w:val="1"/>
              <w:rPr>
                <w:rFonts w:ascii="Times New Roman" w:hAnsi="Times New Roman"/>
                <w:kern w:val="20"/>
                <w:sz w:val="18"/>
                <w:szCs w:val="18"/>
                <w:lang w:val="en-GB" w:eastAsia="nl-NL"/>
              </w:rPr>
            </w:pPr>
            <w:r>
              <w:rPr>
                <w:rFonts w:ascii="Times New Roman" w:hAnsi="Times New Roman"/>
                <w:kern w:val="20"/>
                <w:sz w:val="18"/>
                <w:szCs w:val="18"/>
                <w:lang w:val="en-GB" w:eastAsia="nl-NL"/>
              </w:rPr>
              <w:t>German portfolio</w:t>
            </w:r>
          </w:p>
        </w:tc>
        <w:tc>
          <w:tcPr>
            <w:tcW w:w="1314" w:type="dxa"/>
            <w:tcBorders>
              <w:left w:val="nil"/>
              <w:right w:val="nil"/>
            </w:tcBorders>
            <w:vAlign w:val="bottom"/>
          </w:tcPr>
          <w:p w14:paraId="5153FD39"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2,334</w:t>
            </w:r>
          </w:p>
        </w:tc>
        <w:tc>
          <w:tcPr>
            <w:tcW w:w="1413" w:type="dxa"/>
            <w:tcBorders>
              <w:left w:val="nil"/>
              <w:right w:val="nil"/>
            </w:tcBorders>
          </w:tcPr>
          <w:p w14:paraId="1E26521E"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w:t>
            </w:r>
          </w:p>
        </w:tc>
      </w:tr>
      <w:tr w:rsidR="001D1FD6" w14:paraId="6A402456" w14:textId="77777777" w:rsidTr="00C57B27">
        <w:tc>
          <w:tcPr>
            <w:tcW w:w="3283" w:type="dxa"/>
            <w:tcBorders>
              <w:left w:val="nil"/>
              <w:right w:val="nil"/>
            </w:tcBorders>
            <w:vAlign w:val="center"/>
          </w:tcPr>
          <w:p w14:paraId="27630721" w14:textId="77777777" w:rsidR="001D1FD6" w:rsidRDefault="001D1FD6" w:rsidP="001D1FD6">
            <w:pPr>
              <w:widowControl w:val="0"/>
              <w:jc w:val="both"/>
              <w:rPr>
                <w:rFonts w:ascii="Times New Roman" w:hAnsi="Times New Roman"/>
                <w:kern w:val="20"/>
                <w:sz w:val="18"/>
                <w:szCs w:val="18"/>
                <w:lang w:val="en-GB"/>
              </w:rPr>
            </w:pPr>
            <w:r>
              <w:rPr>
                <w:rFonts w:ascii="Times New Roman" w:hAnsi="Times New Roman"/>
                <w:color w:val="000000"/>
                <w:kern w:val="20"/>
                <w:sz w:val="18"/>
                <w:szCs w:val="18"/>
                <w:lang w:val="en-GB" w:eastAsia="nl-NL"/>
              </w:rPr>
              <w:t xml:space="preserve">VGP Park </w:t>
            </w:r>
            <w:proofErr w:type="spellStart"/>
            <w:r>
              <w:rPr>
                <w:rFonts w:ascii="Times New Roman" w:hAnsi="Times New Roman"/>
                <w:color w:val="000000"/>
                <w:kern w:val="20"/>
                <w:sz w:val="18"/>
                <w:szCs w:val="18"/>
                <w:lang w:val="en-GB" w:eastAsia="nl-NL"/>
              </w:rPr>
              <w:t>Györ</w:t>
            </w:r>
            <w:proofErr w:type="spellEnd"/>
            <w:r>
              <w:rPr>
                <w:rFonts w:ascii="Times New Roman" w:hAnsi="Times New Roman"/>
                <w:color w:val="000000"/>
                <w:kern w:val="20"/>
                <w:sz w:val="18"/>
                <w:szCs w:val="18"/>
                <w:lang w:val="en-GB" w:eastAsia="nl-NL"/>
              </w:rPr>
              <w:t xml:space="preserve"> </w:t>
            </w:r>
            <w:proofErr w:type="spellStart"/>
            <w:r>
              <w:rPr>
                <w:rFonts w:ascii="Times New Roman" w:hAnsi="Times New Roman"/>
                <w:color w:val="000000"/>
                <w:kern w:val="20"/>
                <w:sz w:val="18"/>
                <w:szCs w:val="18"/>
                <w:lang w:val="en-GB" w:eastAsia="nl-NL"/>
              </w:rPr>
              <w:t>Kft</w:t>
            </w:r>
            <w:proofErr w:type="spellEnd"/>
          </w:p>
        </w:tc>
        <w:tc>
          <w:tcPr>
            <w:tcW w:w="1843" w:type="dxa"/>
            <w:tcBorders>
              <w:left w:val="nil"/>
              <w:right w:val="nil"/>
            </w:tcBorders>
            <w:vAlign w:val="bottom"/>
          </w:tcPr>
          <w:p w14:paraId="1D153BB5" w14:textId="77777777" w:rsidR="001D1FD6" w:rsidRDefault="001D1FD6" w:rsidP="001D1FD6">
            <w:pPr>
              <w:widowControl w:val="0"/>
              <w:jc w:val="both"/>
              <w:outlineLvl w:val="1"/>
              <w:rPr>
                <w:rFonts w:ascii="Times New Roman" w:hAnsi="Times New Roman"/>
                <w:kern w:val="20"/>
                <w:sz w:val="18"/>
                <w:szCs w:val="18"/>
                <w:lang w:val="en-GB"/>
              </w:rPr>
            </w:pPr>
            <w:bookmarkStart w:id="68" w:name="_Toc460854341"/>
            <w:r>
              <w:rPr>
                <w:rFonts w:ascii="Times New Roman" w:hAnsi="Times New Roman"/>
                <w:kern w:val="20"/>
                <w:sz w:val="18"/>
                <w:szCs w:val="18"/>
                <w:lang w:val="en-GB" w:eastAsia="nl-NL"/>
              </w:rPr>
              <w:t>Hungarian portfolio</w:t>
            </w:r>
            <w:bookmarkEnd w:id="68"/>
          </w:p>
        </w:tc>
        <w:tc>
          <w:tcPr>
            <w:tcW w:w="1314" w:type="dxa"/>
            <w:tcBorders>
              <w:left w:val="nil"/>
              <w:right w:val="nil"/>
            </w:tcBorders>
            <w:vAlign w:val="bottom"/>
          </w:tcPr>
          <w:p w14:paraId="52A04381"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1,840</w:t>
            </w:r>
          </w:p>
        </w:tc>
        <w:tc>
          <w:tcPr>
            <w:tcW w:w="1413" w:type="dxa"/>
            <w:tcBorders>
              <w:left w:val="nil"/>
              <w:right w:val="nil"/>
            </w:tcBorders>
            <w:vAlign w:val="bottom"/>
          </w:tcPr>
          <w:p w14:paraId="694A80E8"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937</w:t>
            </w:r>
          </w:p>
        </w:tc>
      </w:tr>
      <w:tr w:rsidR="001D1FD6" w14:paraId="22132CD0" w14:textId="77777777" w:rsidTr="00C57B27">
        <w:tc>
          <w:tcPr>
            <w:tcW w:w="3283" w:type="dxa"/>
            <w:tcBorders>
              <w:left w:val="nil"/>
              <w:right w:val="nil"/>
            </w:tcBorders>
            <w:vAlign w:val="center"/>
          </w:tcPr>
          <w:p w14:paraId="39BEF233" w14:textId="77777777" w:rsidR="001D1FD6" w:rsidRDefault="001D1FD6" w:rsidP="001D1FD6">
            <w:pPr>
              <w:widowControl w:val="0"/>
              <w:jc w:val="both"/>
              <w:rPr>
                <w:rFonts w:ascii="Times New Roman" w:hAnsi="Times New Roman"/>
                <w:kern w:val="20"/>
                <w:sz w:val="18"/>
                <w:szCs w:val="18"/>
                <w:lang w:val="en-GB"/>
              </w:rPr>
            </w:pPr>
            <w:r>
              <w:rPr>
                <w:rFonts w:ascii="Times New Roman" w:hAnsi="Times New Roman"/>
                <w:color w:val="000000"/>
                <w:kern w:val="20"/>
                <w:sz w:val="18"/>
                <w:szCs w:val="18"/>
                <w:lang w:val="en-GB" w:eastAsia="nl-NL"/>
              </w:rPr>
              <w:t xml:space="preserve">VGP Park </w:t>
            </w:r>
            <w:proofErr w:type="spellStart"/>
            <w:r>
              <w:rPr>
                <w:rFonts w:ascii="Times New Roman" w:hAnsi="Times New Roman"/>
                <w:color w:val="000000"/>
                <w:kern w:val="20"/>
                <w:sz w:val="18"/>
                <w:szCs w:val="18"/>
                <w:lang w:val="en-GB" w:eastAsia="nl-NL"/>
              </w:rPr>
              <w:t>Alsonemedi</w:t>
            </w:r>
            <w:proofErr w:type="spellEnd"/>
            <w:r>
              <w:rPr>
                <w:rFonts w:ascii="Times New Roman" w:hAnsi="Times New Roman"/>
                <w:color w:val="000000"/>
                <w:kern w:val="20"/>
                <w:sz w:val="18"/>
                <w:szCs w:val="18"/>
                <w:lang w:val="en-GB" w:eastAsia="nl-NL"/>
              </w:rPr>
              <w:t xml:space="preserve"> </w:t>
            </w:r>
            <w:proofErr w:type="spellStart"/>
            <w:r>
              <w:rPr>
                <w:rFonts w:ascii="Times New Roman" w:hAnsi="Times New Roman"/>
                <w:color w:val="000000"/>
                <w:kern w:val="20"/>
                <w:sz w:val="18"/>
                <w:szCs w:val="18"/>
                <w:lang w:val="en-GB" w:eastAsia="nl-NL"/>
              </w:rPr>
              <w:t>Kft</w:t>
            </w:r>
            <w:proofErr w:type="spellEnd"/>
          </w:p>
        </w:tc>
        <w:tc>
          <w:tcPr>
            <w:tcW w:w="1843" w:type="dxa"/>
            <w:tcBorders>
              <w:left w:val="nil"/>
              <w:right w:val="nil"/>
            </w:tcBorders>
            <w:vAlign w:val="bottom"/>
          </w:tcPr>
          <w:p w14:paraId="6D5E6B23" w14:textId="77777777" w:rsidR="001D1FD6" w:rsidRDefault="001D1FD6" w:rsidP="001D1FD6">
            <w:pPr>
              <w:widowControl w:val="0"/>
              <w:jc w:val="both"/>
              <w:outlineLvl w:val="1"/>
              <w:rPr>
                <w:rFonts w:ascii="Times New Roman" w:hAnsi="Times New Roman"/>
                <w:kern w:val="20"/>
                <w:sz w:val="18"/>
                <w:szCs w:val="18"/>
                <w:lang w:val="en-GB"/>
              </w:rPr>
            </w:pPr>
            <w:bookmarkStart w:id="69" w:name="_Toc460854342"/>
            <w:r>
              <w:rPr>
                <w:rFonts w:ascii="Times New Roman" w:hAnsi="Times New Roman"/>
                <w:kern w:val="20"/>
                <w:sz w:val="18"/>
                <w:szCs w:val="18"/>
                <w:lang w:val="en-GB" w:eastAsia="nl-NL"/>
              </w:rPr>
              <w:t>Hungarian portfolio</w:t>
            </w:r>
            <w:bookmarkEnd w:id="69"/>
          </w:p>
        </w:tc>
        <w:tc>
          <w:tcPr>
            <w:tcW w:w="1314" w:type="dxa"/>
            <w:tcBorders>
              <w:left w:val="nil"/>
              <w:right w:val="nil"/>
            </w:tcBorders>
            <w:vAlign w:val="bottom"/>
          </w:tcPr>
          <w:p w14:paraId="5A410B09" w14:textId="77777777" w:rsidR="001D1FD6" w:rsidRDefault="001D1FD6" w:rsidP="001D1FD6">
            <w:pPr>
              <w:jc w:val="right"/>
              <w:rPr>
                <w:rFonts w:ascii="Times New Roman" w:hAnsi="Times New Roman"/>
                <w:color w:val="000000"/>
                <w:sz w:val="18"/>
                <w:szCs w:val="18"/>
                <w:lang w:val="en-GB"/>
              </w:rPr>
            </w:pPr>
            <w:r>
              <w:rPr>
                <w:rFonts w:ascii="Times New Roman" w:hAnsi="Times New Roman"/>
                <w:color w:val="000000"/>
                <w:sz w:val="18"/>
                <w:szCs w:val="18"/>
                <w:lang w:val="en-GB"/>
              </w:rPr>
              <w:t>1,030</w:t>
            </w:r>
          </w:p>
        </w:tc>
        <w:tc>
          <w:tcPr>
            <w:tcW w:w="1413" w:type="dxa"/>
            <w:tcBorders>
              <w:left w:val="nil"/>
              <w:right w:val="nil"/>
            </w:tcBorders>
            <w:vAlign w:val="bottom"/>
          </w:tcPr>
          <w:p w14:paraId="0C5132B6" w14:textId="77777777" w:rsidR="001D1FD6" w:rsidRDefault="001D1FD6" w:rsidP="001D1FD6">
            <w:pPr>
              <w:jc w:val="right"/>
              <w:rPr>
                <w:color w:val="000000"/>
                <w:sz w:val="18"/>
                <w:szCs w:val="18"/>
                <w:lang w:val="en-GB"/>
              </w:rPr>
            </w:pPr>
            <w:r>
              <w:rPr>
                <w:rFonts w:ascii="Times New Roman" w:hAnsi="Times New Roman"/>
                <w:sz w:val="18"/>
                <w:szCs w:val="18"/>
                <w:lang w:val="nl-NL" w:eastAsia="nl-NL"/>
              </w:rPr>
              <w:t>863</w:t>
            </w:r>
          </w:p>
        </w:tc>
      </w:tr>
      <w:tr w:rsidR="001D1FD6" w14:paraId="538E002D" w14:textId="77777777" w:rsidTr="00C57B27">
        <w:tc>
          <w:tcPr>
            <w:tcW w:w="5126" w:type="dxa"/>
            <w:gridSpan w:val="2"/>
            <w:tcBorders>
              <w:left w:val="nil"/>
              <w:right w:val="nil"/>
            </w:tcBorders>
            <w:vAlign w:val="center"/>
          </w:tcPr>
          <w:p w14:paraId="54AADFFC" w14:textId="77777777" w:rsidR="001D1FD6" w:rsidRDefault="001D1FD6" w:rsidP="001D1FD6">
            <w:pPr>
              <w:jc w:val="both"/>
              <w:rPr>
                <w:rFonts w:ascii="Times New Roman" w:hAnsi="Times New Roman"/>
                <w:b/>
                <w:bCs/>
                <w:sz w:val="18"/>
                <w:szCs w:val="18"/>
                <w:lang w:val="en-GB" w:eastAsia="nl-NL"/>
              </w:rPr>
            </w:pPr>
            <w:r>
              <w:rPr>
                <w:rFonts w:ascii="Times New Roman" w:hAnsi="Times New Roman"/>
                <w:b/>
                <w:bCs/>
                <w:color w:val="000000"/>
                <w:sz w:val="18"/>
                <w:szCs w:val="18"/>
                <w:lang w:val="en-GB" w:eastAsia="nl-NL"/>
              </w:rPr>
              <w:t>Total development and construction loans</w:t>
            </w:r>
          </w:p>
        </w:tc>
        <w:tc>
          <w:tcPr>
            <w:tcW w:w="1314" w:type="dxa"/>
            <w:tcBorders>
              <w:left w:val="nil"/>
              <w:right w:val="nil"/>
            </w:tcBorders>
          </w:tcPr>
          <w:p w14:paraId="3A5F97C5" w14:textId="77777777" w:rsidR="001D1FD6" w:rsidRDefault="001D1FD6" w:rsidP="001D1FD6">
            <w:pPr>
              <w:jc w:val="right"/>
              <w:rPr>
                <w:rFonts w:ascii="Times New Roman" w:hAnsi="Times New Roman"/>
                <w:b/>
                <w:bCs/>
                <w:sz w:val="18"/>
                <w:szCs w:val="18"/>
                <w:lang w:val="nl-NL" w:eastAsia="nl-NL"/>
              </w:rPr>
            </w:pPr>
            <w:r>
              <w:rPr>
                <w:rFonts w:ascii="Times New Roman" w:hAnsi="Times New Roman"/>
                <w:b/>
                <w:bCs/>
                <w:color w:val="000000"/>
                <w:sz w:val="18"/>
                <w:szCs w:val="18"/>
                <w:lang w:val="en-GB"/>
              </w:rPr>
              <w:t>89,387</w:t>
            </w:r>
          </w:p>
        </w:tc>
        <w:tc>
          <w:tcPr>
            <w:tcW w:w="1413" w:type="dxa"/>
            <w:tcBorders>
              <w:left w:val="nil"/>
              <w:right w:val="nil"/>
            </w:tcBorders>
          </w:tcPr>
          <w:p w14:paraId="004E3683" w14:textId="77777777" w:rsidR="001D1FD6" w:rsidRDefault="001D1FD6" w:rsidP="001D1FD6">
            <w:pPr>
              <w:jc w:val="right"/>
              <w:rPr>
                <w:b/>
                <w:bCs/>
                <w:color w:val="000000"/>
                <w:sz w:val="18"/>
                <w:szCs w:val="18"/>
                <w:lang w:val="en-GB"/>
              </w:rPr>
            </w:pPr>
            <w:r>
              <w:rPr>
                <w:rFonts w:ascii="Times New Roman" w:hAnsi="Times New Roman"/>
                <w:b/>
                <w:sz w:val="18"/>
                <w:szCs w:val="18"/>
                <w:lang w:val="nl-NL" w:eastAsia="nl-NL"/>
              </w:rPr>
              <w:t>81,560</w:t>
            </w:r>
          </w:p>
        </w:tc>
      </w:tr>
      <w:tr w:rsidR="001D1FD6" w14:paraId="73F85B4C" w14:textId="77777777" w:rsidTr="00C57B27">
        <w:tc>
          <w:tcPr>
            <w:tcW w:w="3283" w:type="dxa"/>
            <w:tcBorders>
              <w:left w:val="nil"/>
              <w:right w:val="nil"/>
            </w:tcBorders>
            <w:vAlign w:val="center"/>
          </w:tcPr>
          <w:p w14:paraId="09A9AE38" w14:textId="77777777" w:rsidR="001D1FD6" w:rsidRDefault="001D1FD6" w:rsidP="001D1FD6">
            <w:pPr>
              <w:widowControl w:val="0"/>
              <w:jc w:val="both"/>
              <w:rPr>
                <w:rFonts w:ascii="Times New Roman" w:hAnsi="Times New Roman"/>
                <w:b/>
                <w:bCs/>
                <w:color w:val="000000"/>
                <w:kern w:val="20"/>
                <w:sz w:val="18"/>
                <w:szCs w:val="18"/>
                <w:lang w:val="en-GB" w:eastAsia="nl-NL"/>
              </w:rPr>
            </w:pPr>
            <w:r>
              <w:rPr>
                <w:rFonts w:ascii="Times New Roman" w:hAnsi="Times New Roman"/>
                <w:color w:val="000000"/>
                <w:kern w:val="20"/>
                <w:sz w:val="18"/>
                <w:szCs w:val="18"/>
                <w:lang w:val="en-GB" w:eastAsia="nl-NL"/>
              </w:rPr>
              <w:t> </w:t>
            </w:r>
          </w:p>
        </w:tc>
        <w:tc>
          <w:tcPr>
            <w:tcW w:w="1843" w:type="dxa"/>
            <w:tcBorders>
              <w:left w:val="nil"/>
              <w:right w:val="nil"/>
            </w:tcBorders>
          </w:tcPr>
          <w:p w14:paraId="4D8D6379" w14:textId="77777777" w:rsidR="001D1FD6" w:rsidRDefault="001D1FD6" w:rsidP="001D1FD6">
            <w:pPr>
              <w:widowControl w:val="0"/>
              <w:jc w:val="right"/>
              <w:outlineLvl w:val="1"/>
              <w:rPr>
                <w:rFonts w:ascii="Times New Roman" w:hAnsi="Times New Roman"/>
                <w:b/>
                <w:kern w:val="20"/>
                <w:sz w:val="18"/>
                <w:szCs w:val="18"/>
                <w:lang w:val="en-GB"/>
              </w:rPr>
            </w:pPr>
          </w:p>
        </w:tc>
        <w:tc>
          <w:tcPr>
            <w:tcW w:w="1314" w:type="dxa"/>
            <w:tcBorders>
              <w:left w:val="nil"/>
              <w:right w:val="nil"/>
            </w:tcBorders>
            <w:vAlign w:val="bottom"/>
          </w:tcPr>
          <w:p w14:paraId="442DFD96" w14:textId="77777777" w:rsidR="001D1FD6" w:rsidRDefault="001D1FD6" w:rsidP="001D1FD6">
            <w:pPr>
              <w:jc w:val="center"/>
              <w:rPr>
                <w:rFonts w:ascii="Times New Roman" w:hAnsi="Times New Roman"/>
                <w:sz w:val="18"/>
                <w:szCs w:val="18"/>
                <w:lang w:val="nl-NL" w:eastAsia="nl-NL"/>
              </w:rPr>
            </w:pPr>
          </w:p>
        </w:tc>
        <w:tc>
          <w:tcPr>
            <w:tcW w:w="1413" w:type="dxa"/>
            <w:tcBorders>
              <w:left w:val="nil"/>
              <w:right w:val="nil"/>
            </w:tcBorders>
            <w:vAlign w:val="bottom"/>
          </w:tcPr>
          <w:p w14:paraId="33663B29" w14:textId="77777777" w:rsidR="001D1FD6" w:rsidRDefault="001D1FD6" w:rsidP="001D1FD6">
            <w:pPr>
              <w:jc w:val="center"/>
              <w:rPr>
                <w:sz w:val="18"/>
                <w:szCs w:val="18"/>
                <w:lang w:val="nl-NL" w:eastAsia="nl-NL"/>
              </w:rPr>
            </w:pPr>
          </w:p>
        </w:tc>
      </w:tr>
      <w:tr w:rsidR="001D1FD6" w14:paraId="6A735111" w14:textId="77777777" w:rsidTr="00C57B27">
        <w:tc>
          <w:tcPr>
            <w:tcW w:w="3283" w:type="dxa"/>
            <w:tcBorders>
              <w:left w:val="nil"/>
              <w:right w:val="nil"/>
            </w:tcBorders>
            <w:vAlign w:val="center"/>
          </w:tcPr>
          <w:p w14:paraId="19D376C9" w14:textId="77777777" w:rsidR="001D1FD6" w:rsidRDefault="001D1FD6" w:rsidP="001D1FD6">
            <w:pPr>
              <w:widowControl w:val="0"/>
              <w:jc w:val="both"/>
              <w:rPr>
                <w:rFonts w:ascii="Times New Roman" w:hAnsi="Times New Roman"/>
                <w:color w:val="000000"/>
                <w:kern w:val="20"/>
                <w:sz w:val="18"/>
                <w:szCs w:val="18"/>
                <w:lang w:val="en-GB" w:eastAsia="nl-NL"/>
              </w:rPr>
            </w:pPr>
            <w:r>
              <w:rPr>
                <w:rFonts w:ascii="Times New Roman" w:hAnsi="Times New Roman"/>
                <w:b/>
                <w:bCs/>
                <w:color w:val="000000"/>
                <w:kern w:val="20"/>
                <w:sz w:val="18"/>
                <w:szCs w:val="18"/>
                <w:lang w:val="en-GB" w:eastAsia="nl-NL"/>
              </w:rPr>
              <w:t>TOTAL</w:t>
            </w:r>
          </w:p>
        </w:tc>
        <w:tc>
          <w:tcPr>
            <w:tcW w:w="1843" w:type="dxa"/>
            <w:tcBorders>
              <w:left w:val="nil"/>
              <w:right w:val="nil"/>
            </w:tcBorders>
          </w:tcPr>
          <w:p w14:paraId="6080C061" w14:textId="77777777" w:rsidR="001D1FD6" w:rsidRDefault="001D1FD6" w:rsidP="001D1FD6">
            <w:pPr>
              <w:widowControl w:val="0"/>
              <w:jc w:val="right"/>
              <w:outlineLvl w:val="1"/>
              <w:rPr>
                <w:rFonts w:ascii="Times New Roman" w:hAnsi="Times New Roman"/>
                <w:b/>
                <w:kern w:val="20"/>
                <w:sz w:val="18"/>
                <w:szCs w:val="18"/>
                <w:lang w:val="en-GB"/>
              </w:rPr>
            </w:pPr>
          </w:p>
        </w:tc>
        <w:tc>
          <w:tcPr>
            <w:tcW w:w="1314" w:type="dxa"/>
            <w:tcBorders>
              <w:left w:val="nil"/>
              <w:right w:val="nil"/>
            </w:tcBorders>
            <w:vAlign w:val="bottom"/>
          </w:tcPr>
          <w:p w14:paraId="46612E64" w14:textId="77777777" w:rsidR="001D1FD6" w:rsidRDefault="001D1FD6" w:rsidP="001D1FD6">
            <w:pPr>
              <w:jc w:val="right"/>
              <w:rPr>
                <w:rFonts w:ascii="Times New Roman" w:hAnsi="Times New Roman"/>
                <w:b/>
                <w:bCs/>
                <w:color w:val="000000"/>
                <w:sz w:val="18"/>
                <w:szCs w:val="18"/>
                <w:lang w:val="en-GB"/>
              </w:rPr>
            </w:pPr>
            <w:r>
              <w:rPr>
                <w:rFonts w:ascii="Times New Roman" w:hAnsi="Times New Roman"/>
                <w:b/>
                <w:bCs/>
                <w:color w:val="000000"/>
                <w:sz w:val="18"/>
                <w:szCs w:val="18"/>
                <w:lang w:val="en-GB"/>
              </w:rPr>
              <w:t>105,619</w:t>
            </w:r>
          </w:p>
        </w:tc>
        <w:tc>
          <w:tcPr>
            <w:tcW w:w="1413" w:type="dxa"/>
            <w:tcBorders>
              <w:left w:val="nil"/>
              <w:right w:val="nil"/>
            </w:tcBorders>
            <w:vAlign w:val="bottom"/>
          </w:tcPr>
          <w:p w14:paraId="193D9469" w14:textId="77777777" w:rsidR="001D1FD6" w:rsidRDefault="001D1FD6" w:rsidP="001D1FD6">
            <w:pPr>
              <w:jc w:val="right"/>
              <w:rPr>
                <w:b/>
                <w:bCs/>
                <w:color w:val="000000"/>
                <w:sz w:val="18"/>
                <w:szCs w:val="18"/>
                <w:lang w:val="en-GB"/>
              </w:rPr>
            </w:pPr>
            <w:r w:rsidRPr="00E03395">
              <w:rPr>
                <w:rFonts w:ascii="Times New Roman" w:hAnsi="Times New Roman"/>
                <w:b/>
                <w:bCs/>
                <w:sz w:val="18"/>
                <w:szCs w:val="18"/>
                <w:lang w:val="nl-NL" w:eastAsia="nl-NL"/>
              </w:rPr>
              <w:t>89,875</w:t>
            </w:r>
          </w:p>
        </w:tc>
      </w:tr>
    </w:tbl>
    <w:p w14:paraId="64F9D99B" w14:textId="77777777" w:rsidR="001D1FD6" w:rsidRDefault="001D1FD6" w:rsidP="001D1FD6">
      <w:pPr>
        <w:spacing w:after="240"/>
        <w:jc w:val="both"/>
        <w:rPr>
          <w:rFonts w:cs="Arabic Transparent"/>
          <w:color w:val="000000"/>
          <w:sz w:val="18"/>
          <w:szCs w:val="18"/>
          <w:lang w:val="en-GB"/>
        </w:rPr>
      </w:pPr>
    </w:p>
    <w:p w14:paraId="601E06BE" w14:textId="25C587A9" w:rsidR="001D1FD6" w:rsidRDefault="001D1FD6" w:rsidP="001D1FD6">
      <w:pPr>
        <w:spacing w:after="240"/>
        <w:ind w:firstLine="720"/>
        <w:jc w:val="both"/>
        <w:rPr>
          <w:bCs/>
          <w:sz w:val="18"/>
          <w:szCs w:val="18"/>
        </w:rPr>
      </w:pPr>
      <w:r>
        <w:rPr>
          <w:bCs/>
          <w:sz w:val="18"/>
          <w:szCs w:val="18"/>
        </w:rPr>
        <w:t>The shareholder loans have a term of 120 months and can be prepaid at first demand. The development and construction loans can only be prepaid at the moment of delivery of the completed building financed by such loan.</w:t>
      </w:r>
    </w:p>
    <w:p w14:paraId="7AF59564" w14:textId="76B120CF" w:rsidR="001D1FD6" w:rsidRDefault="001D1FD6" w:rsidP="001D1FD6">
      <w:pPr>
        <w:spacing w:after="240"/>
        <w:ind w:firstLine="720"/>
        <w:jc w:val="both"/>
        <w:rPr>
          <w:bCs/>
          <w:sz w:val="18"/>
          <w:szCs w:val="18"/>
        </w:rPr>
      </w:pPr>
      <w:r>
        <w:rPr>
          <w:bCs/>
          <w:sz w:val="18"/>
          <w:szCs w:val="18"/>
        </w:rPr>
        <w:t>The interest rates applied on the shareholder loans are between 3.875% and 4.000% annually. All shareholder loans are unsecured and subordinated to the bank debt.</w:t>
      </w:r>
    </w:p>
    <w:p w14:paraId="1DFA3970" w14:textId="77777777" w:rsidR="001D1FD6" w:rsidRDefault="001D1FD6" w:rsidP="001D1FD6">
      <w:pPr>
        <w:keepNext/>
        <w:spacing w:after="240"/>
        <w:jc w:val="both"/>
        <w:rPr>
          <w:rFonts w:cs="Arabic Transparent"/>
          <w:b/>
          <w:color w:val="000000"/>
          <w:sz w:val="18"/>
          <w:szCs w:val="18"/>
          <w:lang w:val="en-GB"/>
        </w:rPr>
      </w:pPr>
      <w:r>
        <w:rPr>
          <w:rFonts w:cs="Arabic Transparent"/>
          <w:b/>
          <w:color w:val="000000"/>
          <w:sz w:val="18"/>
          <w:szCs w:val="18"/>
          <w:lang w:val="en-GB"/>
        </w:rPr>
        <w:t>Commitments and contingencies</w:t>
      </w:r>
    </w:p>
    <w:p w14:paraId="237A3F7A" w14:textId="23138DEB" w:rsidR="001D1FD6" w:rsidRDefault="001D1FD6" w:rsidP="001D1FD6">
      <w:pPr>
        <w:spacing w:after="240"/>
        <w:ind w:firstLine="720"/>
        <w:jc w:val="both"/>
        <w:rPr>
          <w:bCs/>
          <w:sz w:val="18"/>
          <w:szCs w:val="18"/>
        </w:rPr>
      </w:pPr>
      <w:r>
        <w:rPr>
          <w:bCs/>
          <w:sz w:val="18"/>
          <w:szCs w:val="18"/>
        </w:rPr>
        <w:t>The Group has concluded a number of contracts concerning the future purchase of land. As at 30 June 2017, the Group had made commitments of € 32.3 million for purchases of land</w:t>
      </w:r>
      <w:r w:rsidR="00D948BD">
        <w:rPr>
          <w:bCs/>
          <w:sz w:val="18"/>
          <w:szCs w:val="18"/>
        </w:rPr>
        <w:t xml:space="preserve"> (</w:t>
      </w:r>
      <w:r w:rsidR="00434873" w:rsidRPr="00434873">
        <w:rPr>
          <w:bCs/>
          <w:sz w:val="18"/>
          <w:szCs w:val="18"/>
          <w:lang w:val="en-GB"/>
        </w:rPr>
        <w:t>totalling</w:t>
      </w:r>
      <w:r w:rsidR="00D948BD">
        <w:rPr>
          <w:bCs/>
          <w:sz w:val="18"/>
          <w:szCs w:val="18"/>
        </w:rPr>
        <w:t xml:space="preserve"> 742,000 m²)</w:t>
      </w:r>
      <w:r>
        <w:rPr>
          <w:bCs/>
          <w:sz w:val="18"/>
          <w:szCs w:val="18"/>
        </w:rPr>
        <w:t>, for which it had</w:t>
      </w:r>
      <w:r w:rsidR="00D948BD">
        <w:rPr>
          <w:bCs/>
          <w:sz w:val="18"/>
          <w:szCs w:val="18"/>
        </w:rPr>
        <w:t xml:space="preserve"> paid deposits of € 0.6 million</w:t>
      </w:r>
      <w:r w:rsidR="00D27800">
        <w:rPr>
          <w:bCs/>
          <w:sz w:val="18"/>
          <w:szCs w:val="18"/>
        </w:rPr>
        <w:t>.</w:t>
      </w:r>
      <w:r w:rsidR="00D948BD">
        <w:rPr>
          <w:bCs/>
          <w:sz w:val="18"/>
          <w:szCs w:val="18"/>
        </w:rPr>
        <w:t xml:space="preserve"> </w:t>
      </w:r>
      <w:r>
        <w:rPr>
          <w:bCs/>
          <w:sz w:val="18"/>
          <w:szCs w:val="18"/>
        </w:rPr>
        <w:t>As at 31 December 2016, the Group had made commitments of € 16.2 million for purchases of land</w:t>
      </w:r>
      <w:r w:rsidR="00D948BD">
        <w:rPr>
          <w:bCs/>
          <w:sz w:val="18"/>
          <w:szCs w:val="18"/>
        </w:rPr>
        <w:t xml:space="preserve"> (</w:t>
      </w:r>
      <w:r w:rsidR="00434873" w:rsidRPr="00434873">
        <w:rPr>
          <w:bCs/>
          <w:sz w:val="18"/>
          <w:szCs w:val="18"/>
          <w:lang w:val="en-GB"/>
        </w:rPr>
        <w:t>totalling</w:t>
      </w:r>
      <w:r w:rsidR="00D948BD" w:rsidRPr="00434873">
        <w:rPr>
          <w:bCs/>
          <w:sz w:val="18"/>
          <w:szCs w:val="18"/>
          <w:lang w:val="en-GB"/>
        </w:rPr>
        <w:t xml:space="preserve"> </w:t>
      </w:r>
      <w:r w:rsidR="00D948BD">
        <w:rPr>
          <w:bCs/>
          <w:sz w:val="18"/>
          <w:szCs w:val="18"/>
        </w:rPr>
        <w:t>417,000 m²)</w:t>
      </w:r>
      <w:r>
        <w:rPr>
          <w:bCs/>
          <w:sz w:val="18"/>
          <w:szCs w:val="18"/>
        </w:rPr>
        <w:t>, for which it had paid deposits of € 0.6 million. As at 31 December 2016 the Group had contractual obligations to develop new projects for a total amount of € 80.3 million</w:t>
      </w:r>
      <w:r w:rsidR="00D27800">
        <w:rPr>
          <w:bCs/>
          <w:sz w:val="18"/>
          <w:szCs w:val="18"/>
        </w:rPr>
        <w:t xml:space="preserve">. </w:t>
      </w:r>
      <w:r w:rsidR="00D948BD">
        <w:rPr>
          <w:bCs/>
          <w:sz w:val="18"/>
          <w:szCs w:val="18"/>
        </w:rPr>
        <w:t xml:space="preserve">As at 30 June 2017, the Group had contractual obligations to develop new projects for a total amount of € 114.1 million. </w:t>
      </w:r>
      <w:r>
        <w:rPr>
          <w:bCs/>
          <w:sz w:val="18"/>
          <w:szCs w:val="18"/>
        </w:rPr>
        <w:t>All commitments are of a short-term nature. The secured land</w:t>
      </w:r>
      <w:r w:rsidR="00D948BD">
        <w:rPr>
          <w:bCs/>
          <w:sz w:val="18"/>
          <w:szCs w:val="18"/>
        </w:rPr>
        <w:t xml:space="preserve"> </w:t>
      </w:r>
      <w:r>
        <w:rPr>
          <w:bCs/>
          <w:sz w:val="18"/>
          <w:szCs w:val="18"/>
        </w:rPr>
        <w:t>is expected to be acquired during the course of 2017, and the contractual construction obligations relate to new buildings or buildings under construction which will be delivered or started-up during the course of 2017 for the own and Joint Venture portfolio.</w:t>
      </w:r>
    </w:p>
    <w:p w14:paraId="23E1F13B" w14:textId="13B2CF82" w:rsidR="001D1FD6" w:rsidRDefault="001D1FD6" w:rsidP="001D1FD6">
      <w:pPr>
        <w:spacing w:after="240"/>
        <w:ind w:firstLine="720"/>
        <w:jc w:val="both"/>
        <w:rPr>
          <w:bCs/>
          <w:sz w:val="18"/>
          <w:szCs w:val="18"/>
        </w:rPr>
      </w:pPr>
      <w:r>
        <w:rPr>
          <w:bCs/>
          <w:sz w:val="18"/>
          <w:szCs w:val="18"/>
        </w:rPr>
        <w:lastRenderedPageBreak/>
        <w:t xml:space="preserve">The Group does not have any other material off balance sheet liabilities or commitments except for one interest rate swap. The Group entered into an interest rate swap, for a notional amount of € 75 million during the first half of 2015. This interest rate swap will start in December 2018 and will run until December 2023. The interest rate swap is intended to cover future, expected floating interest rate exposures. The interest rate </w:t>
      </w:r>
      <w:r w:rsidR="00842A6C">
        <w:rPr>
          <w:bCs/>
          <w:sz w:val="18"/>
          <w:szCs w:val="18"/>
        </w:rPr>
        <w:t xml:space="preserve">which </w:t>
      </w:r>
      <w:r>
        <w:rPr>
          <w:bCs/>
          <w:sz w:val="18"/>
          <w:szCs w:val="18"/>
        </w:rPr>
        <w:t>has been fixed is 0.965% per annum.</w:t>
      </w:r>
    </w:p>
    <w:p w14:paraId="2DF029F8" w14:textId="77777777" w:rsidR="001D1FD6" w:rsidRDefault="001D1FD6" w:rsidP="001D1FD6">
      <w:pPr>
        <w:keepNext/>
        <w:spacing w:after="240"/>
        <w:jc w:val="both"/>
        <w:rPr>
          <w:rFonts w:cs="Arabic Transparent"/>
          <w:b/>
          <w:color w:val="000000"/>
          <w:sz w:val="18"/>
          <w:szCs w:val="18"/>
          <w:lang w:val="en-GB"/>
        </w:rPr>
      </w:pPr>
      <w:r>
        <w:rPr>
          <w:rFonts w:cs="Arabic Transparent"/>
          <w:b/>
          <w:color w:val="000000"/>
          <w:sz w:val="18"/>
          <w:szCs w:val="18"/>
          <w:lang w:val="en-GB"/>
        </w:rPr>
        <w:t>Quantitative and qualitative disclosures about market risk</w:t>
      </w:r>
    </w:p>
    <w:p w14:paraId="7186D825" w14:textId="77777777" w:rsidR="001D1FD6" w:rsidRDefault="001D1FD6" w:rsidP="001D1FD6">
      <w:pPr>
        <w:spacing w:after="240"/>
        <w:ind w:firstLine="720"/>
        <w:jc w:val="both"/>
        <w:rPr>
          <w:bCs/>
          <w:sz w:val="18"/>
          <w:szCs w:val="18"/>
        </w:rPr>
      </w:pPr>
      <w:r>
        <w:rPr>
          <w:bCs/>
          <w:sz w:val="18"/>
          <w:szCs w:val="18"/>
        </w:rPr>
        <w:t>The Group considers foreign currency risk, interest rate risk, credit risk and liquidity risk as financial risks arising in the ordinary course of the Group's business. The Group analyses and reviews each of these risks and defines strategies to manage the economic impact on the Group's performance. The results of the risk management strategies include the use of derivative financial instruments, primarily forward exchange contracts and interest rate swaps. The Group does not hold derivative instruments, and does not issue any, for speculative purposes.</w:t>
      </w:r>
    </w:p>
    <w:p w14:paraId="5D1F0777" w14:textId="77777777" w:rsidR="001D1FD6" w:rsidRDefault="001D1FD6" w:rsidP="001D1FD6">
      <w:pPr>
        <w:keepNext/>
        <w:spacing w:after="240"/>
        <w:jc w:val="both"/>
        <w:rPr>
          <w:rFonts w:cs="Arabic Transparent"/>
          <w:b/>
          <w:i/>
          <w:color w:val="000000"/>
          <w:sz w:val="18"/>
          <w:szCs w:val="18"/>
          <w:lang w:val="en-GB"/>
        </w:rPr>
      </w:pPr>
      <w:r>
        <w:rPr>
          <w:rFonts w:cs="Arabic Transparent"/>
          <w:b/>
          <w:i/>
          <w:color w:val="000000"/>
          <w:sz w:val="18"/>
          <w:szCs w:val="18"/>
          <w:lang w:val="en-GB"/>
        </w:rPr>
        <w:t>Foreign currency risk</w:t>
      </w:r>
    </w:p>
    <w:p w14:paraId="0A6E3C2C" w14:textId="4D390CAF" w:rsidR="001D1FD6" w:rsidRDefault="001D1FD6" w:rsidP="001D1FD6">
      <w:pPr>
        <w:spacing w:after="240"/>
        <w:ind w:firstLine="720"/>
        <w:jc w:val="both"/>
        <w:rPr>
          <w:bCs/>
          <w:sz w:val="18"/>
          <w:szCs w:val="18"/>
        </w:rPr>
      </w:pPr>
      <w:r>
        <w:rPr>
          <w:bCs/>
          <w:sz w:val="18"/>
          <w:szCs w:val="18"/>
        </w:rPr>
        <w:t>The Group is exposed to foreign currency risk in connection with its capital expenditure as well as some of its borrowings and net interest expense/income. The Group generally seeks to hedge its capital expenditure as soon as a firm commitment arises, to the extent that the cost to hedge outweighs the benefit. As at 30 June 2017 the Group had entered into forward foreign exchange transactions for a nominal amount of CZK 1,342 million (€</w:t>
      </w:r>
      <w:r w:rsidR="00C92AC8">
        <w:rPr>
          <w:bCs/>
          <w:sz w:val="18"/>
          <w:szCs w:val="18"/>
        </w:rPr>
        <w:t xml:space="preserve"> </w:t>
      </w:r>
      <w:r>
        <w:rPr>
          <w:bCs/>
          <w:sz w:val="18"/>
          <w:szCs w:val="18"/>
        </w:rPr>
        <w:t xml:space="preserve">51.3 million equivalent) for </w:t>
      </w:r>
      <w:r w:rsidR="00ED3097">
        <w:rPr>
          <w:bCs/>
          <w:sz w:val="18"/>
          <w:szCs w:val="18"/>
        </w:rPr>
        <w:t xml:space="preserve">a </w:t>
      </w:r>
      <w:r>
        <w:rPr>
          <w:bCs/>
          <w:sz w:val="18"/>
          <w:szCs w:val="18"/>
        </w:rPr>
        <w:t>period up to 12 months and with a view to economically hedge the anticipated capex to be incurred in the Czech Republic over the next 12 months.</w:t>
      </w:r>
    </w:p>
    <w:p w14:paraId="42071297" w14:textId="77777777" w:rsidR="001D1FD6" w:rsidRDefault="001D1FD6" w:rsidP="001D1FD6">
      <w:pPr>
        <w:keepNext/>
        <w:spacing w:after="240"/>
        <w:jc w:val="both"/>
        <w:rPr>
          <w:rFonts w:cs="Arabic Transparent"/>
          <w:b/>
          <w:i/>
          <w:color w:val="000000"/>
          <w:sz w:val="18"/>
          <w:szCs w:val="18"/>
        </w:rPr>
      </w:pPr>
      <w:r>
        <w:rPr>
          <w:rFonts w:cs="Arabic Transparent"/>
          <w:b/>
          <w:i/>
          <w:color w:val="000000"/>
          <w:sz w:val="18"/>
          <w:szCs w:val="18"/>
        </w:rPr>
        <w:t>Interest rate risk</w:t>
      </w:r>
    </w:p>
    <w:p w14:paraId="246103F2" w14:textId="0D157C5C" w:rsidR="001D1FD6" w:rsidRDefault="001D1FD6" w:rsidP="001D1FD6">
      <w:pPr>
        <w:spacing w:after="240"/>
        <w:ind w:firstLine="720"/>
        <w:jc w:val="both"/>
        <w:rPr>
          <w:bCs/>
          <w:sz w:val="18"/>
          <w:szCs w:val="18"/>
        </w:rPr>
      </w:pPr>
      <w:r>
        <w:rPr>
          <w:bCs/>
          <w:sz w:val="18"/>
          <w:szCs w:val="18"/>
        </w:rPr>
        <w:t>The Group incurs interest rate risk principally in connection with its borrowings that have floating interest rates. In order to mitigate its future interest rate risk, the Group entered into an interest rate swap, for a notional amount of € 75 million during the first half of 2015. This interest rate swaps will start in December 2018 respectively and will run until December 2023. The interest rate swap is intended to cover future, expected floating interest rate exposures. The interest rate which has been fixed is 0.965% per annum. As at 30 June 2017, 96.1% of the financial debt was at a fixed interest rate (compared to 95.2% as at 31 December 2016). Following the repayment of</w:t>
      </w:r>
      <w:r w:rsidR="008B73C6">
        <w:rPr>
          <w:bCs/>
          <w:sz w:val="18"/>
          <w:szCs w:val="18"/>
        </w:rPr>
        <w:t xml:space="preserve"> the </w:t>
      </w:r>
      <w:proofErr w:type="spellStart"/>
      <w:r w:rsidR="008B73C6">
        <w:rPr>
          <w:bCs/>
          <w:sz w:val="18"/>
          <w:szCs w:val="18"/>
        </w:rPr>
        <w:t>Swedbank</w:t>
      </w:r>
      <w:proofErr w:type="spellEnd"/>
      <w:r w:rsidR="008B73C6">
        <w:rPr>
          <w:bCs/>
          <w:sz w:val="18"/>
          <w:szCs w:val="18"/>
        </w:rPr>
        <w:t xml:space="preserve"> credit facility on 14 </w:t>
      </w:r>
      <w:r w:rsidR="00F93F69">
        <w:rPr>
          <w:bCs/>
          <w:sz w:val="18"/>
          <w:szCs w:val="18"/>
        </w:rPr>
        <w:t>September</w:t>
      </w:r>
      <w:r>
        <w:rPr>
          <w:bCs/>
          <w:sz w:val="18"/>
          <w:szCs w:val="18"/>
        </w:rPr>
        <w:t xml:space="preserve"> 2017, all financial debt </w:t>
      </w:r>
      <w:r w:rsidR="00E03395">
        <w:rPr>
          <w:bCs/>
          <w:sz w:val="18"/>
          <w:szCs w:val="18"/>
        </w:rPr>
        <w:t>is</w:t>
      </w:r>
      <w:r>
        <w:rPr>
          <w:bCs/>
          <w:sz w:val="18"/>
          <w:szCs w:val="18"/>
        </w:rPr>
        <w:t xml:space="preserve"> fixed. As at 31 December 2016, the Group had a total of € 150 million in interest rate swaps outstanding, in connection with its floating rate borrowings. As at 31 December 2016, an increase or decrease of 100 basis points in interest rates would have resulted a reduction or increase of € 190,000 in profit before tax.</w:t>
      </w:r>
    </w:p>
    <w:p w14:paraId="38E133A1" w14:textId="77777777" w:rsidR="001D1FD6" w:rsidRDefault="001D1FD6" w:rsidP="001D1FD6">
      <w:pPr>
        <w:keepNext/>
        <w:spacing w:after="240"/>
        <w:jc w:val="both"/>
        <w:rPr>
          <w:rFonts w:cs="Arabic Transparent"/>
          <w:b/>
          <w:i/>
          <w:color w:val="000000"/>
          <w:sz w:val="18"/>
          <w:szCs w:val="18"/>
          <w:lang w:val="en-GB"/>
        </w:rPr>
      </w:pPr>
      <w:r>
        <w:rPr>
          <w:rFonts w:cs="Arabic Transparent"/>
          <w:b/>
          <w:i/>
          <w:color w:val="000000"/>
          <w:sz w:val="18"/>
          <w:szCs w:val="18"/>
          <w:lang w:val="en-GB"/>
        </w:rPr>
        <w:t>Credit risk</w:t>
      </w:r>
    </w:p>
    <w:p w14:paraId="328683BA" w14:textId="7E7324AA" w:rsidR="001D1FD6" w:rsidRDefault="001D1FD6" w:rsidP="001D1FD6">
      <w:pPr>
        <w:spacing w:after="240"/>
        <w:ind w:firstLine="720"/>
        <w:jc w:val="both"/>
        <w:rPr>
          <w:bCs/>
          <w:sz w:val="18"/>
          <w:szCs w:val="18"/>
        </w:rPr>
      </w:pPr>
      <w:r>
        <w:rPr>
          <w:bCs/>
          <w:sz w:val="18"/>
          <w:szCs w:val="18"/>
        </w:rPr>
        <w:t>Credit risk is the risk of financial loss to VGP if a customer or counterparty to a financial instrument fails to meet its contractual obligations, and arises principally from VGP’s receivables from customers and bank deposits. The Group generally seeks to maintain diversified exposure to counterparties. As at 30 June 2017 and 31 December 2016, the Group had identified a significant exposure of credit risk in connection wit</w:t>
      </w:r>
      <w:r w:rsidR="00D11DE1">
        <w:rPr>
          <w:bCs/>
          <w:sz w:val="18"/>
          <w:szCs w:val="18"/>
        </w:rPr>
        <w:t>h its lease concluded with Punto</w:t>
      </w:r>
      <w:r>
        <w:rPr>
          <w:bCs/>
          <w:sz w:val="18"/>
          <w:szCs w:val="18"/>
        </w:rPr>
        <w:t xml:space="preserve"> Fa in Spain, and which represents an annual rent of € 7.5 million</w:t>
      </w:r>
      <w:r w:rsidR="002C7466">
        <w:rPr>
          <w:bCs/>
          <w:sz w:val="18"/>
          <w:szCs w:val="18"/>
        </w:rPr>
        <w:t xml:space="preserve">. </w:t>
      </w:r>
      <w:r>
        <w:rPr>
          <w:bCs/>
          <w:sz w:val="18"/>
          <w:szCs w:val="18"/>
        </w:rPr>
        <w:t xml:space="preserve">VGP has a bank guarantee for the 3 years </w:t>
      </w:r>
      <w:r w:rsidR="00D11DE1">
        <w:rPr>
          <w:bCs/>
          <w:sz w:val="18"/>
          <w:szCs w:val="18"/>
        </w:rPr>
        <w:t>rent which is aligned with Punto</w:t>
      </w:r>
      <w:r>
        <w:rPr>
          <w:bCs/>
          <w:sz w:val="18"/>
          <w:szCs w:val="18"/>
        </w:rPr>
        <w:t xml:space="preserve"> Fa's bank covenants and which can reduce to a minimum of equivalent of 12 months' rent guarantee in case future bank covenants </w:t>
      </w:r>
      <w:r w:rsidR="002C7466">
        <w:rPr>
          <w:bCs/>
          <w:sz w:val="18"/>
          <w:szCs w:val="18"/>
        </w:rPr>
        <w:t xml:space="preserve">complied with. </w:t>
      </w:r>
      <w:r>
        <w:rPr>
          <w:bCs/>
          <w:sz w:val="18"/>
          <w:szCs w:val="18"/>
        </w:rPr>
        <w:t>As at 30 June 2017, the</w:t>
      </w:r>
      <w:r w:rsidR="00842A6C">
        <w:rPr>
          <w:bCs/>
          <w:sz w:val="18"/>
          <w:szCs w:val="18"/>
        </w:rPr>
        <w:t xml:space="preserve"> top 10 tenants represented 51.2</w:t>
      </w:r>
      <w:r>
        <w:rPr>
          <w:bCs/>
          <w:sz w:val="18"/>
          <w:szCs w:val="18"/>
        </w:rPr>
        <w:t xml:space="preserve">% of the total </w:t>
      </w:r>
      <w:proofErr w:type="spellStart"/>
      <w:r w:rsidR="007A3C71" w:rsidRPr="007A3C71">
        <w:rPr>
          <w:bCs/>
          <w:sz w:val="18"/>
          <w:szCs w:val="18"/>
        </w:rPr>
        <w:t>Annualised</w:t>
      </w:r>
      <w:proofErr w:type="spellEnd"/>
      <w:r w:rsidR="007A3C71" w:rsidRPr="007A3C71">
        <w:rPr>
          <w:bCs/>
          <w:sz w:val="18"/>
          <w:szCs w:val="18"/>
        </w:rPr>
        <w:t xml:space="preserve"> Committed Leases</w:t>
      </w:r>
      <w:r w:rsidR="007A3C71">
        <w:rPr>
          <w:bCs/>
          <w:sz w:val="18"/>
          <w:szCs w:val="18"/>
        </w:rPr>
        <w:t xml:space="preserve"> </w:t>
      </w:r>
      <w:r w:rsidR="00F93F69" w:rsidRPr="007B6B42">
        <w:rPr>
          <w:bCs/>
          <w:sz w:val="18"/>
          <w:szCs w:val="18"/>
        </w:rPr>
        <w:t>of the Group</w:t>
      </w:r>
      <w:r w:rsidR="007B6B42" w:rsidRPr="007B6B42">
        <w:rPr>
          <w:bCs/>
          <w:sz w:val="18"/>
          <w:szCs w:val="18"/>
        </w:rPr>
        <w:t xml:space="preserve"> and the Joint</w:t>
      </w:r>
      <w:r w:rsidR="007B6B42">
        <w:rPr>
          <w:bCs/>
          <w:sz w:val="18"/>
          <w:szCs w:val="18"/>
        </w:rPr>
        <w:t xml:space="preserve"> Venture jointly</w:t>
      </w:r>
      <w:r>
        <w:rPr>
          <w:bCs/>
          <w:sz w:val="18"/>
          <w:szCs w:val="18"/>
        </w:rPr>
        <w:t>.</w:t>
      </w:r>
    </w:p>
    <w:p w14:paraId="6D78410C" w14:textId="77777777" w:rsidR="001D1FD6" w:rsidRDefault="001D1FD6" w:rsidP="001D1FD6">
      <w:pPr>
        <w:keepNext/>
        <w:spacing w:after="240"/>
        <w:jc w:val="both"/>
        <w:rPr>
          <w:rFonts w:cs="Arabic Transparent"/>
          <w:b/>
          <w:i/>
          <w:color w:val="000000"/>
          <w:sz w:val="18"/>
          <w:szCs w:val="18"/>
          <w:lang w:val="en-GB"/>
        </w:rPr>
      </w:pPr>
      <w:r>
        <w:rPr>
          <w:rFonts w:cs="Arabic Transparent"/>
          <w:b/>
          <w:i/>
          <w:color w:val="000000"/>
          <w:sz w:val="18"/>
          <w:szCs w:val="18"/>
          <w:lang w:val="en-GB"/>
        </w:rPr>
        <w:t>Liquidity risk</w:t>
      </w:r>
    </w:p>
    <w:p w14:paraId="39645854" w14:textId="77777777" w:rsidR="001D1FD6" w:rsidRDefault="001D1FD6" w:rsidP="001D1FD6">
      <w:pPr>
        <w:spacing w:after="240"/>
        <w:ind w:firstLine="720"/>
        <w:jc w:val="both"/>
        <w:rPr>
          <w:bCs/>
          <w:sz w:val="18"/>
          <w:szCs w:val="18"/>
        </w:rPr>
      </w:pPr>
      <w:r>
        <w:rPr>
          <w:bCs/>
          <w:sz w:val="18"/>
          <w:szCs w:val="18"/>
        </w:rPr>
        <w:t>The following table sets forth the contractual maturities of the Group's financial assets and liabilities, including interest payments and derivative financial assets and liabilities but excluding non-financial assets or liabilities. The amounts disclosed in the tables below are the contractual undiscounted cash flows. Undiscounted cash flows in respect of balances due within 12 months generally equal their carrying amounts in the statement of financial position, as the impact of discounting is not significant.</w:t>
      </w:r>
    </w:p>
    <w:tbl>
      <w:tblPr>
        <w:tblW w:w="4835" w:type="pct"/>
        <w:tblLayout w:type="fixed"/>
        <w:tblCellMar>
          <w:left w:w="115" w:type="dxa"/>
          <w:right w:w="115" w:type="dxa"/>
        </w:tblCellMar>
        <w:tblLook w:val="04A0" w:firstRow="1" w:lastRow="0" w:firstColumn="1" w:lastColumn="0" w:noHBand="0" w:noVBand="1"/>
      </w:tblPr>
      <w:tblGrid>
        <w:gridCol w:w="2293"/>
        <w:gridCol w:w="1081"/>
        <w:gridCol w:w="1271"/>
        <w:gridCol w:w="1148"/>
        <w:gridCol w:w="1193"/>
        <w:gridCol w:w="1177"/>
        <w:gridCol w:w="1190"/>
        <w:gridCol w:w="78"/>
      </w:tblGrid>
      <w:tr w:rsidR="001D1FD6" w14:paraId="210226AB" w14:textId="77777777" w:rsidTr="001D1FD6">
        <w:trPr>
          <w:gridAfter w:val="1"/>
          <w:wAfter w:w="72" w:type="dxa"/>
          <w:cantSplit/>
        </w:trPr>
        <w:tc>
          <w:tcPr>
            <w:tcW w:w="2122" w:type="dxa"/>
          </w:tcPr>
          <w:p w14:paraId="599D68CE" w14:textId="77777777" w:rsidR="001D1FD6" w:rsidRDefault="001D1FD6" w:rsidP="001D1FD6">
            <w:pPr>
              <w:jc w:val="both"/>
              <w:rPr>
                <w:sz w:val="18"/>
                <w:szCs w:val="18"/>
                <w:lang w:val="en-GB"/>
              </w:rPr>
            </w:pPr>
            <w:bookmarkStart w:id="70" w:name="_Hlk491272088"/>
            <w:r>
              <w:rPr>
                <w:i/>
                <w:sz w:val="18"/>
                <w:szCs w:val="18"/>
              </w:rPr>
              <w:t>in thousands of €</w:t>
            </w:r>
          </w:p>
        </w:tc>
        <w:tc>
          <w:tcPr>
            <w:tcW w:w="6532" w:type="dxa"/>
            <w:gridSpan w:val="6"/>
          </w:tcPr>
          <w:p w14:paraId="06CA7BF5" w14:textId="137C7F25" w:rsidR="001D1FD6" w:rsidRDefault="001D1FD6" w:rsidP="001D1FD6">
            <w:pPr>
              <w:pBdr>
                <w:bottom w:val="single" w:sz="2" w:space="1" w:color="auto"/>
              </w:pBdr>
              <w:jc w:val="center"/>
              <w:rPr>
                <w:b/>
                <w:sz w:val="18"/>
                <w:szCs w:val="18"/>
              </w:rPr>
            </w:pPr>
            <w:r>
              <w:rPr>
                <w:b/>
                <w:sz w:val="18"/>
                <w:szCs w:val="18"/>
              </w:rPr>
              <w:t>For the period ended 31</w:t>
            </w:r>
            <w:r w:rsidR="00C57B27">
              <w:rPr>
                <w:b/>
                <w:sz w:val="18"/>
                <w:szCs w:val="18"/>
              </w:rPr>
              <w:t>-Dec-</w:t>
            </w:r>
            <w:r>
              <w:rPr>
                <w:b/>
                <w:sz w:val="18"/>
                <w:szCs w:val="18"/>
              </w:rPr>
              <w:t>2016</w:t>
            </w:r>
          </w:p>
        </w:tc>
      </w:tr>
      <w:tr w:rsidR="001D1FD6" w14:paraId="55BE564B" w14:textId="77777777" w:rsidTr="001D1FD6">
        <w:trPr>
          <w:cantSplit/>
        </w:trPr>
        <w:tc>
          <w:tcPr>
            <w:tcW w:w="2122" w:type="dxa"/>
            <w:vMerge w:val="restart"/>
          </w:tcPr>
          <w:p w14:paraId="6A923E98" w14:textId="77777777" w:rsidR="001D1FD6" w:rsidRDefault="001D1FD6" w:rsidP="001D1FD6">
            <w:pPr>
              <w:jc w:val="both"/>
              <w:rPr>
                <w:sz w:val="18"/>
                <w:szCs w:val="18"/>
                <w:lang w:val="en-GB"/>
              </w:rPr>
            </w:pPr>
          </w:p>
        </w:tc>
        <w:tc>
          <w:tcPr>
            <w:tcW w:w="1000" w:type="dxa"/>
          </w:tcPr>
          <w:p w14:paraId="07782A35" w14:textId="77777777" w:rsidR="001D1FD6" w:rsidRDefault="001D1FD6" w:rsidP="001D1FD6">
            <w:pPr>
              <w:pBdr>
                <w:bottom w:val="single" w:sz="2" w:space="1" w:color="auto"/>
              </w:pBdr>
              <w:jc w:val="center"/>
              <w:rPr>
                <w:b/>
                <w:sz w:val="18"/>
                <w:szCs w:val="18"/>
              </w:rPr>
            </w:pPr>
            <w:r>
              <w:rPr>
                <w:b/>
                <w:sz w:val="18"/>
                <w:szCs w:val="18"/>
              </w:rPr>
              <w:t>Carrying Amount</w:t>
            </w:r>
          </w:p>
        </w:tc>
        <w:tc>
          <w:tcPr>
            <w:tcW w:w="1176" w:type="dxa"/>
          </w:tcPr>
          <w:p w14:paraId="27F7F6B1" w14:textId="77777777" w:rsidR="001D1FD6" w:rsidRDefault="001D1FD6" w:rsidP="001D1FD6">
            <w:pPr>
              <w:pBdr>
                <w:bottom w:val="single" w:sz="2" w:space="1" w:color="auto"/>
              </w:pBdr>
              <w:jc w:val="center"/>
              <w:rPr>
                <w:b/>
                <w:sz w:val="18"/>
                <w:szCs w:val="18"/>
              </w:rPr>
            </w:pPr>
            <w:r>
              <w:rPr>
                <w:b/>
                <w:sz w:val="18"/>
                <w:szCs w:val="18"/>
              </w:rPr>
              <w:t>Contractual Cash Flow</w:t>
            </w:r>
          </w:p>
        </w:tc>
        <w:tc>
          <w:tcPr>
            <w:tcW w:w="1062" w:type="dxa"/>
          </w:tcPr>
          <w:p w14:paraId="6EBFAA0E" w14:textId="77777777" w:rsidR="001D1FD6" w:rsidRDefault="001D1FD6" w:rsidP="001D1FD6">
            <w:pPr>
              <w:pBdr>
                <w:bottom w:val="single" w:sz="2" w:space="1" w:color="auto"/>
              </w:pBdr>
              <w:jc w:val="center"/>
              <w:rPr>
                <w:b/>
                <w:sz w:val="18"/>
                <w:szCs w:val="18"/>
              </w:rPr>
            </w:pPr>
          </w:p>
          <w:p w14:paraId="49EBDF69" w14:textId="77777777" w:rsidR="001D1FD6" w:rsidRDefault="001D1FD6" w:rsidP="001D1FD6">
            <w:pPr>
              <w:pBdr>
                <w:bottom w:val="single" w:sz="2" w:space="1" w:color="auto"/>
              </w:pBdr>
              <w:jc w:val="center"/>
              <w:rPr>
                <w:b/>
                <w:sz w:val="18"/>
                <w:szCs w:val="18"/>
              </w:rPr>
            </w:pPr>
            <w:r>
              <w:rPr>
                <w:b/>
                <w:sz w:val="18"/>
                <w:szCs w:val="18"/>
              </w:rPr>
              <w:t>&lt; 1 year</w:t>
            </w:r>
          </w:p>
        </w:tc>
        <w:tc>
          <w:tcPr>
            <w:tcW w:w="1104" w:type="dxa"/>
          </w:tcPr>
          <w:p w14:paraId="78E69097" w14:textId="77777777" w:rsidR="001D1FD6" w:rsidRDefault="001D1FD6" w:rsidP="001D1FD6">
            <w:pPr>
              <w:pBdr>
                <w:bottom w:val="single" w:sz="2" w:space="1" w:color="auto"/>
              </w:pBdr>
              <w:jc w:val="center"/>
              <w:rPr>
                <w:b/>
                <w:sz w:val="18"/>
                <w:szCs w:val="18"/>
              </w:rPr>
            </w:pPr>
          </w:p>
          <w:p w14:paraId="4045DBB4" w14:textId="77777777" w:rsidR="001D1FD6" w:rsidRDefault="001D1FD6" w:rsidP="001D1FD6">
            <w:pPr>
              <w:pBdr>
                <w:bottom w:val="single" w:sz="2" w:space="1" w:color="auto"/>
              </w:pBdr>
              <w:jc w:val="center"/>
              <w:rPr>
                <w:b/>
                <w:sz w:val="18"/>
                <w:szCs w:val="18"/>
              </w:rPr>
            </w:pPr>
            <w:r>
              <w:rPr>
                <w:b/>
                <w:sz w:val="18"/>
                <w:szCs w:val="18"/>
              </w:rPr>
              <w:t>1-2 years</w:t>
            </w:r>
          </w:p>
        </w:tc>
        <w:tc>
          <w:tcPr>
            <w:tcW w:w="1089" w:type="dxa"/>
          </w:tcPr>
          <w:p w14:paraId="530A6321" w14:textId="77777777" w:rsidR="001D1FD6" w:rsidRDefault="001D1FD6" w:rsidP="001D1FD6">
            <w:pPr>
              <w:pBdr>
                <w:bottom w:val="single" w:sz="2" w:space="1" w:color="auto"/>
              </w:pBdr>
              <w:jc w:val="center"/>
              <w:rPr>
                <w:b/>
                <w:sz w:val="18"/>
                <w:szCs w:val="18"/>
              </w:rPr>
            </w:pPr>
          </w:p>
          <w:p w14:paraId="5089C18E" w14:textId="77777777" w:rsidR="001D1FD6" w:rsidRDefault="001D1FD6" w:rsidP="001D1FD6">
            <w:pPr>
              <w:pBdr>
                <w:bottom w:val="single" w:sz="2" w:space="1" w:color="auto"/>
              </w:pBdr>
              <w:jc w:val="center"/>
              <w:rPr>
                <w:b/>
                <w:sz w:val="18"/>
                <w:szCs w:val="18"/>
              </w:rPr>
            </w:pPr>
            <w:r>
              <w:rPr>
                <w:b/>
                <w:sz w:val="18"/>
                <w:szCs w:val="18"/>
              </w:rPr>
              <w:t>2-5 years</w:t>
            </w:r>
          </w:p>
        </w:tc>
        <w:tc>
          <w:tcPr>
            <w:tcW w:w="1173" w:type="dxa"/>
            <w:gridSpan w:val="2"/>
          </w:tcPr>
          <w:p w14:paraId="4FD332E3" w14:textId="77777777" w:rsidR="001D1FD6" w:rsidRDefault="001D1FD6" w:rsidP="001D1FD6">
            <w:pPr>
              <w:pBdr>
                <w:bottom w:val="single" w:sz="2" w:space="1" w:color="auto"/>
              </w:pBdr>
              <w:jc w:val="center"/>
              <w:rPr>
                <w:b/>
                <w:sz w:val="18"/>
                <w:szCs w:val="18"/>
              </w:rPr>
            </w:pPr>
          </w:p>
          <w:p w14:paraId="7454012F" w14:textId="77777777" w:rsidR="001D1FD6" w:rsidRDefault="001D1FD6" w:rsidP="001D1FD6">
            <w:pPr>
              <w:pBdr>
                <w:bottom w:val="single" w:sz="2" w:space="1" w:color="auto"/>
              </w:pBdr>
              <w:jc w:val="center"/>
              <w:rPr>
                <w:b/>
                <w:sz w:val="18"/>
                <w:szCs w:val="18"/>
              </w:rPr>
            </w:pPr>
            <w:r>
              <w:rPr>
                <w:b/>
                <w:sz w:val="18"/>
                <w:szCs w:val="18"/>
              </w:rPr>
              <w:t>&gt; 5 years</w:t>
            </w:r>
          </w:p>
        </w:tc>
      </w:tr>
      <w:tr w:rsidR="001D1FD6" w14:paraId="713F0BCD" w14:textId="77777777" w:rsidTr="001D1FD6">
        <w:trPr>
          <w:cantSplit/>
        </w:trPr>
        <w:tc>
          <w:tcPr>
            <w:tcW w:w="2122" w:type="dxa"/>
            <w:vMerge/>
          </w:tcPr>
          <w:p w14:paraId="02015C95" w14:textId="77777777" w:rsidR="001D1FD6" w:rsidRDefault="001D1FD6" w:rsidP="001D1FD6">
            <w:pPr>
              <w:jc w:val="both"/>
              <w:rPr>
                <w:sz w:val="18"/>
                <w:szCs w:val="18"/>
                <w:lang w:val="en-GB"/>
              </w:rPr>
            </w:pPr>
          </w:p>
        </w:tc>
        <w:tc>
          <w:tcPr>
            <w:tcW w:w="1000" w:type="dxa"/>
          </w:tcPr>
          <w:p w14:paraId="094971BC" w14:textId="77777777" w:rsidR="001D1FD6" w:rsidRDefault="001D1FD6" w:rsidP="001D1FD6">
            <w:pPr>
              <w:jc w:val="center"/>
              <w:rPr>
                <w:sz w:val="18"/>
                <w:szCs w:val="18"/>
                <w:lang w:val="en-GB"/>
              </w:rPr>
            </w:pPr>
          </w:p>
        </w:tc>
        <w:tc>
          <w:tcPr>
            <w:tcW w:w="1176" w:type="dxa"/>
          </w:tcPr>
          <w:p w14:paraId="619CF637" w14:textId="77777777" w:rsidR="001D1FD6" w:rsidRDefault="001D1FD6" w:rsidP="001D1FD6">
            <w:pPr>
              <w:jc w:val="center"/>
              <w:rPr>
                <w:sz w:val="18"/>
                <w:szCs w:val="18"/>
                <w:lang w:val="en-GB"/>
              </w:rPr>
            </w:pPr>
          </w:p>
        </w:tc>
        <w:tc>
          <w:tcPr>
            <w:tcW w:w="1062" w:type="dxa"/>
          </w:tcPr>
          <w:p w14:paraId="5D9E804C" w14:textId="77777777" w:rsidR="001D1FD6" w:rsidRDefault="001D1FD6" w:rsidP="001D1FD6">
            <w:pPr>
              <w:jc w:val="center"/>
              <w:rPr>
                <w:sz w:val="18"/>
                <w:szCs w:val="18"/>
                <w:lang w:val="en-GB"/>
              </w:rPr>
            </w:pPr>
          </w:p>
        </w:tc>
        <w:tc>
          <w:tcPr>
            <w:tcW w:w="1104" w:type="dxa"/>
          </w:tcPr>
          <w:p w14:paraId="24ACDCD8" w14:textId="77777777" w:rsidR="001D1FD6" w:rsidRDefault="001D1FD6" w:rsidP="001D1FD6">
            <w:pPr>
              <w:jc w:val="center"/>
              <w:rPr>
                <w:sz w:val="18"/>
                <w:szCs w:val="18"/>
                <w:lang w:val="en-GB"/>
              </w:rPr>
            </w:pPr>
          </w:p>
        </w:tc>
        <w:tc>
          <w:tcPr>
            <w:tcW w:w="1089" w:type="dxa"/>
          </w:tcPr>
          <w:p w14:paraId="16A12044" w14:textId="77777777" w:rsidR="001D1FD6" w:rsidRDefault="001D1FD6" w:rsidP="001D1FD6">
            <w:pPr>
              <w:jc w:val="center"/>
              <w:rPr>
                <w:sz w:val="18"/>
                <w:szCs w:val="18"/>
              </w:rPr>
            </w:pPr>
          </w:p>
        </w:tc>
        <w:tc>
          <w:tcPr>
            <w:tcW w:w="1173" w:type="dxa"/>
            <w:gridSpan w:val="2"/>
          </w:tcPr>
          <w:p w14:paraId="3E5F835B" w14:textId="77777777" w:rsidR="001D1FD6" w:rsidRDefault="001D1FD6" w:rsidP="001D1FD6">
            <w:pPr>
              <w:jc w:val="center"/>
              <w:rPr>
                <w:sz w:val="18"/>
                <w:szCs w:val="18"/>
                <w:lang w:val="en-GB"/>
              </w:rPr>
            </w:pPr>
          </w:p>
        </w:tc>
      </w:tr>
      <w:tr w:rsidR="001D1FD6" w14:paraId="5371C616" w14:textId="77777777" w:rsidTr="001D1FD6">
        <w:trPr>
          <w:cantSplit/>
        </w:trPr>
        <w:tc>
          <w:tcPr>
            <w:tcW w:w="2122" w:type="dxa"/>
          </w:tcPr>
          <w:p w14:paraId="1AB4BE32" w14:textId="77777777" w:rsidR="001D1FD6" w:rsidRDefault="001D1FD6" w:rsidP="001D1FD6">
            <w:pPr>
              <w:jc w:val="both"/>
              <w:rPr>
                <w:sz w:val="18"/>
                <w:szCs w:val="18"/>
                <w:lang w:val="en-GB"/>
              </w:rPr>
            </w:pPr>
          </w:p>
        </w:tc>
        <w:tc>
          <w:tcPr>
            <w:tcW w:w="1000" w:type="dxa"/>
          </w:tcPr>
          <w:p w14:paraId="22F14E6C" w14:textId="77777777" w:rsidR="001D1FD6" w:rsidRDefault="001D1FD6" w:rsidP="001D1FD6">
            <w:pPr>
              <w:jc w:val="center"/>
              <w:rPr>
                <w:sz w:val="18"/>
                <w:szCs w:val="18"/>
                <w:lang w:val="en-GB"/>
              </w:rPr>
            </w:pPr>
          </w:p>
        </w:tc>
        <w:tc>
          <w:tcPr>
            <w:tcW w:w="1176" w:type="dxa"/>
          </w:tcPr>
          <w:p w14:paraId="1E5A38F0" w14:textId="77777777" w:rsidR="001D1FD6" w:rsidRDefault="001D1FD6" w:rsidP="001D1FD6">
            <w:pPr>
              <w:jc w:val="center"/>
              <w:rPr>
                <w:sz w:val="18"/>
                <w:szCs w:val="18"/>
                <w:lang w:val="en-GB"/>
              </w:rPr>
            </w:pPr>
          </w:p>
        </w:tc>
        <w:tc>
          <w:tcPr>
            <w:tcW w:w="1062" w:type="dxa"/>
          </w:tcPr>
          <w:p w14:paraId="06470F68" w14:textId="77777777" w:rsidR="001D1FD6" w:rsidRDefault="001D1FD6" w:rsidP="001D1FD6">
            <w:pPr>
              <w:jc w:val="center"/>
              <w:rPr>
                <w:sz w:val="18"/>
                <w:szCs w:val="18"/>
                <w:lang w:val="en-GB"/>
              </w:rPr>
            </w:pPr>
          </w:p>
        </w:tc>
        <w:tc>
          <w:tcPr>
            <w:tcW w:w="1104" w:type="dxa"/>
          </w:tcPr>
          <w:p w14:paraId="6F26AF71" w14:textId="77777777" w:rsidR="001D1FD6" w:rsidRDefault="001D1FD6" w:rsidP="001D1FD6">
            <w:pPr>
              <w:jc w:val="center"/>
              <w:rPr>
                <w:sz w:val="18"/>
                <w:szCs w:val="18"/>
              </w:rPr>
            </w:pPr>
          </w:p>
        </w:tc>
        <w:tc>
          <w:tcPr>
            <w:tcW w:w="1089" w:type="dxa"/>
          </w:tcPr>
          <w:p w14:paraId="3A2577C4" w14:textId="77777777" w:rsidR="001D1FD6" w:rsidRDefault="001D1FD6" w:rsidP="001D1FD6">
            <w:pPr>
              <w:jc w:val="center"/>
              <w:rPr>
                <w:sz w:val="18"/>
                <w:szCs w:val="18"/>
              </w:rPr>
            </w:pPr>
          </w:p>
        </w:tc>
        <w:tc>
          <w:tcPr>
            <w:tcW w:w="1173" w:type="dxa"/>
            <w:gridSpan w:val="2"/>
          </w:tcPr>
          <w:p w14:paraId="4A705B77" w14:textId="77777777" w:rsidR="001D1FD6" w:rsidRDefault="001D1FD6" w:rsidP="001D1FD6">
            <w:pPr>
              <w:jc w:val="center"/>
              <w:rPr>
                <w:sz w:val="18"/>
                <w:szCs w:val="18"/>
              </w:rPr>
            </w:pPr>
          </w:p>
        </w:tc>
      </w:tr>
      <w:tr w:rsidR="001D1FD6" w14:paraId="52088A1D" w14:textId="77777777" w:rsidTr="001D1FD6">
        <w:trPr>
          <w:cantSplit/>
        </w:trPr>
        <w:tc>
          <w:tcPr>
            <w:tcW w:w="2122" w:type="dxa"/>
            <w:vAlign w:val="bottom"/>
          </w:tcPr>
          <w:p w14:paraId="4EC91C5F" w14:textId="77777777" w:rsidR="001D1FD6" w:rsidRDefault="001D1FD6" w:rsidP="001D1FD6">
            <w:pPr>
              <w:jc w:val="both"/>
              <w:rPr>
                <w:b/>
                <w:bCs/>
                <w:color w:val="000000"/>
                <w:sz w:val="18"/>
                <w:szCs w:val="18"/>
                <w:lang w:val="en-GB"/>
              </w:rPr>
            </w:pPr>
            <w:r>
              <w:rPr>
                <w:b/>
                <w:bCs/>
                <w:color w:val="000000"/>
                <w:sz w:val="18"/>
                <w:szCs w:val="18"/>
                <w:lang w:val="en-GB"/>
              </w:rPr>
              <w:t>Assets</w:t>
            </w:r>
          </w:p>
        </w:tc>
        <w:tc>
          <w:tcPr>
            <w:tcW w:w="1000" w:type="dxa"/>
            <w:vAlign w:val="bottom"/>
          </w:tcPr>
          <w:p w14:paraId="14525550" w14:textId="77777777" w:rsidR="001D1FD6" w:rsidRDefault="001D1FD6" w:rsidP="001D1FD6">
            <w:pPr>
              <w:jc w:val="right"/>
              <w:rPr>
                <w:color w:val="000000"/>
                <w:sz w:val="18"/>
                <w:szCs w:val="18"/>
                <w:lang w:val="en-GB"/>
              </w:rPr>
            </w:pPr>
          </w:p>
        </w:tc>
        <w:tc>
          <w:tcPr>
            <w:tcW w:w="1176" w:type="dxa"/>
            <w:vAlign w:val="bottom"/>
          </w:tcPr>
          <w:p w14:paraId="359F87A6" w14:textId="77777777" w:rsidR="001D1FD6" w:rsidRDefault="001D1FD6" w:rsidP="001D1FD6">
            <w:pPr>
              <w:jc w:val="right"/>
              <w:rPr>
                <w:color w:val="000000"/>
                <w:sz w:val="18"/>
                <w:szCs w:val="18"/>
                <w:lang w:val="en-GB"/>
              </w:rPr>
            </w:pPr>
          </w:p>
        </w:tc>
        <w:tc>
          <w:tcPr>
            <w:tcW w:w="1062" w:type="dxa"/>
            <w:vAlign w:val="bottom"/>
          </w:tcPr>
          <w:p w14:paraId="4423BDE0" w14:textId="77777777" w:rsidR="001D1FD6" w:rsidRDefault="001D1FD6" w:rsidP="001D1FD6">
            <w:pPr>
              <w:jc w:val="right"/>
              <w:rPr>
                <w:color w:val="000000"/>
                <w:sz w:val="18"/>
                <w:szCs w:val="18"/>
                <w:lang w:val="en-GB"/>
              </w:rPr>
            </w:pPr>
          </w:p>
        </w:tc>
        <w:tc>
          <w:tcPr>
            <w:tcW w:w="1104" w:type="dxa"/>
            <w:vAlign w:val="bottom"/>
          </w:tcPr>
          <w:p w14:paraId="2A381AA9" w14:textId="77777777" w:rsidR="001D1FD6" w:rsidRDefault="001D1FD6" w:rsidP="001D1FD6">
            <w:pPr>
              <w:jc w:val="right"/>
              <w:rPr>
                <w:color w:val="000000"/>
                <w:sz w:val="18"/>
                <w:szCs w:val="18"/>
                <w:lang w:val="en-GB"/>
              </w:rPr>
            </w:pPr>
          </w:p>
        </w:tc>
        <w:tc>
          <w:tcPr>
            <w:tcW w:w="1089" w:type="dxa"/>
            <w:vAlign w:val="bottom"/>
          </w:tcPr>
          <w:p w14:paraId="45638888" w14:textId="77777777" w:rsidR="001D1FD6" w:rsidRDefault="001D1FD6" w:rsidP="001D1FD6">
            <w:pPr>
              <w:jc w:val="right"/>
              <w:rPr>
                <w:color w:val="000000"/>
                <w:sz w:val="18"/>
                <w:szCs w:val="18"/>
                <w:lang w:val="en-GB"/>
              </w:rPr>
            </w:pPr>
          </w:p>
        </w:tc>
        <w:tc>
          <w:tcPr>
            <w:tcW w:w="1173" w:type="dxa"/>
            <w:gridSpan w:val="2"/>
            <w:vAlign w:val="bottom"/>
          </w:tcPr>
          <w:p w14:paraId="167999A8" w14:textId="77777777" w:rsidR="001D1FD6" w:rsidRDefault="001D1FD6" w:rsidP="001D1FD6">
            <w:pPr>
              <w:jc w:val="right"/>
              <w:rPr>
                <w:color w:val="000000"/>
                <w:sz w:val="18"/>
                <w:szCs w:val="18"/>
                <w:lang w:val="en-GB"/>
              </w:rPr>
            </w:pPr>
          </w:p>
        </w:tc>
      </w:tr>
      <w:tr w:rsidR="001D1FD6" w14:paraId="6C7F3595" w14:textId="77777777" w:rsidTr="001D1FD6">
        <w:trPr>
          <w:cantSplit/>
        </w:trPr>
        <w:tc>
          <w:tcPr>
            <w:tcW w:w="2122" w:type="dxa"/>
            <w:vAlign w:val="bottom"/>
          </w:tcPr>
          <w:p w14:paraId="2CA74A56" w14:textId="77777777" w:rsidR="001D1FD6" w:rsidRDefault="001D1FD6" w:rsidP="001D1FD6">
            <w:pPr>
              <w:jc w:val="both"/>
              <w:rPr>
                <w:bCs/>
                <w:color w:val="000000"/>
                <w:sz w:val="18"/>
                <w:szCs w:val="18"/>
                <w:lang w:val="en-GB"/>
              </w:rPr>
            </w:pPr>
            <w:r>
              <w:rPr>
                <w:bCs/>
                <w:color w:val="000000"/>
                <w:sz w:val="18"/>
                <w:szCs w:val="18"/>
                <w:lang w:val="en-GB"/>
              </w:rPr>
              <w:t>Cash and cash equivalents</w:t>
            </w:r>
          </w:p>
        </w:tc>
        <w:tc>
          <w:tcPr>
            <w:tcW w:w="1000" w:type="dxa"/>
            <w:vAlign w:val="bottom"/>
          </w:tcPr>
          <w:p w14:paraId="28DB89E1" w14:textId="77777777" w:rsidR="001D1FD6" w:rsidRDefault="001D1FD6" w:rsidP="001D1FD6">
            <w:pPr>
              <w:jc w:val="right"/>
              <w:rPr>
                <w:color w:val="000000"/>
                <w:sz w:val="18"/>
                <w:szCs w:val="18"/>
                <w:lang w:val="en-GB"/>
              </w:rPr>
            </w:pPr>
            <w:r>
              <w:rPr>
                <w:color w:val="000000"/>
                <w:sz w:val="18"/>
                <w:szCs w:val="18"/>
                <w:lang w:val="en-GB"/>
              </w:rPr>
              <w:t>68,033</w:t>
            </w:r>
          </w:p>
        </w:tc>
        <w:tc>
          <w:tcPr>
            <w:tcW w:w="1176" w:type="dxa"/>
            <w:vAlign w:val="bottom"/>
          </w:tcPr>
          <w:p w14:paraId="09453EE7" w14:textId="77777777" w:rsidR="001D1FD6" w:rsidRDefault="001D1FD6" w:rsidP="001D1FD6">
            <w:pPr>
              <w:jc w:val="right"/>
              <w:rPr>
                <w:color w:val="000000"/>
                <w:sz w:val="18"/>
                <w:szCs w:val="18"/>
                <w:lang w:val="en-GB"/>
              </w:rPr>
            </w:pPr>
            <w:r>
              <w:rPr>
                <w:color w:val="000000"/>
                <w:sz w:val="18"/>
                <w:szCs w:val="18"/>
                <w:lang w:val="en-GB"/>
              </w:rPr>
              <w:t>68,033</w:t>
            </w:r>
          </w:p>
        </w:tc>
        <w:tc>
          <w:tcPr>
            <w:tcW w:w="1062" w:type="dxa"/>
            <w:vAlign w:val="bottom"/>
          </w:tcPr>
          <w:p w14:paraId="408AE64E" w14:textId="77777777" w:rsidR="001D1FD6" w:rsidRDefault="001D1FD6" w:rsidP="001D1FD6">
            <w:pPr>
              <w:jc w:val="right"/>
              <w:rPr>
                <w:color w:val="000000"/>
                <w:sz w:val="18"/>
                <w:szCs w:val="18"/>
                <w:lang w:val="en-GB"/>
              </w:rPr>
            </w:pPr>
            <w:r>
              <w:rPr>
                <w:color w:val="000000"/>
                <w:sz w:val="18"/>
                <w:szCs w:val="18"/>
                <w:lang w:val="en-GB"/>
              </w:rPr>
              <w:t>68,033</w:t>
            </w:r>
          </w:p>
        </w:tc>
        <w:tc>
          <w:tcPr>
            <w:tcW w:w="1104" w:type="dxa"/>
            <w:vAlign w:val="bottom"/>
          </w:tcPr>
          <w:p w14:paraId="2BB215A1" w14:textId="77777777" w:rsidR="001D1FD6" w:rsidRDefault="001D1FD6" w:rsidP="001D1FD6">
            <w:pPr>
              <w:jc w:val="right"/>
              <w:rPr>
                <w:color w:val="000000"/>
                <w:sz w:val="18"/>
                <w:szCs w:val="18"/>
                <w:lang w:val="en-GB"/>
              </w:rPr>
            </w:pPr>
            <w:r>
              <w:rPr>
                <w:color w:val="000000"/>
                <w:sz w:val="18"/>
                <w:szCs w:val="18"/>
                <w:lang w:val="en-GB"/>
              </w:rPr>
              <w:t>-</w:t>
            </w:r>
          </w:p>
        </w:tc>
        <w:tc>
          <w:tcPr>
            <w:tcW w:w="1089" w:type="dxa"/>
            <w:vAlign w:val="bottom"/>
          </w:tcPr>
          <w:p w14:paraId="69F48C6A" w14:textId="77777777" w:rsidR="001D1FD6" w:rsidRDefault="001D1FD6" w:rsidP="001D1FD6">
            <w:pPr>
              <w:jc w:val="right"/>
              <w:rPr>
                <w:color w:val="000000"/>
                <w:sz w:val="18"/>
                <w:szCs w:val="18"/>
                <w:lang w:val="en-GB"/>
              </w:rPr>
            </w:pPr>
            <w:r>
              <w:rPr>
                <w:color w:val="000000"/>
                <w:sz w:val="18"/>
                <w:szCs w:val="18"/>
                <w:lang w:val="en-GB"/>
              </w:rPr>
              <w:t>-</w:t>
            </w:r>
          </w:p>
        </w:tc>
        <w:tc>
          <w:tcPr>
            <w:tcW w:w="1173" w:type="dxa"/>
            <w:gridSpan w:val="2"/>
            <w:vAlign w:val="bottom"/>
          </w:tcPr>
          <w:p w14:paraId="65BBB0EC" w14:textId="77777777" w:rsidR="001D1FD6" w:rsidRDefault="001D1FD6" w:rsidP="001D1FD6">
            <w:pPr>
              <w:jc w:val="right"/>
              <w:rPr>
                <w:color w:val="000000"/>
                <w:sz w:val="18"/>
                <w:szCs w:val="18"/>
                <w:lang w:val="en-GB"/>
              </w:rPr>
            </w:pPr>
            <w:r>
              <w:rPr>
                <w:color w:val="000000"/>
                <w:sz w:val="18"/>
                <w:szCs w:val="18"/>
                <w:lang w:val="en-GB"/>
              </w:rPr>
              <w:t>-</w:t>
            </w:r>
          </w:p>
        </w:tc>
      </w:tr>
      <w:tr w:rsidR="001D1FD6" w14:paraId="49724C39" w14:textId="77777777" w:rsidTr="001D1FD6">
        <w:trPr>
          <w:cantSplit/>
        </w:trPr>
        <w:tc>
          <w:tcPr>
            <w:tcW w:w="2122" w:type="dxa"/>
            <w:vAlign w:val="bottom"/>
          </w:tcPr>
          <w:p w14:paraId="67378BE3" w14:textId="77777777" w:rsidR="001D1FD6" w:rsidRDefault="001D1FD6" w:rsidP="001D1FD6">
            <w:pPr>
              <w:rPr>
                <w:bCs/>
                <w:color w:val="000000"/>
                <w:sz w:val="18"/>
                <w:szCs w:val="18"/>
                <w:lang w:val="en-GB"/>
              </w:rPr>
            </w:pPr>
            <w:r>
              <w:rPr>
                <w:bCs/>
                <w:color w:val="000000"/>
                <w:sz w:val="18"/>
                <w:szCs w:val="18"/>
                <w:lang w:val="en-GB"/>
              </w:rPr>
              <w:t>Derivative financial instruments</w:t>
            </w:r>
          </w:p>
        </w:tc>
        <w:tc>
          <w:tcPr>
            <w:tcW w:w="1000" w:type="dxa"/>
            <w:vAlign w:val="bottom"/>
          </w:tcPr>
          <w:p w14:paraId="58FE7FEB" w14:textId="77777777" w:rsidR="001D1FD6" w:rsidRDefault="001D1FD6" w:rsidP="001D1FD6">
            <w:pPr>
              <w:jc w:val="right"/>
              <w:rPr>
                <w:color w:val="000000"/>
                <w:sz w:val="18"/>
                <w:szCs w:val="18"/>
                <w:lang w:val="en-GB"/>
              </w:rPr>
            </w:pPr>
            <w:r>
              <w:rPr>
                <w:color w:val="000000"/>
                <w:sz w:val="18"/>
                <w:szCs w:val="18"/>
                <w:lang w:val="en-GB"/>
              </w:rPr>
              <w:t>5</w:t>
            </w:r>
          </w:p>
        </w:tc>
        <w:tc>
          <w:tcPr>
            <w:tcW w:w="1176" w:type="dxa"/>
            <w:vAlign w:val="bottom"/>
          </w:tcPr>
          <w:p w14:paraId="367E4F43" w14:textId="77777777" w:rsidR="001D1FD6" w:rsidRDefault="001D1FD6" w:rsidP="001D1FD6">
            <w:pPr>
              <w:jc w:val="right"/>
              <w:rPr>
                <w:color w:val="000000"/>
                <w:sz w:val="18"/>
                <w:szCs w:val="18"/>
                <w:lang w:val="en-GB"/>
              </w:rPr>
            </w:pPr>
            <w:r>
              <w:rPr>
                <w:color w:val="000000"/>
                <w:sz w:val="18"/>
                <w:szCs w:val="18"/>
                <w:lang w:val="en-GB"/>
              </w:rPr>
              <w:t>5</w:t>
            </w:r>
          </w:p>
        </w:tc>
        <w:tc>
          <w:tcPr>
            <w:tcW w:w="1062" w:type="dxa"/>
            <w:vAlign w:val="bottom"/>
          </w:tcPr>
          <w:p w14:paraId="26B37E9B" w14:textId="77777777" w:rsidR="001D1FD6" w:rsidRDefault="001D1FD6" w:rsidP="001D1FD6">
            <w:pPr>
              <w:jc w:val="right"/>
              <w:rPr>
                <w:color w:val="000000"/>
                <w:sz w:val="18"/>
                <w:szCs w:val="18"/>
                <w:lang w:val="en-GB"/>
              </w:rPr>
            </w:pPr>
            <w:r>
              <w:rPr>
                <w:color w:val="000000"/>
                <w:sz w:val="18"/>
                <w:szCs w:val="18"/>
                <w:lang w:val="en-GB"/>
              </w:rPr>
              <w:t>5</w:t>
            </w:r>
          </w:p>
        </w:tc>
        <w:tc>
          <w:tcPr>
            <w:tcW w:w="1104" w:type="dxa"/>
            <w:vAlign w:val="bottom"/>
          </w:tcPr>
          <w:p w14:paraId="4F0CBBCD" w14:textId="77777777" w:rsidR="001D1FD6" w:rsidRDefault="001D1FD6" w:rsidP="001D1FD6">
            <w:pPr>
              <w:jc w:val="right"/>
              <w:rPr>
                <w:color w:val="000000"/>
                <w:sz w:val="18"/>
                <w:szCs w:val="18"/>
                <w:lang w:val="en-GB"/>
              </w:rPr>
            </w:pPr>
            <w:r>
              <w:rPr>
                <w:color w:val="000000"/>
                <w:sz w:val="18"/>
                <w:szCs w:val="18"/>
                <w:lang w:val="en-GB"/>
              </w:rPr>
              <w:t>-</w:t>
            </w:r>
          </w:p>
        </w:tc>
        <w:tc>
          <w:tcPr>
            <w:tcW w:w="1089" w:type="dxa"/>
            <w:vAlign w:val="bottom"/>
          </w:tcPr>
          <w:p w14:paraId="368D89DB" w14:textId="77777777" w:rsidR="001D1FD6" w:rsidRDefault="001D1FD6" w:rsidP="001D1FD6">
            <w:pPr>
              <w:jc w:val="right"/>
              <w:rPr>
                <w:color w:val="000000"/>
                <w:sz w:val="18"/>
                <w:szCs w:val="18"/>
                <w:lang w:val="en-GB"/>
              </w:rPr>
            </w:pPr>
            <w:r>
              <w:rPr>
                <w:color w:val="000000"/>
                <w:sz w:val="18"/>
                <w:szCs w:val="18"/>
                <w:lang w:val="en-GB"/>
              </w:rPr>
              <w:t>-</w:t>
            </w:r>
          </w:p>
        </w:tc>
        <w:tc>
          <w:tcPr>
            <w:tcW w:w="1173" w:type="dxa"/>
            <w:gridSpan w:val="2"/>
            <w:vAlign w:val="bottom"/>
          </w:tcPr>
          <w:p w14:paraId="6EEE5CFD" w14:textId="77777777" w:rsidR="001D1FD6" w:rsidRDefault="001D1FD6" w:rsidP="001D1FD6">
            <w:pPr>
              <w:jc w:val="right"/>
              <w:rPr>
                <w:color w:val="000000"/>
                <w:sz w:val="18"/>
                <w:szCs w:val="18"/>
                <w:lang w:val="en-GB"/>
              </w:rPr>
            </w:pPr>
            <w:r>
              <w:rPr>
                <w:color w:val="000000"/>
                <w:sz w:val="18"/>
                <w:szCs w:val="18"/>
                <w:lang w:val="en-GB"/>
              </w:rPr>
              <w:t>-</w:t>
            </w:r>
          </w:p>
        </w:tc>
      </w:tr>
      <w:tr w:rsidR="001D1FD6" w14:paraId="45D99446" w14:textId="77777777" w:rsidTr="001D1FD6">
        <w:trPr>
          <w:cantSplit/>
        </w:trPr>
        <w:tc>
          <w:tcPr>
            <w:tcW w:w="2122" w:type="dxa"/>
            <w:vAlign w:val="bottom"/>
          </w:tcPr>
          <w:p w14:paraId="40E2F95A" w14:textId="77777777" w:rsidR="001D1FD6" w:rsidRDefault="001D1FD6" w:rsidP="001D1FD6">
            <w:pPr>
              <w:jc w:val="both"/>
              <w:rPr>
                <w:bCs/>
                <w:color w:val="000000"/>
                <w:sz w:val="18"/>
                <w:szCs w:val="18"/>
                <w:lang w:val="en-GB"/>
              </w:rPr>
            </w:pPr>
            <w:r>
              <w:rPr>
                <w:bCs/>
                <w:color w:val="000000"/>
                <w:sz w:val="18"/>
                <w:szCs w:val="18"/>
                <w:lang w:val="en-GB"/>
              </w:rPr>
              <w:t>Trade and other receivables</w:t>
            </w:r>
          </w:p>
        </w:tc>
        <w:tc>
          <w:tcPr>
            <w:tcW w:w="1000" w:type="dxa"/>
            <w:vAlign w:val="bottom"/>
          </w:tcPr>
          <w:p w14:paraId="5E84D8F2" w14:textId="77777777" w:rsidR="001D1FD6" w:rsidRDefault="001D1FD6" w:rsidP="001D1FD6">
            <w:pPr>
              <w:jc w:val="right"/>
              <w:rPr>
                <w:color w:val="000000"/>
                <w:sz w:val="18"/>
                <w:szCs w:val="18"/>
                <w:lang w:val="en-GB"/>
              </w:rPr>
            </w:pPr>
            <w:r>
              <w:rPr>
                <w:color w:val="000000"/>
                <w:sz w:val="18"/>
                <w:szCs w:val="18"/>
                <w:lang w:val="en-GB"/>
              </w:rPr>
              <w:t>19,035</w:t>
            </w:r>
          </w:p>
        </w:tc>
        <w:tc>
          <w:tcPr>
            <w:tcW w:w="1176" w:type="dxa"/>
            <w:vAlign w:val="bottom"/>
          </w:tcPr>
          <w:p w14:paraId="2983A14B" w14:textId="77777777" w:rsidR="001D1FD6" w:rsidRDefault="001D1FD6" w:rsidP="001D1FD6">
            <w:pPr>
              <w:jc w:val="right"/>
              <w:rPr>
                <w:color w:val="000000"/>
                <w:sz w:val="18"/>
                <w:szCs w:val="18"/>
                <w:lang w:val="en-GB"/>
              </w:rPr>
            </w:pPr>
            <w:r>
              <w:rPr>
                <w:color w:val="000000"/>
                <w:sz w:val="18"/>
                <w:szCs w:val="18"/>
                <w:lang w:val="en-GB"/>
              </w:rPr>
              <w:t>19,035</w:t>
            </w:r>
          </w:p>
        </w:tc>
        <w:tc>
          <w:tcPr>
            <w:tcW w:w="1062" w:type="dxa"/>
            <w:vAlign w:val="bottom"/>
          </w:tcPr>
          <w:p w14:paraId="39CF8ADF" w14:textId="77777777" w:rsidR="001D1FD6" w:rsidRDefault="001D1FD6" w:rsidP="001D1FD6">
            <w:pPr>
              <w:jc w:val="right"/>
              <w:rPr>
                <w:color w:val="000000"/>
                <w:sz w:val="18"/>
                <w:szCs w:val="18"/>
                <w:lang w:val="en-GB"/>
              </w:rPr>
            </w:pPr>
            <w:r>
              <w:rPr>
                <w:color w:val="000000"/>
                <w:sz w:val="18"/>
                <w:szCs w:val="18"/>
                <w:lang w:val="en-GB"/>
              </w:rPr>
              <w:t>19,035</w:t>
            </w:r>
          </w:p>
        </w:tc>
        <w:tc>
          <w:tcPr>
            <w:tcW w:w="1104" w:type="dxa"/>
            <w:vAlign w:val="bottom"/>
          </w:tcPr>
          <w:p w14:paraId="6A0F5192" w14:textId="77777777" w:rsidR="001D1FD6" w:rsidRDefault="001D1FD6" w:rsidP="001D1FD6">
            <w:pPr>
              <w:jc w:val="right"/>
              <w:rPr>
                <w:color w:val="000000"/>
                <w:sz w:val="18"/>
                <w:szCs w:val="18"/>
                <w:lang w:val="en-GB"/>
              </w:rPr>
            </w:pPr>
            <w:r>
              <w:rPr>
                <w:color w:val="000000"/>
                <w:sz w:val="18"/>
                <w:szCs w:val="18"/>
                <w:lang w:val="en-GB"/>
              </w:rPr>
              <w:t>-</w:t>
            </w:r>
          </w:p>
        </w:tc>
        <w:tc>
          <w:tcPr>
            <w:tcW w:w="1089" w:type="dxa"/>
            <w:vAlign w:val="bottom"/>
          </w:tcPr>
          <w:p w14:paraId="68B92F98" w14:textId="77777777" w:rsidR="001D1FD6" w:rsidRDefault="001D1FD6" w:rsidP="001D1FD6">
            <w:pPr>
              <w:jc w:val="right"/>
              <w:rPr>
                <w:color w:val="000000"/>
                <w:sz w:val="18"/>
                <w:szCs w:val="18"/>
                <w:lang w:val="en-GB"/>
              </w:rPr>
            </w:pPr>
            <w:r>
              <w:rPr>
                <w:color w:val="000000"/>
                <w:sz w:val="18"/>
                <w:szCs w:val="18"/>
                <w:lang w:val="en-GB"/>
              </w:rPr>
              <w:t>-</w:t>
            </w:r>
          </w:p>
        </w:tc>
        <w:tc>
          <w:tcPr>
            <w:tcW w:w="1173" w:type="dxa"/>
            <w:gridSpan w:val="2"/>
            <w:vAlign w:val="bottom"/>
          </w:tcPr>
          <w:p w14:paraId="2363C717" w14:textId="77777777" w:rsidR="001D1FD6" w:rsidRDefault="001D1FD6" w:rsidP="001D1FD6">
            <w:pPr>
              <w:jc w:val="right"/>
              <w:rPr>
                <w:color w:val="000000"/>
                <w:sz w:val="18"/>
                <w:szCs w:val="18"/>
                <w:lang w:val="en-GB"/>
              </w:rPr>
            </w:pPr>
            <w:r>
              <w:rPr>
                <w:color w:val="000000"/>
                <w:sz w:val="18"/>
                <w:szCs w:val="18"/>
                <w:lang w:val="en-GB"/>
              </w:rPr>
              <w:t>-</w:t>
            </w:r>
          </w:p>
        </w:tc>
      </w:tr>
      <w:tr w:rsidR="001D1FD6" w14:paraId="5BB008D4" w14:textId="77777777" w:rsidTr="001D1FD6">
        <w:trPr>
          <w:cantSplit/>
        </w:trPr>
        <w:tc>
          <w:tcPr>
            <w:tcW w:w="2122" w:type="dxa"/>
            <w:vAlign w:val="bottom"/>
          </w:tcPr>
          <w:p w14:paraId="471A0FE1" w14:textId="77777777" w:rsidR="001D1FD6" w:rsidRDefault="001D1FD6" w:rsidP="001D1FD6">
            <w:pPr>
              <w:jc w:val="both"/>
              <w:rPr>
                <w:bCs/>
                <w:color w:val="000000"/>
                <w:sz w:val="18"/>
                <w:szCs w:val="18"/>
                <w:lang w:val="en-GB"/>
              </w:rPr>
            </w:pPr>
            <w:r>
              <w:rPr>
                <w:color w:val="000000"/>
                <w:sz w:val="18"/>
                <w:szCs w:val="18"/>
                <w:lang w:val="en-GB" w:eastAsia="nl-NL"/>
              </w:rPr>
              <w:t>Reclassified to (-) from held for sale</w:t>
            </w:r>
          </w:p>
        </w:tc>
        <w:tc>
          <w:tcPr>
            <w:tcW w:w="1000" w:type="dxa"/>
            <w:vAlign w:val="bottom"/>
          </w:tcPr>
          <w:p w14:paraId="4DE00B65" w14:textId="77777777" w:rsidR="001D1FD6" w:rsidRDefault="001D1FD6" w:rsidP="001D1FD6">
            <w:pPr>
              <w:jc w:val="right"/>
              <w:rPr>
                <w:color w:val="000000"/>
                <w:sz w:val="18"/>
                <w:szCs w:val="18"/>
                <w:u w:val="single"/>
                <w:lang w:val="en-GB"/>
              </w:rPr>
            </w:pPr>
            <w:r>
              <w:rPr>
                <w:color w:val="000000"/>
                <w:sz w:val="18"/>
                <w:szCs w:val="18"/>
                <w:u w:val="single"/>
                <w:lang w:val="en-GB"/>
              </w:rPr>
              <w:t>-</w:t>
            </w:r>
          </w:p>
        </w:tc>
        <w:tc>
          <w:tcPr>
            <w:tcW w:w="1176" w:type="dxa"/>
            <w:vAlign w:val="bottom"/>
          </w:tcPr>
          <w:p w14:paraId="272207AC" w14:textId="77777777" w:rsidR="001D1FD6" w:rsidRDefault="001D1FD6" w:rsidP="001D1FD6">
            <w:pPr>
              <w:jc w:val="right"/>
              <w:rPr>
                <w:color w:val="000000"/>
                <w:sz w:val="18"/>
                <w:szCs w:val="18"/>
                <w:u w:val="single"/>
                <w:lang w:val="en-GB"/>
              </w:rPr>
            </w:pPr>
            <w:r>
              <w:rPr>
                <w:color w:val="000000"/>
                <w:sz w:val="18"/>
                <w:szCs w:val="18"/>
                <w:u w:val="single"/>
                <w:lang w:val="en-GB"/>
              </w:rPr>
              <w:t>-</w:t>
            </w:r>
          </w:p>
        </w:tc>
        <w:tc>
          <w:tcPr>
            <w:tcW w:w="1062" w:type="dxa"/>
            <w:vAlign w:val="bottom"/>
          </w:tcPr>
          <w:p w14:paraId="5F8D0D20" w14:textId="77777777" w:rsidR="001D1FD6" w:rsidRDefault="001D1FD6" w:rsidP="001D1FD6">
            <w:pPr>
              <w:jc w:val="right"/>
              <w:rPr>
                <w:color w:val="000000"/>
                <w:sz w:val="18"/>
                <w:szCs w:val="18"/>
                <w:u w:val="single"/>
                <w:lang w:val="en-GB"/>
              </w:rPr>
            </w:pPr>
            <w:r>
              <w:rPr>
                <w:color w:val="000000"/>
                <w:sz w:val="18"/>
                <w:szCs w:val="18"/>
                <w:u w:val="single"/>
                <w:lang w:val="en-GB"/>
              </w:rPr>
              <w:t>-</w:t>
            </w:r>
          </w:p>
        </w:tc>
        <w:tc>
          <w:tcPr>
            <w:tcW w:w="1104" w:type="dxa"/>
            <w:vAlign w:val="bottom"/>
          </w:tcPr>
          <w:p w14:paraId="413D74F1" w14:textId="77777777" w:rsidR="001D1FD6" w:rsidRDefault="001D1FD6" w:rsidP="001D1FD6">
            <w:pPr>
              <w:jc w:val="right"/>
              <w:rPr>
                <w:color w:val="000000"/>
                <w:sz w:val="18"/>
                <w:szCs w:val="18"/>
                <w:u w:val="single"/>
                <w:lang w:val="en-GB"/>
              </w:rPr>
            </w:pPr>
            <w:r>
              <w:rPr>
                <w:color w:val="000000"/>
                <w:sz w:val="18"/>
                <w:szCs w:val="18"/>
                <w:u w:val="single"/>
                <w:lang w:val="en-GB"/>
              </w:rPr>
              <w:t>-</w:t>
            </w:r>
          </w:p>
        </w:tc>
        <w:tc>
          <w:tcPr>
            <w:tcW w:w="1089" w:type="dxa"/>
            <w:vAlign w:val="bottom"/>
          </w:tcPr>
          <w:p w14:paraId="6DBC261A" w14:textId="77777777" w:rsidR="001D1FD6" w:rsidRDefault="001D1FD6" w:rsidP="001D1FD6">
            <w:pPr>
              <w:jc w:val="right"/>
              <w:rPr>
                <w:color w:val="000000"/>
                <w:sz w:val="18"/>
                <w:szCs w:val="18"/>
                <w:u w:val="single"/>
                <w:lang w:val="en-GB"/>
              </w:rPr>
            </w:pPr>
            <w:r>
              <w:rPr>
                <w:color w:val="000000"/>
                <w:sz w:val="18"/>
                <w:szCs w:val="18"/>
                <w:u w:val="single"/>
                <w:lang w:val="en-GB"/>
              </w:rPr>
              <w:t>-</w:t>
            </w:r>
          </w:p>
        </w:tc>
        <w:tc>
          <w:tcPr>
            <w:tcW w:w="1173" w:type="dxa"/>
            <w:gridSpan w:val="2"/>
            <w:vAlign w:val="bottom"/>
          </w:tcPr>
          <w:p w14:paraId="660EAA81" w14:textId="77777777" w:rsidR="001D1FD6" w:rsidRDefault="001D1FD6" w:rsidP="001D1FD6">
            <w:pPr>
              <w:jc w:val="right"/>
              <w:rPr>
                <w:color w:val="000000"/>
                <w:sz w:val="18"/>
                <w:szCs w:val="18"/>
                <w:u w:val="single"/>
                <w:lang w:val="en-GB"/>
              </w:rPr>
            </w:pPr>
            <w:r>
              <w:rPr>
                <w:color w:val="000000"/>
                <w:sz w:val="18"/>
                <w:szCs w:val="18"/>
                <w:u w:val="single"/>
                <w:lang w:val="en-GB"/>
              </w:rPr>
              <w:t>-</w:t>
            </w:r>
          </w:p>
        </w:tc>
      </w:tr>
      <w:tr w:rsidR="001D1FD6" w14:paraId="2A361088" w14:textId="77777777" w:rsidTr="001D1FD6">
        <w:trPr>
          <w:cantSplit/>
        </w:trPr>
        <w:tc>
          <w:tcPr>
            <w:tcW w:w="2122" w:type="dxa"/>
            <w:vAlign w:val="bottom"/>
          </w:tcPr>
          <w:p w14:paraId="0B4F916C" w14:textId="77777777" w:rsidR="001D1FD6" w:rsidRDefault="001D1FD6" w:rsidP="001D1FD6">
            <w:pPr>
              <w:jc w:val="both"/>
              <w:rPr>
                <w:bCs/>
                <w:color w:val="000000"/>
                <w:sz w:val="18"/>
                <w:szCs w:val="18"/>
                <w:lang w:val="en-GB"/>
              </w:rPr>
            </w:pPr>
          </w:p>
        </w:tc>
        <w:tc>
          <w:tcPr>
            <w:tcW w:w="1000" w:type="dxa"/>
            <w:vAlign w:val="bottom"/>
          </w:tcPr>
          <w:p w14:paraId="068A9F00" w14:textId="77777777" w:rsidR="001D1FD6" w:rsidRDefault="001D1FD6" w:rsidP="001D1FD6">
            <w:pPr>
              <w:jc w:val="right"/>
              <w:rPr>
                <w:b/>
                <w:bCs/>
                <w:color w:val="000000"/>
                <w:sz w:val="18"/>
                <w:szCs w:val="18"/>
                <w:u w:val="double"/>
                <w:lang w:val="en-GB"/>
              </w:rPr>
            </w:pPr>
            <w:r>
              <w:rPr>
                <w:b/>
                <w:bCs/>
                <w:color w:val="000000"/>
                <w:sz w:val="18"/>
                <w:szCs w:val="18"/>
                <w:u w:val="double"/>
                <w:lang w:val="en-GB"/>
              </w:rPr>
              <w:t>87,073</w:t>
            </w:r>
          </w:p>
        </w:tc>
        <w:tc>
          <w:tcPr>
            <w:tcW w:w="1176" w:type="dxa"/>
            <w:vAlign w:val="bottom"/>
          </w:tcPr>
          <w:p w14:paraId="0F027069" w14:textId="77777777" w:rsidR="001D1FD6" w:rsidRDefault="001D1FD6" w:rsidP="001D1FD6">
            <w:pPr>
              <w:jc w:val="right"/>
              <w:rPr>
                <w:b/>
                <w:bCs/>
                <w:color w:val="000000"/>
                <w:sz w:val="18"/>
                <w:szCs w:val="18"/>
                <w:u w:val="double"/>
                <w:lang w:val="en-GB"/>
              </w:rPr>
            </w:pPr>
            <w:r>
              <w:rPr>
                <w:b/>
                <w:bCs/>
                <w:color w:val="000000"/>
                <w:sz w:val="18"/>
                <w:szCs w:val="18"/>
                <w:u w:val="double"/>
                <w:lang w:val="en-GB"/>
              </w:rPr>
              <w:t>87,073</w:t>
            </w:r>
          </w:p>
        </w:tc>
        <w:tc>
          <w:tcPr>
            <w:tcW w:w="1062" w:type="dxa"/>
            <w:vAlign w:val="bottom"/>
          </w:tcPr>
          <w:p w14:paraId="6B9F2277" w14:textId="77777777" w:rsidR="001D1FD6" w:rsidRDefault="001D1FD6" w:rsidP="001D1FD6">
            <w:pPr>
              <w:jc w:val="right"/>
              <w:rPr>
                <w:b/>
                <w:bCs/>
                <w:color w:val="000000"/>
                <w:sz w:val="18"/>
                <w:szCs w:val="18"/>
                <w:u w:val="double"/>
                <w:lang w:val="en-GB"/>
              </w:rPr>
            </w:pPr>
            <w:r>
              <w:rPr>
                <w:b/>
                <w:bCs/>
                <w:color w:val="000000"/>
                <w:sz w:val="18"/>
                <w:szCs w:val="18"/>
                <w:u w:val="double"/>
                <w:lang w:val="en-GB"/>
              </w:rPr>
              <w:t>87,073</w:t>
            </w:r>
          </w:p>
        </w:tc>
        <w:tc>
          <w:tcPr>
            <w:tcW w:w="1104" w:type="dxa"/>
            <w:vAlign w:val="bottom"/>
          </w:tcPr>
          <w:p w14:paraId="52FA2385" w14:textId="77777777" w:rsidR="001D1FD6" w:rsidRDefault="001D1FD6" w:rsidP="001D1FD6">
            <w:pPr>
              <w:jc w:val="right"/>
              <w:rPr>
                <w:b/>
                <w:bCs/>
                <w:color w:val="000000"/>
                <w:sz w:val="18"/>
                <w:szCs w:val="18"/>
                <w:u w:val="double"/>
                <w:lang w:val="en-GB"/>
              </w:rPr>
            </w:pPr>
            <w:r>
              <w:rPr>
                <w:b/>
                <w:bCs/>
                <w:color w:val="000000"/>
                <w:sz w:val="18"/>
                <w:szCs w:val="18"/>
                <w:u w:val="double"/>
                <w:lang w:val="en-GB"/>
              </w:rPr>
              <w:t>-</w:t>
            </w:r>
          </w:p>
        </w:tc>
        <w:tc>
          <w:tcPr>
            <w:tcW w:w="1089" w:type="dxa"/>
            <w:vAlign w:val="bottom"/>
          </w:tcPr>
          <w:p w14:paraId="61317B8F" w14:textId="77777777" w:rsidR="001D1FD6" w:rsidRDefault="001D1FD6" w:rsidP="001D1FD6">
            <w:pPr>
              <w:jc w:val="right"/>
              <w:rPr>
                <w:b/>
                <w:bCs/>
                <w:color w:val="000000"/>
                <w:sz w:val="18"/>
                <w:szCs w:val="18"/>
                <w:u w:val="double"/>
                <w:lang w:val="en-GB"/>
              </w:rPr>
            </w:pPr>
            <w:r>
              <w:rPr>
                <w:b/>
                <w:bCs/>
                <w:color w:val="000000"/>
                <w:sz w:val="18"/>
                <w:szCs w:val="18"/>
                <w:u w:val="double"/>
                <w:lang w:val="en-GB"/>
              </w:rPr>
              <w:t>-</w:t>
            </w:r>
          </w:p>
        </w:tc>
        <w:tc>
          <w:tcPr>
            <w:tcW w:w="1173" w:type="dxa"/>
            <w:gridSpan w:val="2"/>
            <w:vAlign w:val="bottom"/>
          </w:tcPr>
          <w:p w14:paraId="425DF969" w14:textId="77777777" w:rsidR="001D1FD6" w:rsidRDefault="001D1FD6" w:rsidP="001D1FD6">
            <w:pPr>
              <w:jc w:val="right"/>
              <w:rPr>
                <w:b/>
                <w:bCs/>
                <w:color w:val="000000"/>
                <w:sz w:val="18"/>
                <w:szCs w:val="18"/>
                <w:u w:val="double"/>
                <w:lang w:val="en-GB"/>
              </w:rPr>
            </w:pPr>
            <w:r>
              <w:rPr>
                <w:b/>
                <w:bCs/>
                <w:color w:val="000000"/>
                <w:sz w:val="18"/>
                <w:szCs w:val="18"/>
                <w:u w:val="double"/>
                <w:lang w:val="en-GB"/>
              </w:rPr>
              <w:t>-</w:t>
            </w:r>
          </w:p>
        </w:tc>
      </w:tr>
      <w:tr w:rsidR="001D1FD6" w14:paraId="3C28FCDB" w14:textId="77777777" w:rsidTr="001D1FD6">
        <w:trPr>
          <w:cantSplit/>
        </w:trPr>
        <w:tc>
          <w:tcPr>
            <w:tcW w:w="2122" w:type="dxa"/>
            <w:vAlign w:val="bottom"/>
          </w:tcPr>
          <w:p w14:paraId="7724EDA5" w14:textId="77777777" w:rsidR="001D1FD6" w:rsidRDefault="001D1FD6" w:rsidP="001D1FD6">
            <w:pPr>
              <w:jc w:val="both"/>
              <w:rPr>
                <w:b/>
                <w:bCs/>
                <w:color w:val="000000"/>
                <w:sz w:val="18"/>
                <w:szCs w:val="18"/>
                <w:lang w:val="en-GB"/>
              </w:rPr>
            </w:pPr>
            <w:r>
              <w:rPr>
                <w:b/>
                <w:bCs/>
                <w:color w:val="000000"/>
                <w:sz w:val="18"/>
                <w:szCs w:val="18"/>
                <w:lang w:val="en-GB"/>
              </w:rPr>
              <w:t>Liabilities</w:t>
            </w:r>
          </w:p>
        </w:tc>
        <w:tc>
          <w:tcPr>
            <w:tcW w:w="1000" w:type="dxa"/>
            <w:vAlign w:val="bottom"/>
          </w:tcPr>
          <w:p w14:paraId="5EBDD4A4" w14:textId="77777777" w:rsidR="001D1FD6" w:rsidRDefault="001D1FD6" w:rsidP="001D1FD6">
            <w:pPr>
              <w:jc w:val="right"/>
              <w:rPr>
                <w:color w:val="000000"/>
                <w:sz w:val="18"/>
                <w:szCs w:val="18"/>
                <w:u w:val="double"/>
                <w:lang w:val="en-GB"/>
              </w:rPr>
            </w:pPr>
          </w:p>
        </w:tc>
        <w:tc>
          <w:tcPr>
            <w:tcW w:w="1176" w:type="dxa"/>
            <w:vAlign w:val="bottom"/>
          </w:tcPr>
          <w:p w14:paraId="3393819A" w14:textId="77777777" w:rsidR="001D1FD6" w:rsidRDefault="001D1FD6" w:rsidP="001D1FD6">
            <w:pPr>
              <w:jc w:val="right"/>
              <w:rPr>
                <w:color w:val="000000"/>
                <w:sz w:val="18"/>
                <w:szCs w:val="18"/>
                <w:u w:val="double"/>
                <w:lang w:val="en-GB"/>
              </w:rPr>
            </w:pPr>
          </w:p>
        </w:tc>
        <w:tc>
          <w:tcPr>
            <w:tcW w:w="1062" w:type="dxa"/>
            <w:vAlign w:val="bottom"/>
          </w:tcPr>
          <w:p w14:paraId="3CDFCB9C" w14:textId="77777777" w:rsidR="001D1FD6" w:rsidRDefault="001D1FD6" w:rsidP="001D1FD6">
            <w:pPr>
              <w:jc w:val="right"/>
              <w:rPr>
                <w:color w:val="000000"/>
                <w:sz w:val="18"/>
                <w:szCs w:val="18"/>
                <w:u w:val="double"/>
                <w:lang w:val="en-GB"/>
              </w:rPr>
            </w:pPr>
          </w:p>
        </w:tc>
        <w:tc>
          <w:tcPr>
            <w:tcW w:w="1104" w:type="dxa"/>
            <w:vAlign w:val="bottom"/>
          </w:tcPr>
          <w:p w14:paraId="7092F144" w14:textId="77777777" w:rsidR="001D1FD6" w:rsidRDefault="001D1FD6" w:rsidP="001D1FD6">
            <w:pPr>
              <w:jc w:val="right"/>
              <w:rPr>
                <w:color w:val="000000"/>
                <w:sz w:val="18"/>
                <w:szCs w:val="18"/>
                <w:u w:val="double"/>
                <w:lang w:val="en-GB"/>
              </w:rPr>
            </w:pPr>
          </w:p>
        </w:tc>
        <w:tc>
          <w:tcPr>
            <w:tcW w:w="1089" w:type="dxa"/>
            <w:vAlign w:val="bottom"/>
          </w:tcPr>
          <w:p w14:paraId="503EB67D" w14:textId="77777777" w:rsidR="001D1FD6" w:rsidRDefault="001D1FD6" w:rsidP="001D1FD6">
            <w:pPr>
              <w:jc w:val="right"/>
              <w:rPr>
                <w:color w:val="000000"/>
                <w:sz w:val="18"/>
                <w:szCs w:val="18"/>
                <w:u w:val="double"/>
                <w:lang w:val="en-GB"/>
              </w:rPr>
            </w:pPr>
          </w:p>
        </w:tc>
        <w:tc>
          <w:tcPr>
            <w:tcW w:w="1173" w:type="dxa"/>
            <w:gridSpan w:val="2"/>
            <w:vAlign w:val="bottom"/>
          </w:tcPr>
          <w:p w14:paraId="10EBABC2" w14:textId="77777777" w:rsidR="001D1FD6" w:rsidRDefault="001D1FD6" w:rsidP="001D1FD6">
            <w:pPr>
              <w:jc w:val="right"/>
              <w:rPr>
                <w:color w:val="000000"/>
                <w:sz w:val="18"/>
                <w:szCs w:val="18"/>
                <w:u w:val="double"/>
                <w:lang w:val="en-GB"/>
              </w:rPr>
            </w:pPr>
          </w:p>
        </w:tc>
      </w:tr>
      <w:tr w:rsidR="001D1FD6" w14:paraId="33CD6547" w14:textId="77777777" w:rsidTr="001D1FD6">
        <w:trPr>
          <w:cantSplit/>
        </w:trPr>
        <w:tc>
          <w:tcPr>
            <w:tcW w:w="2122" w:type="dxa"/>
            <w:vAlign w:val="bottom"/>
          </w:tcPr>
          <w:p w14:paraId="0B792D10" w14:textId="77777777" w:rsidR="001D1FD6" w:rsidRDefault="001D1FD6" w:rsidP="001D1FD6">
            <w:pPr>
              <w:jc w:val="both"/>
              <w:rPr>
                <w:color w:val="000000"/>
                <w:sz w:val="18"/>
                <w:szCs w:val="18"/>
                <w:lang w:val="en-GB"/>
              </w:rPr>
            </w:pPr>
            <w:r>
              <w:rPr>
                <w:color w:val="000000"/>
                <w:sz w:val="18"/>
                <w:szCs w:val="18"/>
                <w:lang w:val="en-GB"/>
              </w:rPr>
              <w:t>Secured bank loans</w:t>
            </w:r>
          </w:p>
        </w:tc>
        <w:tc>
          <w:tcPr>
            <w:tcW w:w="1000" w:type="dxa"/>
            <w:vAlign w:val="bottom"/>
          </w:tcPr>
          <w:p w14:paraId="42C26793" w14:textId="77777777" w:rsidR="001D1FD6" w:rsidRDefault="001D1FD6" w:rsidP="001D1FD6">
            <w:pPr>
              <w:jc w:val="right"/>
              <w:rPr>
                <w:color w:val="000000"/>
                <w:sz w:val="18"/>
                <w:szCs w:val="18"/>
                <w:lang w:val="en-GB"/>
              </w:rPr>
            </w:pPr>
            <w:r>
              <w:rPr>
                <w:color w:val="000000"/>
                <w:sz w:val="18"/>
                <w:szCs w:val="18"/>
                <w:lang w:val="en-GB"/>
              </w:rPr>
              <w:t>35,518</w:t>
            </w:r>
          </w:p>
        </w:tc>
        <w:tc>
          <w:tcPr>
            <w:tcW w:w="1176" w:type="dxa"/>
            <w:vAlign w:val="bottom"/>
          </w:tcPr>
          <w:p w14:paraId="370C450D" w14:textId="77777777" w:rsidR="001D1FD6" w:rsidRDefault="001D1FD6" w:rsidP="001D1FD6">
            <w:pPr>
              <w:jc w:val="right"/>
              <w:rPr>
                <w:color w:val="000000"/>
                <w:sz w:val="18"/>
                <w:szCs w:val="18"/>
                <w:lang w:val="en-GB"/>
              </w:rPr>
            </w:pPr>
            <w:r>
              <w:rPr>
                <w:color w:val="000000"/>
                <w:sz w:val="18"/>
                <w:szCs w:val="18"/>
                <w:lang w:val="en-GB"/>
              </w:rPr>
              <w:t>(37,648)</w:t>
            </w:r>
          </w:p>
        </w:tc>
        <w:tc>
          <w:tcPr>
            <w:tcW w:w="1062" w:type="dxa"/>
            <w:vAlign w:val="bottom"/>
          </w:tcPr>
          <w:p w14:paraId="6CC1C49C" w14:textId="77777777" w:rsidR="001D1FD6" w:rsidRDefault="001D1FD6" w:rsidP="001D1FD6">
            <w:pPr>
              <w:jc w:val="right"/>
              <w:rPr>
                <w:color w:val="000000"/>
                <w:sz w:val="18"/>
                <w:szCs w:val="18"/>
                <w:lang w:val="en-GB"/>
              </w:rPr>
            </w:pPr>
            <w:r>
              <w:rPr>
                <w:color w:val="000000"/>
                <w:sz w:val="18"/>
                <w:szCs w:val="18"/>
                <w:lang w:val="en-GB"/>
              </w:rPr>
              <w:t>(3,347)</w:t>
            </w:r>
          </w:p>
        </w:tc>
        <w:tc>
          <w:tcPr>
            <w:tcW w:w="1104" w:type="dxa"/>
            <w:vAlign w:val="bottom"/>
          </w:tcPr>
          <w:p w14:paraId="60A07A0C" w14:textId="77777777" w:rsidR="001D1FD6" w:rsidRDefault="001D1FD6" w:rsidP="001D1FD6">
            <w:pPr>
              <w:jc w:val="right"/>
              <w:rPr>
                <w:color w:val="000000"/>
                <w:sz w:val="18"/>
                <w:szCs w:val="18"/>
                <w:lang w:val="en-GB"/>
              </w:rPr>
            </w:pPr>
            <w:r>
              <w:rPr>
                <w:color w:val="000000"/>
                <w:sz w:val="18"/>
                <w:szCs w:val="18"/>
                <w:lang w:val="en-GB"/>
              </w:rPr>
              <w:t>(19,750)</w:t>
            </w:r>
          </w:p>
        </w:tc>
        <w:tc>
          <w:tcPr>
            <w:tcW w:w="1089" w:type="dxa"/>
            <w:vAlign w:val="bottom"/>
          </w:tcPr>
          <w:p w14:paraId="0777156D" w14:textId="77777777" w:rsidR="001D1FD6" w:rsidRDefault="001D1FD6" w:rsidP="001D1FD6">
            <w:pPr>
              <w:jc w:val="right"/>
              <w:rPr>
                <w:color w:val="000000"/>
                <w:sz w:val="18"/>
                <w:szCs w:val="18"/>
                <w:lang w:val="en-GB"/>
              </w:rPr>
            </w:pPr>
            <w:r>
              <w:rPr>
                <w:color w:val="000000"/>
                <w:sz w:val="18"/>
                <w:szCs w:val="18"/>
                <w:lang w:val="en-GB"/>
              </w:rPr>
              <w:t>(14,551)</w:t>
            </w:r>
          </w:p>
        </w:tc>
        <w:tc>
          <w:tcPr>
            <w:tcW w:w="1173" w:type="dxa"/>
            <w:gridSpan w:val="2"/>
            <w:vAlign w:val="bottom"/>
          </w:tcPr>
          <w:p w14:paraId="7E7D9BC2" w14:textId="77777777" w:rsidR="001D1FD6" w:rsidRDefault="001D1FD6" w:rsidP="001D1FD6">
            <w:pPr>
              <w:jc w:val="right"/>
              <w:rPr>
                <w:color w:val="000000"/>
                <w:sz w:val="18"/>
                <w:szCs w:val="18"/>
                <w:lang w:val="en-GB"/>
              </w:rPr>
            </w:pPr>
            <w:r>
              <w:rPr>
                <w:color w:val="000000"/>
                <w:sz w:val="18"/>
                <w:szCs w:val="18"/>
                <w:lang w:val="en-GB"/>
              </w:rPr>
              <w:t>-</w:t>
            </w:r>
          </w:p>
        </w:tc>
      </w:tr>
      <w:tr w:rsidR="001D1FD6" w14:paraId="3098C613" w14:textId="77777777" w:rsidTr="001D1FD6">
        <w:trPr>
          <w:cantSplit/>
        </w:trPr>
        <w:tc>
          <w:tcPr>
            <w:tcW w:w="2122" w:type="dxa"/>
            <w:vAlign w:val="bottom"/>
          </w:tcPr>
          <w:p w14:paraId="69B31BBF" w14:textId="77777777" w:rsidR="001D1FD6" w:rsidRDefault="001D1FD6" w:rsidP="001D1FD6">
            <w:pPr>
              <w:jc w:val="both"/>
              <w:rPr>
                <w:color w:val="000000"/>
                <w:sz w:val="18"/>
                <w:szCs w:val="18"/>
                <w:lang w:val="en-GB"/>
              </w:rPr>
            </w:pPr>
            <w:r>
              <w:rPr>
                <w:color w:val="000000"/>
                <w:sz w:val="18"/>
                <w:szCs w:val="18"/>
                <w:lang w:val="en-GB"/>
              </w:rPr>
              <w:t>Unsecured bonds</w:t>
            </w:r>
          </w:p>
        </w:tc>
        <w:tc>
          <w:tcPr>
            <w:tcW w:w="1000" w:type="dxa"/>
            <w:vAlign w:val="bottom"/>
          </w:tcPr>
          <w:p w14:paraId="173C6F1E" w14:textId="77777777" w:rsidR="001D1FD6" w:rsidRDefault="001D1FD6" w:rsidP="001D1FD6">
            <w:pPr>
              <w:jc w:val="right"/>
              <w:rPr>
                <w:color w:val="000000"/>
                <w:sz w:val="18"/>
                <w:szCs w:val="18"/>
                <w:lang w:val="en-GB"/>
              </w:rPr>
            </w:pPr>
            <w:r>
              <w:rPr>
                <w:color w:val="000000"/>
                <w:sz w:val="18"/>
                <w:szCs w:val="18"/>
                <w:lang w:val="en-GB"/>
              </w:rPr>
              <w:t>369,796</w:t>
            </w:r>
          </w:p>
        </w:tc>
        <w:tc>
          <w:tcPr>
            <w:tcW w:w="1176" w:type="dxa"/>
            <w:vAlign w:val="bottom"/>
          </w:tcPr>
          <w:p w14:paraId="047F87A0" w14:textId="77777777" w:rsidR="001D1FD6" w:rsidRDefault="001D1FD6" w:rsidP="001D1FD6">
            <w:pPr>
              <w:jc w:val="right"/>
              <w:rPr>
                <w:color w:val="000000"/>
                <w:sz w:val="18"/>
                <w:szCs w:val="18"/>
                <w:lang w:val="en-GB"/>
              </w:rPr>
            </w:pPr>
            <w:r>
              <w:rPr>
                <w:color w:val="000000"/>
                <w:sz w:val="18"/>
                <w:szCs w:val="18"/>
                <w:lang w:val="en-GB"/>
              </w:rPr>
              <w:t>(447,938)</w:t>
            </w:r>
          </w:p>
        </w:tc>
        <w:tc>
          <w:tcPr>
            <w:tcW w:w="1062" w:type="dxa"/>
            <w:vAlign w:val="bottom"/>
          </w:tcPr>
          <w:p w14:paraId="2B82C1AB" w14:textId="77777777" w:rsidR="001D1FD6" w:rsidRDefault="001D1FD6" w:rsidP="001D1FD6">
            <w:pPr>
              <w:jc w:val="right"/>
              <w:rPr>
                <w:color w:val="000000"/>
                <w:sz w:val="18"/>
                <w:szCs w:val="18"/>
                <w:lang w:val="en-GB"/>
              </w:rPr>
            </w:pPr>
            <w:r>
              <w:rPr>
                <w:color w:val="000000"/>
                <w:sz w:val="18"/>
                <w:szCs w:val="18"/>
                <w:lang w:val="en-GB"/>
              </w:rPr>
              <w:t>(91,463)</w:t>
            </w:r>
          </w:p>
        </w:tc>
        <w:tc>
          <w:tcPr>
            <w:tcW w:w="1104" w:type="dxa"/>
            <w:vAlign w:val="bottom"/>
          </w:tcPr>
          <w:p w14:paraId="524C8DF8" w14:textId="77777777" w:rsidR="001D1FD6" w:rsidRDefault="001D1FD6" w:rsidP="001D1FD6">
            <w:pPr>
              <w:jc w:val="right"/>
              <w:rPr>
                <w:color w:val="000000"/>
                <w:sz w:val="18"/>
                <w:szCs w:val="18"/>
                <w:lang w:val="en-GB"/>
              </w:rPr>
            </w:pPr>
            <w:r>
              <w:rPr>
                <w:color w:val="000000"/>
                <w:sz w:val="18"/>
                <w:szCs w:val="18"/>
                <w:lang w:val="en-GB"/>
              </w:rPr>
              <w:t>(87,600)</w:t>
            </w:r>
          </w:p>
        </w:tc>
        <w:tc>
          <w:tcPr>
            <w:tcW w:w="1089" w:type="dxa"/>
            <w:vAlign w:val="bottom"/>
          </w:tcPr>
          <w:p w14:paraId="5DEF3C8E" w14:textId="77777777" w:rsidR="001D1FD6" w:rsidRDefault="001D1FD6" w:rsidP="001D1FD6">
            <w:pPr>
              <w:jc w:val="right"/>
              <w:rPr>
                <w:color w:val="000000"/>
                <w:sz w:val="18"/>
                <w:szCs w:val="18"/>
                <w:lang w:val="en-GB"/>
              </w:rPr>
            </w:pPr>
            <w:r>
              <w:rPr>
                <w:color w:val="000000"/>
                <w:sz w:val="18"/>
                <w:szCs w:val="18"/>
                <w:lang w:val="en-GB"/>
              </w:rPr>
              <w:t>(26,325)</w:t>
            </w:r>
          </w:p>
        </w:tc>
        <w:tc>
          <w:tcPr>
            <w:tcW w:w="1173" w:type="dxa"/>
            <w:gridSpan w:val="2"/>
            <w:vAlign w:val="bottom"/>
          </w:tcPr>
          <w:p w14:paraId="3DF30F25" w14:textId="77777777" w:rsidR="001D1FD6" w:rsidRDefault="001D1FD6" w:rsidP="001D1FD6">
            <w:pPr>
              <w:jc w:val="right"/>
              <w:rPr>
                <w:color w:val="000000"/>
                <w:sz w:val="18"/>
                <w:szCs w:val="18"/>
                <w:lang w:val="en-GB"/>
              </w:rPr>
            </w:pPr>
            <w:r>
              <w:rPr>
                <w:color w:val="000000"/>
                <w:sz w:val="18"/>
                <w:szCs w:val="18"/>
                <w:lang w:val="en-GB"/>
              </w:rPr>
              <w:t>(242,550)</w:t>
            </w:r>
          </w:p>
        </w:tc>
      </w:tr>
      <w:tr w:rsidR="001D1FD6" w14:paraId="317B99F3" w14:textId="77777777" w:rsidTr="001D1FD6">
        <w:trPr>
          <w:cantSplit/>
        </w:trPr>
        <w:tc>
          <w:tcPr>
            <w:tcW w:w="2122" w:type="dxa"/>
            <w:vAlign w:val="bottom"/>
          </w:tcPr>
          <w:p w14:paraId="6FF39340" w14:textId="77777777" w:rsidR="001D1FD6" w:rsidRDefault="001D1FD6" w:rsidP="001D1FD6">
            <w:pPr>
              <w:rPr>
                <w:bCs/>
                <w:color w:val="000000"/>
                <w:sz w:val="18"/>
                <w:szCs w:val="18"/>
                <w:lang w:val="en-GB"/>
              </w:rPr>
            </w:pPr>
            <w:r>
              <w:rPr>
                <w:bCs/>
                <w:color w:val="000000"/>
                <w:sz w:val="18"/>
                <w:szCs w:val="18"/>
                <w:lang w:val="en-GB"/>
              </w:rPr>
              <w:t>Derivative financial instruments</w:t>
            </w:r>
          </w:p>
        </w:tc>
        <w:tc>
          <w:tcPr>
            <w:tcW w:w="1000" w:type="dxa"/>
            <w:vAlign w:val="bottom"/>
          </w:tcPr>
          <w:p w14:paraId="6E6501F9" w14:textId="77777777" w:rsidR="001D1FD6" w:rsidRDefault="001D1FD6" w:rsidP="001D1FD6">
            <w:pPr>
              <w:jc w:val="right"/>
              <w:rPr>
                <w:color w:val="000000"/>
                <w:sz w:val="18"/>
                <w:szCs w:val="18"/>
                <w:lang w:val="en-GB"/>
              </w:rPr>
            </w:pPr>
            <w:r>
              <w:rPr>
                <w:color w:val="000000"/>
                <w:sz w:val="18"/>
                <w:szCs w:val="18"/>
                <w:lang w:val="en-GB"/>
              </w:rPr>
              <w:t>(5,348)</w:t>
            </w:r>
          </w:p>
        </w:tc>
        <w:tc>
          <w:tcPr>
            <w:tcW w:w="1176" w:type="dxa"/>
            <w:vAlign w:val="bottom"/>
          </w:tcPr>
          <w:p w14:paraId="340993E3" w14:textId="77777777" w:rsidR="001D1FD6" w:rsidRDefault="001D1FD6" w:rsidP="001D1FD6">
            <w:pPr>
              <w:jc w:val="right"/>
              <w:rPr>
                <w:color w:val="000000"/>
                <w:sz w:val="18"/>
                <w:szCs w:val="18"/>
                <w:lang w:val="en-GB"/>
              </w:rPr>
            </w:pPr>
            <w:r>
              <w:rPr>
                <w:color w:val="000000"/>
                <w:sz w:val="18"/>
                <w:szCs w:val="18"/>
                <w:lang w:val="en-GB"/>
              </w:rPr>
              <w:t>(320)</w:t>
            </w:r>
          </w:p>
        </w:tc>
        <w:tc>
          <w:tcPr>
            <w:tcW w:w="1062" w:type="dxa"/>
            <w:vAlign w:val="bottom"/>
          </w:tcPr>
          <w:p w14:paraId="6E7B2AA0" w14:textId="77777777" w:rsidR="001D1FD6" w:rsidRDefault="001D1FD6" w:rsidP="001D1FD6">
            <w:pPr>
              <w:jc w:val="right"/>
              <w:rPr>
                <w:color w:val="000000"/>
                <w:sz w:val="18"/>
                <w:szCs w:val="18"/>
                <w:lang w:val="en-GB"/>
              </w:rPr>
            </w:pPr>
            <w:r>
              <w:rPr>
                <w:color w:val="000000"/>
                <w:sz w:val="18"/>
                <w:szCs w:val="18"/>
                <w:lang w:val="en-GB"/>
              </w:rPr>
              <w:t>(256)</w:t>
            </w:r>
          </w:p>
        </w:tc>
        <w:tc>
          <w:tcPr>
            <w:tcW w:w="1104" w:type="dxa"/>
            <w:vAlign w:val="bottom"/>
          </w:tcPr>
          <w:p w14:paraId="061F410D" w14:textId="77777777" w:rsidR="001D1FD6" w:rsidRDefault="001D1FD6" w:rsidP="001D1FD6">
            <w:pPr>
              <w:jc w:val="right"/>
              <w:rPr>
                <w:color w:val="000000"/>
                <w:sz w:val="18"/>
                <w:szCs w:val="18"/>
                <w:lang w:val="en-GB"/>
              </w:rPr>
            </w:pPr>
            <w:r>
              <w:rPr>
                <w:color w:val="000000"/>
                <w:sz w:val="18"/>
                <w:szCs w:val="18"/>
                <w:lang w:val="en-GB"/>
              </w:rPr>
              <w:t>(64)</w:t>
            </w:r>
          </w:p>
        </w:tc>
        <w:tc>
          <w:tcPr>
            <w:tcW w:w="1089" w:type="dxa"/>
            <w:vAlign w:val="bottom"/>
          </w:tcPr>
          <w:p w14:paraId="780F4C30" w14:textId="77777777" w:rsidR="001D1FD6" w:rsidRDefault="001D1FD6" w:rsidP="001D1FD6">
            <w:pPr>
              <w:jc w:val="right"/>
              <w:rPr>
                <w:color w:val="000000"/>
                <w:sz w:val="18"/>
                <w:szCs w:val="18"/>
                <w:lang w:val="en-GB"/>
              </w:rPr>
            </w:pPr>
            <w:r>
              <w:rPr>
                <w:color w:val="000000"/>
                <w:sz w:val="18"/>
                <w:szCs w:val="18"/>
                <w:lang w:val="en-GB"/>
              </w:rPr>
              <w:t>-</w:t>
            </w:r>
          </w:p>
        </w:tc>
        <w:tc>
          <w:tcPr>
            <w:tcW w:w="1173" w:type="dxa"/>
            <w:gridSpan w:val="2"/>
            <w:vAlign w:val="bottom"/>
          </w:tcPr>
          <w:p w14:paraId="7DEABDAD" w14:textId="77777777" w:rsidR="001D1FD6" w:rsidRDefault="001D1FD6" w:rsidP="001D1FD6">
            <w:pPr>
              <w:jc w:val="right"/>
              <w:rPr>
                <w:color w:val="000000"/>
                <w:sz w:val="18"/>
                <w:szCs w:val="18"/>
                <w:lang w:val="en-GB"/>
              </w:rPr>
            </w:pPr>
            <w:r>
              <w:rPr>
                <w:color w:val="000000"/>
                <w:sz w:val="18"/>
                <w:szCs w:val="18"/>
                <w:lang w:val="en-GB"/>
              </w:rPr>
              <w:t>-</w:t>
            </w:r>
          </w:p>
        </w:tc>
      </w:tr>
      <w:tr w:rsidR="001D1FD6" w14:paraId="5F9EFAD2" w14:textId="77777777" w:rsidTr="001D1FD6">
        <w:trPr>
          <w:cantSplit/>
        </w:trPr>
        <w:tc>
          <w:tcPr>
            <w:tcW w:w="2122" w:type="dxa"/>
            <w:vAlign w:val="bottom"/>
          </w:tcPr>
          <w:p w14:paraId="6DCDBBBE" w14:textId="77777777" w:rsidR="001D1FD6" w:rsidRDefault="001D1FD6" w:rsidP="001D1FD6">
            <w:pPr>
              <w:jc w:val="both"/>
              <w:rPr>
                <w:color w:val="000000"/>
                <w:sz w:val="18"/>
                <w:szCs w:val="18"/>
                <w:lang w:val="en-GB"/>
              </w:rPr>
            </w:pPr>
            <w:r>
              <w:rPr>
                <w:color w:val="000000"/>
                <w:sz w:val="18"/>
                <w:szCs w:val="18"/>
                <w:lang w:val="en-GB"/>
              </w:rPr>
              <w:t xml:space="preserve">Trade and other payables </w:t>
            </w:r>
          </w:p>
        </w:tc>
        <w:tc>
          <w:tcPr>
            <w:tcW w:w="1000" w:type="dxa"/>
            <w:vAlign w:val="bottom"/>
          </w:tcPr>
          <w:p w14:paraId="08A85845" w14:textId="77777777" w:rsidR="001D1FD6" w:rsidRDefault="001D1FD6" w:rsidP="001D1FD6">
            <w:pPr>
              <w:jc w:val="right"/>
              <w:rPr>
                <w:color w:val="000000"/>
                <w:sz w:val="18"/>
                <w:szCs w:val="18"/>
                <w:lang w:val="en-GB"/>
              </w:rPr>
            </w:pPr>
            <w:r>
              <w:rPr>
                <w:color w:val="000000"/>
                <w:sz w:val="18"/>
                <w:szCs w:val="18"/>
                <w:lang w:val="en-GB"/>
              </w:rPr>
              <w:t>(37,250)</w:t>
            </w:r>
          </w:p>
        </w:tc>
        <w:tc>
          <w:tcPr>
            <w:tcW w:w="1176" w:type="dxa"/>
            <w:vAlign w:val="bottom"/>
          </w:tcPr>
          <w:p w14:paraId="3D4F0670" w14:textId="77777777" w:rsidR="001D1FD6" w:rsidRDefault="001D1FD6" w:rsidP="001D1FD6">
            <w:pPr>
              <w:jc w:val="right"/>
              <w:rPr>
                <w:color w:val="000000"/>
                <w:sz w:val="18"/>
                <w:szCs w:val="18"/>
                <w:lang w:val="en-GB"/>
              </w:rPr>
            </w:pPr>
            <w:r>
              <w:rPr>
                <w:color w:val="000000"/>
                <w:sz w:val="18"/>
                <w:szCs w:val="18"/>
                <w:lang w:val="en-GB"/>
              </w:rPr>
              <w:t>(37,250)</w:t>
            </w:r>
          </w:p>
        </w:tc>
        <w:tc>
          <w:tcPr>
            <w:tcW w:w="1062" w:type="dxa"/>
            <w:vAlign w:val="bottom"/>
          </w:tcPr>
          <w:p w14:paraId="1BB6D972" w14:textId="77777777" w:rsidR="001D1FD6" w:rsidRDefault="001D1FD6" w:rsidP="001D1FD6">
            <w:pPr>
              <w:jc w:val="right"/>
              <w:rPr>
                <w:color w:val="000000"/>
                <w:sz w:val="18"/>
                <w:szCs w:val="18"/>
                <w:lang w:val="en-GB"/>
              </w:rPr>
            </w:pPr>
            <w:r>
              <w:rPr>
                <w:color w:val="000000"/>
                <w:sz w:val="18"/>
                <w:szCs w:val="18"/>
                <w:lang w:val="en-GB"/>
              </w:rPr>
              <w:t>(34,818)</w:t>
            </w:r>
          </w:p>
        </w:tc>
        <w:tc>
          <w:tcPr>
            <w:tcW w:w="1104" w:type="dxa"/>
            <w:vAlign w:val="bottom"/>
          </w:tcPr>
          <w:p w14:paraId="50C0AD53" w14:textId="77777777" w:rsidR="001D1FD6" w:rsidRDefault="001D1FD6" w:rsidP="001D1FD6">
            <w:pPr>
              <w:jc w:val="right"/>
              <w:rPr>
                <w:color w:val="000000"/>
                <w:sz w:val="18"/>
                <w:szCs w:val="18"/>
                <w:lang w:val="en-GB"/>
              </w:rPr>
            </w:pPr>
            <w:r>
              <w:rPr>
                <w:color w:val="000000"/>
                <w:sz w:val="18"/>
                <w:szCs w:val="18"/>
                <w:lang w:val="en-GB"/>
              </w:rPr>
              <w:t>(312)</w:t>
            </w:r>
          </w:p>
        </w:tc>
        <w:tc>
          <w:tcPr>
            <w:tcW w:w="1089" w:type="dxa"/>
            <w:vAlign w:val="bottom"/>
          </w:tcPr>
          <w:p w14:paraId="0AC62ADD" w14:textId="77777777" w:rsidR="001D1FD6" w:rsidRDefault="001D1FD6" w:rsidP="001D1FD6">
            <w:pPr>
              <w:jc w:val="right"/>
              <w:rPr>
                <w:color w:val="000000"/>
                <w:sz w:val="18"/>
                <w:szCs w:val="18"/>
                <w:lang w:val="en-GB"/>
              </w:rPr>
            </w:pPr>
            <w:r>
              <w:rPr>
                <w:color w:val="000000"/>
                <w:sz w:val="18"/>
                <w:szCs w:val="18"/>
                <w:lang w:val="en-GB"/>
              </w:rPr>
              <w:t>(1,221)</w:t>
            </w:r>
          </w:p>
        </w:tc>
        <w:tc>
          <w:tcPr>
            <w:tcW w:w="1173" w:type="dxa"/>
            <w:gridSpan w:val="2"/>
            <w:vAlign w:val="bottom"/>
          </w:tcPr>
          <w:p w14:paraId="6F670E5D" w14:textId="77777777" w:rsidR="001D1FD6" w:rsidRDefault="001D1FD6" w:rsidP="001D1FD6">
            <w:pPr>
              <w:jc w:val="right"/>
              <w:rPr>
                <w:color w:val="000000"/>
                <w:sz w:val="18"/>
                <w:szCs w:val="18"/>
                <w:lang w:val="en-GB"/>
              </w:rPr>
            </w:pPr>
            <w:r>
              <w:rPr>
                <w:color w:val="000000"/>
                <w:sz w:val="18"/>
                <w:szCs w:val="18"/>
                <w:lang w:val="en-GB"/>
              </w:rPr>
              <w:t>(899)</w:t>
            </w:r>
          </w:p>
        </w:tc>
      </w:tr>
      <w:tr w:rsidR="001D1FD6" w14:paraId="6EEA2051" w14:textId="77777777" w:rsidTr="001D1FD6">
        <w:trPr>
          <w:cantSplit/>
        </w:trPr>
        <w:tc>
          <w:tcPr>
            <w:tcW w:w="2122" w:type="dxa"/>
            <w:vAlign w:val="bottom"/>
          </w:tcPr>
          <w:p w14:paraId="71094000" w14:textId="77777777" w:rsidR="001D1FD6" w:rsidRDefault="001D1FD6" w:rsidP="001D1FD6">
            <w:pPr>
              <w:ind w:firstLine="34"/>
              <w:jc w:val="both"/>
              <w:rPr>
                <w:b/>
                <w:color w:val="000000"/>
                <w:sz w:val="18"/>
                <w:szCs w:val="18"/>
                <w:lang w:val="en-GB"/>
              </w:rPr>
            </w:pPr>
            <w:r>
              <w:rPr>
                <w:color w:val="000000"/>
                <w:sz w:val="18"/>
                <w:szCs w:val="18"/>
                <w:lang w:val="en-GB"/>
              </w:rPr>
              <w:lastRenderedPageBreak/>
              <w:t>Reclassification to liabilities related to disposal group held for sale</w:t>
            </w:r>
          </w:p>
        </w:tc>
        <w:tc>
          <w:tcPr>
            <w:tcW w:w="1000" w:type="dxa"/>
            <w:vAlign w:val="bottom"/>
          </w:tcPr>
          <w:p w14:paraId="0AE9278E" w14:textId="77777777" w:rsidR="001D1FD6" w:rsidRDefault="001D1FD6" w:rsidP="001D1FD6">
            <w:pPr>
              <w:jc w:val="right"/>
              <w:rPr>
                <w:color w:val="000000"/>
                <w:sz w:val="18"/>
                <w:szCs w:val="18"/>
                <w:u w:val="single"/>
                <w:lang w:val="en-GB"/>
              </w:rPr>
            </w:pPr>
            <w:r>
              <w:rPr>
                <w:color w:val="000000"/>
                <w:sz w:val="18"/>
                <w:szCs w:val="18"/>
                <w:u w:val="single"/>
                <w:lang w:val="en-GB"/>
              </w:rPr>
              <w:t>-</w:t>
            </w:r>
          </w:p>
        </w:tc>
        <w:tc>
          <w:tcPr>
            <w:tcW w:w="1176" w:type="dxa"/>
            <w:vAlign w:val="bottom"/>
          </w:tcPr>
          <w:p w14:paraId="2D9F2743" w14:textId="77777777" w:rsidR="001D1FD6" w:rsidRDefault="001D1FD6" w:rsidP="001D1FD6">
            <w:pPr>
              <w:jc w:val="right"/>
              <w:rPr>
                <w:color w:val="000000"/>
                <w:sz w:val="18"/>
                <w:szCs w:val="18"/>
                <w:u w:val="single"/>
                <w:lang w:val="en-GB"/>
              </w:rPr>
            </w:pPr>
            <w:r>
              <w:rPr>
                <w:color w:val="000000"/>
                <w:sz w:val="18"/>
                <w:szCs w:val="18"/>
                <w:u w:val="single"/>
                <w:lang w:val="en-GB"/>
              </w:rPr>
              <w:t>-</w:t>
            </w:r>
          </w:p>
        </w:tc>
        <w:tc>
          <w:tcPr>
            <w:tcW w:w="1062" w:type="dxa"/>
            <w:vAlign w:val="bottom"/>
          </w:tcPr>
          <w:p w14:paraId="4DB2036A" w14:textId="77777777" w:rsidR="001D1FD6" w:rsidRDefault="001D1FD6" w:rsidP="001D1FD6">
            <w:pPr>
              <w:jc w:val="right"/>
              <w:rPr>
                <w:color w:val="000000"/>
                <w:sz w:val="18"/>
                <w:szCs w:val="18"/>
                <w:u w:val="single"/>
                <w:lang w:val="en-GB"/>
              </w:rPr>
            </w:pPr>
            <w:r>
              <w:rPr>
                <w:color w:val="000000"/>
                <w:sz w:val="18"/>
                <w:szCs w:val="18"/>
                <w:u w:val="single"/>
                <w:lang w:val="en-GB"/>
              </w:rPr>
              <w:t>-</w:t>
            </w:r>
          </w:p>
        </w:tc>
        <w:tc>
          <w:tcPr>
            <w:tcW w:w="1104" w:type="dxa"/>
            <w:vAlign w:val="bottom"/>
          </w:tcPr>
          <w:p w14:paraId="4139DDB0" w14:textId="77777777" w:rsidR="001D1FD6" w:rsidRDefault="001D1FD6" w:rsidP="001D1FD6">
            <w:pPr>
              <w:jc w:val="right"/>
              <w:rPr>
                <w:color w:val="000000"/>
                <w:sz w:val="18"/>
                <w:szCs w:val="18"/>
                <w:u w:val="single"/>
                <w:lang w:val="en-GB"/>
              </w:rPr>
            </w:pPr>
            <w:r>
              <w:rPr>
                <w:color w:val="000000"/>
                <w:sz w:val="18"/>
                <w:szCs w:val="18"/>
                <w:u w:val="single"/>
                <w:lang w:val="en-GB"/>
              </w:rPr>
              <w:t>-</w:t>
            </w:r>
          </w:p>
        </w:tc>
        <w:tc>
          <w:tcPr>
            <w:tcW w:w="1089" w:type="dxa"/>
            <w:vAlign w:val="bottom"/>
          </w:tcPr>
          <w:p w14:paraId="63FA7D28" w14:textId="77777777" w:rsidR="001D1FD6" w:rsidRDefault="001D1FD6" w:rsidP="001D1FD6">
            <w:pPr>
              <w:jc w:val="right"/>
              <w:rPr>
                <w:color w:val="000000"/>
                <w:sz w:val="18"/>
                <w:szCs w:val="18"/>
                <w:u w:val="single"/>
                <w:lang w:val="en-GB"/>
              </w:rPr>
            </w:pPr>
            <w:r>
              <w:rPr>
                <w:color w:val="000000"/>
                <w:sz w:val="18"/>
                <w:szCs w:val="18"/>
                <w:u w:val="single"/>
                <w:lang w:val="en-GB"/>
              </w:rPr>
              <w:t>-</w:t>
            </w:r>
          </w:p>
        </w:tc>
        <w:tc>
          <w:tcPr>
            <w:tcW w:w="1173" w:type="dxa"/>
            <w:gridSpan w:val="2"/>
            <w:vAlign w:val="bottom"/>
          </w:tcPr>
          <w:p w14:paraId="1BA047AB" w14:textId="77777777" w:rsidR="001D1FD6" w:rsidRDefault="001D1FD6" w:rsidP="001D1FD6">
            <w:pPr>
              <w:jc w:val="right"/>
              <w:rPr>
                <w:color w:val="000000"/>
                <w:sz w:val="18"/>
                <w:szCs w:val="18"/>
                <w:u w:val="single"/>
                <w:lang w:val="en-GB"/>
              </w:rPr>
            </w:pPr>
            <w:r>
              <w:rPr>
                <w:color w:val="000000"/>
                <w:sz w:val="18"/>
                <w:szCs w:val="18"/>
                <w:u w:val="single"/>
                <w:lang w:val="en-GB"/>
              </w:rPr>
              <w:t>-</w:t>
            </w:r>
          </w:p>
        </w:tc>
      </w:tr>
      <w:tr w:rsidR="001D1FD6" w14:paraId="0EB78028" w14:textId="77777777" w:rsidTr="001D1FD6">
        <w:trPr>
          <w:cantSplit/>
          <w:trHeight w:val="189"/>
        </w:trPr>
        <w:tc>
          <w:tcPr>
            <w:tcW w:w="2122" w:type="dxa"/>
            <w:vAlign w:val="bottom"/>
          </w:tcPr>
          <w:p w14:paraId="26E6C248" w14:textId="77777777" w:rsidR="001D1FD6" w:rsidRDefault="001D1FD6" w:rsidP="001D1FD6">
            <w:pPr>
              <w:ind w:firstLine="34"/>
              <w:jc w:val="both"/>
              <w:rPr>
                <w:color w:val="000000"/>
                <w:sz w:val="18"/>
                <w:szCs w:val="18"/>
                <w:lang w:val="en-GB"/>
              </w:rPr>
            </w:pPr>
          </w:p>
        </w:tc>
        <w:tc>
          <w:tcPr>
            <w:tcW w:w="1000" w:type="dxa"/>
            <w:vAlign w:val="bottom"/>
          </w:tcPr>
          <w:p w14:paraId="7DB80B8F" w14:textId="77777777" w:rsidR="001D1FD6" w:rsidRDefault="001D1FD6" w:rsidP="001D1FD6">
            <w:pPr>
              <w:jc w:val="right"/>
              <w:rPr>
                <w:b/>
                <w:bCs/>
                <w:color w:val="000000"/>
                <w:sz w:val="18"/>
                <w:szCs w:val="18"/>
                <w:u w:val="double"/>
                <w:lang w:val="en-GB"/>
              </w:rPr>
            </w:pPr>
            <w:r>
              <w:rPr>
                <w:b/>
                <w:bCs/>
                <w:color w:val="000000"/>
                <w:sz w:val="18"/>
                <w:szCs w:val="18"/>
                <w:u w:val="double"/>
                <w:lang w:val="en-GB"/>
              </w:rPr>
              <w:t>362,716</w:t>
            </w:r>
          </w:p>
        </w:tc>
        <w:tc>
          <w:tcPr>
            <w:tcW w:w="1176" w:type="dxa"/>
            <w:vAlign w:val="bottom"/>
          </w:tcPr>
          <w:p w14:paraId="18A07120" w14:textId="77777777" w:rsidR="001D1FD6" w:rsidRDefault="001D1FD6" w:rsidP="001D1FD6">
            <w:pPr>
              <w:jc w:val="right"/>
              <w:rPr>
                <w:b/>
                <w:bCs/>
                <w:color w:val="000000"/>
                <w:sz w:val="18"/>
                <w:szCs w:val="18"/>
                <w:u w:val="double"/>
                <w:lang w:val="en-GB"/>
              </w:rPr>
            </w:pPr>
            <w:r>
              <w:rPr>
                <w:b/>
                <w:bCs/>
                <w:color w:val="000000"/>
                <w:sz w:val="18"/>
                <w:szCs w:val="18"/>
                <w:u w:val="double"/>
                <w:lang w:val="en-GB"/>
              </w:rPr>
              <w:t>(523,156)</w:t>
            </w:r>
          </w:p>
        </w:tc>
        <w:tc>
          <w:tcPr>
            <w:tcW w:w="1062" w:type="dxa"/>
            <w:vAlign w:val="bottom"/>
          </w:tcPr>
          <w:p w14:paraId="5E209BFC" w14:textId="77777777" w:rsidR="001D1FD6" w:rsidRDefault="001D1FD6" w:rsidP="001D1FD6">
            <w:pPr>
              <w:jc w:val="right"/>
              <w:rPr>
                <w:b/>
                <w:bCs/>
                <w:color w:val="000000"/>
                <w:sz w:val="18"/>
                <w:szCs w:val="18"/>
                <w:u w:val="double"/>
                <w:lang w:val="en-GB"/>
              </w:rPr>
            </w:pPr>
            <w:r>
              <w:rPr>
                <w:b/>
                <w:bCs/>
                <w:color w:val="000000"/>
                <w:sz w:val="18"/>
                <w:szCs w:val="18"/>
                <w:u w:val="double"/>
                <w:lang w:val="en-GB"/>
              </w:rPr>
              <w:t>(129,884)</w:t>
            </w:r>
          </w:p>
        </w:tc>
        <w:tc>
          <w:tcPr>
            <w:tcW w:w="1104" w:type="dxa"/>
            <w:vAlign w:val="bottom"/>
          </w:tcPr>
          <w:p w14:paraId="240CF7B4" w14:textId="77777777" w:rsidR="001D1FD6" w:rsidRDefault="001D1FD6" w:rsidP="001D1FD6">
            <w:pPr>
              <w:jc w:val="right"/>
              <w:rPr>
                <w:b/>
                <w:bCs/>
                <w:color w:val="000000"/>
                <w:sz w:val="18"/>
                <w:szCs w:val="18"/>
                <w:u w:val="double"/>
                <w:lang w:val="en-GB"/>
              </w:rPr>
            </w:pPr>
            <w:r>
              <w:rPr>
                <w:b/>
                <w:bCs/>
                <w:color w:val="000000"/>
                <w:sz w:val="18"/>
                <w:szCs w:val="18"/>
                <w:u w:val="double"/>
                <w:lang w:val="en-GB"/>
              </w:rPr>
              <w:t>(107,726)</w:t>
            </w:r>
          </w:p>
        </w:tc>
        <w:tc>
          <w:tcPr>
            <w:tcW w:w="1089" w:type="dxa"/>
            <w:vAlign w:val="bottom"/>
          </w:tcPr>
          <w:p w14:paraId="2087701C" w14:textId="77777777" w:rsidR="001D1FD6" w:rsidRDefault="001D1FD6" w:rsidP="001D1FD6">
            <w:pPr>
              <w:jc w:val="right"/>
              <w:rPr>
                <w:b/>
                <w:bCs/>
                <w:color w:val="000000"/>
                <w:sz w:val="18"/>
                <w:szCs w:val="18"/>
                <w:u w:val="double"/>
                <w:lang w:val="en-GB"/>
              </w:rPr>
            </w:pPr>
            <w:r>
              <w:rPr>
                <w:b/>
                <w:bCs/>
                <w:color w:val="000000"/>
                <w:sz w:val="18"/>
                <w:szCs w:val="18"/>
                <w:u w:val="double"/>
                <w:lang w:val="en-GB"/>
              </w:rPr>
              <w:t>(42,097)</w:t>
            </w:r>
          </w:p>
        </w:tc>
        <w:tc>
          <w:tcPr>
            <w:tcW w:w="1173" w:type="dxa"/>
            <w:gridSpan w:val="2"/>
            <w:vAlign w:val="bottom"/>
          </w:tcPr>
          <w:p w14:paraId="06E4B319" w14:textId="77777777" w:rsidR="001D1FD6" w:rsidRDefault="001D1FD6" w:rsidP="001D1FD6">
            <w:pPr>
              <w:jc w:val="right"/>
              <w:rPr>
                <w:b/>
                <w:bCs/>
                <w:color w:val="000000"/>
                <w:sz w:val="18"/>
                <w:szCs w:val="18"/>
                <w:u w:val="double"/>
                <w:lang w:val="en-GB"/>
              </w:rPr>
            </w:pPr>
            <w:r>
              <w:rPr>
                <w:b/>
                <w:bCs/>
                <w:color w:val="000000"/>
                <w:sz w:val="18"/>
                <w:szCs w:val="18"/>
                <w:u w:val="double"/>
                <w:lang w:val="en-GB"/>
              </w:rPr>
              <w:t>(243,449)</w:t>
            </w:r>
          </w:p>
        </w:tc>
      </w:tr>
    </w:tbl>
    <w:p w14:paraId="30BC293E" w14:textId="77777777" w:rsidR="001D1FD6" w:rsidRDefault="001D1FD6" w:rsidP="001D1FD6">
      <w:pPr>
        <w:jc w:val="both"/>
        <w:rPr>
          <w:rFonts w:cs="Arabic Transparent"/>
          <w:sz w:val="18"/>
          <w:szCs w:val="18"/>
          <w:lang w:val="en-GB"/>
        </w:rPr>
      </w:pPr>
    </w:p>
    <w:bookmarkEnd w:id="70"/>
    <w:p w14:paraId="18BAC056" w14:textId="77777777" w:rsidR="001D1FD6" w:rsidRDefault="001D1FD6" w:rsidP="001D1FD6">
      <w:pPr>
        <w:spacing w:after="240"/>
        <w:jc w:val="both"/>
        <w:rPr>
          <w:rFonts w:cs="Arabic Transparent"/>
          <w:b/>
          <w:color w:val="000000"/>
          <w:sz w:val="18"/>
          <w:szCs w:val="18"/>
        </w:rPr>
      </w:pPr>
      <w:r>
        <w:rPr>
          <w:rFonts w:cs="Arabic Transparent"/>
          <w:b/>
          <w:color w:val="000000"/>
          <w:sz w:val="18"/>
          <w:szCs w:val="18"/>
        </w:rPr>
        <w:t xml:space="preserve">Basis of Presentation </w:t>
      </w:r>
    </w:p>
    <w:p w14:paraId="4F716148" w14:textId="77777777" w:rsidR="001D1FD6" w:rsidRDefault="001D1FD6" w:rsidP="001D1FD6">
      <w:pPr>
        <w:pStyle w:val="NormalWeb"/>
        <w:spacing w:before="240" w:after="0"/>
        <w:ind w:firstLine="857"/>
        <w:rPr>
          <w:bCs/>
          <w:sz w:val="18"/>
          <w:szCs w:val="18"/>
        </w:rPr>
      </w:pPr>
      <w:r>
        <w:rPr>
          <w:bCs/>
          <w:sz w:val="18"/>
          <w:szCs w:val="18"/>
        </w:rPr>
        <w:t>The consolidated financial statements have been prepared in accordance with the requirements of International Financial Reporting Standards (IFRS) which have been adopted by the European Union. These standards comprise all new and revised standards and interpretations published by the International Accounting Standards Board (IASB) and interpretations issued by the International Financial Interpretations Committee of the IASB, as far as applicable to the activities of the Group and effective as at the date on which the relevant consolidated financial statements were prepared.</w:t>
      </w:r>
    </w:p>
    <w:p w14:paraId="4BADF048" w14:textId="44A5AC79" w:rsidR="001D1FD6" w:rsidRDefault="001D1FD6" w:rsidP="001D1FD6">
      <w:pPr>
        <w:pStyle w:val="NormalWeb"/>
        <w:spacing w:before="240" w:after="0"/>
        <w:ind w:firstLine="857"/>
        <w:rPr>
          <w:bCs/>
          <w:sz w:val="18"/>
          <w:szCs w:val="18"/>
        </w:rPr>
      </w:pPr>
      <w:r>
        <w:rPr>
          <w:bCs/>
          <w:sz w:val="18"/>
          <w:szCs w:val="18"/>
        </w:rPr>
        <w:t>The accounting policies adopted for the half year 2017 are consistent with those followed in the preparation of the Group’s annual consolidated financial statements for the year ended 31 December 2016 except for the new standards, amendments to standards and interpretations which became effective during 2017 an</w:t>
      </w:r>
      <w:r w:rsidR="00573287">
        <w:rPr>
          <w:bCs/>
          <w:sz w:val="18"/>
          <w:szCs w:val="18"/>
        </w:rPr>
        <w:t xml:space="preserve">d which are set out in note </w:t>
      </w:r>
      <w:r w:rsidR="00892133">
        <w:rPr>
          <w:bCs/>
          <w:sz w:val="18"/>
          <w:szCs w:val="18"/>
        </w:rPr>
        <w:t xml:space="preserve">1 </w:t>
      </w:r>
      <w:r>
        <w:rPr>
          <w:bCs/>
          <w:sz w:val="18"/>
          <w:szCs w:val="18"/>
        </w:rPr>
        <w:t>to the Interim Financial Statements</w:t>
      </w:r>
      <w:r w:rsidR="00892133">
        <w:rPr>
          <w:bCs/>
          <w:sz w:val="18"/>
          <w:szCs w:val="18"/>
        </w:rPr>
        <w:t xml:space="preserve"> 2017</w:t>
      </w:r>
      <w:r>
        <w:rPr>
          <w:bCs/>
          <w:sz w:val="18"/>
          <w:szCs w:val="18"/>
        </w:rPr>
        <w:t>.</w:t>
      </w:r>
    </w:p>
    <w:p w14:paraId="6AE7CDEC" w14:textId="77777777" w:rsidR="001D1FD6" w:rsidRDefault="001D1FD6" w:rsidP="001D1FD6">
      <w:pPr>
        <w:pStyle w:val="NormalWeb"/>
        <w:spacing w:before="240" w:after="0"/>
        <w:ind w:firstLine="857"/>
        <w:rPr>
          <w:bCs/>
          <w:sz w:val="18"/>
          <w:szCs w:val="18"/>
        </w:rPr>
      </w:pPr>
      <w:r>
        <w:rPr>
          <w:bCs/>
          <w:sz w:val="18"/>
          <w:szCs w:val="18"/>
        </w:rPr>
        <w:t>In respect of the new standards IFRS 9, IFRS 15 and IFRS 16 which are not yet effective during the first half of 2017, the Company has currently made following analysis:</w:t>
      </w:r>
    </w:p>
    <w:p w14:paraId="59D3D9C8" w14:textId="77777777" w:rsidR="001D1FD6" w:rsidRDefault="001D1FD6" w:rsidP="001D1FD6">
      <w:pPr>
        <w:numPr>
          <w:ilvl w:val="0"/>
          <w:numId w:val="85"/>
        </w:numPr>
        <w:ind w:left="426" w:hanging="426"/>
        <w:contextualSpacing/>
        <w:jc w:val="both"/>
        <w:rPr>
          <w:sz w:val="18"/>
          <w:szCs w:val="18"/>
          <w:lang w:val="en-GB"/>
        </w:rPr>
      </w:pPr>
      <w:r>
        <w:rPr>
          <w:sz w:val="18"/>
          <w:szCs w:val="18"/>
          <w:lang w:val="en-GB"/>
        </w:rPr>
        <w:t xml:space="preserve">IFRS 9 </w:t>
      </w:r>
      <w:r>
        <w:rPr>
          <w:i/>
          <w:sz w:val="18"/>
          <w:szCs w:val="18"/>
          <w:lang w:val="en-GB"/>
        </w:rPr>
        <w:t>– Financial Instruments (effective 1 January 2018)</w:t>
      </w:r>
      <w:r>
        <w:rPr>
          <w:sz w:val="18"/>
          <w:szCs w:val="18"/>
          <w:lang w:val="en-GB"/>
        </w:rPr>
        <w:t xml:space="preserve">: IFRS 9 was finalised and published by IASB in July 2014 and endorsed by the EU in November 2016. IFRS 9 contains the requirements for the classification and measurement of financial assets and financial liabilities, the impairment of financial assets, and the general hedge accounting. IFRS 9 will replace most parts of IAS 39 – Financial Instruments: Recognition and Measurement. </w:t>
      </w:r>
    </w:p>
    <w:p w14:paraId="2F56C205" w14:textId="77777777" w:rsidR="001D1FD6" w:rsidRDefault="001D1FD6" w:rsidP="001D1FD6">
      <w:pPr>
        <w:ind w:left="426"/>
        <w:contextualSpacing/>
        <w:jc w:val="both"/>
        <w:rPr>
          <w:sz w:val="18"/>
          <w:szCs w:val="18"/>
          <w:lang w:val="en-GB"/>
        </w:rPr>
      </w:pPr>
      <w:r>
        <w:rPr>
          <w:sz w:val="18"/>
          <w:szCs w:val="18"/>
          <w:lang w:val="en-GB"/>
        </w:rPr>
        <w:t>Based on an analysis of VGP’s situation as at 30 June 2017, IFRS 9 is not expected to have a material impact on the consolidated financial statements. With respect to the impairment of financial assets measured at amortised cost, including trade receivables, the initial application of the expected credit loss model under IFRS 9 will result in earlier recognition of credit losses compared to the incurred loss model currently applied under IAS 39. Considering the relatively limited amount of trade receivables combined with the low associated credit risk, the Company does however not anticipate a material impact on the consolidated financial statements.</w:t>
      </w:r>
    </w:p>
    <w:p w14:paraId="2E5E1707" w14:textId="77777777" w:rsidR="001D1FD6" w:rsidRDefault="001D1FD6" w:rsidP="001D1FD6">
      <w:pPr>
        <w:numPr>
          <w:ilvl w:val="0"/>
          <w:numId w:val="85"/>
        </w:numPr>
        <w:ind w:left="426" w:hanging="426"/>
        <w:contextualSpacing/>
        <w:jc w:val="both"/>
        <w:rPr>
          <w:sz w:val="18"/>
          <w:szCs w:val="18"/>
          <w:lang w:val="en-GB"/>
        </w:rPr>
      </w:pPr>
      <w:r>
        <w:rPr>
          <w:sz w:val="18"/>
          <w:szCs w:val="18"/>
          <w:lang w:val="en-GB"/>
        </w:rPr>
        <w:t xml:space="preserve">IFRS 15 </w:t>
      </w:r>
      <w:r>
        <w:rPr>
          <w:i/>
          <w:sz w:val="18"/>
          <w:szCs w:val="18"/>
          <w:lang w:val="en-GB"/>
        </w:rPr>
        <w:t>– Revenue from Contracts with Customers (effective 1 January 2018)</w:t>
      </w:r>
      <w:r>
        <w:rPr>
          <w:sz w:val="18"/>
          <w:szCs w:val="18"/>
          <w:lang w:val="en-GB"/>
        </w:rPr>
        <w:t>: IFRS 15 establishes a single comprehensive model for entities to use in accounting for revenue arising from contracts with customers. Upon its effective date IFRS 15 will replace IAS 18 which covers revenue arising from the sale of goods and the rendering of services and IAS 11 which covers construction contracts and the related interpretations.</w:t>
      </w:r>
    </w:p>
    <w:p w14:paraId="6AA63FE2" w14:textId="77777777" w:rsidR="001D1FD6" w:rsidRDefault="001D1FD6" w:rsidP="001D1FD6">
      <w:pPr>
        <w:ind w:left="426"/>
        <w:contextualSpacing/>
        <w:jc w:val="both"/>
        <w:rPr>
          <w:sz w:val="18"/>
          <w:szCs w:val="18"/>
          <w:lang w:val="en-GB"/>
        </w:rPr>
      </w:pPr>
      <w:r>
        <w:rPr>
          <w:sz w:val="18"/>
          <w:szCs w:val="18"/>
          <w:lang w:val="en-GB"/>
        </w:rPr>
        <w:t xml:space="preserve">IFRS 15 is not expected to have a material impact on the consolidated financial statements of the Company as lease contracts are excluded from the scope of the standard and represent the main source of income for VGP. The principles of IFRS 15 are still applicable to the non-lease components that may be contained in lease contracts or in separate agreements, such as maintenance related services charged to the lessee. Considering however that such non-lease components mostly represent services recognised over time under both IFRS 15 and IAS 18, VGP does not anticipate a material impact in that respect. </w:t>
      </w:r>
    </w:p>
    <w:p w14:paraId="06EDA0DD" w14:textId="77777777" w:rsidR="001D1FD6" w:rsidRDefault="001D1FD6" w:rsidP="001D1FD6">
      <w:pPr>
        <w:numPr>
          <w:ilvl w:val="0"/>
          <w:numId w:val="85"/>
        </w:numPr>
        <w:spacing w:after="120"/>
        <w:ind w:left="426" w:hanging="426"/>
        <w:contextualSpacing/>
        <w:jc w:val="both"/>
        <w:rPr>
          <w:sz w:val="18"/>
          <w:szCs w:val="18"/>
          <w:lang w:val="en-GB"/>
        </w:rPr>
      </w:pPr>
      <w:r>
        <w:rPr>
          <w:sz w:val="18"/>
          <w:szCs w:val="18"/>
          <w:lang w:val="en-GB"/>
        </w:rPr>
        <w:t xml:space="preserve">IFRS 16 – </w:t>
      </w:r>
      <w:r>
        <w:rPr>
          <w:i/>
          <w:sz w:val="18"/>
          <w:szCs w:val="18"/>
          <w:lang w:val="en-GB"/>
        </w:rPr>
        <w:t>Leases (effective 1 January 2019)</w:t>
      </w:r>
      <w:r>
        <w:rPr>
          <w:sz w:val="18"/>
          <w:szCs w:val="18"/>
          <w:lang w:val="en-GB"/>
        </w:rPr>
        <w:t xml:space="preserve">: IFRS 16 provides a comprehensive model for the identification of lease arrangements and their treatment in the financial statements of both lessees and lessors. It will supersede IAS 17 – Leases and related interpretations upon its effective date. IFRS 16 has not yet been endorsed at the EU level. </w:t>
      </w:r>
    </w:p>
    <w:p w14:paraId="6540F701" w14:textId="77777777" w:rsidR="001D1FD6" w:rsidRDefault="001D1FD6" w:rsidP="001D1FD6">
      <w:pPr>
        <w:spacing w:after="120"/>
        <w:ind w:left="426"/>
        <w:contextualSpacing/>
        <w:jc w:val="both"/>
        <w:rPr>
          <w:sz w:val="18"/>
          <w:szCs w:val="18"/>
          <w:lang w:val="en-GB"/>
        </w:rPr>
      </w:pPr>
      <w:r>
        <w:rPr>
          <w:sz w:val="18"/>
          <w:szCs w:val="18"/>
          <w:lang w:val="en-GB"/>
        </w:rPr>
        <w:t xml:space="preserve">Significant changes to lessee accounting are introduced by IFRS 16, with the distinction between operating and finance leases removed and assets and liabilities recognised in respect of all leases (subject to limited exceptions for short-term leases and leases of low value assets). In contrast to lessee accounting, IFRS 16 substantially carries forward the lessor accounting requirements in IAS 17, and continues to require a lessor to classify a lease either as an operating lease or a finance lease. </w:t>
      </w:r>
    </w:p>
    <w:p w14:paraId="0850CE76" w14:textId="77777777" w:rsidR="001D1FD6" w:rsidRDefault="001D1FD6" w:rsidP="001D1FD6">
      <w:pPr>
        <w:spacing w:after="360"/>
        <w:ind w:left="426"/>
        <w:contextualSpacing/>
        <w:jc w:val="both"/>
        <w:rPr>
          <w:sz w:val="18"/>
          <w:szCs w:val="18"/>
          <w:lang w:val="en-GB"/>
        </w:rPr>
      </w:pPr>
      <w:r>
        <w:rPr>
          <w:sz w:val="18"/>
          <w:szCs w:val="18"/>
          <w:lang w:val="en-GB"/>
        </w:rPr>
        <w:t>As VGP is almost exclusively acting as lessor, IFRS 16 is not expected to have a material impact on its consolidated financial statements. In the limited cases where VGP is the lessee in contracts classified as operating leases under IAS 17, a right-of-use asset and related liability will be recognised on the consolidated balance sheet.</w:t>
      </w:r>
    </w:p>
    <w:p w14:paraId="1F0D4A54" w14:textId="77777777" w:rsidR="001D1FD6" w:rsidRDefault="001D1FD6" w:rsidP="001D1FD6">
      <w:pPr>
        <w:spacing w:after="360"/>
        <w:ind w:left="426"/>
        <w:contextualSpacing/>
        <w:jc w:val="both"/>
        <w:rPr>
          <w:sz w:val="18"/>
          <w:szCs w:val="18"/>
          <w:lang w:val="en-GB"/>
        </w:rPr>
      </w:pPr>
    </w:p>
    <w:p w14:paraId="5BE93A9A" w14:textId="77777777" w:rsidR="001D1FD6" w:rsidRDefault="001D1FD6" w:rsidP="001D1FD6">
      <w:pPr>
        <w:autoSpaceDE w:val="0"/>
        <w:autoSpaceDN w:val="0"/>
        <w:adjustRightInd w:val="0"/>
        <w:jc w:val="both"/>
        <w:rPr>
          <w:color w:val="000000" w:themeColor="text1"/>
          <w:sz w:val="18"/>
          <w:szCs w:val="18"/>
          <w:lang w:val="en-GB"/>
        </w:rPr>
      </w:pPr>
      <w:r>
        <w:rPr>
          <w:color w:val="000000" w:themeColor="text1"/>
          <w:sz w:val="18"/>
          <w:szCs w:val="18"/>
          <w:lang w:val="en-GB"/>
        </w:rPr>
        <w:t>Finally, in respect of the Joint Venture and the Associate, the Company has adopted following in respect of the Joint Venture:</w:t>
      </w:r>
    </w:p>
    <w:p w14:paraId="1D7A07BB" w14:textId="77777777" w:rsidR="001D1FD6" w:rsidRDefault="001D1FD6" w:rsidP="001D1FD6">
      <w:pPr>
        <w:pStyle w:val="NormalWeb"/>
        <w:spacing w:before="240" w:after="0"/>
        <w:ind w:firstLine="857"/>
        <w:rPr>
          <w:bCs/>
          <w:sz w:val="18"/>
          <w:szCs w:val="18"/>
        </w:rPr>
      </w:pPr>
      <w:r>
        <w:rPr>
          <w:bCs/>
          <w:sz w:val="18"/>
          <w:szCs w:val="18"/>
        </w:rPr>
        <w:t xml:space="preserve">IAS 28.28 only permits recognition of the gain or loss from downstream transactions “to the extent of unrelated investors’ interests in the associate or joint venture”. However, the standard does not specifically address the treatment of revenue derived from transactions with equity-method investees (e.g. revenue from the sale of goods, or interest revenue) and whether that revenue should be eliminated from the consolidated financial statements. In contrast, according to IFRS 10.25 upon loss of control of a subsidiary, a holding company does not </w:t>
      </w:r>
      <w:proofErr w:type="spellStart"/>
      <w:r>
        <w:rPr>
          <w:bCs/>
          <w:sz w:val="18"/>
          <w:szCs w:val="18"/>
        </w:rPr>
        <w:t>recognise</w:t>
      </w:r>
      <w:proofErr w:type="spellEnd"/>
      <w:r>
        <w:rPr>
          <w:bCs/>
          <w:sz w:val="18"/>
          <w:szCs w:val="18"/>
        </w:rPr>
        <w:t xml:space="preserve"> the assets and liabilities of the subsidiary (including non-controlling interests) in full and measures any investment retained in the former subsidiary at its fair value. In the absence of any other relevant guidance, entities have, in effect, an accounting policy choice of applying either the approach in IFRS 10 or the approach in IAS 28. </w:t>
      </w:r>
    </w:p>
    <w:p w14:paraId="6D8745FB" w14:textId="77777777" w:rsidR="001D1FD6" w:rsidRDefault="001D1FD6" w:rsidP="001D1FD6">
      <w:pPr>
        <w:pStyle w:val="NormalWeb"/>
        <w:spacing w:before="240" w:after="0"/>
        <w:ind w:firstLine="857"/>
        <w:rPr>
          <w:bCs/>
          <w:sz w:val="18"/>
          <w:szCs w:val="18"/>
        </w:rPr>
      </w:pPr>
      <w:r>
        <w:rPr>
          <w:bCs/>
          <w:sz w:val="18"/>
          <w:szCs w:val="18"/>
        </w:rPr>
        <w:t>VGP has made the accounting policy choice to recognize the gain or loss on the disposal of a subsidiary to the Joint Venture or the Associate in full in profit or loss, consistent with the applicable guidance in IFRS10. In respect of the treatment of revenues derived from transactions with the Joint Venture and the Associate (such as for example sales services and interest revenue), the Group has opted not to eliminate its interest in these transactions.</w:t>
      </w:r>
    </w:p>
    <w:p w14:paraId="79949F19" w14:textId="77777777" w:rsidR="001D1FD6" w:rsidRDefault="001D1FD6" w:rsidP="001D1FD6">
      <w:pPr>
        <w:pStyle w:val="NormalWeb"/>
        <w:spacing w:before="240" w:after="0"/>
        <w:ind w:firstLine="857"/>
        <w:rPr>
          <w:bCs/>
          <w:sz w:val="18"/>
          <w:szCs w:val="18"/>
        </w:rPr>
      </w:pPr>
      <w:r>
        <w:rPr>
          <w:bCs/>
          <w:sz w:val="18"/>
          <w:szCs w:val="18"/>
        </w:rPr>
        <w:t>As a matter of example, VGP receives € 100 interest income on a loan provided the Joint Venture. Under the accounting policy adopted by VGP this interest income would be accounted for as € 100 interest income of the Group. The cost incurred by the Joint Venture would be accounted for on a proportional (50%) basis through “</w:t>
      </w:r>
      <w:r>
        <w:rPr>
          <w:bCs/>
          <w:i/>
          <w:sz w:val="18"/>
          <w:szCs w:val="18"/>
        </w:rPr>
        <w:t>results in joint ventures and associates</w:t>
      </w:r>
      <w:r>
        <w:rPr>
          <w:bCs/>
          <w:sz w:val="18"/>
          <w:szCs w:val="18"/>
        </w:rPr>
        <w:t xml:space="preserve">” without making </w:t>
      </w:r>
      <w:r>
        <w:rPr>
          <w:bCs/>
          <w:sz w:val="18"/>
          <w:szCs w:val="18"/>
        </w:rPr>
        <w:lastRenderedPageBreak/>
        <w:t xml:space="preserve">any adjustment for the proportional interest held by VGP. By doing so the Group will only </w:t>
      </w:r>
      <w:proofErr w:type="spellStart"/>
      <w:r>
        <w:rPr>
          <w:bCs/>
          <w:sz w:val="18"/>
          <w:szCs w:val="18"/>
        </w:rPr>
        <w:t>recognise</w:t>
      </w:r>
      <w:proofErr w:type="spellEnd"/>
      <w:r>
        <w:rPr>
          <w:bCs/>
          <w:sz w:val="18"/>
          <w:szCs w:val="18"/>
        </w:rPr>
        <w:t xml:space="preserve"> its proportional profit or loss in its consolidated figures and ensure that it does not </w:t>
      </w:r>
      <w:proofErr w:type="spellStart"/>
      <w:r>
        <w:rPr>
          <w:bCs/>
          <w:sz w:val="18"/>
          <w:szCs w:val="18"/>
        </w:rPr>
        <w:t>recognise</w:t>
      </w:r>
      <w:proofErr w:type="spellEnd"/>
      <w:r>
        <w:rPr>
          <w:bCs/>
          <w:sz w:val="18"/>
          <w:szCs w:val="18"/>
        </w:rPr>
        <w:t xml:space="preserve"> a higher profit or loss than its share in the “results in joint ventures and associates”.</w:t>
      </w:r>
    </w:p>
    <w:p w14:paraId="55A87818" w14:textId="77777777" w:rsidR="001D1FD6" w:rsidRDefault="001D1FD6" w:rsidP="001D1FD6">
      <w:pPr>
        <w:spacing w:after="240"/>
        <w:jc w:val="both"/>
        <w:rPr>
          <w:rFonts w:cs="Arabic Transparent"/>
          <w:b/>
          <w:color w:val="000000"/>
          <w:sz w:val="18"/>
          <w:szCs w:val="18"/>
        </w:rPr>
      </w:pPr>
      <w:r>
        <w:rPr>
          <w:rFonts w:cs="Arabic Transparent"/>
          <w:b/>
          <w:color w:val="000000"/>
          <w:sz w:val="18"/>
          <w:szCs w:val="18"/>
        </w:rPr>
        <w:t>Critical accounting judgments and estimates</w:t>
      </w:r>
    </w:p>
    <w:p w14:paraId="3B140DDB" w14:textId="77777777" w:rsidR="001D1FD6" w:rsidRDefault="001D1FD6" w:rsidP="001D1FD6">
      <w:pPr>
        <w:spacing w:after="240"/>
        <w:ind w:firstLine="720"/>
        <w:jc w:val="both"/>
        <w:rPr>
          <w:bCs/>
          <w:sz w:val="18"/>
          <w:szCs w:val="18"/>
        </w:rPr>
      </w:pPr>
      <w:r>
        <w:rPr>
          <w:bCs/>
          <w:sz w:val="18"/>
          <w:szCs w:val="18"/>
        </w:rPr>
        <w:t>In connection with the preparation of the Annual Financial Statements, the Group makes certain judgments and estimations.</w:t>
      </w:r>
    </w:p>
    <w:p w14:paraId="0B645BEF" w14:textId="77777777" w:rsidR="001D1FD6" w:rsidRDefault="001D1FD6" w:rsidP="001D1FD6">
      <w:pPr>
        <w:spacing w:after="240"/>
        <w:ind w:firstLine="720"/>
        <w:jc w:val="both"/>
        <w:rPr>
          <w:bCs/>
          <w:sz w:val="18"/>
          <w:szCs w:val="18"/>
        </w:rPr>
      </w:pPr>
      <w:r>
        <w:rPr>
          <w:bCs/>
          <w:sz w:val="18"/>
          <w:szCs w:val="18"/>
        </w:rPr>
        <w:t>The following are the critical judgments made by management, apart from those involving estimations, that have a significant effect on the amounts reported in the consolidated financial statements:</w:t>
      </w:r>
    </w:p>
    <w:p w14:paraId="24279D58" w14:textId="77777777" w:rsidR="001D1FD6" w:rsidRDefault="001D1FD6" w:rsidP="001D1FD6">
      <w:pPr>
        <w:numPr>
          <w:ilvl w:val="0"/>
          <w:numId w:val="70"/>
        </w:numPr>
        <w:spacing w:after="240"/>
        <w:jc w:val="both"/>
        <w:rPr>
          <w:rFonts w:cs="Arabic Transparent"/>
          <w:color w:val="000000"/>
          <w:sz w:val="18"/>
          <w:szCs w:val="18"/>
          <w:lang w:val="en-GB"/>
        </w:rPr>
      </w:pPr>
      <w:r>
        <w:rPr>
          <w:rFonts w:cs="Arabic Transparent"/>
          <w:color w:val="000000"/>
          <w:sz w:val="18"/>
          <w:szCs w:val="18"/>
          <w:lang w:val="en-GB"/>
        </w:rPr>
        <w:t xml:space="preserve">Determining whether control, joint control or a significant influence is exercised over investments. Management concluded that it has joint control over the Joint Venture and hence this joint venture and the related associates are accounted for using the equity method. </w:t>
      </w:r>
    </w:p>
    <w:p w14:paraId="1ECBF151" w14:textId="77777777" w:rsidR="001D1FD6" w:rsidRDefault="001D1FD6" w:rsidP="001D1FD6">
      <w:pPr>
        <w:numPr>
          <w:ilvl w:val="0"/>
          <w:numId w:val="70"/>
        </w:numPr>
        <w:spacing w:after="240"/>
        <w:jc w:val="both"/>
        <w:rPr>
          <w:rFonts w:cs="Arabic Transparent"/>
          <w:color w:val="000000"/>
          <w:sz w:val="18"/>
          <w:szCs w:val="18"/>
        </w:rPr>
      </w:pPr>
      <w:r>
        <w:rPr>
          <w:rFonts w:cs="Arabic Transparent"/>
          <w:color w:val="000000"/>
          <w:sz w:val="18"/>
          <w:szCs w:val="18"/>
          <w:lang w:val="en-GB"/>
        </w:rPr>
        <w:t>The Group has elected to recognize the gain or loss on the disposal of a subsidiary to a joint venture or associate in full in profit or loss. In respect of the treatment of revenues derived from transactions with joint ventures and associates (e.g., sales services, interest revenue), the Group has opted not to eliminate its interest in these transactions nor to make any adjustment for the proportional adjustment to the joint venture corresponding figures. By doing so the Group only recognises its proportional profit or loss in its consolidated financial information, and does not recognise a higher profit or loss than its share accounted for under “results in joint ventures and associates”.</w:t>
      </w:r>
    </w:p>
    <w:p w14:paraId="10F57AAF" w14:textId="2058ED67" w:rsidR="001D1FD6" w:rsidRDefault="001D1FD6" w:rsidP="001D1FD6">
      <w:pPr>
        <w:spacing w:after="240"/>
        <w:ind w:firstLine="720"/>
        <w:jc w:val="both"/>
        <w:rPr>
          <w:bCs/>
          <w:sz w:val="18"/>
          <w:szCs w:val="18"/>
        </w:rPr>
      </w:pPr>
      <w:r>
        <w:rPr>
          <w:bCs/>
          <w:sz w:val="18"/>
          <w:szCs w:val="18"/>
        </w:rPr>
        <w:t>The following are the key estimates made by the Group in conn</w:t>
      </w:r>
      <w:r w:rsidR="00E423FB">
        <w:rPr>
          <w:bCs/>
          <w:sz w:val="18"/>
          <w:szCs w:val="18"/>
        </w:rPr>
        <w:t>ection with preparation of the Annual Financial Statements</w:t>
      </w:r>
      <w:r>
        <w:rPr>
          <w:bCs/>
          <w:sz w:val="18"/>
          <w:szCs w:val="18"/>
        </w:rPr>
        <w:t xml:space="preserve"> and that could have a significant impact on the Annual Financial Statements: </w:t>
      </w:r>
    </w:p>
    <w:p w14:paraId="34703F47" w14:textId="77777777" w:rsidR="001D1FD6" w:rsidRDefault="001D1FD6" w:rsidP="001D1FD6">
      <w:pPr>
        <w:numPr>
          <w:ilvl w:val="0"/>
          <w:numId w:val="71"/>
        </w:numPr>
        <w:spacing w:after="240"/>
        <w:jc w:val="both"/>
        <w:rPr>
          <w:rFonts w:eastAsia="PMingLiU" w:cs="Arabic Transparent"/>
          <w:sz w:val="18"/>
          <w:szCs w:val="18"/>
          <w:lang w:val="en-GB"/>
        </w:rPr>
      </w:pPr>
      <w:r>
        <w:rPr>
          <w:rFonts w:eastAsia="PMingLiU" w:cs="Arabic Transparent"/>
          <w:sz w:val="18"/>
          <w:szCs w:val="18"/>
          <w:lang w:val="en-GB"/>
        </w:rPr>
        <w:t>The Group's portfolio is valued at least annually by independent real estate experts. This valuation by real estate experts is intended to determine the market value of a property at a certain date, as a function of the market evolution and the characteristics of the property concerned. The property portfolio is recorded at the fair value established by the real estate experts in the Group’s consolidated financial information.</w:t>
      </w:r>
    </w:p>
    <w:p w14:paraId="51384701" w14:textId="77777777" w:rsidR="001D1FD6" w:rsidRDefault="001D1FD6" w:rsidP="001D1FD6">
      <w:pPr>
        <w:numPr>
          <w:ilvl w:val="0"/>
          <w:numId w:val="71"/>
        </w:numPr>
        <w:spacing w:after="240"/>
        <w:jc w:val="both"/>
        <w:rPr>
          <w:rFonts w:eastAsia="PMingLiU" w:cs="Arabic Transparent"/>
          <w:sz w:val="18"/>
          <w:szCs w:val="18"/>
          <w:lang w:val="en-GB"/>
        </w:rPr>
      </w:pPr>
      <w:r>
        <w:rPr>
          <w:rFonts w:eastAsia="PMingLiU" w:cs="Arabic Transparent"/>
          <w:sz w:val="18"/>
          <w:szCs w:val="18"/>
          <w:lang w:val="en-GB"/>
        </w:rPr>
        <w:t>The Group’s derivative financial instruments are assessed at the moment of transaction whether such instruments qualify for hedge accounting. The Group has no hedging instruments which qualify for hedge accounting and as a result the changes in fair value of the hedging instruments are recognised through profit and loss.</w:t>
      </w:r>
    </w:p>
    <w:p w14:paraId="7708E4C0" w14:textId="77777777" w:rsidR="001D1FD6" w:rsidRDefault="001D1FD6" w:rsidP="001D1FD6">
      <w:pPr>
        <w:numPr>
          <w:ilvl w:val="0"/>
          <w:numId w:val="71"/>
        </w:numPr>
        <w:spacing w:after="240"/>
        <w:jc w:val="both"/>
        <w:rPr>
          <w:rFonts w:cs="Arabic Transparent"/>
          <w:color w:val="000000"/>
          <w:sz w:val="18"/>
          <w:szCs w:val="18"/>
        </w:rPr>
      </w:pPr>
      <w:r>
        <w:rPr>
          <w:rFonts w:eastAsia="PMingLiU" w:cs="Arabic Transparent"/>
          <w:sz w:val="18"/>
          <w:szCs w:val="18"/>
          <w:lang w:val="en-GB"/>
        </w:rPr>
        <w:t>Deferred tax assets are recognized for the carry forward of unused tax losses and unused tax credits to the extent that it is probable that future taxable profit will be available against which the unused tax losses and unused tax credits can be utilized. In making its judgment, management takes into account elements such as long-term business strategy and tax planning opportunities.</w:t>
      </w:r>
    </w:p>
    <w:p w14:paraId="2B3C8F77" w14:textId="751DCFDE" w:rsidR="001D1FD6" w:rsidRDefault="001D1FD6" w:rsidP="001D1FD6">
      <w:pPr>
        <w:spacing w:after="240"/>
        <w:jc w:val="both"/>
        <w:rPr>
          <w:rFonts w:cs="Arabic Transparent"/>
          <w:color w:val="000000"/>
          <w:sz w:val="18"/>
          <w:szCs w:val="18"/>
        </w:rPr>
      </w:pPr>
      <w:r>
        <w:rPr>
          <w:rFonts w:cs="Arabic Transparent"/>
          <w:color w:val="000000"/>
          <w:sz w:val="18"/>
          <w:szCs w:val="18"/>
        </w:rPr>
        <w:t>For a description of the Group's principal a</w:t>
      </w:r>
      <w:r w:rsidR="00B048A9">
        <w:rPr>
          <w:rFonts w:cs="Arabic Transparent"/>
          <w:color w:val="000000"/>
          <w:sz w:val="18"/>
          <w:szCs w:val="18"/>
        </w:rPr>
        <w:t>ccounting policies, see note 2</w:t>
      </w:r>
      <w:r>
        <w:rPr>
          <w:rFonts w:cs="Arabic Transparent"/>
          <w:color w:val="000000"/>
          <w:sz w:val="18"/>
          <w:szCs w:val="18"/>
        </w:rPr>
        <w:t xml:space="preserve"> to the Annual Financial Statements.</w:t>
      </w:r>
    </w:p>
    <w:p w14:paraId="6F340A87" w14:textId="77777777" w:rsidR="00F76607" w:rsidRDefault="001863F0">
      <w:pPr>
        <w:pStyle w:val="VulcanIISectionTitle"/>
      </w:pPr>
      <w:bookmarkStart w:id="71" w:name="_Toc493194616"/>
      <w:r>
        <w:lastRenderedPageBreak/>
        <w:t>BUSINESS</w:t>
      </w:r>
      <w:bookmarkEnd w:id="71"/>
    </w:p>
    <w:p w14:paraId="3A84CA4A" w14:textId="77777777" w:rsidR="00F76607" w:rsidRDefault="001863F0">
      <w:pPr>
        <w:pStyle w:val="VulcanIILevel1"/>
        <w:rPr>
          <w:lang w:val="en-GB"/>
        </w:rPr>
      </w:pPr>
      <w:r>
        <w:rPr>
          <w:lang w:val="en-GB"/>
        </w:rPr>
        <w:t>General</w:t>
      </w:r>
      <w:bookmarkEnd w:id="42"/>
      <w:r>
        <w:rPr>
          <w:lang w:val="en-GB"/>
        </w:rPr>
        <w:t xml:space="preserve"> description of the Company and the Group</w:t>
      </w:r>
    </w:p>
    <w:p w14:paraId="13514C6E" w14:textId="5D001039" w:rsidR="00F76607" w:rsidRDefault="001863F0">
      <w:pPr>
        <w:pStyle w:val="NormalWeb"/>
        <w:spacing w:before="240" w:after="0"/>
        <w:ind w:firstLine="857"/>
        <w:rPr>
          <w:sz w:val="18"/>
          <w:szCs w:val="18"/>
          <w:lang w:val="en-GB"/>
        </w:rPr>
      </w:pPr>
      <w:r>
        <w:rPr>
          <w:sz w:val="18"/>
          <w:szCs w:val="18"/>
          <w:lang w:val="en-GB"/>
        </w:rPr>
        <w:t>VGP is a pure-play logistics real-estate group focused on Western</w:t>
      </w:r>
      <w:r w:rsidR="00780624">
        <w:rPr>
          <w:sz w:val="18"/>
          <w:szCs w:val="18"/>
          <w:lang w:val="en-GB"/>
        </w:rPr>
        <w:t>,</w:t>
      </w:r>
      <w:r>
        <w:rPr>
          <w:sz w:val="18"/>
          <w:szCs w:val="18"/>
          <w:lang w:val="en-GB"/>
        </w:rPr>
        <w:t xml:space="preserve"> Central and Eastern Europe</w:t>
      </w:r>
      <w:r w:rsidR="00AF7864">
        <w:rPr>
          <w:sz w:val="18"/>
          <w:szCs w:val="18"/>
          <w:lang w:val="en-GB"/>
        </w:rPr>
        <w:t xml:space="preserve">, </w:t>
      </w:r>
      <w:r w:rsidR="00780624">
        <w:rPr>
          <w:sz w:val="18"/>
          <w:szCs w:val="18"/>
          <w:lang w:val="en-GB"/>
        </w:rPr>
        <w:t>and is</w:t>
      </w:r>
      <w:r>
        <w:rPr>
          <w:sz w:val="18"/>
          <w:szCs w:val="18"/>
          <w:lang w:val="en-GB"/>
        </w:rPr>
        <w:t xml:space="preserve"> specialised in the acquisition, development, and management of logistic real estate, i.e. buildings suitable for logistical purposes and light industrial activities. In </w:t>
      </w:r>
      <w:r w:rsidR="00780624">
        <w:rPr>
          <w:sz w:val="18"/>
          <w:szCs w:val="18"/>
          <w:lang w:val="en-GB"/>
        </w:rPr>
        <w:t xml:space="preserve">March </w:t>
      </w:r>
      <w:r>
        <w:rPr>
          <w:sz w:val="18"/>
          <w:szCs w:val="18"/>
          <w:lang w:val="en-GB"/>
        </w:rPr>
        <w:t xml:space="preserve">2016, VGP entered into a 50:50 joint venture with Allianz, the objective of which is to build a platform of new grade A logistics and industrial properties with a key focus on expansion in its core German market and high growth CEE markets. The Group develops and constructs high-end logistic real estate and ancillary offices for its own account and for the account of the Joint Venture, which primarily has a hold strategy and to which certain new developments carried out by VGP are contributed. The Group focuses on strategically located plots of land in Germany, some Central European countries, Spain and the Baltic countries, suitable for development of logistic business parks of a certain size, so as to build up an extensive and well-diversified land bank on top locations. </w:t>
      </w:r>
      <w:r w:rsidR="00780624">
        <w:rPr>
          <w:sz w:val="18"/>
          <w:szCs w:val="18"/>
          <w:lang w:val="en-GB"/>
        </w:rPr>
        <w:t>The</w:t>
      </w:r>
      <w:r>
        <w:rPr>
          <w:sz w:val="18"/>
          <w:szCs w:val="18"/>
          <w:lang w:val="en-GB"/>
        </w:rPr>
        <w:t xml:space="preserve"> Group had </w:t>
      </w:r>
      <w:r w:rsidR="00780624">
        <w:rPr>
          <w:sz w:val="18"/>
          <w:szCs w:val="18"/>
          <w:lang w:val="en-GB"/>
        </w:rPr>
        <w:t>an in-house team of 126 people as at 30 June 2017</w:t>
      </w:r>
      <w:r>
        <w:rPr>
          <w:sz w:val="18"/>
          <w:szCs w:val="18"/>
          <w:lang w:val="en-GB"/>
        </w:rPr>
        <w:t xml:space="preserve"> which manages all the activities of the fully integrated business model: from the identification and acquisition of the land, to the conceptualisation and design of the project, the supervision of the construction works, the contacts with potential tenants and the facility management of its own real estate portfolio. Over the last 10 years, the Group developed more than </w:t>
      </w:r>
      <w:r w:rsidR="00780624">
        <w:rPr>
          <w:sz w:val="18"/>
          <w:szCs w:val="18"/>
          <w:lang w:val="en-GB"/>
        </w:rPr>
        <w:t xml:space="preserve">2.2 million m² of lettable area. On the basis of </w:t>
      </w:r>
      <w:r>
        <w:rPr>
          <w:sz w:val="18"/>
          <w:szCs w:val="18"/>
          <w:lang w:val="en-GB"/>
        </w:rPr>
        <w:t>the expe</w:t>
      </w:r>
      <w:r w:rsidR="00780624">
        <w:rPr>
          <w:sz w:val="18"/>
          <w:szCs w:val="18"/>
          <w:lang w:val="en-GB"/>
        </w:rPr>
        <w:t>rience and</w:t>
      </w:r>
      <w:r>
        <w:rPr>
          <w:sz w:val="18"/>
          <w:szCs w:val="18"/>
          <w:lang w:val="en-GB"/>
        </w:rPr>
        <w:t xml:space="preserve"> knowledge </w:t>
      </w:r>
      <w:r w:rsidR="00780624">
        <w:rPr>
          <w:sz w:val="18"/>
          <w:szCs w:val="18"/>
          <w:lang w:val="en-GB"/>
        </w:rPr>
        <w:t>developed over its history</w:t>
      </w:r>
      <w:r>
        <w:rPr>
          <w:sz w:val="18"/>
          <w:szCs w:val="18"/>
          <w:lang w:val="en-GB"/>
        </w:rPr>
        <w:t>, VGP was able to develop 438,511 m² of lettable area</w:t>
      </w:r>
      <w:r w:rsidR="00D948BD">
        <w:rPr>
          <w:sz w:val="18"/>
          <w:szCs w:val="18"/>
          <w:lang w:val="en-GB"/>
        </w:rPr>
        <w:t xml:space="preserve"> </w:t>
      </w:r>
      <w:r w:rsidR="00780624">
        <w:rPr>
          <w:sz w:val="18"/>
          <w:szCs w:val="18"/>
          <w:lang w:val="en-GB"/>
        </w:rPr>
        <w:t>since the start of</w:t>
      </w:r>
      <w:r w:rsidRPr="009E6465">
        <w:rPr>
          <w:sz w:val="18"/>
          <w:szCs w:val="18"/>
          <w:lang w:val="en-GB"/>
        </w:rPr>
        <w:t> 2016</w:t>
      </w:r>
      <w:r>
        <w:rPr>
          <w:sz w:val="18"/>
          <w:szCs w:val="18"/>
          <w:lang w:val="en-GB"/>
        </w:rPr>
        <w:t>. As at 30 Jun</w:t>
      </w:r>
      <w:r w:rsidR="00780624">
        <w:rPr>
          <w:sz w:val="18"/>
          <w:szCs w:val="18"/>
          <w:lang w:val="en-GB"/>
        </w:rPr>
        <w:t>e 2017 a further 527,876 m² of lettable area was</w:t>
      </w:r>
      <w:r>
        <w:rPr>
          <w:sz w:val="18"/>
          <w:szCs w:val="18"/>
          <w:lang w:val="en-GB"/>
        </w:rPr>
        <w:t xml:space="preserve"> under construction</w:t>
      </w:r>
      <w:r w:rsidR="00780624">
        <w:rPr>
          <w:sz w:val="18"/>
          <w:szCs w:val="18"/>
          <w:lang w:val="en-GB"/>
        </w:rPr>
        <w:t xml:space="preserve"> (including Estonia and the development assets under construction to be offered to the Joint Venture)</w:t>
      </w:r>
      <w:r>
        <w:rPr>
          <w:sz w:val="18"/>
          <w:szCs w:val="18"/>
          <w:lang w:val="en-GB"/>
        </w:rPr>
        <w:t>.</w:t>
      </w:r>
    </w:p>
    <w:p w14:paraId="30EDDFBE" w14:textId="20E18281" w:rsidR="00F76607" w:rsidRDefault="001863F0">
      <w:pPr>
        <w:pStyle w:val="NormalWeb"/>
        <w:spacing w:before="240" w:after="0"/>
        <w:jc w:val="center"/>
        <w:rPr>
          <w:sz w:val="18"/>
          <w:szCs w:val="18"/>
          <w:lang w:val="en-GB"/>
        </w:rPr>
      </w:pPr>
      <w:r>
        <w:rPr>
          <w:b/>
          <w:sz w:val="18"/>
          <w:szCs w:val="18"/>
          <w:lang w:val="en-GB"/>
        </w:rPr>
        <w:t xml:space="preserve">Total developed lettable area by the Group since 2007 (in </w:t>
      </w:r>
      <w:r w:rsidR="00DB66B3">
        <w:rPr>
          <w:b/>
          <w:sz w:val="18"/>
          <w:szCs w:val="18"/>
          <w:lang w:val="en-GB"/>
        </w:rPr>
        <w:t xml:space="preserve">thousands of </w:t>
      </w:r>
      <w:r>
        <w:rPr>
          <w:b/>
          <w:sz w:val="18"/>
          <w:szCs w:val="18"/>
          <w:lang w:val="en-GB"/>
        </w:rPr>
        <w:t>m²):</w:t>
      </w:r>
    </w:p>
    <w:p w14:paraId="30AD5650" w14:textId="6A343C25" w:rsidR="00F76607" w:rsidRDefault="00DB66B3">
      <w:pPr>
        <w:pStyle w:val="NormalWeb"/>
        <w:spacing w:before="240" w:after="0"/>
        <w:jc w:val="center"/>
        <w:rPr>
          <w:b/>
          <w:sz w:val="18"/>
          <w:szCs w:val="18"/>
          <w:lang w:val="en-GB"/>
        </w:rPr>
      </w:pPr>
      <w:r>
        <w:rPr>
          <w:b/>
          <w:noProof/>
          <w:sz w:val="18"/>
          <w:szCs w:val="18"/>
          <w:lang w:val="nl-BE" w:eastAsia="nl-BE"/>
        </w:rPr>
        <w:drawing>
          <wp:inline distT="0" distB="0" distL="0" distR="0" wp14:anchorId="70F457B7" wp14:editId="68D6067B">
            <wp:extent cx="4118011" cy="2393103"/>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5102" cy="2397224"/>
                    </a:xfrm>
                    <a:prstGeom prst="rect">
                      <a:avLst/>
                    </a:prstGeom>
                    <a:noFill/>
                  </pic:spPr>
                </pic:pic>
              </a:graphicData>
            </a:graphic>
          </wp:inline>
        </w:drawing>
      </w:r>
    </w:p>
    <w:p w14:paraId="0CE10D2F" w14:textId="689A6E45" w:rsidR="00F93F69" w:rsidRDefault="00F93F69" w:rsidP="00F93F69">
      <w:pPr>
        <w:pStyle w:val="NormalWeb"/>
        <w:spacing w:before="240" w:after="0"/>
        <w:ind w:firstLine="857"/>
        <w:rPr>
          <w:sz w:val="14"/>
          <w:szCs w:val="18"/>
          <w:lang w:val="en-GB"/>
        </w:rPr>
      </w:pPr>
      <w:r>
        <w:rPr>
          <w:b/>
          <w:sz w:val="14"/>
          <w:szCs w:val="18"/>
          <w:lang w:val="en-GB"/>
        </w:rPr>
        <w:t>Note</w:t>
      </w:r>
      <w:r>
        <w:rPr>
          <w:sz w:val="14"/>
          <w:szCs w:val="18"/>
          <w:lang w:val="en-GB"/>
        </w:rPr>
        <w:t xml:space="preserve">: The chart shows the total lettable area developed by the Group since 2007. While some of such areas have been sold in 2014 (and previously transferred to Snow Crystal </w:t>
      </w:r>
      <w:proofErr w:type="spellStart"/>
      <w:r>
        <w:rPr>
          <w:sz w:val="14"/>
          <w:szCs w:val="18"/>
          <w:lang w:val="en-GB"/>
        </w:rPr>
        <w:t>S.à</w:t>
      </w:r>
      <w:proofErr w:type="spellEnd"/>
      <w:r>
        <w:rPr>
          <w:sz w:val="14"/>
          <w:szCs w:val="18"/>
          <w:lang w:val="en-GB"/>
        </w:rPr>
        <w:t xml:space="preserve"> </w:t>
      </w:r>
      <w:proofErr w:type="spellStart"/>
      <w:r>
        <w:rPr>
          <w:sz w:val="14"/>
          <w:szCs w:val="18"/>
          <w:lang w:val="en-GB"/>
        </w:rPr>
        <w:t>r.l</w:t>
      </w:r>
      <w:proofErr w:type="spellEnd"/>
      <w:r>
        <w:rPr>
          <w:sz w:val="14"/>
          <w:szCs w:val="18"/>
          <w:lang w:val="en-GB"/>
        </w:rPr>
        <w:t xml:space="preserve">. or SUN </w:t>
      </w:r>
      <w:proofErr w:type="spellStart"/>
      <w:r>
        <w:rPr>
          <w:sz w:val="14"/>
          <w:szCs w:val="18"/>
          <w:lang w:val="en-GB"/>
        </w:rPr>
        <w:t>S.à</w:t>
      </w:r>
      <w:proofErr w:type="spellEnd"/>
      <w:r>
        <w:rPr>
          <w:sz w:val="14"/>
          <w:szCs w:val="18"/>
          <w:lang w:val="en-GB"/>
        </w:rPr>
        <w:t xml:space="preserve"> </w:t>
      </w:r>
      <w:proofErr w:type="spellStart"/>
      <w:r>
        <w:rPr>
          <w:sz w:val="14"/>
          <w:szCs w:val="18"/>
          <w:lang w:val="en-GB"/>
        </w:rPr>
        <w:t>r.l</w:t>
      </w:r>
      <w:proofErr w:type="spellEnd"/>
      <w:r>
        <w:rPr>
          <w:sz w:val="14"/>
          <w:szCs w:val="18"/>
          <w:lang w:val="en-GB"/>
        </w:rPr>
        <w:t xml:space="preserve">.) and the Group does not retain any ownership to such areas, the Company considers that the chart shows a true picture of the actual development activity of the Group over the relevant period. For the avoidance of doubt, the areas shown in </w:t>
      </w:r>
      <w:r w:rsidR="00DB66B3">
        <w:rPr>
          <w:sz w:val="14"/>
          <w:szCs w:val="18"/>
          <w:lang w:val="en-GB"/>
        </w:rPr>
        <w:t>dark grey</w:t>
      </w:r>
      <w:r>
        <w:rPr>
          <w:sz w:val="14"/>
          <w:szCs w:val="18"/>
          <w:lang w:val="en-GB"/>
        </w:rPr>
        <w:t xml:space="preserve"> colour are, as of the date of this Prospectus, no longer owned in any way by the Group. Similarly, the areas shown in green colour are owned by the Joint Venture and thus indirectly and partially by the Group.</w:t>
      </w:r>
      <w:r w:rsidR="00DB66B3">
        <w:rPr>
          <w:sz w:val="14"/>
          <w:szCs w:val="18"/>
          <w:lang w:val="en-GB"/>
        </w:rPr>
        <w:t xml:space="preserve"> The graph showing the situation as per J</w:t>
      </w:r>
      <w:r w:rsidR="00DB66B3" w:rsidRPr="00DB66B3">
        <w:rPr>
          <w:sz w:val="14"/>
          <w:szCs w:val="18"/>
          <w:lang w:val="en-GB"/>
        </w:rPr>
        <w:t>un</w:t>
      </w:r>
      <w:r w:rsidR="00DB66B3">
        <w:rPr>
          <w:sz w:val="14"/>
          <w:szCs w:val="18"/>
          <w:lang w:val="en-GB"/>
        </w:rPr>
        <w:t>e 2017 (i</w:t>
      </w:r>
      <w:r w:rsidR="00DB66B3" w:rsidRPr="00DB66B3">
        <w:rPr>
          <w:sz w:val="14"/>
          <w:szCs w:val="18"/>
          <w:lang w:val="en-GB"/>
        </w:rPr>
        <w:t>ncl</w:t>
      </w:r>
      <w:r w:rsidR="00DB66B3">
        <w:rPr>
          <w:sz w:val="14"/>
          <w:szCs w:val="18"/>
          <w:lang w:val="en-GB"/>
        </w:rPr>
        <w:t>uding u</w:t>
      </w:r>
      <w:r w:rsidR="00DB66B3" w:rsidRPr="00DB66B3">
        <w:rPr>
          <w:sz w:val="14"/>
          <w:szCs w:val="18"/>
          <w:lang w:val="en-GB"/>
        </w:rPr>
        <w:t>nder constr</w:t>
      </w:r>
      <w:r w:rsidR="00DB66B3">
        <w:rPr>
          <w:sz w:val="14"/>
          <w:szCs w:val="18"/>
          <w:lang w:val="en-GB"/>
        </w:rPr>
        <w:t>uction) includes the Group’s o</w:t>
      </w:r>
      <w:r w:rsidR="00DB66B3" w:rsidRPr="00DB66B3">
        <w:rPr>
          <w:sz w:val="14"/>
          <w:szCs w:val="18"/>
          <w:lang w:val="en-GB"/>
        </w:rPr>
        <w:t xml:space="preserve">wn and </w:t>
      </w:r>
      <w:r w:rsidR="00DB66B3">
        <w:rPr>
          <w:sz w:val="14"/>
          <w:szCs w:val="18"/>
          <w:lang w:val="en-GB"/>
        </w:rPr>
        <w:t xml:space="preserve">the Joint Venture’s (at 100%) </w:t>
      </w:r>
      <w:r w:rsidR="00DB66B3" w:rsidRPr="00DB66B3">
        <w:rPr>
          <w:sz w:val="14"/>
          <w:szCs w:val="18"/>
          <w:lang w:val="en-GB"/>
        </w:rPr>
        <w:t>land under full ownership and under option; including Estonia (held for sale</w:t>
      </w:r>
      <w:r w:rsidR="00DB66B3">
        <w:rPr>
          <w:sz w:val="14"/>
          <w:szCs w:val="18"/>
          <w:lang w:val="en-GB"/>
        </w:rPr>
        <w:t xml:space="preserve"> as per 30 June 2017</w:t>
      </w:r>
      <w:r w:rsidR="00DB66B3" w:rsidRPr="00DB66B3">
        <w:rPr>
          <w:sz w:val="14"/>
          <w:szCs w:val="18"/>
          <w:lang w:val="en-GB"/>
        </w:rPr>
        <w:t>).</w:t>
      </w:r>
    </w:p>
    <w:p w14:paraId="365FABD1" w14:textId="4E494C1E" w:rsidR="00141B39" w:rsidRDefault="00141B39">
      <w:pPr>
        <w:pStyle w:val="NormalWeb"/>
        <w:spacing w:before="240" w:after="0"/>
        <w:jc w:val="center"/>
        <w:rPr>
          <w:b/>
          <w:sz w:val="18"/>
          <w:szCs w:val="18"/>
          <w:lang w:val="en-GB"/>
        </w:rPr>
      </w:pPr>
      <w:r>
        <w:rPr>
          <w:b/>
          <w:sz w:val="18"/>
          <w:szCs w:val="18"/>
          <w:lang w:val="en-GB"/>
        </w:rPr>
        <w:t>Portfolio breakdown (excluding Estonia):</w:t>
      </w:r>
    </w:p>
    <w:p w14:paraId="6A7C4DAE" w14:textId="56320ACB" w:rsidR="00141B39" w:rsidRDefault="00141B39">
      <w:pPr>
        <w:pStyle w:val="NormalWeb"/>
        <w:spacing w:before="240" w:after="0"/>
        <w:jc w:val="center"/>
        <w:rPr>
          <w:b/>
          <w:sz w:val="18"/>
          <w:szCs w:val="18"/>
          <w:lang w:val="en-GB"/>
        </w:rPr>
      </w:pPr>
      <w:r>
        <w:rPr>
          <w:noProof/>
          <w:lang w:val="nl-BE" w:eastAsia="nl-BE"/>
        </w:rPr>
        <w:drawing>
          <wp:inline distT="0" distB="0" distL="0" distR="0" wp14:anchorId="12E1B5B7" wp14:editId="3D574FD4">
            <wp:extent cx="4400550" cy="1574436"/>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1689" cy="1581999"/>
                    </a:xfrm>
                    <a:prstGeom prst="rect">
                      <a:avLst/>
                    </a:prstGeom>
                  </pic:spPr>
                </pic:pic>
              </a:graphicData>
            </a:graphic>
          </wp:inline>
        </w:drawing>
      </w:r>
    </w:p>
    <w:p w14:paraId="58D4FC0A" w14:textId="20A48A1E" w:rsidR="00141B39" w:rsidRDefault="00141B39">
      <w:pPr>
        <w:pStyle w:val="NormalWeb"/>
        <w:spacing w:before="240" w:after="0"/>
        <w:jc w:val="center"/>
        <w:rPr>
          <w:b/>
          <w:sz w:val="18"/>
          <w:szCs w:val="18"/>
          <w:lang w:val="en-GB"/>
        </w:rPr>
      </w:pPr>
      <w:r>
        <w:rPr>
          <w:noProof/>
          <w:lang w:val="nl-BE" w:eastAsia="nl-BE"/>
        </w:rPr>
        <w:lastRenderedPageBreak/>
        <w:drawing>
          <wp:inline distT="0" distB="0" distL="0" distR="0" wp14:anchorId="4818B188" wp14:editId="286A443C">
            <wp:extent cx="4391025" cy="15852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4198" cy="1597184"/>
                    </a:xfrm>
                    <a:prstGeom prst="rect">
                      <a:avLst/>
                    </a:prstGeom>
                  </pic:spPr>
                </pic:pic>
              </a:graphicData>
            </a:graphic>
          </wp:inline>
        </w:drawing>
      </w:r>
    </w:p>
    <w:p w14:paraId="3F93B0E0" w14:textId="416608B4" w:rsidR="00495C29" w:rsidRPr="00DB66B3" w:rsidRDefault="00495C29" w:rsidP="00495C29">
      <w:pPr>
        <w:pStyle w:val="NormalWeb"/>
        <w:spacing w:before="240" w:after="0"/>
        <w:jc w:val="center"/>
        <w:rPr>
          <w:sz w:val="14"/>
          <w:szCs w:val="14"/>
          <w:lang w:val="en-GB"/>
        </w:rPr>
      </w:pPr>
      <w:r w:rsidRPr="00DB66B3">
        <w:rPr>
          <w:sz w:val="14"/>
          <w:szCs w:val="14"/>
          <w:lang w:val="en-GB"/>
        </w:rPr>
        <w:t xml:space="preserve">Note: </w:t>
      </w:r>
      <w:r>
        <w:rPr>
          <w:sz w:val="14"/>
          <w:szCs w:val="14"/>
          <w:lang w:val="en-GB"/>
        </w:rPr>
        <w:t xml:space="preserve">Both charts above </w:t>
      </w:r>
      <w:r w:rsidR="00991E32">
        <w:rPr>
          <w:sz w:val="14"/>
          <w:szCs w:val="14"/>
          <w:lang w:val="en-GB"/>
        </w:rPr>
        <w:t>reflect the situation as per 30 June 2017, excluding however</w:t>
      </w:r>
      <w:r>
        <w:rPr>
          <w:sz w:val="14"/>
          <w:szCs w:val="14"/>
          <w:lang w:val="en-GB"/>
        </w:rPr>
        <w:t xml:space="preserve"> Estonia. As publicly announced, the p</w:t>
      </w:r>
      <w:r w:rsidRPr="00DB66B3">
        <w:rPr>
          <w:sz w:val="14"/>
          <w:szCs w:val="14"/>
          <w:lang w:val="en-GB"/>
        </w:rPr>
        <w:t xml:space="preserve">ark in Estonia (which was agreed to be sold in June 2017 </w:t>
      </w:r>
      <w:r>
        <w:rPr>
          <w:sz w:val="14"/>
          <w:szCs w:val="14"/>
          <w:lang w:val="en-GB"/>
        </w:rPr>
        <w:t xml:space="preserve">and </w:t>
      </w:r>
      <w:r w:rsidR="00ED3097">
        <w:rPr>
          <w:sz w:val="14"/>
          <w:szCs w:val="14"/>
          <w:lang w:val="en-GB"/>
        </w:rPr>
        <w:t xml:space="preserve">whereby </w:t>
      </w:r>
      <w:r w:rsidRPr="00DB66B3">
        <w:rPr>
          <w:sz w:val="14"/>
          <w:szCs w:val="14"/>
          <w:lang w:val="en-GB"/>
        </w:rPr>
        <w:t xml:space="preserve">closing </w:t>
      </w:r>
      <w:r>
        <w:rPr>
          <w:sz w:val="14"/>
          <w:szCs w:val="14"/>
          <w:lang w:val="en-GB"/>
        </w:rPr>
        <w:t>occurred</w:t>
      </w:r>
      <w:r w:rsidRPr="00DB66B3">
        <w:rPr>
          <w:sz w:val="14"/>
          <w:szCs w:val="14"/>
          <w:lang w:val="en-GB"/>
        </w:rPr>
        <w:t xml:space="preserve"> in September 2017) </w:t>
      </w:r>
      <w:r>
        <w:rPr>
          <w:sz w:val="14"/>
          <w:szCs w:val="14"/>
          <w:lang w:val="en-GB"/>
        </w:rPr>
        <w:t>was as per 30 June 2017</w:t>
      </w:r>
      <w:r w:rsidRPr="00DB66B3">
        <w:rPr>
          <w:sz w:val="14"/>
          <w:szCs w:val="14"/>
          <w:lang w:val="en-GB"/>
        </w:rPr>
        <w:t xml:space="preserve"> held as asset for disposal on</w:t>
      </w:r>
      <w:r w:rsidR="00ED3097">
        <w:rPr>
          <w:sz w:val="14"/>
          <w:szCs w:val="14"/>
          <w:lang w:val="en-GB"/>
        </w:rPr>
        <w:t xml:space="preserve"> the</w:t>
      </w:r>
      <w:r w:rsidRPr="00DB66B3">
        <w:rPr>
          <w:sz w:val="14"/>
          <w:szCs w:val="14"/>
          <w:lang w:val="en-GB"/>
        </w:rPr>
        <w:t xml:space="preserve"> balance sheet and is therefore not considered as part of the portfolio.</w:t>
      </w:r>
    </w:p>
    <w:p w14:paraId="0D68D395" w14:textId="35950970" w:rsidR="00141B39" w:rsidRDefault="00141B39">
      <w:pPr>
        <w:pStyle w:val="NormalWeb"/>
        <w:spacing w:before="240" w:after="0"/>
        <w:jc w:val="center"/>
        <w:rPr>
          <w:b/>
          <w:sz w:val="18"/>
          <w:szCs w:val="18"/>
          <w:lang w:val="en-GB"/>
        </w:rPr>
      </w:pPr>
      <w:r>
        <w:rPr>
          <w:noProof/>
          <w:lang w:val="nl-BE" w:eastAsia="nl-BE"/>
        </w:rPr>
        <w:drawing>
          <wp:inline distT="0" distB="0" distL="0" distR="0" wp14:anchorId="570BA4D8" wp14:editId="3197D266">
            <wp:extent cx="4448175" cy="16248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8367" cy="1635859"/>
                    </a:xfrm>
                    <a:prstGeom prst="rect">
                      <a:avLst/>
                    </a:prstGeom>
                  </pic:spPr>
                </pic:pic>
              </a:graphicData>
            </a:graphic>
          </wp:inline>
        </w:drawing>
      </w:r>
    </w:p>
    <w:p w14:paraId="407DA014" w14:textId="1FA8341F" w:rsidR="00991E32" w:rsidRPr="00991E32" w:rsidRDefault="00991E32" w:rsidP="000078A9">
      <w:pPr>
        <w:pStyle w:val="NormalWeb"/>
        <w:spacing w:before="240" w:after="0"/>
        <w:ind w:firstLine="857"/>
        <w:rPr>
          <w:sz w:val="14"/>
          <w:szCs w:val="14"/>
          <w:lang w:val="en-GB"/>
        </w:rPr>
      </w:pPr>
      <w:r w:rsidRPr="00991E32">
        <w:rPr>
          <w:sz w:val="14"/>
          <w:szCs w:val="14"/>
          <w:lang w:val="en-GB"/>
        </w:rPr>
        <w:t xml:space="preserve">Note: </w:t>
      </w:r>
      <w:r>
        <w:rPr>
          <w:sz w:val="14"/>
          <w:szCs w:val="14"/>
          <w:lang w:val="en-GB"/>
        </w:rPr>
        <w:t>the chart</w:t>
      </w:r>
      <w:r w:rsidRPr="00991E32">
        <w:rPr>
          <w:sz w:val="14"/>
          <w:szCs w:val="14"/>
          <w:lang w:val="en-GB"/>
        </w:rPr>
        <w:t xml:space="preserve"> above reflect</w:t>
      </w:r>
      <w:r w:rsidR="00DE3AD3">
        <w:rPr>
          <w:sz w:val="14"/>
          <w:szCs w:val="14"/>
          <w:lang w:val="en-GB"/>
        </w:rPr>
        <w:t>s</w:t>
      </w:r>
      <w:r w:rsidRPr="00991E32">
        <w:rPr>
          <w:sz w:val="14"/>
          <w:szCs w:val="14"/>
          <w:lang w:val="en-GB"/>
        </w:rPr>
        <w:t xml:space="preserve"> the situation as per 30 June 201</w:t>
      </w:r>
      <w:r>
        <w:rPr>
          <w:sz w:val="14"/>
          <w:szCs w:val="14"/>
          <w:lang w:val="en-GB"/>
        </w:rPr>
        <w:t>7.</w:t>
      </w:r>
    </w:p>
    <w:p w14:paraId="25485F7D" w14:textId="0407F639" w:rsidR="00F76607" w:rsidRDefault="001863F0" w:rsidP="000078A9">
      <w:pPr>
        <w:pStyle w:val="NormalWeb"/>
        <w:spacing w:before="240" w:after="0"/>
        <w:ind w:firstLine="857"/>
        <w:rPr>
          <w:sz w:val="18"/>
          <w:szCs w:val="18"/>
          <w:lang w:val="en-GB"/>
        </w:rPr>
      </w:pPr>
      <w:r>
        <w:rPr>
          <w:sz w:val="18"/>
          <w:szCs w:val="18"/>
          <w:lang w:val="en-GB"/>
        </w:rPr>
        <w:t xml:space="preserve">High quality projects are developed on the basis of VGP’s building standards, with adaptations to meet specific requirements of future tenants </w:t>
      </w:r>
      <w:r w:rsidR="00F93F69">
        <w:rPr>
          <w:sz w:val="18"/>
          <w:szCs w:val="18"/>
          <w:lang w:val="en-GB"/>
        </w:rPr>
        <w:t>while</w:t>
      </w:r>
      <w:r>
        <w:rPr>
          <w:sz w:val="18"/>
          <w:szCs w:val="18"/>
          <w:lang w:val="en-GB"/>
        </w:rPr>
        <w:t xml:space="preserve"> ensuring multiple purpose use, maximising the ability to lease out assets to a wide range of tenants. The constructions, which respond to the latest modern quality standards, are leased under long term lease agreements to tenants which are active in the logistics sector, including storing but also assembling, re-conditioning, final treatment of the goods prior to transport to industrial clients or retailers.</w:t>
      </w:r>
    </w:p>
    <w:p w14:paraId="64840FC8" w14:textId="0D5B0FD0" w:rsidR="00F76607" w:rsidRDefault="001863F0" w:rsidP="000078A9">
      <w:pPr>
        <w:pStyle w:val="NormalWeb"/>
        <w:spacing w:before="240" w:after="0"/>
        <w:ind w:firstLine="857"/>
        <w:rPr>
          <w:sz w:val="18"/>
          <w:szCs w:val="18"/>
          <w:lang w:val="en-GB"/>
        </w:rPr>
      </w:pPr>
      <w:r>
        <w:rPr>
          <w:sz w:val="18"/>
          <w:szCs w:val="18"/>
          <w:lang w:val="en-GB"/>
        </w:rPr>
        <w:t xml:space="preserve">The Group aims at securing long term leases. As at 30 June 2017, the portfolio of annual committed leases consisted of the following long term and short term leases: </w:t>
      </w:r>
    </w:p>
    <w:p w14:paraId="395E4F89" w14:textId="689DCD09" w:rsidR="00F76607" w:rsidRDefault="001863F0">
      <w:pPr>
        <w:pStyle w:val="NormalWeb"/>
        <w:spacing w:before="240" w:after="0"/>
        <w:rPr>
          <w:sz w:val="18"/>
          <w:szCs w:val="18"/>
          <w:lang w:val="en-GB"/>
        </w:rPr>
      </w:pPr>
      <w:r>
        <w:rPr>
          <w:noProof/>
          <w:lang w:val="nl-BE" w:eastAsia="nl-BE"/>
        </w:rPr>
        <w:drawing>
          <wp:inline distT="0" distB="0" distL="0" distR="0" wp14:anchorId="5E68281B" wp14:editId="5CD7803A">
            <wp:extent cx="2587725" cy="1566815"/>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7000" cy="1590595"/>
                    </a:xfrm>
                    <a:prstGeom prst="rect">
                      <a:avLst/>
                    </a:prstGeom>
                    <a:noFill/>
                    <a:ln>
                      <a:noFill/>
                    </a:ln>
                  </pic:spPr>
                </pic:pic>
              </a:graphicData>
            </a:graphic>
          </wp:inline>
        </w:drawing>
      </w:r>
      <w:r>
        <w:rPr>
          <w:noProof/>
          <w:lang w:val="nl-BE" w:eastAsia="nl-BE"/>
        </w:rPr>
        <w:drawing>
          <wp:inline distT="0" distB="0" distL="0" distR="0" wp14:anchorId="525F2AE7" wp14:editId="27FDC719">
            <wp:extent cx="2585357" cy="156538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029" cy="1568209"/>
                    </a:xfrm>
                    <a:prstGeom prst="rect">
                      <a:avLst/>
                    </a:prstGeom>
                    <a:noFill/>
                    <a:ln>
                      <a:noFill/>
                    </a:ln>
                  </pic:spPr>
                </pic:pic>
              </a:graphicData>
            </a:graphic>
          </wp:inline>
        </w:drawing>
      </w:r>
    </w:p>
    <w:p w14:paraId="08CFB148" w14:textId="5BCD80EA" w:rsidR="00C17ECC" w:rsidRPr="00C17ECC" w:rsidRDefault="00C17ECC" w:rsidP="00C17ECC">
      <w:pPr>
        <w:pStyle w:val="VulcanIIbody"/>
        <w:rPr>
          <w:sz w:val="14"/>
          <w:szCs w:val="14"/>
          <w:lang w:val="en-GB"/>
        </w:rPr>
      </w:pPr>
      <w:r w:rsidRPr="00C17ECC">
        <w:rPr>
          <w:sz w:val="14"/>
          <w:szCs w:val="14"/>
          <w:lang w:val="en-GB"/>
        </w:rPr>
        <w:t>Note: The charts above include Estonia (held for sale as at 30 June 2017</w:t>
      </w:r>
      <w:r w:rsidR="00B048A9">
        <w:rPr>
          <w:sz w:val="14"/>
          <w:szCs w:val="14"/>
          <w:lang w:val="en-GB"/>
        </w:rPr>
        <w:t xml:space="preserve"> and effectively sold in the course of September 2017</w:t>
      </w:r>
      <w:r w:rsidRPr="00C17ECC">
        <w:rPr>
          <w:sz w:val="14"/>
          <w:szCs w:val="14"/>
          <w:lang w:val="en-GB"/>
        </w:rPr>
        <w:t>).</w:t>
      </w:r>
    </w:p>
    <w:p w14:paraId="721E197A" w14:textId="77777777" w:rsidR="00F76607" w:rsidRDefault="001863F0">
      <w:pPr>
        <w:pStyle w:val="NormalWeb"/>
        <w:spacing w:before="240" w:after="0"/>
        <w:ind w:firstLine="857"/>
        <w:rPr>
          <w:sz w:val="18"/>
          <w:szCs w:val="18"/>
          <w:lang w:val="en-GB"/>
        </w:rPr>
      </w:pPr>
      <w:r>
        <w:rPr>
          <w:sz w:val="18"/>
          <w:szCs w:val="18"/>
          <w:lang w:val="en-GB"/>
        </w:rPr>
        <w:t xml:space="preserve">In addition to striving for as much committed long term leases as possible, the Group aims at maximizing the occupancy rate of its available rental portfolio. Since 2007, the Group (as well as, where relevant, the Joint Venture, Snow Crystal </w:t>
      </w:r>
      <w:proofErr w:type="spellStart"/>
      <w:r>
        <w:rPr>
          <w:sz w:val="18"/>
          <w:szCs w:val="18"/>
          <w:lang w:val="en-GB"/>
        </w:rPr>
        <w:t>S.à</w:t>
      </w:r>
      <w:proofErr w:type="spellEnd"/>
      <w:r>
        <w:rPr>
          <w:sz w:val="18"/>
          <w:szCs w:val="18"/>
          <w:lang w:val="en-GB"/>
        </w:rPr>
        <w:t xml:space="preserve"> </w:t>
      </w:r>
      <w:proofErr w:type="spellStart"/>
      <w:r>
        <w:rPr>
          <w:sz w:val="18"/>
          <w:szCs w:val="18"/>
          <w:lang w:val="en-GB"/>
        </w:rPr>
        <w:t>r.l</w:t>
      </w:r>
      <w:proofErr w:type="spellEnd"/>
      <w:r>
        <w:rPr>
          <w:sz w:val="18"/>
          <w:szCs w:val="18"/>
          <w:lang w:val="en-GB"/>
        </w:rPr>
        <w:t xml:space="preserve">. or SUN </w:t>
      </w:r>
      <w:proofErr w:type="spellStart"/>
      <w:r>
        <w:rPr>
          <w:sz w:val="18"/>
          <w:szCs w:val="18"/>
          <w:lang w:val="en-GB"/>
        </w:rPr>
        <w:t>S.à</w:t>
      </w:r>
      <w:proofErr w:type="spellEnd"/>
      <w:r>
        <w:rPr>
          <w:sz w:val="18"/>
          <w:szCs w:val="18"/>
          <w:lang w:val="en-GB"/>
        </w:rPr>
        <w:t xml:space="preserve"> </w:t>
      </w:r>
      <w:proofErr w:type="spellStart"/>
      <w:r>
        <w:rPr>
          <w:sz w:val="18"/>
          <w:szCs w:val="18"/>
          <w:lang w:val="en-GB"/>
        </w:rPr>
        <w:t>r.l</w:t>
      </w:r>
      <w:proofErr w:type="spellEnd"/>
      <w:r>
        <w:rPr>
          <w:sz w:val="18"/>
          <w:szCs w:val="18"/>
          <w:lang w:val="en-GB"/>
        </w:rPr>
        <w:t xml:space="preserve">.) has never fallen below an occupancy rate of 90%. </w:t>
      </w:r>
    </w:p>
    <w:p w14:paraId="07C44DF1" w14:textId="77777777" w:rsidR="00F76607" w:rsidRDefault="001863F0">
      <w:pPr>
        <w:pStyle w:val="NormalWeb"/>
        <w:spacing w:before="240" w:after="0"/>
        <w:ind w:firstLine="857"/>
        <w:rPr>
          <w:sz w:val="18"/>
          <w:szCs w:val="18"/>
          <w:lang w:val="en-GB"/>
        </w:rPr>
      </w:pPr>
      <w:r>
        <w:rPr>
          <w:sz w:val="18"/>
          <w:szCs w:val="18"/>
          <w:lang w:val="en-GB"/>
        </w:rPr>
        <w:t>The following graph shows the historical occupancy rates of the Group’s, Joint Venture’s and the Associate’s portfolios as at 31 December in each year and as at 30 June 2017:</w:t>
      </w:r>
    </w:p>
    <w:p w14:paraId="10EECA54" w14:textId="14AED164" w:rsidR="00F76607" w:rsidRDefault="001863F0" w:rsidP="00411069">
      <w:pPr>
        <w:pStyle w:val="NormalWeb"/>
        <w:ind w:firstLine="857"/>
        <w:rPr>
          <w:sz w:val="18"/>
          <w:szCs w:val="18"/>
          <w:lang w:val="en-GB"/>
        </w:rPr>
      </w:pPr>
      <w:r>
        <w:rPr>
          <w:noProof/>
          <w:sz w:val="18"/>
          <w:szCs w:val="18"/>
          <w:lang w:val="nl-BE" w:eastAsia="nl-BE"/>
        </w:rPr>
        <w:lastRenderedPageBreak/>
        <w:drawing>
          <wp:inline distT="0" distB="0" distL="0" distR="0" wp14:anchorId="4DCBC221" wp14:editId="1CE340BC">
            <wp:extent cx="4804236" cy="1951738"/>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A398C3" w14:textId="6A0134D3" w:rsidR="00B848E4" w:rsidRPr="00B848E4" w:rsidRDefault="00B848E4" w:rsidP="00B848E4">
      <w:pPr>
        <w:pStyle w:val="NormalWeb"/>
        <w:ind w:firstLine="857"/>
        <w:rPr>
          <w:sz w:val="14"/>
          <w:szCs w:val="14"/>
          <w:lang w:val="en-GB"/>
        </w:rPr>
      </w:pPr>
      <w:r w:rsidRPr="00B848E4">
        <w:rPr>
          <w:sz w:val="14"/>
          <w:szCs w:val="14"/>
          <w:lang w:val="en-GB"/>
        </w:rPr>
        <w:t xml:space="preserve">Note: Associates portfolio is mainly comprised of the associates Snow Crystal </w:t>
      </w:r>
      <w:proofErr w:type="spellStart"/>
      <w:r w:rsidRPr="00B848E4">
        <w:rPr>
          <w:sz w:val="14"/>
          <w:szCs w:val="14"/>
          <w:lang w:val="en-GB"/>
        </w:rPr>
        <w:t>S.à.r.l</w:t>
      </w:r>
      <w:proofErr w:type="spellEnd"/>
      <w:r w:rsidRPr="00B848E4">
        <w:rPr>
          <w:sz w:val="14"/>
          <w:szCs w:val="14"/>
          <w:lang w:val="en-GB"/>
        </w:rPr>
        <w:t xml:space="preserve">. (VGP CZ I and VGP CZ IV portfolio) and Sun </w:t>
      </w:r>
      <w:proofErr w:type="spellStart"/>
      <w:r w:rsidRPr="00B848E4">
        <w:rPr>
          <w:sz w:val="14"/>
          <w:szCs w:val="14"/>
          <w:lang w:val="en-GB"/>
        </w:rPr>
        <w:t>S.à.r.l</w:t>
      </w:r>
      <w:proofErr w:type="spellEnd"/>
      <w:r w:rsidRPr="00B848E4">
        <w:rPr>
          <w:sz w:val="14"/>
          <w:szCs w:val="14"/>
          <w:lang w:val="en-GB"/>
        </w:rPr>
        <w:t>. (VGP CZ II portfolio)</w:t>
      </w:r>
      <w:r>
        <w:rPr>
          <w:sz w:val="14"/>
          <w:szCs w:val="14"/>
          <w:lang w:val="en-GB"/>
        </w:rPr>
        <w:t>.</w:t>
      </w:r>
    </w:p>
    <w:p w14:paraId="33D4BFB3" w14:textId="27271B5A" w:rsidR="00F76607" w:rsidRDefault="001863F0">
      <w:pPr>
        <w:pStyle w:val="NormalWeb"/>
        <w:spacing w:before="240" w:after="0"/>
        <w:ind w:firstLine="857"/>
        <w:rPr>
          <w:sz w:val="18"/>
          <w:szCs w:val="18"/>
          <w:lang w:val="en-GB"/>
        </w:rPr>
      </w:pPr>
      <w:r>
        <w:rPr>
          <w:sz w:val="18"/>
          <w:szCs w:val="18"/>
          <w:lang w:val="en-GB"/>
        </w:rPr>
        <w:t xml:space="preserve">Greenfield developments are the core activity of the VGP Group. </w:t>
      </w:r>
      <w:r w:rsidR="00940375">
        <w:rPr>
          <w:sz w:val="18"/>
          <w:szCs w:val="18"/>
          <w:lang w:val="en-GB"/>
        </w:rPr>
        <w:t xml:space="preserve">However, respecting current trends, the Group expects that the so far relatively negligible share of the brownfield developments will increase in the future. </w:t>
      </w:r>
      <w:r>
        <w:rPr>
          <w:sz w:val="18"/>
          <w:szCs w:val="18"/>
          <w:lang w:val="en-GB"/>
        </w:rPr>
        <w:t>The Group pursues a growth strategy in terms of development of a strategic land bank which is suitable for the development of turnkey and ready-to-be-let logistic projects. The management of VGP believes that the top location of the land and the high-quality standards of its real estate projects contribute to the long-term value of its portfolio.</w:t>
      </w:r>
      <w:r>
        <w:rPr>
          <w:noProof/>
          <w:lang w:val="en-GB" w:eastAsia="nl-BE"/>
        </w:rPr>
        <w:t xml:space="preserve"> </w:t>
      </w:r>
    </w:p>
    <w:p w14:paraId="03CAFEF0" w14:textId="77777777" w:rsidR="00F76607" w:rsidRDefault="001863F0">
      <w:pPr>
        <w:pStyle w:val="NormalWeb"/>
        <w:ind w:firstLine="857"/>
        <w:rPr>
          <w:sz w:val="18"/>
          <w:szCs w:val="18"/>
          <w:lang w:val="en-GB"/>
        </w:rPr>
      </w:pPr>
      <w:r>
        <w:rPr>
          <w:sz w:val="18"/>
          <w:szCs w:val="18"/>
          <w:lang w:val="en-GB"/>
        </w:rPr>
        <w:t>The following graph shows the total land acquired by VGP (whether in full ownership or still under option) in million m² since 2013</w:t>
      </w:r>
      <w:r>
        <w:rPr>
          <w:rStyle w:val="FootnoteReference"/>
          <w:sz w:val="18"/>
          <w:szCs w:val="18"/>
          <w:lang w:val="en-GB"/>
        </w:rPr>
        <w:footnoteReference w:id="9"/>
      </w:r>
      <w:r>
        <w:rPr>
          <w:sz w:val="18"/>
          <w:szCs w:val="18"/>
          <w:lang w:val="en-GB"/>
        </w:rPr>
        <w:t>:</w:t>
      </w:r>
    </w:p>
    <w:p w14:paraId="1DA2E68D" w14:textId="77777777" w:rsidR="00F76607" w:rsidRDefault="001863F0">
      <w:pPr>
        <w:pStyle w:val="NormalWeb"/>
        <w:spacing w:before="240" w:after="0"/>
        <w:ind w:firstLine="857"/>
        <w:rPr>
          <w:sz w:val="18"/>
          <w:szCs w:val="18"/>
          <w:lang w:val="en-GB"/>
        </w:rPr>
      </w:pPr>
      <w:r>
        <w:rPr>
          <w:noProof/>
          <w:sz w:val="18"/>
          <w:szCs w:val="18"/>
          <w:lang w:val="nl-BE" w:eastAsia="nl-BE"/>
        </w:rPr>
        <w:drawing>
          <wp:inline distT="0" distB="0" distL="0" distR="0" wp14:anchorId="5537307B" wp14:editId="414BC3C3">
            <wp:extent cx="3695700" cy="35242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736CE4" w14:textId="77777777" w:rsidR="00F76607" w:rsidRDefault="001863F0">
      <w:pPr>
        <w:pStyle w:val="NormalWeb"/>
        <w:spacing w:before="240" w:after="0"/>
        <w:ind w:firstLine="857"/>
        <w:rPr>
          <w:sz w:val="18"/>
          <w:szCs w:val="18"/>
          <w:lang w:val="en-GB"/>
        </w:rPr>
      </w:pPr>
      <w:r>
        <w:rPr>
          <w:sz w:val="18"/>
          <w:szCs w:val="18"/>
          <w:lang w:val="en-GB"/>
        </w:rPr>
        <w:t>The following graph shows the completed gross leasable area (in thousand m²)</w:t>
      </w:r>
      <w:r>
        <w:rPr>
          <w:rStyle w:val="FootnoteReference"/>
          <w:sz w:val="18"/>
          <w:szCs w:val="18"/>
          <w:lang w:val="en-GB"/>
        </w:rPr>
        <w:footnoteReference w:id="10"/>
      </w:r>
      <w:r>
        <w:rPr>
          <w:sz w:val="18"/>
          <w:szCs w:val="18"/>
          <w:lang w:val="en-GB"/>
        </w:rPr>
        <w:t>:</w:t>
      </w:r>
    </w:p>
    <w:p w14:paraId="20252D1D" w14:textId="77777777" w:rsidR="00F76607" w:rsidRDefault="001863F0" w:rsidP="00411069">
      <w:pPr>
        <w:pStyle w:val="NormalWeb"/>
        <w:ind w:firstLine="857"/>
        <w:rPr>
          <w:sz w:val="18"/>
          <w:szCs w:val="18"/>
          <w:lang w:val="en-GB"/>
        </w:rPr>
      </w:pPr>
      <w:r>
        <w:rPr>
          <w:noProof/>
          <w:sz w:val="18"/>
          <w:szCs w:val="18"/>
          <w:lang w:val="nl-BE" w:eastAsia="nl-BE"/>
        </w:rPr>
        <w:lastRenderedPageBreak/>
        <w:drawing>
          <wp:inline distT="0" distB="0" distL="0" distR="0" wp14:anchorId="12A1EAF5" wp14:editId="68BF67AF">
            <wp:extent cx="4460400" cy="1998000"/>
            <wp:effectExtent l="0" t="0" r="16510" b="215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40738C" w14:textId="4FFD0A76" w:rsidR="00F76607" w:rsidRDefault="001863F0">
      <w:pPr>
        <w:pStyle w:val="NormalWeb"/>
        <w:spacing w:before="240" w:after="0"/>
        <w:ind w:firstLine="857"/>
        <w:rPr>
          <w:sz w:val="18"/>
          <w:szCs w:val="18"/>
          <w:lang w:val="en-GB"/>
        </w:rPr>
      </w:pPr>
      <w:r>
        <w:rPr>
          <w:sz w:val="18"/>
          <w:szCs w:val="18"/>
          <w:lang w:val="en-GB"/>
        </w:rPr>
        <w:t xml:space="preserve">The following graph shows the </w:t>
      </w:r>
      <w:r w:rsidR="000078A9">
        <w:rPr>
          <w:sz w:val="18"/>
          <w:szCs w:val="18"/>
          <w:lang w:val="en-GB"/>
        </w:rPr>
        <w:t>Annualised Committed Leases</w:t>
      </w:r>
      <w:r>
        <w:rPr>
          <w:sz w:val="18"/>
          <w:szCs w:val="18"/>
          <w:lang w:val="en-GB"/>
        </w:rPr>
        <w:t xml:space="preserve"> (in </w:t>
      </w:r>
      <w:r w:rsidR="00F93F69">
        <w:rPr>
          <w:sz w:val="18"/>
          <w:szCs w:val="18"/>
          <w:lang w:val="en-GB"/>
        </w:rPr>
        <w:t>million €</w:t>
      </w:r>
      <w:r>
        <w:rPr>
          <w:sz w:val="18"/>
          <w:szCs w:val="18"/>
          <w:lang w:val="en-GB"/>
        </w:rPr>
        <w:t>)</w:t>
      </w:r>
      <w:r>
        <w:rPr>
          <w:rStyle w:val="FootnoteReference"/>
          <w:sz w:val="18"/>
          <w:szCs w:val="18"/>
          <w:lang w:val="en-GB"/>
        </w:rPr>
        <w:footnoteReference w:id="11"/>
      </w:r>
      <w:r w:rsidR="00A13B9E">
        <w:rPr>
          <w:sz w:val="18"/>
          <w:szCs w:val="18"/>
          <w:lang w:val="en-GB"/>
        </w:rPr>
        <w:t xml:space="preserve"> (including</w:t>
      </w:r>
      <w:r w:rsidR="005A2748">
        <w:rPr>
          <w:sz w:val="18"/>
          <w:szCs w:val="18"/>
          <w:lang w:val="en-GB"/>
        </w:rPr>
        <w:t xml:space="preserve"> € 51.3 million of</w:t>
      </w:r>
      <w:r w:rsidR="00A13B9E">
        <w:rPr>
          <w:sz w:val="18"/>
          <w:szCs w:val="18"/>
          <w:lang w:val="en-GB"/>
        </w:rPr>
        <w:t xml:space="preserve"> the JV</w:t>
      </w:r>
      <w:r w:rsidR="00F93F69">
        <w:rPr>
          <w:sz w:val="18"/>
          <w:szCs w:val="18"/>
          <w:lang w:val="en-GB"/>
        </w:rPr>
        <w:t xml:space="preserve"> at 100%</w:t>
      </w:r>
      <w:r w:rsidR="00A13B9E">
        <w:rPr>
          <w:sz w:val="18"/>
          <w:szCs w:val="18"/>
          <w:lang w:val="en-GB"/>
        </w:rPr>
        <w:t>)</w:t>
      </w:r>
      <w:r>
        <w:rPr>
          <w:sz w:val="18"/>
          <w:szCs w:val="18"/>
          <w:lang w:val="en-GB"/>
        </w:rPr>
        <w:t>:</w:t>
      </w:r>
    </w:p>
    <w:p w14:paraId="3C9D9CAC" w14:textId="39872251" w:rsidR="00F76607" w:rsidRDefault="00B91D8F">
      <w:pPr>
        <w:pStyle w:val="NormalWeb"/>
        <w:ind w:firstLine="857"/>
        <w:rPr>
          <w:sz w:val="18"/>
          <w:szCs w:val="18"/>
          <w:lang w:val="en-GB"/>
        </w:rPr>
      </w:pPr>
      <w:r w:rsidRPr="00B91D8F">
        <w:rPr>
          <w:noProof/>
          <w:szCs w:val="20"/>
          <w:lang w:val="nl-BE" w:eastAsia="nl-BE"/>
        </w:rPr>
        <mc:AlternateContent>
          <mc:Choice Requires="wps">
            <w:drawing>
              <wp:anchor distT="0" distB="0" distL="114300" distR="114300" simplePos="0" relativeHeight="251662848" behindDoc="0" locked="0" layoutInCell="1" allowOverlap="1" wp14:anchorId="395B823E" wp14:editId="1D7DBB30">
                <wp:simplePos x="0" y="0"/>
                <wp:positionH relativeFrom="column">
                  <wp:posOffset>1090295</wp:posOffset>
                </wp:positionH>
                <wp:positionV relativeFrom="paragraph">
                  <wp:posOffset>21590</wp:posOffset>
                </wp:positionV>
                <wp:extent cx="2757877" cy="246221"/>
                <wp:effectExtent l="0" t="0" r="0" b="0"/>
                <wp:wrapNone/>
                <wp:docPr id="21" name="TextBox 8"/>
                <wp:cNvGraphicFramePr/>
                <a:graphic xmlns:a="http://schemas.openxmlformats.org/drawingml/2006/main">
                  <a:graphicData uri="http://schemas.microsoft.com/office/word/2010/wordprocessingShape">
                    <wps:wsp>
                      <wps:cNvSpPr txBox="1"/>
                      <wps:spPr>
                        <a:xfrm rot="21059549">
                          <a:off x="0" y="0"/>
                          <a:ext cx="2757877" cy="246221"/>
                        </a:xfrm>
                        <a:prstGeom prst="rect">
                          <a:avLst/>
                        </a:prstGeom>
                        <a:noFill/>
                      </wps:spPr>
                      <wps:txbx>
                        <w:txbxContent>
                          <w:p w14:paraId="1EEB8AA8" w14:textId="18AE35FF" w:rsidR="00ED34B9" w:rsidRPr="00B91D8F" w:rsidRDefault="00ED34B9" w:rsidP="00B91D8F">
                            <w:pPr>
                              <w:pStyle w:val="NormalWeb"/>
                              <w:spacing w:before="0" w:beforeAutospacing="0" w:after="0" w:afterAutospacing="0"/>
                              <w:rPr>
                                <w:sz w:val="12"/>
                                <w:szCs w:val="12"/>
                              </w:rPr>
                            </w:pPr>
                            <w:r w:rsidRPr="00B91D8F">
                              <w:rPr>
                                <w:rFonts w:ascii="Arial" w:eastAsia="LF_Kai" w:hAnsi="Arial" w:cs="+mn-cs"/>
                                <w:color w:val="594E32"/>
                                <w:kern w:val="24"/>
                                <w:sz w:val="12"/>
                                <w:szCs w:val="12"/>
                                <w:lang w:val="en-GB"/>
                              </w:rPr>
                              <w:t>CAGR ’13-’17: 78.7%</w:t>
                            </w:r>
                            <w:r>
                              <w:rPr>
                                <w:rFonts w:ascii="Arial" w:eastAsia="LF_Kai" w:hAnsi="Arial" w:cs="+mn-cs"/>
                                <w:color w:val="594E32"/>
                                <w:kern w:val="24"/>
                                <w:sz w:val="12"/>
                                <w:szCs w:val="12"/>
                                <w:lang w:val="en-GB"/>
                              </w:rPr>
                              <w:t xml:space="preserve"> of total Annualised Committed L</w:t>
                            </w:r>
                            <w:r w:rsidRPr="00B91D8F">
                              <w:rPr>
                                <w:rFonts w:ascii="Arial" w:eastAsia="LF_Kai" w:hAnsi="Arial" w:cs="+mn-cs"/>
                                <w:color w:val="594E32"/>
                                <w:kern w:val="24"/>
                                <w:sz w:val="12"/>
                                <w:szCs w:val="12"/>
                                <w:lang w:val="en-GB"/>
                              </w:rPr>
                              <w:t>eases</w:t>
                            </w:r>
                          </w:p>
                        </w:txbxContent>
                      </wps:txbx>
                      <wps:bodyPr vert="horz" wrap="square" lIns="91440" tIns="45720" rIns="91440" bIns="45720" rtlCol="0" anchor="t">
                        <a:spAutoFit/>
                      </wps:bodyPr>
                    </wps:wsp>
                  </a:graphicData>
                </a:graphic>
                <wp14:sizeRelH relativeFrom="margin">
                  <wp14:pctWidth>0</wp14:pctWidth>
                </wp14:sizeRelH>
              </wp:anchor>
            </w:drawing>
          </mc:Choice>
          <mc:Fallback>
            <w:pict>
              <v:shapetype w14:anchorId="395B823E" id="_x0000_t202" coordsize="21600,21600" o:spt="202" path="m,l,21600r21600,l21600,xe">
                <v:stroke joinstyle="miter"/>
                <v:path gradientshapeok="t" o:connecttype="rect"/>
              </v:shapetype>
              <v:shape id="TextBox 8" o:spid="_x0000_s1026" type="#_x0000_t202" style="position:absolute;left:0;text-align:left;margin-left:85.85pt;margin-top:1.7pt;width:217.15pt;height:19.4pt;rotation:-590317fd;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" filled="f" stroked="f">
                <v:textbox style="mso-fit-shape-to-text:t">
                  <w:txbxContent>
                    <w:p w14:paraId="1EEB8AA8" w14:textId="18AE35FF" w:rsidR="00ED34B9" w:rsidRPr="00B91D8F" w:rsidRDefault="00ED34B9" w:rsidP="00B91D8F">
                      <w:pPr>
                        <w:pStyle w:val="NormalWeb"/>
                        <w:spacing w:before="0" w:beforeAutospacing="0" w:after="0" w:afterAutospacing="0"/>
                        <w:rPr>
                          <w:sz w:val="12"/>
                          <w:szCs w:val="12"/>
                        </w:rPr>
                      </w:pPr>
                      <w:r w:rsidRPr="00B91D8F">
                        <w:rPr>
                          <w:rFonts w:ascii="Arial" w:eastAsia="LF_Kai" w:hAnsi="Arial" w:cs="+mn-cs"/>
                          <w:color w:val="594E32"/>
                          <w:kern w:val="24"/>
                          <w:sz w:val="12"/>
                          <w:szCs w:val="12"/>
                          <w:lang w:val="en-GB"/>
                        </w:rPr>
                        <w:t>CAGR ’13-’17: 78.7%</w:t>
                      </w:r>
                      <w:r>
                        <w:rPr>
                          <w:rFonts w:ascii="Arial" w:eastAsia="LF_Kai" w:hAnsi="Arial" w:cs="+mn-cs"/>
                          <w:color w:val="594E32"/>
                          <w:kern w:val="24"/>
                          <w:sz w:val="12"/>
                          <w:szCs w:val="12"/>
                          <w:lang w:val="en-GB"/>
                        </w:rPr>
                        <w:t xml:space="preserve"> of total Annualised Committed L</w:t>
                      </w:r>
                      <w:r w:rsidRPr="00B91D8F">
                        <w:rPr>
                          <w:rFonts w:ascii="Arial" w:eastAsia="LF_Kai" w:hAnsi="Arial" w:cs="+mn-cs"/>
                          <w:color w:val="594E32"/>
                          <w:kern w:val="24"/>
                          <w:sz w:val="12"/>
                          <w:szCs w:val="12"/>
                          <w:lang w:val="en-GB"/>
                        </w:rPr>
                        <w:t>eases</w:t>
                      </w:r>
                    </w:p>
                  </w:txbxContent>
                </v:textbox>
              </v:shape>
            </w:pict>
          </mc:Fallback>
        </mc:AlternateContent>
      </w:r>
      <w:r w:rsidRPr="00B91D8F">
        <w:rPr>
          <w:noProof/>
          <w:sz w:val="18"/>
          <w:szCs w:val="18"/>
          <w:lang w:val="en-GB" w:eastAsia="nl-BE"/>
        </w:rPr>
        <w:t xml:space="preserve"> </w:t>
      </w:r>
      <w:r w:rsidR="00B848E4">
        <w:rPr>
          <w:noProof/>
          <w:sz w:val="18"/>
          <w:szCs w:val="18"/>
          <w:lang w:val="nl-BE" w:eastAsia="nl-BE"/>
        </w:rPr>
        <w:drawing>
          <wp:inline distT="0" distB="0" distL="0" distR="0" wp14:anchorId="707858F4" wp14:editId="43B5A7EC">
            <wp:extent cx="4374107" cy="1545909"/>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7623" cy="1550686"/>
                    </a:xfrm>
                    <a:prstGeom prst="rect">
                      <a:avLst/>
                    </a:prstGeom>
                    <a:noFill/>
                  </pic:spPr>
                </pic:pic>
              </a:graphicData>
            </a:graphic>
          </wp:inline>
        </w:drawing>
      </w:r>
    </w:p>
    <w:p w14:paraId="05905206" w14:textId="1281998A" w:rsidR="00F76607" w:rsidRDefault="001863F0">
      <w:pPr>
        <w:pStyle w:val="NormalWeb"/>
        <w:ind w:firstLine="857"/>
        <w:rPr>
          <w:sz w:val="18"/>
          <w:szCs w:val="18"/>
          <w:lang w:val="en-GB"/>
        </w:rPr>
      </w:pPr>
      <w:r>
        <w:rPr>
          <w:sz w:val="18"/>
          <w:szCs w:val="18"/>
          <w:lang w:val="en-GB"/>
        </w:rPr>
        <w:t>The following graph shows the average yields</w:t>
      </w:r>
      <w:r w:rsidR="00D665D2">
        <w:rPr>
          <w:sz w:val="18"/>
          <w:szCs w:val="18"/>
          <w:lang w:val="en-GB"/>
        </w:rPr>
        <w:t xml:space="preserve"> on costs per country since 2014</w:t>
      </w:r>
      <w:r>
        <w:rPr>
          <w:sz w:val="18"/>
          <w:szCs w:val="18"/>
          <w:lang w:val="en-GB"/>
        </w:rPr>
        <w:t xml:space="preserve"> to 30 June 2017 (excluding the JV), whereby the ranges displayed correspond to approximately rounded percentages of yield on costs observed from 2014 to 2017 (excluding Spain, for which country the ranges presented correspond to target yields). Yields on cost are calculated as annualised rent divided by total project cost (including land acquisition costs and project development costs).</w:t>
      </w:r>
      <w:r w:rsidR="00FF2ECC">
        <w:rPr>
          <w:sz w:val="18"/>
          <w:szCs w:val="18"/>
          <w:lang w:val="en-GB"/>
        </w:rPr>
        <w:t xml:space="preserve"> </w:t>
      </w:r>
    </w:p>
    <w:p w14:paraId="0CA75400" w14:textId="77777777" w:rsidR="00F76607" w:rsidRDefault="001863F0">
      <w:pPr>
        <w:pStyle w:val="NormalWeb"/>
        <w:ind w:firstLine="857"/>
        <w:rPr>
          <w:sz w:val="18"/>
          <w:szCs w:val="18"/>
          <w:lang w:val="en-GB"/>
        </w:rPr>
      </w:pPr>
      <w:r>
        <w:rPr>
          <w:noProof/>
          <w:lang w:val="nl-BE" w:eastAsia="nl-BE"/>
        </w:rPr>
        <w:drawing>
          <wp:inline distT="0" distB="0" distL="0" distR="0" wp14:anchorId="48F76506" wp14:editId="55EB8480">
            <wp:extent cx="5541820" cy="257175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8170" cy="2574697"/>
                    </a:xfrm>
                    <a:prstGeom prst="rect">
                      <a:avLst/>
                    </a:prstGeom>
                  </pic:spPr>
                </pic:pic>
              </a:graphicData>
            </a:graphic>
          </wp:inline>
        </w:drawing>
      </w:r>
    </w:p>
    <w:p w14:paraId="0A4E30BC" w14:textId="77777777" w:rsidR="00F76607" w:rsidRDefault="001863F0">
      <w:pPr>
        <w:pStyle w:val="NormalWeb"/>
        <w:ind w:firstLine="857"/>
        <w:rPr>
          <w:sz w:val="14"/>
          <w:szCs w:val="14"/>
          <w:lang w:val="en-GB"/>
        </w:rPr>
      </w:pPr>
      <w:r>
        <w:rPr>
          <w:sz w:val="14"/>
          <w:szCs w:val="14"/>
          <w:vertAlign w:val="superscript"/>
          <w:lang w:val="en-GB"/>
        </w:rPr>
        <w:t xml:space="preserve">2 </w:t>
      </w:r>
      <w:r>
        <w:rPr>
          <w:sz w:val="14"/>
          <w:szCs w:val="14"/>
          <w:lang w:val="en-GB"/>
        </w:rPr>
        <w:t>Targeted development yield.</w:t>
      </w:r>
    </w:p>
    <w:p w14:paraId="74B060A1" w14:textId="006A07BE" w:rsidR="00F76607" w:rsidRDefault="001863F0">
      <w:pPr>
        <w:pStyle w:val="NormalWeb"/>
        <w:ind w:firstLine="857"/>
        <w:rPr>
          <w:sz w:val="14"/>
          <w:szCs w:val="14"/>
          <w:lang w:val="en-GB"/>
        </w:rPr>
      </w:pPr>
      <w:r>
        <w:rPr>
          <w:sz w:val="14"/>
          <w:szCs w:val="14"/>
          <w:vertAlign w:val="superscript"/>
          <w:lang w:val="en-GB"/>
        </w:rPr>
        <w:t>3</w:t>
      </w:r>
      <w:r>
        <w:rPr>
          <w:sz w:val="14"/>
          <w:szCs w:val="14"/>
          <w:lang w:val="en-GB"/>
        </w:rPr>
        <w:t xml:space="preserve"> Including Estonia (assets held for </w:t>
      </w:r>
      <w:r w:rsidR="00BD4338">
        <w:rPr>
          <w:sz w:val="14"/>
          <w:szCs w:val="14"/>
          <w:lang w:val="en-GB"/>
        </w:rPr>
        <w:t>sale</w:t>
      </w:r>
      <w:r>
        <w:rPr>
          <w:sz w:val="14"/>
          <w:szCs w:val="14"/>
          <w:lang w:val="en-GB"/>
        </w:rPr>
        <w:t xml:space="preserve"> as at 30 June 2017).</w:t>
      </w:r>
    </w:p>
    <w:p w14:paraId="2D77F381" w14:textId="77777777" w:rsidR="00F76607" w:rsidRDefault="001863F0">
      <w:pPr>
        <w:pStyle w:val="VulcanIILevel1"/>
        <w:rPr>
          <w:lang w:val="en-GB"/>
        </w:rPr>
      </w:pPr>
      <w:r>
        <w:rPr>
          <w:lang w:val="en-GB"/>
        </w:rPr>
        <w:lastRenderedPageBreak/>
        <w:t>Strategy</w:t>
      </w:r>
    </w:p>
    <w:p w14:paraId="6DC56ECE" w14:textId="21A6469D" w:rsidR="00F76607" w:rsidRDefault="001863F0">
      <w:pPr>
        <w:pStyle w:val="NormalWeb"/>
        <w:spacing w:before="240" w:after="0"/>
        <w:ind w:firstLine="857"/>
        <w:rPr>
          <w:sz w:val="18"/>
          <w:szCs w:val="18"/>
          <w:lang w:val="en-GB"/>
        </w:rPr>
      </w:pPr>
      <w:r>
        <w:rPr>
          <w:sz w:val="18"/>
          <w:szCs w:val="18"/>
          <w:lang w:val="en-GB"/>
        </w:rPr>
        <w:t xml:space="preserve">The aim of the Group is to become a leading specialised developer and owner of high-quality logistic property for the mid-European region (whereby the Group’s current focus is on Latvia, the Czech Republic, Slovakia, Hungary and Romania), Germany, Spain and possibly other countries, depending on market demand and perceived trends. The Group’s target is to access a new country approximately every two years. </w:t>
      </w:r>
    </w:p>
    <w:p w14:paraId="4A38D7F6" w14:textId="77777777" w:rsidR="00F76607" w:rsidRDefault="001863F0">
      <w:pPr>
        <w:pStyle w:val="NormalWeb"/>
        <w:spacing w:before="240" w:after="0"/>
        <w:ind w:firstLine="857"/>
        <w:rPr>
          <w:sz w:val="18"/>
          <w:szCs w:val="18"/>
          <w:lang w:val="en-GB"/>
        </w:rPr>
      </w:pPr>
      <w:r>
        <w:rPr>
          <w:sz w:val="18"/>
          <w:szCs w:val="18"/>
          <w:lang w:val="en-GB"/>
        </w:rPr>
        <w:t xml:space="preserve">Since 2010, the Group has changed its business model and strategy from a strict develop and hold strategy towards a strategy with an increased focus on development and more pro-active approach in respect of potential disposal of the income generating assets, as a result of which the Group could (partially) realise valuation gains and generate additional fee income from Facility Management services. This change in strategy has been reinforced with the entering into a 50:50 joint venture with Allianz in the first quarter of 2016. This Joint Venture confirms the long-term strategy of the Group of realising valuation gains and is expected over time to have a significant impact on the fee income generating capabilities of the Group as VGP benefits from fee income generated from asset management, property management and development management services. Although this strategy has a negative impact on the recurrent rent income for the Group as the income generating assets are sold to realize capital gains, such rent income would grow again in the short and medium term once new developments are constructed on the land bank that has been acquired, among others, with proceeds from these transactions and that will subsequently be let to tenants and which are not transferred to the Joint Venture. In addition, the Group indirectly benefits from the underlying increase in rent income of the Joint Venture as it is entitled to 50% of its profits. </w:t>
      </w:r>
    </w:p>
    <w:p w14:paraId="01C1CD6A" w14:textId="77777777" w:rsidR="00F76607" w:rsidRDefault="001863F0">
      <w:pPr>
        <w:pStyle w:val="NormalWeb"/>
        <w:spacing w:before="240" w:after="0"/>
        <w:ind w:firstLine="857"/>
        <w:rPr>
          <w:sz w:val="18"/>
          <w:szCs w:val="18"/>
          <w:lang w:val="en-GB"/>
        </w:rPr>
      </w:pPr>
      <w:r>
        <w:rPr>
          <w:sz w:val="18"/>
          <w:szCs w:val="18"/>
          <w:lang w:val="en-GB"/>
        </w:rPr>
        <w:t>The Joint Venture’s objective is to build a platform of new, grade A logistics and industrial properties with a key focus on expansion in its core German market and high growth CEE markets with the aim of delivering stable income-driven returns with potential for capital appreciation. The Joint Venture aims to increase its portfolio size to ca. € 1.7 billion, exclusively via the contribution to the Joint Venture of new logistics developments carried out by VGP. The Joint Venture’s strategy is therefore primarily a hold strategy and its territorial scope can be expanded in order to include other countries, subject to a mutual agreement thereto between VGP and Allianz.</w:t>
      </w:r>
    </w:p>
    <w:p w14:paraId="02F21535" w14:textId="77777777" w:rsidR="00F76607" w:rsidRDefault="001863F0">
      <w:pPr>
        <w:pStyle w:val="NormalWeb"/>
        <w:spacing w:before="240" w:after="0"/>
        <w:ind w:firstLine="857"/>
        <w:rPr>
          <w:sz w:val="18"/>
          <w:szCs w:val="18"/>
          <w:lang w:val="en-GB"/>
        </w:rPr>
      </w:pPr>
      <w:r>
        <w:rPr>
          <w:sz w:val="18"/>
          <w:szCs w:val="18"/>
          <w:lang w:val="en-GB"/>
        </w:rPr>
        <w:t>The Group’s investment strategy is based on the following principles:</w:t>
      </w:r>
    </w:p>
    <w:p w14:paraId="1C24407D" w14:textId="77777777" w:rsidR="00F76607" w:rsidRDefault="001863F0">
      <w:pPr>
        <w:pStyle w:val="NormalWeb"/>
        <w:numPr>
          <w:ilvl w:val="0"/>
          <w:numId w:val="61"/>
        </w:numPr>
        <w:spacing w:before="240" w:after="0"/>
        <w:rPr>
          <w:sz w:val="18"/>
          <w:szCs w:val="18"/>
          <w:lang w:val="en-GB"/>
        </w:rPr>
      </w:pPr>
      <w:r>
        <w:rPr>
          <w:sz w:val="18"/>
          <w:szCs w:val="18"/>
          <w:lang w:val="en-GB"/>
        </w:rPr>
        <w:t>strategically located plots of land;</w:t>
      </w:r>
    </w:p>
    <w:p w14:paraId="35CAC8A8" w14:textId="77777777" w:rsidR="00F76607" w:rsidRDefault="001863F0">
      <w:pPr>
        <w:pStyle w:val="NormalWeb"/>
        <w:numPr>
          <w:ilvl w:val="0"/>
          <w:numId w:val="61"/>
        </w:numPr>
        <w:spacing w:before="240" w:after="0"/>
        <w:rPr>
          <w:sz w:val="18"/>
          <w:szCs w:val="18"/>
          <w:lang w:val="en-GB"/>
        </w:rPr>
      </w:pPr>
      <w:r>
        <w:rPr>
          <w:sz w:val="18"/>
          <w:szCs w:val="18"/>
          <w:lang w:val="en-GB"/>
        </w:rPr>
        <w:t>focus on business parks with a view to realising economies of scale;</w:t>
      </w:r>
    </w:p>
    <w:p w14:paraId="3F80B1A5" w14:textId="77777777" w:rsidR="00F76607" w:rsidRDefault="001863F0">
      <w:pPr>
        <w:pStyle w:val="NormalWeb"/>
        <w:numPr>
          <w:ilvl w:val="0"/>
          <w:numId w:val="61"/>
        </w:numPr>
        <w:spacing w:before="240" w:after="0"/>
        <w:rPr>
          <w:sz w:val="18"/>
          <w:szCs w:val="18"/>
          <w:lang w:val="en-GB"/>
        </w:rPr>
      </w:pPr>
      <w:r>
        <w:rPr>
          <w:sz w:val="18"/>
          <w:szCs w:val="18"/>
          <w:lang w:val="en-GB"/>
        </w:rPr>
        <w:t>high quality standardised logistic real estate;</w:t>
      </w:r>
    </w:p>
    <w:p w14:paraId="472BCDE6" w14:textId="77777777" w:rsidR="00F76607" w:rsidRDefault="001863F0">
      <w:pPr>
        <w:pStyle w:val="NormalWeb"/>
        <w:numPr>
          <w:ilvl w:val="0"/>
          <w:numId w:val="61"/>
        </w:numPr>
        <w:spacing w:before="240" w:after="0"/>
        <w:rPr>
          <w:sz w:val="18"/>
          <w:szCs w:val="18"/>
          <w:lang w:val="en-GB"/>
        </w:rPr>
      </w:pPr>
      <w:r>
        <w:rPr>
          <w:sz w:val="18"/>
          <w:szCs w:val="18"/>
          <w:lang w:val="en-GB"/>
        </w:rPr>
        <w:t>in-house competences enabling a fully integrated business model; and</w:t>
      </w:r>
    </w:p>
    <w:p w14:paraId="7686CAEA" w14:textId="77777777" w:rsidR="00F76607" w:rsidRDefault="001863F0">
      <w:pPr>
        <w:pStyle w:val="NormalWeb"/>
        <w:numPr>
          <w:ilvl w:val="0"/>
          <w:numId w:val="61"/>
        </w:numPr>
        <w:spacing w:before="240" w:after="0"/>
        <w:rPr>
          <w:sz w:val="18"/>
          <w:szCs w:val="18"/>
          <w:lang w:val="en-GB"/>
        </w:rPr>
      </w:pPr>
      <w:r>
        <w:rPr>
          <w:sz w:val="18"/>
          <w:szCs w:val="18"/>
          <w:lang w:val="en-GB"/>
        </w:rPr>
        <w:t>Primary focus on development activities and asset- and property management activities.</w:t>
      </w:r>
    </w:p>
    <w:p w14:paraId="2C237576" w14:textId="77777777" w:rsidR="00F76607" w:rsidRDefault="001863F0">
      <w:pPr>
        <w:pStyle w:val="VulcanIILevel1"/>
        <w:rPr>
          <w:lang w:val="en-GB"/>
        </w:rPr>
      </w:pPr>
      <w:r>
        <w:rPr>
          <w:lang w:val="en-GB"/>
        </w:rPr>
        <w:t>Business overview</w:t>
      </w:r>
    </w:p>
    <w:p w14:paraId="675DEC7B" w14:textId="77777777" w:rsidR="00F76607" w:rsidRDefault="001863F0">
      <w:pPr>
        <w:pStyle w:val="VulcanIILevel2"/>
      </w:pPr>
      <w:r>
        <w:t>Activities</w:t>
      </w:r>
      <w:bookmarkStart w:id="72" w:name="_Toc460854347"/>
      <w:bookmarkEnd w:id="43"/>
      <w:r>
        <w:t xml:space="preserve"> - fully integrated business model</w:t>
      </w:r>
      <w:bookmarkEnd w:id="72"/>
    </w:p>
    <w:p w14:paraId="194628DE" w14:textId="77777777" w:rsidR="00F76607" w:rsidRDefault="001863F0">
      <w:pPr>
        <w:pStyle w:val="NormalWeb"/>
        <w:spacing w:before="240" w:after="0"/>
        <w:ind w:firstLine="857"/>
        <w:rPr>
          <w:sz w:val="18"/>
          <w:szCs w:val="18"/>
          <w:lang w:val="en-GB"/>
        </w:rPr>
      </w:pPr>
      <w:r>
        <w:rPr>
          <w:noProof/>
          <w:sz w:val="18"/>
          <w:szCs w:val="18"/>
          <w:lang w:val="nl-BE" w:eastAsia="nl-BE"/>
        </w:rPr>
        <mc:AlternateContent>
          <mc:Choice Requires="wpg">
            <w:drawing>
              <wp:inline distT="0" distB="0" distL="0" distR="0" wp14:anchorId="4746FCDD" wp14:editId="095F8660">
                <wp:extent cx="5241290" cy="597535"/>
                <wp:effectExtent l="8890" t="8890" r="0" b="3175"/>
                <wp:docPr id="27" name="Canvas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1290" cy="597535"/>
                          <a:chOff x="0" y="0"/>
                          <a:chExt cx="52412" cy="5975"/>
                        </a:xfrm>
                      </wpg:grpSpPr>
                      <wps:wsp>
                        <wps:cNvPr id="28" name="AutoShape 2"/>
                        <wps:cNvSpPr>
                          <a:spLocks noChangeAspect="1" noChangeArrowheads="1"/>
                        </wps:cNvSpPr>
                        <wps:spPr bwMode="auto">
                          <a:xfrm>
                            <a:off x="0" y="0"/>
                            <a:ext cx="52412" cy="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1" name="Group 8"/>
                        <wpg:cNvGrpSpPr>
                          <a:grpSpLocks/>
                        </wpg:cNvGrpSpPr>
                        <wpg:grpSpPr bwMode="auto">
                          <a:xfrm>
                            <a:off x="31" y="38"/>
                            <a:ext cx="11919" cy="5607"/>
                            <a:chOff x="5" y="6"/>
                            <a:chExt cx="1877" cy="883"/>
                          </a:xfrm>
                        </wpg:grpSpPr>
                        <wps:wsp>
                          <wps:cNvPr id="32" name="Freeform 6"/>
                          <wps:cNvSpPr>
                            <a:spLocks/>
                          </wps:cNvSpPr>
                          <wps:spPr bwMode="auto">
                            <a:xfrm>
                              <a:off x="5" y="6"/>
                              <a:ext cx="1877" cy="883"/>
                            </a:xfrm>
                            <a:custGeom>
                              <a:avLst/>
                              <a:gdLst>
                                <a:gd name="T0" fmla="*/ 1408 w 1877"/>
                                <a:gd name="T1" fmla="*/ 0 h 883"/>
                                <a:gd name="T2" fmla="*/ 0 w 1877"/>
                                <a:gd name="T3" fmla="*/ 0 h 883"/>
                                <a:gd name="T4" fmla="*/ 0 w 1877"/>
                                <a:gd name="T5" fmla="*/ 883 h 883"/>
                                <a:gd name="T6" fmla="*/ 1408 w 1877"/>
                                <a:gd name="T7" fmla="*/ 883 h 883"/>
                                <a:gd name="T8" fmla="*/ 1877 w 1877"/>
                                <a:gd name="T9" fmla="*/ 442 h 883"/>
                                <a:gd name="T10" fmla="*/ 1408 w 1877"/>
                                <a:gd name="T11" fmla="*/ 0 h 88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77" h="883">
                                  <a:moveTo>
                                    <a:pt x="1408" y="0"/>
                                  </a:moveTo>
                                  <a:lnTo>
                                    <a:pt x="0" y="0"/>
                                  </a:lnTo>
                                  <a:lnTo>
                                    <a:pt x="0" y="883"/>
                                  </a:lnTo>
                                  <a:lnTo>
                                    <a:pt x="1408" y="883"/>
                                  </a:lnTo>
                                  <a:lnTo>
                                    <a:pt x="1877" y="442"/>
                                  </a:lnTo>
                                  <a:lnTo>
                                    <a:pt x="1408"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
                          <wps:cNvSpPr>
                            <a:spLocks/>
                          </wps:cNvSpPr>
                          <wps:spPr bwMode="auto">
                            <a:xfrm>
                              <a:off x="5" y="6"/>
                              <a:ext cx="1877" cy="883"/>
                            </a:xfrm>
                            <a:custGeom>
                              <a:avLst/>
                              <a:gdLst>
                                <a:gd name="T0" fmla="*/ 1408 w 1877"/>
                                <a:gd name="T1" fmla="*/ 0 h 883"/>
                                <a:gd name="T2" fmla="*/ 0 w 1877"/>
                                <a:gd name="T3" fmla="*/ 0 h 883"/>
                                <a:gd name="T4" fmla="*/ 0 w 1877"/>
                                <a:gd name="T5" fmla="*/ 883 h 883"/>
                                <a:gd name="T6" fmla="*/ 1408 w 1877"/>
                                <a:gd name="T7" fmla="*/ 883 h 883"/>
                                <a:gd name="T8" fmla="*/ 1877 w 1877"/>
                                <a:gd name="T9" fmla="*/ 442 h 883"/>
                                <a:gd name="T10" fmla="*/ 1408 w 1877"/>
                                <a:gd name="T11" fmla="*/ 0 h 88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77" h="883">
                                  <a:moveTo>
                                    <a:pt x="1408" y="0"/>
                                  </a:moveTo>
                                  <a:lnTo>
                                    <a:pt x="0" y="0"/>
                                  </a:lnTo>
                                  <a:lnTo>
                                    <a:pt x="0" y="883"/>
                                  </a:lnTo>
                                  <a:lnTo>
                                    <a:pt x="1408" y="883"/>
                                  </a:lnTo>
                                  <a:lnTo>
                                    <a:pt x="1877" y="442"/>
                                  </a:lnTo>
                                  <a:lnTo>
                                    <a:pt x="1408" y="0"/>
                                  </a:lnTo>
                                  <a:close/>
                                </a:path>
                              </a:pathLst>
                            </a:custGeom>
                            <a:noFill/>
                            <a:ln w="0" cap="rnd">
                              <a:solidFill>
                                <a:srgbClr val="6261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 name="Rectangle 9"/>
                        <wps:cNvSpPr>
                          <a:spLocks noChangeArrowheads="1"/>
                        </wps:cNvSpPr>
                        <wps:spPr bwMode="auto">
                          <a:xfrm>
                            <a:off x="3886" y="2114"/>
                            <a:ext cx="325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68E9A" w14:textId="77777777" w:rsidR="00ED34B9" w:rsidRDefault="00ED34B9">
                              <w:r>
                                <w:rPr>
                                  <w:rFonts w:ascii="Tahoma" w:hAnsi="Tahoma" w:cs="Tahoma"/>
                                  <w:bCs/>
                                </w:rPr>
                                <w:t>Land</w:t>
                              </w:r>
                            </w:p>
                          </w:txbxContent>
                        </wps:txbx>
                        <wps:bodyPr rot="0" vert="horz" wrap="none" lIns="0" tIns="0" rIns="0" bIns="0" anchor="t" anchorCtr="0" upright="1">
                          <a:spAutoFit/>
                        </wps:bodyPr>
                      </wps:wsp>
                      <wpg:grpSp>
                        <wpg:cNvPr id="36" name="Group 12"/>
                        <wpg:cNvGrpSpPr>
                          <a:grpSpLocks/>
                        </wpg:cNvGrpSpPr>
                        <wpg:grpSpPr bwMode="auto">
                          <a:xfrm>
                            <a:off x="10071" y="38"/>
                            <a:ext cx="11919" cy="5619"/>
                            <a:chOff x="1586" y="6"/>
                            <a:chExt cx="1877" cy="885"/>
                          </a:xfrm>
                        </wpg:grpSpPr>
                        <wps:wsp>
                          <wps:cNvPr id="37" name="Freeform 10"/>
                          <wps:cNvSpPr>
                            <a:spLocks/>
                          </wps:cNvSpPr>
                          <wps:spPr bwMode="auto">
                            <a:xfrm>
                              <a:off x="1586" y="6"/>
                              <a:ext cx="1877" cy="885"/>
                            </a:xfrm>
                            <a:custGeom>
                              <a:avLst/>
                              <a:gdLst>
                                <a:gd name="T0" fmla="*/ 1408 w 1877"/>
                                <a:gd name="T1" fmla="*/ 0 h 885"/>
                                <a:gd name="T2" fmla="*/ 0 w 1877"/>
                                <a:gd name="T3" fmla="*/ 0 h 885"/>
                                <a:gd name="T4" fmla="*/ 469 w 1877"/>
                                <a:gd name="T5" fmla="*/ 443 h 885"/>
                                <a:gd name="T6" fmla="*/ 0 w 1877"/>
                                <a:gd name="T7" fmla="*/ 885 h 885"/>
                                <a:gd name="T8" fmla="*/ 1408 w 1877"/>
                                <a:gd name="T9" fmla="*/ 885 h 885"/>
                                <a:gd name="T10" fmla="*/ 1877 w 1877"/>
                                <a:gd name="T11" fmla="*/ 443 h 885"/>
                                <a:gd name="T12" fmla="*/ 1408 w 1877"/>
                                <a:gd name="T13" fmla="*/ 0 h 8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77" h="885">
                                  <a:moveTo>
                                    <a:pt x="1408" y="0"/>
                                  </a:moveTo>
                                  <a:lnTo>
                                    <a:pt x="0" y="0"/>
                                  </a:lnTo>
                                  <a:lnTo>
                                    <a:pt x="469" y="443"/>
                                  </a:lnTo>
                                  <a:lnTo>
                                    <a:pt x="0" y="885"/>
                                  </a:lnTo>
                                  <a:lnTo>
                                    <a:pt x="1408" y="885"/>
                                  </a:lnTo>
                                  <a:lnTo>
                                    <a:pt x="1877" y="443"/>
                                  </a:lnTo>
                                  <a:lnTo>
                                    <a:pt x="1408"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1"/>
                          <wps:cNvSpPr>
                            <a:spLocks/>
                          </wps:cNvSpPr>
                          <wps:spPr bwMode="auto">
                            <a:xfrm>
                              <a:off x="1586" y="6"/>
                              <a:ext cx="1877" cy="885"/>
                            </a:xfrm>
                            <a:custGeom>
                              <a:avLst/>
                              <a:gdLst>
                                <a:gd name="T0" fmla="*/ 1408 w 1877"/>
                                <a:gd name="T1" fmla="*/ 0 h 885"/>
                                <a:gd name="T2" fmla="*/ 0 w 1877"/>
                                <a:gd name="T3" fmla="*/ 0 h 885"/>
                                <a:gd name="T4" fmla="*/ 469 w 1877"/>
                                <a:gd name="T5" fmla="*/ 443 h 885"/>
                                <a:gd name="T6" fmla="*/ 0 w 1877"/>
                                <a:gd name="T7" fmla="*/ 885 h 885"/>
                                <a:gd name="T8" fmla="*/ 1408 w 1877"/>
                                <a:gd name="T9" fmla="*/ 885 h 885"/>
                                <a:gd name="T10" fmla="*/ 1877 w 1877"/>
                                <a:gd name="T11" fmla="*/ 443 h 885"/>
                                <a:gd name="T12" fmla="*/ 1408 w 1877"/>
                                <a:gd name="T13" fmla="*/ 0 h 8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77" h="885">
                                  <a:moveTo>
                                    <a:pt x="1408" y="0"/>
                                  </a:moveTo>
                                  <a:lnTo>
                                    <a:pt x="0" y="0"/>
                                  </a:lnTo>
                                  <a:lnTo>
                                    <a:pt x="469" y="443"/>
                                  </a:lnTo>
                                  <a:lnTo>
                                    <a:pt x="0" y="885"/>
                                  </a:lnTo>
                                  <a:lnTo>
                                    <a:pt x="1408" y="885"/>
                                  </a:lnTo>
                                  <a:lnTo>
                                    <a:pt x="1877" y="443"/>
                                  </a:lnTo>
                                  <a:lnTo>
                                    <a:pt x="1408" y="0"/>
                                  </a:lnTo>
                                  <a:close/>
                                </a:path>
                              </a:pathLst>
                            </a:custGeom>
                            <a:noFill/>
                            <a:ln w="0" cap="rnd">
                              <a:solidFill>
                                <a:srgbClr val="6261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 name="Rectangle 13"/>
                        <wps:cNvSpPr>
                          <a:spLocks noChangeArrowheads="1"/>
                        </wps:cNvSpPr>
                        <wps:spPr bwMode="auto">
                          <a:xfrm>
                            <a:off x="13322" y="1384"/>
                            <a:ext cx="6960"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F9EE" w14:textId="23984DF6" w:rsidR="00ED34B9" w:rsidRDefault="00ED34B9">
                              <w:pPr>
                                <w:rPr>
                                  <w:rFonts w:ascii="Tahoma" w:hAnsi="Tahoma" w:cs="Tahoma"/>
                                </w:rPr>
                              </w:pPr>
                              <w:r>
                                <w:rPr>
                                  <w:rFonts w:ascii="Tahoma" w:hAnsi="Tahoma" w:cs="Tahoma"/>
                                  <w:bCs/>
                                </w:rPr>
                                <w:t xml:space="preserve">Concept &amp; </w:t>
                              </w:r>
                            </w:p>
                          </w:txbxContent>
                        </wps:txbx>
                        <wps:bodyPr rot="0" vert="horz" wrap="none" lIns="0" tIns="0" rIns="0" bIns="0" anchor="t" anchorCtr="0" upright="1">
                          <a:spAutoFit/>
                        </wps:bodyPr>
                      </wps:wsp>
                      <wps:wsp>
                        <wps:cNvPr id="40" name="Rectangle 14"/>
                        <wps:cNvSpPr>
                          <a:spLocks noChangeArrowheads="1"/>
                        </wps:cNvSpPr>
                        <wps:spPr bwMode="auto">
                          <a:xfrm>
                            <a:off x="13843" y="2838"/>
                            <a:ext cx="4559"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CE24B" w14:textId="77777777" w:rsidR="00ED34B9" w:rsidRDefault="00ED34B9">
                              <w:r>
                                <w:rPr>
                                  <w:rFonts w:ascii="Tahoma" w:hAnsi="Tahoma" w:cs="Tahoma"/>
                                  <w:bCs/>
                                </w:rPr>
                                <w:t>Design</w:t>
                              </w:r>
                            </w:p>
                          </w:txbxContent>
                        </wps:txbx>
                        <wps:bodyPr rot="0" vert="horz" wrap="none" lIns="0" tIns="0" rIns="0" bIns="0" anchor="t" anchorCtr="0" upright="1">
                          <a:spAutoFit/>
                        </wps:bodyPr>
                      </wps:wsp>
                      <wpg:grpSp>
                        <wpg:cNvPr id="41" name="Group 17"/>
                        <wpg:cNvGrpSpPr>
                          <a:grpSpLocks/>
                        </wpg:cNvGrpSpPr>
                        <wpg:grpSpPr bwMode="auto">
                          <a:xfrm>
                            <a:off x="20097" y="38"/>
                            <a:ext cx="11913" cy="5619"/>
                            <a:chOff x="3165" y="6"/>
                            <a:chExt cx="1876" cy="885"/>
                          </a:xfrm>
                        </wpg:grpSpPr>
                        <wps:wsp>
                          <wps:cNvPr id="42" name="Freeform 15"/>
                          <wps:cNvSpPr>
                            <a:spLocks/>
                          </wps:cNvSpPr>
                          <wps:spPr bwMode="auto">
                            <a:xfrm>
                              <a:off x="3165" y="6"/>
                              <a:ext cx="1876" cy="885"/>
                            </a:xfrm>
                            <a:custGeom>
                              <a:avLst/>
                              <a:gdLst>
                                <a:gd name="T0" fmla="*/ 1407 w 1876"/>
                                <a:gd name="T1" fmla="*/ 0 h 885"/>
                                <a:gd name="T2" fmla="*/ 0 w 1876"/>
                                <a:gd name="T3" fmla="*/ 0 h 885"/>
                                <a:gd name="T4" fmla="*/ 469 w 1876"/>
                                <a:gd name="T5" fmla="*/ 443 h 885"/>
                                <a:gd name="T6" fmla="*/ 0 w 1876"/>
                                <a:gd name="T7" fmla="*/ 885 h 885"/>
                                <a:gd name="T8" fmla="*/ 1407 w 1876"/>
                                <a:gd name="T9" fmla="*/ 885 h 885"/>
                                <a:gd name="T10" fmla="*/ 1876 w 1876"/>
                                <a:gd name="T11" fmla="*/ 443 h 885"/>
                                <a:gd name="T12" fmla="*/ 1407 w 1876"/>
                                <a:gd name="T13" fmla="*/ 0 h 8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76" h="885">
                                  <a:moveTo>
                                    <a:pt x="1407" y="0"/>
                                  </a:moveTo>
                                  <a:lnTo>
                                    <a:pt x="0" y="0"/>
                                  </a:lnTo>
                                  <a:lnTo>
                                    <a:pt x="469" y="443"/>
                                  </a:lnTo>
                                  <a:lnTo>
                                    <a:pt x="0" y="885"/>
                                  </a:lnTo>
                                  <a:lnTo>
                                    <a:pt x="1407" y="885"/>
                                  </a:lnTo>
                                  <a:lnTo>
                                    <a:pt x="1876" y="443"/>
                                  </a:lnTo>
                                  <a:lnTo>
                                    <a:pt x="1407"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
                          <wps:cNvSpPr>
                            <a:spLocks/>
                          </wps:cNvSpPr>
                          <wps:spPr bwMode="auto">
                            <a:xfrm>
                              <a:off x="3165" y="6"/>
                              <a:ext cx="1876" cy="885"/>
                            </a:xfrm>
                            <a:custGeom>
                              <a:avLst/>
                              <a:gdLst>
                                <a:gd name="T0" fmla="*/ 1407 w 1876"/>
                                <a:gd name="T1" fmla="*/ 0 h 885"/>
                                <a:gd name="T2" fmla="*/ 0 w 1876"/>
                                <a:gd name="T3" fmla="*/ 0 h 885"/>
                                <a:gd name="T4" fmla="*/ 469 w 1876"/>
                                <a:gd name="T5" fmla="*/ 443 h 885"/>
                                <a:gd name="T6" fmla="*/ 0 w 1876"/>
                                <a:gd name="T7" fmla="*/ 885 h 885"/>
                                <a:gd name="T8" fmla="*/ 1407 w 1876"/>
                                <a:gd name="T9" fmla="*/ 885 h 885"/>
                                <a:gd name="T10" fmla="*/ 1876 w 1876"/>
                                <a:gd name="T11" fmla="*/ 443 h 885"/>
                                <a:gd name="T12" fmla="*/ 1407 w 1876"/>
                                <a:gd name="T13" fmla="*/ 0 h 8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76" h="885">
                                  <a:moveTo>
                                    <a:pt x="1407" y="0"/>
                                  </a:moveTo>
                                  <a:lnTo>
                                    <a:pt x="0" y="0"/>
                                  </a:lnTo>
                                  <a:lnTo>
                                    <a:pt x="469" y="443"/>
                                  </a:lnTo>
                                  <a:lnTo>
                                    <a:pt x="0" y="885"/>
                                  </a:lnTo>
                                  <a:lnTo>
                                    <a:pt x="1407" y="885"/>
                                  </a:lnTo>
                                  <a:lnTo>
                                    <a:pt x="1876" y="443"/>
                                  </a:lnTo>
                                  <a:lnTo>
                                    <a:pt x="1407" y="0"/>
                                  </a:lnTo>
                                  <a:close/>
                                </a:path>
                              </a:pathLst>
                            </a:custGeom>
                            <a:noFill/>
                            <a:ln w="0" cap="rnd">
                              <a:solidFill>
                                <a:srgbClr val="6261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 name="Rectangle 18"/>
                        <wps:cNvSpPr>
                          <a:spLocks noChangeArrowheads="1"/>
                        </wps:cNvSpPr>
                        <wps:spPr bwMode="auto">
                          <a:xfrm>
                            <a:off x="23304" y="2114"/>
                            <a:ext cx="8420"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1089C" w14:textId="77777777" w:rsidR="00ED34B9" w:rsidRDefault="00ED34B9">
                              <w:r>
                                <w:rPr>
                                  <w:rFonts w:ascii="Tahoma" w:hAnsi="Tahoma" w:cs="Tahoma"/>
                                  <w:bCs/>
                                </w:rPr>
                                <w:t>Construction</w:t>
                              </w:r>
                            </w:p>
                          </w:txbxContent>
                        </wps:txbx>
                        <wps:bodyPr rot="0" vert="horz" wrap="none" lIns="0" tIns="0" rIns="0" bIns="0" anchor="t" anchorCtr="0" upright="1">
                          <a:spAutoFit/>
                        </wps:bodyPr>
                      </wps:wsp>
                      <wpg:grpSp>
                        <wpg:cNvPr id="45" name="Group 21"/>
                        <wpg:cNvGrpSpPr>
                          <a:grpSpLocks/>
                        </wpg:cNvGrpSpPr>
                        <wpg:grpSpPr bwMode="auto">
                          <a:xfrm>
                            <a:off x="30130" y="38"/>
                            <a:ext cx="11919" cy="5619"/>
                            <a:chOff x="4745" y="6"/>
                            <a:chExt cx="1877" cy="885"/>
                          </a:xfrm>
                        </wpg:grpSpPr>
                        <wps:wsp>
                          <wps:cNvPr id="46" name="Freeform 19"/>
                          <wps:cNvSpPr>
                            <a:spLocks/>
                          </wps:cNvSpPr>
                          <wps:spPr bwMode="auto">
                            <a:xfrm>
                              <a:off x="4745" y="6"/>
                              <a:ext cx="1877" cy="885"/>
                            </a:xfrm>
                            <a:custGeom>
                              <a:avLst/>
                              <a:gdLst>
                                <a:gd name="T0" fmla="*/ 1408 w 1877"/>
                                <a:gd name="T1" fmla="*/ 0 h 885"/>
                                <a:gd name="T2" fmla="*/ 0 w 1877"/>
                                <a:gd name="T3" fmla="*/ 0 h 885"/>
                                <a:gd name="T4" fmla="*/ 470 w 1877"/>
                                <a:gd name="T5" fmla="*/ 443 h 885"/>
                                <a:gd name="T6" fmla="*/ 0 w 1877"/>
                                <a:gd name="T7" fmla="*/ 885 h 885"/>
                                <a:gd name="T8" fmla="*/ 1408 w 1877"/>
                                <a:gd name="T9" fmla="*/ 885 h 885"/>
                                <a:gd name="T10" fmla="*/ 1877 w 1877"/>
                                <a:gd name="T11" fmla="*/ 443 h 885"/>
                                <a:gd name="T12" fmla="*/ 1408 w 1877"/>
                                <a:gd name="T13" fmla="*/ 0 h 8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77" h="885">
                                  <a:moveTo>
                                    <a:pt x="1408" y="0"/>
                                  </a:moveTo>
                                  <a:lnTo>
                                    <a:pt x="0" y="0"/>
                                  </a:lnTo>
                                  <a:lnTo>
                                    <a:pt x="470" y="443"/>
                                  </a:lnTo>
                                  <a:lnTo>
                                    <a:pt x="0" y="885"/>
                                  </a:lnTo>
                                  <a:lnTo>
                                    <a:pt x="1408" y="885"/>
                                  </a:lnTo>
                                  <a:lnTo>
                                    <a:pt x="1877" y="443"/>
                                  </a:lnTo>
                                  <a:lnTo>
                                    <a:pt x="1408"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0"/>
                          <wps:cNvSpPr>
                            <a:spLocks/>
                          </wps:cNvSpPr>
                          <wps:spPr bwMode="auto">
                            <a:xfrm>
                              <a:off x="4745" y="6"/>
                              <a:ext cx="1877" cy="885"/>
                            </a:xfrm>
                            <a:custGeom>
                              <a:avLst/>
                              <a:gdLst>
                                <a:gd name="T0" fmla="*/ 1408 w 1877"/>
                                <a:gd name="T1" fmla="*/ 0 h 885"/>
                                <a:gd name="T2" fmla="*/ 0 w 1877"/>
                                <a:gd name="T3" fmla="*/ 0 h 885"/>
                                <a:gd name="T4" fmla="*/ 470 w 1877"/>
                                <a:gd name="T5" fmla="*/ 443 h 885"/>
                                <a:gd name="T6" fmla="*/ 0 w 1877"/>
                                <a:gd name="T7" fmla="*/ 885 h 885"/>
                                <a:gd name="T8" fmla="*/ 1408 w 1877"/>
                                <a:gd name="T9" fmla="*/ 885 h 885"/>
                                <a:gd name="T10" fmla="*/ 1877 w 1877"/>
                                <a:gd name="T11" fmla="*/ 443 h 885"/>
                                <a:gd name="T12" fmla="*/ 1408 w 1877"/>
                                <a:gd name="T13" fmla="*/ 0 h 8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77" h="885">
                                  <a:moveTo>
                                    <a:pt x="1408" y="0"/>
                                  </a:moveTo>
                                  <a:lnTo>
                                    <a:pt x="0" y="0"/>
                                  </a:lnTo>
                                  <a:lnTo>
                                    <a:pt x="470" y="443"/>
                                  </a:lnTo>
                                  <a:lnTo>
                                    <a:pt x="0" y="885"/>
                                  </a:lnTo>
                                  <a:lnTo>
                                    <a:pt x="1408" y="885"/>
                                  </a:lnTo>
                                  <a:lnTo>
                                    <a:pt x="1877" y="443"/>
                                  </a:lnTo>
                                  <a:lnTo>
                                    <a:pt x="1408" y="0"/>
                                  </a:lnTo>
                                  <a:close/>
                                </a:path>
                              </a:pathLst>
                            </a:custGeom>
                            <a:noFill/>
                            <a:ln w="0" cap="rnd">
                              <a:solidFill>
                                <a:srgbClr val="6261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 name="Rectangle 22"/>
                        <wps:cNvSpPr>
                          <a:spLocks noChangeArrowheads="1"/>
                        </wps:cNvSpPr>
                        <wps:spPr bwMode="auto">
                          <a:xfrm>
                            <a:off x="34905" y="2114"/>
                            <a:ext cx="3112"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94FE8" w14:textId="77777777" w:rsidR="00ED34B9" w:rsidRDefault="00ED34B9">
                              <w:r>
                                <w:rPr>
                                  <w:rFonts w:ascii="Tahoma" w:hAnsi="Tahoma" w:cs="Tahoma"/>
                                  <w:bCs/>
                                </w:rPr>
                                <w:t>Rent</w:t>
                              </w:r>
                            </w:p>
                          </w:txbxContent>
                        </wps:txbx>
                        <wps:bodyPr rot="0" vert="horz" wrap="none" lIns="0" tIns="0" rIns="0" bIns="0" anchor="t" anchorCtr="0" upright="1">
                          <a:spAutoFit/>
                        </wps:bodyPr>
                      </wps:wsp>
                      <wpg:grpSp>
                        <wpg:cNvPr id="49" name="Group 25"/>
                        <wpg:cNvGrpSpPr>
                          <a:grpSpLocks/>
                        </wpg:cNvGrpSpPr>
                        <wpg:grpSpPr bwMode="auto">
                          <a:xfrm>
                            <a:off x="40170" y="38"/>
                            <a:ext cx="11919" cy="5619"/>
                            <a:chOff x="6326" y="6"/>
                            <a:chExt cx="1877" cy="885"/>
                          </a:xfrm>
                        </wpg:grpSpPr>
                        <wps:wsp>
                          <wps:cNvPr id="50" name="Freeform 23"/>
                          <wps:cNvSpPr>
                            <a:spLocks/>
                          </wps:cNvSpPr>
                          <wps:spPr bwMode="auto">
                            <a:xfrm>
                              <a:off x="6326" y="6"/>
                              <a:ext cx="1877" cy="885"/>
                            </a:xfrm>
                            <a:custGeom>
                              <a:avLst/>
                              <a:gdLst>
                                <a:gd name="T0" fmla="*/ 1408 w 1877"/>
                                <a:gd name="T1" fmla="*/ 0 h 885"/>
                                <a:gd name="T2" fmla="*/ 0 w 1877"/>
                                <a:gd name="T3" fmla="*/ 0 h 885"/>
                                <a:gd name="T4" fmla="*/ 469 w 1877"/>
                                <a:gd name="T5" fmla="*/ 443 h 885"/>
                                <a:gd name="T6" fmla="*/ 0 w 1877"/>
                                <a:gd name="T7" fmla="*/ 885 h 885"/>
                                <a:gd name="T8" fmla="*/ 1408 w 1877"/>
                                <a:gd name="T9" fmla="*/ 885 h 885"/>
                                <a:gd name="T10" fmla="*/ 1877 w 1877"/>
                                <a:gd name="T11" fmla="*/ 443 h 885"/>
                                <a:gd name="T12" fmla="*/ 1408 w 1877"/>
                                <a:gd name="T13" fmla="*/ 0 h 8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77" h="885">
                                  <a:moveTo>
                                    <a:pt x="1408" y="0"/>
                                  </a:moveTo>
                                  <a:lnTo>
                                    <a:pt x="0" y="0"/>
                                  </a:lnTo>
                                  <a:lnTo>
                                    <a:pt x="469" y="443"/>
                                  </a:lnTo>
                                  <a:lnTo>
                                    <a:pt x="0" y="885"/>
                                  </a:lnTo>
                                  <a:lnTo>
                                    <a:pt x="1408" y="885"/>
                                  </a:lnTo>
                                  <a:lnTo>
                                    <a:pt x="1877" y="443"/>
                                  </a:lnTo>
                                  <a:lnTo>
                                    <a:pt x="14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4"/>
                          <wps:cNvSpPr>
                            <a:spLocks/>
                          </wps:cNvSpPr>
                          <wps:spPr bwMode="auto">
                            <a:xfrm>
                              <a:off x="6326" y="6"/>
                              <a:ext cx="1877" cy="885"/>
                            </a:xfrm>
                            <a:custGeom>
                              <a:avLst/>
                              <a:gdLst>
                                <a:gd name="T0" fmla="*/ 1408 w 1877"/>
                                <a:gd name="T1" fmla="*/ 0 h 885"/>
                                <a:gd name="T2" fmla="*/ 0 w 1877"/>
                                <a:gd name="T3" fmla="*/ 0 h 885"/>
                                <a:gd name="T4" fmla="*/ 469 w 1877"/>
                                <a:gd name="T5" fmla="*/ 443 h 885"/>
                                <a:gd name="T6" fmla="*/ 0 w 1877"/>
                                <a:gd name="T7" fmla="*/ 885 h 885"/>
                                <a:gd name="T8" fmla="*/ 1408 w 1877"/>
                                <a:gd name="T9" fmla="*/ 885 h 885"/>
                                <a:gd name="T10" fmla="*/ 1877 w 1877"/>
                                <a:gd name="T11" fmla="*/ 443 h 885"/>
                                <a:gd name="T12" fmla="*/ 1408 w 1877"/>
                                <a:gd name="T13" fmla="*/ 0 h 8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77" h="885">
                                  <a:moveTo>
                                    <a:pt x="1408" y="0"/>
                                  </a:moveTo>
                                  <a:lnTo>
                                    <a:pt x="0" y="0"/>
                                  </a:lnTo>
                                  <a:lnTo>
                                    <a:pt x="469" y="443"/>
                                  </a:lnTo>
                                  <a:lnTo>
                                    <a:pt x="0" y="885"/>
                                  </a:lnTo>
                                  <a:lnTo>
                                    <a:pt x="1408" y="885"/>
                                  </a:lnTo>
                                  <a:lnTo>
                                    <a:pt x="1877" y="443"/>
                                  </a:lnTo>
                                  <a:lnTo>
                                    <a:pt x="1408" y="0"/>
                                  </a:lnTo>
                                  <a:close/>
                                </a:path>
                              </a:pathLst>
                            </a:custGeom>
                            <a:noFill/>
                            <a:ln w="0" cap="rnd">
                              <a:solidFill>
                                <a:srgbClr val="6261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2" name="Rectangle 26"/>
                        <wps:cNvSpPr>
                          <a:spLocks noChangeArrowheads="1"/>
                        </wps:cNvSpPr>
                        <wps:spPr bwMode="auto">
                          <a:xfrm>
                            <a:off x="43922" y="2114"/>
                            <a:ext cx="5569"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C5E2F" w14:textId="77777777" w:rsidR="00ED34B9" w:rsidRDefault="00ED34B9">
                              <w:r>
                                <w:rPr>
                                  <w:rFonts w:ascii="Tahoma" w:hAnsi="Tahoma" w:cs="Tahoma"/>
                                  <w:bCs/>
                                </w:rPr>
                                <w:t>Portfolio</w:t>
                              </w:r>
                            </w:p>
                          </w:txbxContent>
                        </wps:txbx>
                        <wps:bodyPr rot="0" vert="horz" wrap="none" lIns="0" tIns="0" rIns="0" bIns="0" anchor="t" anchorCtr="0" upright="1">
                          <a:spAutoFit/>
                        </wps:bodyPr>
                      </wps:wsp>
                    </wpg:wgp>
                  </a:graphicData>
                </a:graphic>
              </wp:inline>
            </w:drawing>
          </mc:Choice>
          <mc:Fallback>
            <w:pict>
              <v:group w14:anchorId="4746FCDD" id="Canvas 69" o:spid="_x0000_s1027" style="width:412.7pt;height:47.05pt;mso-position-horizontal-relative:char;mso-position-vertical-relative:line" coordsize="52412,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">
                <v:rect id="AutoShape 2" o:spid="_x0000_s1028" style="position:absolute;width:52412;height: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o:lock v:ext="edit" aspectratio="t"/>
                </v:rect>
                <v:group id="Group 8" o:spid="_x0000_s1029" style="position:absolute;left:31;top:38;width:11919;height:5607" coordorigin="5,6" coordsize="187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6" o:spid="_x0000_s1030" style="position:absolute;left:5;top:6;width:1877;height:883;visibility:visible;mso-wrap-style:square;v-text-anchor:top" coordsize="187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" path="m1408,l,,,883r1408,l1877,442,1408,xe" filled="f" stroked="f">
                    <v:path arrowok="t" o:connecttype="custom" o:connectlocs="1408,0;0,0;0,883;1408,883;1877,442;1408,0" o:connectangles="0,0,0,0,0,0"/>
                  </v:shape>
                  <v:shape id="Freeform 7" o:spid="_x0000_s1031" style="position:absolute;left:5;top:6;width:1877;height:883;visibility:visible;mso-wrap-style:square;v-text-anchor:top" coordsize="187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" path="m1408,l,,,883r1408,l1877,442,1408,xe" filled="f" strokecolor="#626131" strokeweight="0">
                    <v:stroke endcap="round"/>
                    <v:path arrowok="t" o:connecttype="custom" o:connectlocs="1408,0;0,0;0,883;1408,883;1877,442;1408,0" o:connectangles="0,0,0,0,0,0"/>
                  </v:shape>
                </v:group>
                <v:rect id="Rectangle 9" o:spid="_x0000_s1032" style="position:absolute;left:3886;top:2114;width:325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6DA68E9A" w14:textId="77777777" w:rsidR="00ED34B9" w:rsidRDefault="00ED34B9">
                        <w:r>
                          <w:rPr>
                            <w:rFonts w:ascii="Tahoma" w:hAnsi="Tahoma" w:cs="Tahoma"/>
                            <w:bCs/>
                          </w:rPr>
                          <w:t>Land</w:t>
                        </w:r>
                      </w:p>
                    </w:txbxContent>
                  </v:textbox>
                </v:rect>
                <v:group id="Group 12" o:spid="_x0000_s1033" style="position:absolute;left:10071;top:38;width:11919;height:5619" coordorigin="1586,6" coordsize="187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0" o:spid="_x0000_s1034" style="position:absolute;left:1586;top:6;width:1877;height:885;visibility:visible;mso-wrap-style:square;v-text-anchor:top" coordsize="187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" path="m1408,l,,469,443,,885r1408,l1877,443,1408,xe" filled="f" stroked="f">
                    <v:path arrowok="t" o:connecttype="custom" o:connectlocs="1408,0;0,0;469,443;0,885;1408,885;1877,443;1408,0" o:connectangles="0,0,0,0,0,0,0"/>
                  </v:shape>
                  <v:shape id="Freeform 11" o:spid="_x0000_s1035" style="position:absolute;left:1586;top:6;width:1877;height:885;visibility:visible;mso-wrap-style:square;v-text-anchor:top" coordsize="187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" path="m1408,l,,469,443,,885r1408,l1877,443,1408,xe" filled="f" strokecolor="#626131" strokeweight="0">
                    <v:stroke endcap="round"/>
                    <v:path arrowok="t" o:connecttype="custom" o:connectlocs="1408,0;0,0;469,443;0,885;1408,885;1877,443;1408,0" o:connectangles="0,0,0,0,0,0,0"/>
                  </v:shape>
                </v:group>
                <v:rect id="Rectangle 13" o:spid="_x0000_s1036" style="position:absolute;left:13322;top:1384;width:6960;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0FDF9EE" w14:textId="23984DF6" w:rsidR="00ED34B9" w:rsidRDefault="00ED34B9">
                        <w:pPr>
                          <w:rPr>
                            <w:rFonts w:ascii="Tahoma" w:hAnsi="Tahoma" w:cs="Tahoma"/>
                          </w:rPr>
                        </w:pPr>
                        <w:r>
                          <w:rPr>
                            <w:rFonts w:ascii="Tahoma" w:hAnsi="Tahoma" w:cs="Tahoma"/>
                            <w:bCs/>
                          </w:rPr>
                          <w:t xml:space="preserve">Concept &amp; </w:t>
                        </w:r>
                      </w:p>
                    </w:txbxContent>
                  </v:textbox>
                </v:rect>
                <v:rect id="Rectangle 14" o:spid="_x0000_s1037" style="position:absolute;left:13843;top:2838;width:4559;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0FCCE24B" w14:textId="77777777" w:rsidR="00ED34B9" w:rsidRDefault="00ED34B9">
                        <w:r>
                          <w:rPr>
                            <w:rFonts w:ascii="Tahoma" w:hAnsi="Tahoma" w:cs="Tahoma"/>
                            <w:bCs/>
                          </w:rPr>
                          <w:t>Design</w:t>
                        </w:r>
                      </w:p>
                    </w:txbxContent>
                  </v:textbox>
                </v:rect>
                <v:group id="Group 17" o:spid="_x0000_s1038" style="position:absolute;left:20097;top:38;width:11913;height:5619" coordorigin="3165,6" coordsize="187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5" o:spid="_x0000_s1039" style="position:absolute;left:3165;top:6;width:1876;height:885;visibility:visible;mso-wrap-style:square;v-text-anchor:top" coordsize="187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" path="m1407,l,,469,443,,885r1407,l1876,443,1407,xe" filled="f" stroked="f">
                    <v:path arrowok="t" o:connecttype="custom" o:connectlocs="1407,0;0,0;469,443;0,885;1407,885;1876,443;1407,0" o:connectangles="0,0,0,0,0,0,0"/>
                  </v:shape>
                  <v:shape id="Freeform 16" o:spid="_x0000_s1040" style="position:absolute;left:3165;top:6;width:1876;height:885;visibility:visible;mso-wrap-style:square;v-text-anchor:top" coordsize="187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" path="m1407,l,,469,443,,885r1407,l1876,443,1407,xe" filled="f" strokecolor="#626131" strokeweight="0">
                    <v:stroke endcap="round"/>
                    <v:path arrowok="t" o:connecttype="custom" o:connectlocs="1407,0;0,0;469,443;0,885;1407,885;1876,443;1407,0" o:connectangles="0,0,0,0,0,0,0"/>
                  </v:shape>
                </v:group>
                <v:rect id="Rectangle 18" o:spid="_x0000_s1041" style="position:absolute;left:23304;top:2114;width:8420;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4991089C" w14:textId="77777777" w:rsidR="00ED34B9" w:rsidRDefault="00ED34B9">
                        <w:r>
                          <w:rPr>
                            <w:rFonts w:ascii="Tahoma" w:hAnsi="Tahoma" w:cs="Tahoma"/>
                            <w:bCs/>
                          </w:rPr>
                          <w:t>Construction</w:t>
                        </w:r>
                      </w:p>
                    </w:txbxContent>
                  </v:textbox>
                </v:rect>
                <v:group id="Group 21" o:spid="_x0000_s1042" style="position:absolute;left:30130;top:38;width:11919;height:5619" coordorigin="4745,6" coordsize="187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9" o:spid="_x0000_s1043" style="position:absolute;left:4745;top:6;width:1877;height:885;visibility:visible;mso-wrap-style:square;v-text-anchor:top" coordsize="187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" path="m1408,l,,470,443,,885r1408,l1877,443,1408,xe" filled="f" stroked="f">
                    <v:path arrowok="t" o:connecttype="custom" o:connectlocs="1408,0;0,0;470,443;0,885;1408,885;1877,443;1408,0" o:connectangles="0,0,0,0,0,0,0"/>
                  </v:shape>
                  <v:shape id="Freeform 20" o:spid="_x0000_s1044" style="position:absolute;left:4745;top:6;width:1877;height:885;visibility:visible;mso-wrap-style:square;v-text-anchor:top" coordsize="187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" path="m1408,l,,470,443,,885r1408,l1877,443,1408,xe" filled="f" strokecolor="#626131" strokeweight="0">
                    <v:stroke endcap="round"/>
                    <v:path arrowok="t" o:connecttype="custom" o:connectlocs="1408,0;0,0;470,443;0,885;1408,885;1877,443;1408,0" o:connectangles="0,0,0,0,0,0,0"/>
                  </v:shape>
                </v:group>
                <v:rect id="Rectangle 22" o:spid="_x0000_s1045" style="position:absolute;left:34905;top:2114;width:3112;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28394FE8" w14:textId="77777777" w:rsidR="00ED34B9" w:rsidRDefault="00ED34B9">
                        <w:r>
                          <w:rPr>
                            <w:rFonts w:ascii="Tahoma" w:hAnsi="Tahoma" w:cs="Tahoma"/>
                            <w:bCs/>
                          </w:rPr>
                          <w:t>Rent</w:t>
                        </w:r>
                      </w:p>
                    </w:txbxContent>
                  </v:textbox>
                </v:rect>
                <v:group id="Group 25" o:spid="_x0000_s1046" style="position:absolute;left:40170;top:38;width:11919;height:5619" coordorigin="6326,6" coordsize="187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3" o:spid="_x0000_s1047" style="position:absolute;left:6326;top:6;width:1877;height:885;visibility:visible;mso-wrap-style:square;v-text-anchor:top" coordsize="187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" path="m1408,l,,469,443,,885r1408,l1877,443,1408,xe" stroked="f">
                    <v:path arrowok="t" o:connecttype="custom" o:connectlocs="1408,0;0,0;469,443;0,885;1408,885;1877,443;1408,0" o:connectangles="0,0,0,0,0,0,0"/>
                  </v:shape>
                  <v:shape id="Freeform 24" o:spid="_x0000_s1048" style="position:absolute;left:6326;top:6;width:1877;height:885;visibility:visible;mso-wrap-style:square;v-text-anchor:top" coordsize="187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" path="m1408,l,,469,443,,885r1408,l1877,443,1408,xe" filled="f" strokecolor="#626131" strokeweight="0">
                    <v:stroke endcap="round"/>
                    <v:path arrowok="t" o:connecttype="custom" o:connectlocs="1408,0;0,0;469,443;0,885;1408,885;1877,443;1408,0" o:connectangles="0,0,0,0,0,0,0"/>
                  </v:shape>
                </v:group>
                <v:rect id="Rectangle 26" o:spid="_x0000_s1049" style="position:absolute;left:43922;top:2114;width:5569;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5FDC5E2F" w14:textId="77777777" w:rsidR="00ED34B9" w:rsidRDefault="00ED34B9">
                        <w:r>
                          <w:rPr>
                            <w:rFonts w:ascii="Tahoma" w:hAnsi="Tahoma" w:cs="Tahoma"/>
                            <w:bCs/>
                          </w:rPr>
                          <w:t>Portfolio</w:t>
                        </w:r>
                      </w:p>
                    </w:txbxContent>
                  </v:textbox>
                </v:rect>
                <w10:anchorlock/>
              </v:group>
            </w:pict>
          </mc:Fallback>
        </mc:AlternateContent>
      </w:r>
    </w:p>
    <w:p w14:paraId="339A7BA1" w14:textId="77777777" w:rsidR="00F76607" w:rsidRDefault="001863F0">
      <w:pPr>
        <w:pStyle w:val="NormalWeb"/>
        <w:spacing w:before="240" w:after="0"/>
        <w:ind w:firstLine="857"/>
        <w:rPr>
          <w:sz w:val="18"/>
          <w:szCs w:val="18"/>
          <w:lang w:val="en-GB"/>
        </w:rPr>
      </w:pPr>
      <w:r>
        <w:rPr>
          <w:sz w:val="18"/>
          <w:szCs w:val="18"/>
          <w:lang w:val="en-GB"/>
        </w:rPr>
        <w:t>The Group has an in-house team which manages all the activities of the fully integrated business model: from the identification and acquisition of the land, to the conceptualisation and design of the project, the supervision of the construction works, the contacts with potential tenants and the Facility Management of its own real estate portfolio.</w:t>
      </w:r>
    </w:p>
    <w:p w14:paraId="4885A50E" w14:textId="77777777" w:rsidR="00F76607" w:rsidRDefault="001863F0">
      <w:pPr>
        <w:pStyle w:val="VulcanIILevel2"/>
      </w:pPr>
      <w:r>
        <w:t>Land plots</w:t>
      </w:r>
    </w:p>
    <w:p w14:paraId="4A19F48F" w14:textId="550807B8" w:rsidR="00F76607" w:rsidRDefault="001863F0" w:rsidP="00411069">
      <w:pPr>
        <w:pStyle w:val="NormalWeb"/>
        <w:ind w:firstLine="857"/>
        <w:rPr>
          <w:sz w:val="18"/>
          <w:szCs w:val="18"/>
          <w:lang w:val="en-GB"/>
        </w:rPr>
      </w:pPr>
      <w:r>
        <w:rPr>
          <w:sz w:val="18"/>
          <w:szCs w:val="18"/>
          <w:lang w:val="en-GB"/>
        </w:rPr>
        <w:t xml:space="preserve">The first phase of the business model is the identification of top locations for logistic projects. The Group focuses on </w:t>
      </w:r>
      <w:r w:rsidR="00AF7864">
        <w:rPr>
          <w:sz w:val="18"/>
          <w:szCs w:val="18"/>
          <w:lang w:val="en-GB"/>
        </w:rPr>
        <w:t xml:space="preserve">the acquisition of </w:t>
      </w:r>
      <w:r>
        <w:rPr>
          <w:sz w:val="18"/>
          <w:szCs w:val="18"/>
          <w:lang w:val="en-GB"/>
        </w:rPr>
        <w:t xml:space="preserve">land plots with a size between 15 and 25 hectares, which are zoned for logistic or light industrial use. Larger land plots enable creation of VGP parks, thus providing economies of scale and also more flexibility in case of future vacancies. For particular projects, smaller land plots (ca. 5 hectares) can be also interesting, and in good locations, the Group is ready to acquire also significantly larger plots. </w:t>
      </w:r>
    </w:p>
    <w:p w14:paraId="60C7F00F" w14:textId="0F930C37" w:rsidR="00F76607" w:rsidRDefault="001863F0">
      <w:pPr>
        <w:pStyle w:val="NormalWeb"/>
        <w:spacing w:before="240" w:after="0"/>
        <w:ind w:firstLine="857"/>
        <w:rPr>
          <w:sz w:val="18"/>
          <w:szCs w:val="18"/>
          <w:lang w:val="en-GB"/>
        </w:rPr>
      </w:pPr>
      <w:r>
        <w:rPr>
          <w:sz w:val="18"/>
          <w:szCs w:val="18"/>
          <w:lang w:val="en-GB"/>
        </w:rPr>
        <w:t>The Group seeks to ensure that all land plots are in accordance with its investment criteria (e.g. proximity to highways and ring roads, important logistic access, the vicinity of important city centres with living concentration and production hubs, public transportation, etc.). For this activity, the Group works in close cooperation with several local real estate brokers, some of which have an exclusive agreement with the Group. Moreover, the Group has a core team which has an intensive pro</w:t>
      </w:r>
      <w:r w:rsidR="00AF7864">
        <w:rPr>
          <w:sz w:val="18"/>
          <w:szCs w:val="18"/>
          <w:lang w:val="en-GB"/>
        </w:rPr>
        <w:t>prietary prospection function. Generally, t</w:t>
      </w:r>
      <w:r>
        <w:rPr>
          <w:sz w:val="18"/>
          <w:szCs w:val="18"/>
          <w:lang w:val="en-GB"/>
        </w:rPr>
        <w:t xml:space="preserve">he Group communicates with local authorities and </w:t>
      </w:r>
      <w:r w:rsidR="00AF7864">
        <w:rPr>
          <w:sz w:val="18"/>
          <w:szCs w:val="18"/>
          <w:lang w:val="en-GB"/>
        </w:rPr>
        <w:t>seeks to ensure</w:t>
      </w:r>
      <w:r>
        <w:rPr>
          <w:sz w:val="18"/>
          <w:szCs w:val="18"/>
          <w:lang w:val="en-GB"/>
        </w:rPr>
        <w:t xml:space="preserve"> that its projects </w:t>
      </w:r>
      <w:r w:rsidR="00AF7864">
        <w:rPr>
          <w:sz w:val="18"/>
          <w:szCs w:val="18"/>
          <w:lang w:val="en-GB"/>
        </w:rPr>
        <w:t>are supported by</w:t>
      </w:r>
      <w:r>
        <w:rPr>
          <w:sz w:val="18"/>
          <w:szCs w:val="18"/>
          <w:lang w:val="en-GB"/>
        </w:rPr>
        <w:t xml:space="preserve"> the </w:t>
      </w:r>
      <w:r w:rsidR="00AF7864">
        <w:rPr>
          <w:sz w:val="18"/>
          <w:szCs w:val="18"/>
          <w:lang w:val="en-GB"/>
        </w:rPr>
        <w:t xml:space="preserve">relevant </w:t>
      </w:r>
      <w:r>
        <w:rPr>
          <w:sz w:val="18"/>
          <w:szCs w:val="18"/>
          <w:lang w:val="en-GB"/>
        </w:rPr>
        <w:t>communities. As a result, members of the management team are regularly in contact with the municipalities and are aware of the local sensitivities, which are key to successful permitting.</w:t>
      </w:r>
    </w:p>
    <w:p w14:paraId="71514EAE" w14:textId="77777777" w:rsidR="00F76607" w:rsidRDefault="001863F0">
      <w:pPr>
        <w:pStyle w:val="NormalWeb"/>
        <w:spacing w:before="240" w:after="0"/>
        <w:ind w:firstLine="857"/>
        <w:rPr>
          <w:sz w:val="18"/>
          <w:szCs w:val="18"/>
          <w:lang w:val="en-GB"/>
        </w:rPr>
      </w:pPr>
      <w:r>
        <w:rPr>
          <w:sz w:val="18"/>
          <w:szCs w:val="18"/>
          <w:lang w:val="en-GB"/>
        </w:rPr>
        <w:lastRenderedPageBreak/>
        <w:t>The management and the team gather on a regular basis to evaluate potential projects. Once a project is approved, a technical due diligence is performed. As a general rule, any acquisition of land is subject to first obtaining the zoning and/or building permit for logistic activities and the absence of any other obstacles such as environmental issues, infrastructure works, etc. Each decision to acquire new land plot is subject to CEO approval.</w:t>
      </w:r>
    </w:p>
    <w:p w14:paraId="5744643E" w14:textId="37906BD4" w:rsidR="00F76607" w:rsidRDefault="001863F0">
      <w:pPr>
        <w:pStyle w:val="NormalWeb"/>
        <w:spacing w:before="240" w:after="0"/>
        <w:ind w:firstLine="857"/>
        <w:rPr>
          <w:sz w:val="18"/>
          <w:szCs w:val="18"/>
          <w:lang w:val="en-GB"/>
        </w:rPr>
      </w:pPr>
      <w:r>
        <w:rPr>
          <w:sz w:val="18"/>
          <w:szCs w:val="18"/>
          <w:lang w:val="en-GB"/>
        </w:rPr>
        <w:t xml:space="preserve">For legal assistance, drafting of contracts as well as legal due diligence of acquisition targets, the Group relies on reputable local or international law firms, as well as </w:t>
      </w:r>
      <w:r w:rsidR="00940375">
        <w:rPr>
          <w:sz w:val="18"/>
          <w:szCs w:val="18"/>
          <w:lang w:val="en-GB"/>
        </w:rPr>
        <w:t xml:space="preserve">on </w:t>
      </w:r>
      <w:r>
        <w:rPr>
          <w:sz w:val="18"/>
          <w:szCs w:val="18"/>
          <w:lang w:val="en-GB"/>
        </w:rPr>
        <w:t>its in-house legal counsel.</w:t>
      </w:r>
    </w:p>
    <w:p w14:paraId="75C68240" w14:textId="7E8BCE5C" w:rsidR="00F76607" w:rsidRDefault="001863F0">
      <w:pPr>
        <w:pStyle w:val="NormalWeb"/>
        <w:spacing w:before="240" w:after="0"/>
        <w:ind w:firstLine="857"/>
        <w:rPr>
          <w:sz w:val="18"/>
          <w:szCs w:val="18"/>
          <w:lang w:val="en-GB"/>
        </w:rPr>
      </w:pPr>
      <w:r>
        <w:rPr>
          <w:sz w:val="18"/>
          <w:szCs w:val="18"/>
          <w:lang w:val="en-GB"/>
        </w:rPr>
        <w:t>The Group’s policy is to acquire plots of land which are directly connectable to existing infrastructure. Within the boundaries of the land plots, VGP</w:t>
      </w:r>
      <w:r w:rsidR="00FF2ECC">
        <w:rPr>
          <w:sz w:val="18"/>
          <w:szCs w:val="18"/>
          <w:lang w:val="en-GB"/>
        </w:rPr>
        <w:t xml:space="preserve"> </w:t>
      </w:r>
      <w:r>
        <w:rPr>
          <w:sz w:val="18"/>
          <w:szCs w:val="18"/>
          <w:lang w:val="en-GB"/>
        </w:rPr>
        <w:t xml:space="preserve">undertakes infrastructure works if necessary. This infrastructure work </w:t>
      </w:r>
      <w:r w:rsidR="00BD4338">
        <w:rPr>
          <w:sz w:val="18"/>
          <w:szCs w:val="18"/>
          <w:lang w:val="en-GB"/>
        </w:rPr>
        <w:t>is</w:t>
      </w:r>
      <w:r>
        <w:rPr>
          <w:sz w:val="18"/>
          <w:szCs w:val="18"/>
          <w:lang w:val="en-GB"/>
        </w:rPr>
        <w:t xml:space="preserve"> directly linked to the developed properties.</w:t>
      </w:r>
    </w:p>
    <w:p w14:paraId="5B7FC862" w14:textId="4E05ED47" w:rsidR="00F76607" w:rsidRDefault="001863F0">
      <w:pPr>
        <w:pStyle w:val="NormalWeb"/>
        <w:spacing w:before="240" w:after="0"/>
        <w:ind w:firstLine="857"/>
        <w:rPr>
          <w:sz w:val="18"/>
          <w:szCs w:val="18"/>
          <w:lang w:val="en-GB"/>
        </w:rPr>
      </w:pPr>
      <w:r>
        <w:rPr>
          <w:sz w:val="18"/>
          <w:szCs w:val="18"/>
          <w:lang w:val="en-GB"/>
        </w:rPr>
        <w:t xml:space="preserve">As an example of the type of land plots acquired by the Group, the key data for VGP Park </w:t>
      </w:r>
      <w:proofErr w:type="spellStart"/>
      <w:r>
        <w:rPr>
          <w:sz w:val="18"/>
          <w:szCs w:val="18"/>
          <w:lang w:val="en-GB"/>
        </w:rPr>
        <w:t>Rodgau</w:t>
      </w:r>
      <w:proofErr w:type="spellEnd"/>
      <w:r>
        <w:rPr>
          <w:sz w:val="18"/>
          <w:szCs w:val="18"/>
          <w:lang w:val="en-GB"/>
        </w:rPr>
        <w:t xml:space="preserve"> is as follows:</w:t>
      </w:r>
    </w:p>
    <w:p w14:paraId="5037509C" w14:textId="77777777" w:rsidR="00F76607" w:rsidRDefault="001863F0">
      <w:pPr>
        <w:pStyle w:val="VulcanIIbullet"/>
        <w:rPr>
          <w:lang w:val="en-GB"/>
        </w:rPr>
      </w:pPr>
      <w:r>
        <w:rPr>
          <w:lang w:val="en-GB"/>
        </w:rPr>
        <w:t>Acquisition date: December 2013;</w:t>
      </w:r>
    </w:p>
    <w:p w14:paraId="751C57EC" w14:textId="77777777" w:rsidR="00F76607" w:rsidRDefault="001863F0">
      <w:pPr>
        <w:pStyle w:val="VulcanIIbullet"/>
        <w:rPr>
          <w:lang w:val="en-GB"/>
        </w:rPr>
      </w:pPr>
      <w:r>
        <w:rPr>
          <w:lang w:val="en-GB"/>
        </w:rPr>
        <w:t>Land cost: c. € 13.0 million;</w:t>
      </w:r>
    </w:p>
    <w:p w14:paraId="5B65DE1C" w14:textId="77777777" w:rsidR="00F76607" w:rsidRDefault="001863F0">
      <w:pPr>
        <w:pStyle w:val="VulcanIIbullet"/>
        <w:rPr>
          <w:lang w:val="en-GB"/>
        </w:rPr>
      </w:pPr>
      <w:r>
        <w:rPr>
          <w:lang w:val="en-GB"/>
        </w:rPr>
        <w:t>Seller type: more than 90 private owners;</w:t>
      </w:r>
    </w:p>
    <w:p w14:paraId="6E06CF3B" w14:textId="77777777" w:rsidR="00F76607" w:rsidRDefault="001863F0">
      <w:pPr>
        <w:pStyle w:val="VulcanIIbullet"/>
        <w:rPr>
          <w:lang w:val="en-GB"/>
        </w:rPr>
      </w:pPr>
      <w:r>
        <w:rPr>
          <w:lang w:val="en-GB"/>
        </w:rPr>
        <w:t>Land area: 212,740 m²;</w:t>
      </w:r>
    </w:p>
    <w:p w14:paraId="1648FC54" w14:textId="358F7CCF" w:rsidR="00F76607" w:rsidRDefault="001863F0">
      <w:pPr>
        <w:pStyle w:val="VulcanIIbullet"/>
        <w:rPr>
          <w:lang w:val="en-GB"/>
        </w:rPr>
      </w:pPr>
      <w:r>
        <w:rPr>
          <w:lang w:val="en-GB"/>
        </w:rPr>
        <w:t xml:space="preserve">Gross </w:t>
      </w:r>
      <w:r w:rsidR="000078A9">
        <w:rPr>
          <w:lang w:val="en-GB"/>
        </w:rPr>
        <w:t>lettable area: 103,699 m² with</w:t>
      </w:r>
      <w:r>
        <w:rPr>
          <w:lang w:val="en-GB"/>
        </w:rPr>
        <w:t xml:space="preserve"> </w:t>
      </w:r>
      <w:r w:rsidR="000078A9">
        <w:rPr>
          <w:lang w:val="en-GB"/>
        </w:rPr>
        <w:t>Annualised Committed Leases</w:t>
      </w:r>
      <w:r>
        <w:rPr>
          <w:lang w:val="en-GB"/>
        </w:rPr>
        <w:t xml:space="preserve"> of € 6.1 million;</w:t>
      </w:r>
    </w:p>
    <w:p w14:paraId="0904D997" w14:textId="77777777" w:rsidR="00F76607" w:rsidRDefault="001863F0">
      <w:pPr>
        <w:pStyle w:val="VulcanIIbullet"/>
        <w:rPr>
          <w:lang w:val="en-GB"/>
        </w:rPr>
      </w:pPr>
      <w:r>
        <w:rPr>
          <w:lang w:val="en-GB"/>
        </w:rPr>
        <w:t xml:space="preserve">Location: </w:t>
      </w:r>
      <w:proofErr w:type="spellStart"/>
      <w:r>
        <w:rPr>
          <w:lang w:val="en-GB"/>
        </w:rPr>
        <w:t>Rodgau</w:t>
      </w:r>
      <w:proofErr w:type="spellEnd"/>
      <w:r>
        <w:rPr>
          <w:lang w:val="en-GB"/>
        </w:rPr>
        <w:t xml:space="preserve"> (Germany), close to the Frankfurt airport;</w:t>
      </w:r>
    </w:p>
    <w:p w14:paraId="1A1C3CBE" w14:textId="77777777" w:rsidR="00F76607" w:rsidRDefault="001863F0">
      <w:pPr>
        <w:pStyle w:val="VulcanIIbullet"/>
        <w:rPr>
          <w:lang w:val="en-GB"/>
        </w:rPr>
      </w:pPr>
      <w:r>
        <w:rPr>
          <w:lang w:val="en-GB"/>
        </w:rPr>
        <w:t>Location specifics: greenfield, next to highway 45;</w:t>
      </w:r>
    </w:p>
    <w:p w14:paraId="4852F20E" w14:textId="77777777" w:rsidR="00F76607" w:rsidRDefault="001863F0">
      <w:pPr>
        <w:pStyle w:val="VulcanIIbullet"/>
        <w:rPr>
          <w:lang w:val="en-GB"/>
        </w:rPr>
      </w:pPr>
      <w:r>
        <w:rPr>
          <w:lang w:val="en-GB"/>
        </w:rPr>
        <w:t>Permitting: took VGP from 2011 to 2013 to obtain the necessary permits;</w:t>
      </w:r>
    </w:p>
    <w:p w14:paraId="311CE34C" w14:textId="77777777" w:rsidR="00F76607" w:rsidRDefault="001863F0">
      <w:pPr>
        <w:pStyle w:val="VulcanIIbullet"/>
        <w:rPr>
          <w:lang w:val="en-GB"/>
        </w:rPr>
      </w:pPr>
      <w:r>
        <w:rPr>
          <w:lang w:val="en-GB"/>
        </w:rPr>
        <w:t>Total development cost: c. € 66.5 million (including land).</w:t>
      </w:r>
    </w:p>
    <w:p w14:paraId="3C4896C7" w14:textId="77777777" w:rsidR="00F76607" w:rsidRDefault="001863F0">
      <w:pPr>
        <w:pStyle w:val="VulcanIILevel2"/>
      </w:pPr>
      <w:r>
        <w:t>Concept and design</w:t>
      </w:r>
    </w:p>
    <w:p w14:paraId="47CD24A9" w14:textId="1DE5383E" w:rsidR="00F76607" w:rsidRDefault="001863F0">
      <w:pPr>
        <w:pStyle w:val="NormalWeb"/>
        <w:spacing w:before="240" w:after="0"/>
        <w:ind w:firstLine="857"/>
        <w:rPr>
          <w:sz w:val="18"/>
          <w:szCs w:val="18"/>
          <w:lang w:val="en-GB"/>
        </w:rPr>
      </w:pPr>
      <w:r>
        <w:rPr>
          <w:sz w:val="18"/>
          <w:szCs w:val="18"/>
          <w:lang w:val="en-GB"/>
        </w:rPr>
        <w:t>VGP applies strict guidelines to the design of its buildings. The Group uses a document describing in detail the minimum requirements the building should meet. This design ensures multi-purpose utilisation throughout the life cycle of the building.</w:t>
      </w:r>
    </w:p>
    <w:p w14:paraId="24045577" w14:textId="77AADBF5" w:rsidR="00F76607" w:rsidRDefault="001863F0">
      <w:pPr>
        <w:pStyle w:val="NormalWeb"/>
        <w:spacing w:before="240" w:after="0"/>
        <w:ind w:firstLine="857"/>
        <w:rPr>
          <w:sz w:val="18"/>
          <w:szCs w:val="18"/>
          <w:lang w:val="en-GB"/>
        </w:rPr>
      </w:pPr>
      <w:r>
        <w:rPr>
          <w:sz w:val="18"/>
          <w:szCs w:val="18"/>
          <w:lang w:val="en-GB"/>
        </w:rPr>
        <w:t xml:space="preserve">For architectural and design matters, the Group works with its internal team supported where necessary by </w:t>
      </w:r>
      <w:r w:rsidR="00A13B9E">
        <w:rPr>
          <w:sz w:val="18"/>
          <w:szCs w:val="18"/>
          <w:lang w:val="en-GB"/>
        </w:rPr>
        <w:t xml:space="preserve">a limited number of </w:t>
      </w:r>
      <w:r>
        <w:rPr>
          <w:sz w:val="18"/>
          <w:szCs w:val="18"/>
          <w:lang w:val="en-GB"/>
        </w:rPr>
        <w:t xml:space="preserve">several dedicated external offices of architects and designers. </w:t>
      </w:r>
    </w:p>
    <w:p w14:paraId="554F898D" w14:textId="77777777" w:rsidR="00F76607" w:rsidRDefault="001863F0">
      <w:pPr>
        <w:pStyle w:val="NormalWeb"/>
        <w:spacing w:before="240" w:after="0"/>
        <w:ind w:firstLine="857"/>
        <w:rPr>
          <w:sz w:val="18"/>
          <w:szCs w:val="18"/>
          <w:lang w:val="en-GB"/>
        </w:rPr>
      </w:pPr>
      <w:r>
        <w:rPr>
          <w:sz w:val="18"/>
          <w:szCs w:val="18"/>
          <w:lang w:val="en-GB"/>
        </w:rPr>
        <w:t>In addition to the Group’s standard building requirements, some adaptation (such as lay-out and finishing) can be done according to the tenants’ requirements. The design, as well as the technical description, of the necessary infrastructure for the tenants’ operations are generally made by VGP itself, in close co-operation with the tenant’s technical advisers, ensuring a thorough understanding of the customers’ needs.</w:t>
      </w:r>
    </w:p>
    <w:p w14:paraId="675CBF76" w14:textId="77777777" w:rsidR="00F76607" w:rsidRDefault="001863F0">
      <w:pPr>
        <w:pStyle w:val="VulcanIILevel2"/>
      </w:pPr>
      <w:r>
        <w:t>Construction</w:t>
      </w:r>
    </w:p>
    <w:p w14:paraId="6C29F884" w14:textId="3BFD9205" w:rsidR="00F76607" w:rsidRDefault="001863F0">
      <w:pPr>
        <w:pStyle w:val="NormalWeb"/>
        <w:spacing w:before="240" w:after="0"/>
        <w:ind w:firstLine="857"/>
        <w:rPr>
          <w:sz w:val="18"/>
          <w:szCs w:val="18"/>
          <w:lang w:val="en-GB"/>
        </w:rPr>
      </w:pPr>
      <w:r>
        <w:rPr>
          <w:sz w:val="18"/>
          <w:szCs w:val="18"/>
          <w:lang w:val="en-GB"/>
        </w:rPr>
        <w:t xml:space="preserve">High quality logistic projects are constructed </w:t>
      </w:r>
      <w:r w:rsidR="00560019">
        <w:rPr>
          <w:sz w:val="18"/>
          <w:szCs w:val="18"/>
          <w:lang w:val="en-GB"/>
        </w:rPr>
        <w:t xml:space="preserve">mainly on a pre-let basis and to a lesser extent at own risk. </w:t>
      </w:r>
      <w:r w:rsidR="00C56144" w:rsidRPr="00C56144">
        <w:rPr>
          <w:sz w:val="18"/>
          <w:szCs w:val="18"/>
          <w:lang w:val="en-GB"/>
        </w:rPr>
        <w:t xml:space="preserve">In a number of cases </w:t>
      </w:r>
      <w:r w:rsidR="00C56144">
        <w:rPr>
          <w:sz w:val="18"/>
          <w:szCs w:val="18"/>
          <w:lang w:val="en-GB"/>
        </w:rPr>
        <w:t>the Group</w:t>
      </w:r>
      <w:r w:rsidR="00C56144" w:rsidRPr="00C56144">
        <w:rPr>
          <w:sz w:val="18"/>
          <w:szCs w:val="18"/>
          <w:lang w:val="en-GB"/>
        </w:rPr>
        <w:t xml:space="preserve"> start</w:t>
      </w:r>
      <w:r w:rsidR="00C56144">
        <w:rPr>
          <w:sz w:val="18"/>
          <w:szCs w:val="18"/>
          <w:lang w:val="en-GB"/>
        </w:rPr>
        <w:t>s</w:t>
      </w:r>
      <w:r w:rsidR="00C56144" w:rsidRPr="00C56144">
        <w:rPr>
          <w:sz w:val="18"/>
          <w:szCs w:val="18"/>
          <w:lang w:val="en-GB"/>
        </w:rPr>
        <w:t xml:space="preserve"> constructions without </w:t>
      </w:r>
      <w:r w:rsidR="00C56144">
        <w:rPr>
          <w:sz w:val="18"/>
          <w:szCs w:val="18"/>
          <w:lang w:val="en-GB"/>
        </w:rPr>
        <w:t>the buildings being</w:t>
      </w:r>
      <w:r w:rsidR="00C56144" w:rsidRPr="00C56144">
        <w:rPr>
          <w:sz w:val="18"/>
          <w:szCs w:val="18"/>
          <w:lang w:val="en-GB"/>
        </w:rPr>
        <w:t xml:space="preserve"> pre-let</w:t>
      </w:r>
      <w:r w:rsidR="00C56144">
        <w:rPr>
          <w:sz w:val="18"/>
          <w:szCs w:val="18"/>
          <w:lang w:val="en-GB"/>
        </w:rPr>
        <w:t xml:space="preserve">: usually, the Group </w:t>
      </w:r>
      <w:r w:rsidR="00C56144" w:rsidRPr="00C56144">
        <w:rPr>
          <w:sz w:val="18"/>
          <w:szCs w:val="18"/>
          <w:lang w:val="en-GB"/>
        </w:rPr>
        <w:t xml:space="preserve">will </w:t>
      </w:r>
      <w:r w:rsidR="00C56144">
        <w:rPr>
          <w:sz w:val="18"/>
          <w:szCs w:val="18"/>
          <w:lang w:val="en-GB"/>
        </w:rPr>
        <w:t xml:space="preserve">then </w:t>
      </w:r>
      <w:r w:rsidR="00C56144" w:rsidRPr="00C56144">
        <w:rPr>
          <w:sz w:val="18"/>
          <w:szCs w:val="18"/>
          <w:lang w:val="en-GB"/>
        </w:rPr>
        <w:t xml:space="preserve">start up a new building in a new park </w:t>
      </w:r>
      <w:r w:rsidR="00C56144">
        <w:rPr>
          <w:sz w:val="18"/>
          <w:szCs w:val="18"/>
          <w:lang w:val="en-GB"/>
        </w:rPr>
        <w:t>(</w:t>
      </w:r>
      <w:r w:rsidR="00C56144" w:rsidRPr="00C56144">
        <w:rPr>
          <w:sz w:val="18"/>
          <w:szCs w:val="18"/>
          <w:lang w:val="en-GB"/>
        </w:rPr>
        <w:t>on a spe</w:t>
      </w:r>
      <w:r w:rsidR="00C56144">
        <w:rPr>
          <w:sz w:val="18"/>
          <w:szCs w:val="18"/>
          <w:lang w:val="en-GB"/>
        </w:rPr>
        <w:t>c</w:t>
      </w:r>
      <w:r w:rsidR="00C56144" w:rsidRPr="00C56144">
        <w:rPr>
          <w:sz w:val="18"/>
          <w:szCs w:val="18"/>
          <w:lang w:val="en-GB"/>
        </w:rPr>
        <w:t>ulative basis</w:t>
      </w:r>
      <w:r w:rsidR="00C56144">
        <w:rPr>
          <w:sz w:val="18"/>
          <w:szCs w:val="18"/>
          <w:lang w:val="en-GB"/>
        </w:rPr>
        <w:t>)</w:t>
      </w:r>
      <w:r w:rsidR="00C56144" w:rsidRPr="00C56144">
        <w:rPr>
          <w:sz w:val="18"/>
          <w:szCs w:val="18"/>
          <w:lang w:val="en-GB"/>
        </w:rPr>
        <w:t xml:space="preserve"> taking into consideration </w:t>
      </w:r>
      <w:r w:rsidR="00C56144">
        <w:rPr>
          <w:sz w:val="18"/>
          <w:szCs w:val="18"/>
          <w:lang w:val="en-GB"/>
        </w:rPr>
        <w:t>which buildings are at such moment</w:t>
      </w:r>
      <w:r w:rsidR="00C56144" w:rsidRPr="00C56144">
        <w:rPr>
          <w:sz w:val="18"/>
          <w:szCs w:val="18"/>
          <w:lang w:val="en-GB"/>
        </w:rPr>
        <w:t xml:space="preserve"> already pre</w:t>
      </w:r>
      <w:r w:rsidR="00C56144">
        <w:rPr>
          <w:sz w:val="18"/>
          <w:szCs w:val="18"/>
          <w:lang w:val="en-GB"/>
        </w:rPr>
        <w:t>-</w:t>
      </w:r>
      <w:r w:rsidR="00C56144" w:rsidRPr="00C56144">
        <w:rPr>
          <w:sz w:val="18"/>
          <w:szCs w:val="18"/>
          <w:lang w:val="en-GB"/>
        </w:rPr>
        <w:t>let on a portfolio basis</w:t>
      </w:r>
      <w:r w:rsidR="00C56144">
        <w:rPr>
          <w:sz w:val="18"/>
          <w:szCs w:val="18"/>
          <w:lang w:val="en-GB"/>
        </w:rPr>
        <w:t xml:space="preserve">, with a view to limiting </w:t>
      </w:r>
      <w:r w:rsidR="00C56144" w:rsidRPr="00C56144">
        <w:rPr>
          <w:sz w:val="18"/>
          <w:szCs w:val="18"/>
          <w:lang w:val="en-GB"/>
        </w:rPr>
        <w:t>the overall exposure on specul</w:t>
      </w:r>
      <w:r w:rsidR="00C56144">
        <w:rPr>
          <w:sz w:val="18"/>
          <w:szCs w:val="18"/>
          <w:lang w:val="en-GB"/>
        </w:rPr>
        <w:t>a</w:t>
      </w:r>
      <w:r w:rsidR="00C56144" w:rsidRPr="00C56144">
        <w:rPr>
          <w:sz w:val="18"/>
          <w:szCs w:val="18"/>
          <w:lang w:val="en-GB"/>
        </w:rPr>
        <w:t>tive constructions. However</w:t>
      </w:r>
      <w:r w:rsidR="00C56144">
        <w:rPr>
          <w:sz w:val="18"/>
          <w:szCs w:val="18"/>
          <w:lang w:val="en-GB"/>
        </w:rPr>
        <w:t>, in a lot of cases pre-let agreements with future tenants are</w:t>
      </w:r>
      <w:r w:rsidR="00C56144" w:rsidRPr="00C56144">
        <w:rPr>
          <w:sz w:val="18"/>
          <w:szCs w:val="18"/>
          <w:lang w:val="en-GB"/>
        </w:rPr>
        <w:t xml:space="preserve"> in place before starting const</w:t>
      </w:r>
      <w:r w:rsidR="00C56144">
        <w:rPr>
          <w:sz w:val="18"/>
          <w:szCs w:val="18"/>
          <w:lang w:val="en-GB"/>
        </w:rPr>
        <w:t>r</w:t>
      </w:r>
      <w:r w:rsidR="00C56144" w:rsidRPr="00C56144">
        <w:rPr>
          <w:sz w:val="18"/>
          <w:szCs w:val="18"/>
          <w:lang w:val="en-GB"/>
        </w:rPr>
        <w:t xml:space="preserve">uction. </w:t>
      </w:r>
      <w:r w:rsidR="00560019">
        <w:rPr>
          <w:sz w:val="18"/>
          <w:szCs w:val="18"/>
          <w:lang w:val="en-GB"/>
        </w:rPr>
        <w:t xml:space="preserve">For pre-let buildings the projects will be developed </w:t>
      </w:r>
      <w:r>
        <w:rPr>
          <w:sz w:val="18"/>
          <w:szCs w:val="18"/>
          <w:lang w:val="en-GB"/>
        </w:rPr>
        <w:t>in close co-operation with future tenants</w:t>
      </w:r>
      <w:r w:rsidR="00560019">
        <w:rPr>
          <w:sz w:val="18"/>
          <w:szCs w:val="18"/>
          <w:lang w:val="en-GB"/>
        </w:rPr>
        <w:t>. It is the Group’s experience that projects being constructed at own risk will usually be for a majority or totally let durin</w:t>
      </w:r>
      <w:r w:rsidR="00F65890">
        <w:rPr>
          <w:sz w:val="18"/>
          <w:szCs w:val="18"/>
          <w:lang w:val="en-GB"/>
        </w:rPr>
        <w:t>g</w:t>
      </w:r>
      <w:r w:rsidR="00560019">
        <w:rPr>
          <w:sz w:val="18"/>
          <w:szCs w:val="18"/>
          <w:lang w:val="en-GB"/>
        </w:rPr>
        <w:t xml:space="preserve"> the construction period. As soon as a tenant sign</w:t>
      </w:r>
      <w:r w:rsidR="00F65890">
        <w:rPr>
          <w:sz w:val="18"/>
          <w:szCs w:val="18"/>
          <w:lang w:val="en-GB"/>
        </w:rPr>
        <w:t>s</w:t>
      </w:r>
      <w:r w:rsidR="00560019">
        <w:rPr>
          <w:sz w:val="18"/>
          <w:szCs w:val="18"/>
          <w:lang w:val="en-GB"/>
        </w:rPr>
        <w:t xml:space="preserve"> a lease agreement on a speculative project the further </w:t>
      </w:r>
      <w:r w:rsidR="00F65890">
        <w:rPr>
          <w:sz w:val="18"/>
          <w:szCs w:val="18"/>
          <w:lang w:val="en-GB"/>
        </w:rPr>
        <w:t xml:space="preserve">stages of </w:t>
      </w:r>
      <w:r w:rsidR="00560019">
        <w:rPr>
          <w:sz w:val="18"/>
          <w:szCs w:val="18"/>
          <w:lang w:val="en-GB"/>
        </w:rPr>
        <w:t xml:space="preserve">development of the building </w:t>
      </w:r>
      <w:r w:rsidR="00F65890">
        <w:rPr>
          <w:sz w:val="18"/>
          <w:szCs w:val="18"/>
          <w:lang w:val="en-GB"/>
        </w:rPr>
        <w:t>will be made in close co-operation with the respective future tenant(s)</w:t>
      </w:r>
      <w:r>
        <w:rPr>
          <w:sz w:val="18"/>
          <w:szCs w:val="18"/>
          <w:lang w:val="en-GB"/>
        </w:rPr>
        <w:t>. The buildings are finished taking into account the future tenants’ requirements and specifications but always in accordance with the Group’s prevailing technical and quality standards.</w:t>
      </w:r>
    </w:p>
    <w:p w14:paraId="212FDA50" w14:textId="627625D6" w:rsidR="00F76607" w:rsidRDefault="001863F0">
      <w:pPr>
        <w:pStyle w:val="NormalWeb"/>
        <w:spacing w:before="240" w:after="0"/>
        <w:ind w:firstLine="857"/>
        <w:rPr>
          <w:sz w:val="18"/>
          <w:szCs w:val="18"/>
          <w:lang w:val="en-GB"/>
        </w:rPr>
      </w:pPr>
      <w:r>
        <w:rPr>
          <w:sz w:val="18"/>
          <w:szCs w:val="18"/>
          <w:lang w:val="en-GB"/>
        </w:rPr>
        <w:t xml:space="preserve">The Group centralizes the purchase of materials and construction components for its buildings at each of its local offices, which the Group believes enhances its negotiation power and allows to realise economies of scale. In Germany, the Czech Republic and Slovakia, the Group often acts as a general contractor and organizes the construction by directly engaging particular contractors for specific parts of each building, thus avoiding the need to have a general contractor. </w:t>
      </w:r>
      <w:r w:rsidR="00B848E4" w:rsidRPr="00B848E4">
        <w:rPr>
          <w:sz w:val="18"/>
          <w:szCs w:val="18"/>
          <w:lang w:val="en-GB"/>
        </w:rPr>
        <w:t xml:space="preserve">VGP is acting as general contractor of c. 89% of the portfolio under construction. </w:t>
      </w:r>
      <w:r>
        <w:rPr>
          <w:sz w:val="18"/>
          <w:szCs w:val="18"/>
          <w:lang w:val="en-GB"/>
        </w:rPr>
        <w:t>In other countries, the Group cooperates with local general contractors for the coordination of the individual building sites. The Group’s cost controllers are responsible for the follow up of the actual costs versus the budgeted costs of the respective projects. The Group aims to minimize the development risk: as at 30 June 2017, for example, of more than 500,000 m² assets that were under construction, more than 73% was pre-let (including Estonia, by excluding Estonia the pre-let figure would be 71%).</w:t>
      </w:r>
    </w:p>
    <w:p w14:paraId="43D6FA5E" w14:textId="0E97D4DB" w:rsidR="00F76607" w:rsidRDefault="001863F0">
      <w:pPr>
        <w:pStyle w:val="NormalWeb"/>
        <w:spacing w:before="240" w:after="0"/>
        <w:ind w:firstLine="857"/>
        <w:rPr>
          <w:sz w:val="18"/>
          <w:szCs w:val="18"/>
          <w:lang w:val="en-GB"/>
        </w:rPr>
      </w:pPr>
      <w:r>
        <w:rPr>
          <w:sz w:val="18"/>
          <w:szCs w:val="18"/>
          <w:lang w:val="en-GB"/>
        </w:rPr>
        <w:t>The following table contains an overview of projects under construction for the Group and the Joint Venture jointly as at 30 June 2017</w:t>
      </w:r>
      <w:r w:rsidR="005827AC">
        <w:rPr>
          <w:sz w:val="18"/>
          <w:szCs w:val="18"/>
          <w:lang w:val="en-GB"/>
        </w:rPr>
        <w:t xml:space="preserve"> (excluding Estonia)</w:t>
      </w:r>
      <w:r>
        <w:rPr>
          <w:sz w:val="18"/>
          <w:szCs w:val="18"/>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1"/>
        <w:gridCol w:w="1666"/>
        <w:gridCol w:w="736"/>
        <w:gridCol w:w="1006"/>
        <w:gridCol w:w="1761"/>
      </w:tblGrid>
      <w:tr w:rsidR="00F76607" w14:paraId="5D8AC6C1" w14:textId="77777777">
        <w:tc>
          <w:tcPr>
            <w:tcW w:w="0" w:type="auto"/>
            <w:shd w:val="clear" w:color="auto" w:fill="BFBFBF" w:themeFill="background1" w:themeFillShade="BF"/>
          </w:tcPr>
          <w:p w14:paraId="294FB0AE" w14:textId="77777777" w:rsidR="00F76607" w:rsidRDefault="00F76607">
            <w:pPr>
              <w:pStyle w:val="NormalWeb"/>
              <w:jc w:val="right"/>
              <w:rPr>
                <w:rFonts w:ascii="Times New Roman" w:hAnsi="Times New Roman" w:cs="Times New Roman"/>
                <w:b/>
                <w:bCs/>
                <w:color w:val="FFFFFF" w:themeColor="background1"/>
                <w:sz w:val="18"/>
                <w:szCs w:val="18"/>
                <w:lang w:val="en-US"/>
              </w:rPr>
            </w:pPr>
          </w:p>
        </w:tc>
        <w:tc>
          <w:tcPr>
            <w:tcW w:w="0" w:type="auto"/>
            <w:shd w:val="clear" w:color="auto" w:fill="BFBFBF" w:themeFill="background1" w:themeFillShade="BF"/>
          </w:tcPr>
          <w:p w14:paraId="7139D674" w14:textId="77777777" w:rsidR="00F76607" w:rsidRDefault="001863F0">
            <w:pPr>
              <w:pStyle w:val="NormalWeb"/>
              <w:jc w:val="right"/>
              <w:rPr>
                <w:rFonts w:ascii="Times New Roman" w:hAnsi="Times New Roman" w:cs="Times New Roman"/>
                <w:b/>
                <w:bCs/>
                <w:color w:val="FFFFFF" w:themeColor="background1"/>
                <w:sz w:val="18"/>
                <w:szCs w:val="18"/>
                <w:lang w:val="en-US"/>
              </w:rPr>
            </w:pPr>
            <w:r>
              <w:rPr>
                <w:rFonts w:ascii="Times New Roman" w:hAnsi="Times New Roman" w:cs="Times New Roman"/>
                <w:b/>
                <w:bCs/>
                <w:color w:val="FFFFFF" w:themeColor="background1"/>
                <w:sz w:val="18"/>
                <w:szCs w:val="18"/>
                <w:lang w:val="en-US"/>
              </w:rPr>
              <w:t>Gross lettable area</w:t>
            </w:r>
          </w:p>
          <w:p w14:paraId="52E518C6" w14:textId="77777777" w:rsidR="00F76607" w:rsidRDefault="001863F0">
            <w:pPr>
              <w:pStyle w:val="NormalWeb"/>
              <w:jc w:val="right"/>
              <w:rPr>
                <w:rFonts w:ascii="Times New Roman" w:hAnsi="Times New Roman" w:cs="Times New Roman"/>
                <w:b/>
                <w:bCs/>
                <w:color w:val="FFFFFF" w:themeColor="background1"/>
                <w:sz w:val="18"/>
                <w:szCs w:val="18"/>
                <w:lang w:val="en-US"/>
              </w:rPr>
            </w:pPr>
            <w:r>
              <w:rPr>
                <w:rFonts w:ascii="Times New Roman" w:hAnsi="Times New Roman" w:cs="Times New Roman"/>
                <w:b/>
                <w:bCs/>
                <w:color w:val="FFFFFF" w:themeColor="background1"/>
                <w:sz w:val="18"/>
                <w:szCs w:val="18"/>
                <w:lang w:val="en-US"/>
              </w:rPr>
              <w:t>(in m²)</w:t>
            </w:r>
          </w:p>
        </w:tc>
        <w:tc>
          <w:tcPr>
            <w:tcW w:w="0" w:type="auto"/>
            <w:shd w:val="clear" w:color="auto" w:fill="BFBFBF" w:themeFill="background1" w:themeFillShade="BF"/>
          </w:tcPr>
          <w:p w14:paraId="39F44EDA" w14:textId="77777777" w:rsidR="00F76607" w:rsidRDefault="001863F0">
            <w:pPr>
              <w:pStyle w:val="NormalWeb"/>
              <w:jc w:val="right"/>
              <w:rPr>
                <w:rFonts w:ascii="Times New Roman" w:hAnsi="Times New Roman" w:cs="Times New Roman"/>
                <w:b/>
                <w:bCs/>
                <w:color w:val="FFFFFF" w:themeColor="background1"/>
                <w:sz w:val="18"/>
                <w:szCs w:val="18"/>
                <w:lang w:val="en-US"/>
              </w:rPr>
            </w:pPr>
            <w:r>
              <w:rPr>
                <w:rFonts w:ascii="Times New Roman" w:hAnsi="Times New Roman" w:cs="Times New Roman"/>
                <w:b/>
                <w:bCs/>
                <w:color w:val="FFFFFF" w:themeColor="background1"/>
                <w:sz w:val="18"/>
                <w:szCs w:val="18"/>
                <w:lang w:val="en-US"/>
              </w:rPr>
              <w:t>Pre-let</w:t>
            </w:r>
          </w:p>
        </w:tc>
        <w:tc>
          <w:tcPr>
            <w:tcW w:w="0" w:type="auto"/>
            <w:shd w:val="clear" w:color="auto" w:fill="BFBFBF" w:themeFill="background1" w:themeFillShade="BF"/>
          </w:tcPr>
          <w:p w14:paraId="6C81E2C0" w14:textId="77777777" w:rsidR="00F76607" w:rsidRDefault="001863F0">
            <w:pPr>
              <w:pStyle w:val="NormalWeb"/>
              <w:jc w:val="right"/>
              <w:rPr>
                <w:rFonts w:ascii="Times New Roman" w:hAnsi="Times New Roman" w:cs="Times New Roman"/>
                <w:b/>
                <w:bCs/>
                <w:color w:val="FFFFFF" w:themeColor="background1"/>
                <w:sz w:val="18"/>
                <w:szCs w:val="18"/>
                <w:lang w:val="en-US"/>
              </w:rPr>
            </w:pPr>
            <w:r>
              <w:rPr>
                <w:rFonts w:ascii="Times New Roman" w:hAnsi="Times New Roman" w:cs="Times New Roman"/>
                <w:b/>
                <w:bCs/>
                <w:color w:val="FFFFFF" w:themeColor="background1"/>
                <w:sz w:val="18"/>
                <w:szCs w:val="18"/>
                <w:lang w:val="en-US"/>
              </w:rPr>
              <w:t>As of total</w:t>
            </w:r>
          </w:p>
        </w:tc>
        <w:tc>
          <w:tcPr>
            <w:tcW w:w="0" w:type="auto"/>
            <w:shd w:val="clear" w:color="auto" w:fill="BFBFBF" w:themeFill="background1" w:themeFillShade="BF"/>
          </w:tcPr>
          <w:p w14:paraId="4DE4CC9F" w14:textId="77777777" w:rsidR="00F76607" w:rsidRDefault="001863F0">
            <w:pPr>
              <w:pStyle w:val="NormalWeb"/>
              <w:jc w:val="right"/>
              <w:rPr>
                <w:rFonts w:ascii="Times New Roman" w:hAnsi="Times New Roman" w:cs="Times New Roman"/>
                <w:b/>
                <w:bCs/>
                <w:color w:val="FFFFFF" w:themeColor="background1"/>
                <w:sz w:val="18"/>
                <w:szCs w:val="18"/>
                <w:lang w:val="en-US"/>
              </w:rPr>
            </w:pPr>
            <w:r>
              <w:rPr>
                <w:rFonts w:ascii="Times New Roman" w:hAnsi="Times New Roman" w:cs="Times New Roman"/>
                <w:b/>
                <w:bCs/>
                <w:color w:val="FFFFFF" w:themeColor="background1"/>
                <w:sz w:val="18"/>
                <w:szCs w:val="18"/>
                <w:lang w:val="en-US"/>
              </w:rPr>
              <w:t>General contracting</w:t>
            </w:r>
          </w:p>
        </w:tc>
      </w:tr>
      <w:tr w:rsidR="00F76607" w14:paraId="421E3249" w14:textId="77777777">
        <w:tc>
          <w:tcPr>
            <w:tcW w:w="0" w:type="auto"/>
            <w:shd w:val="clear" w:color="auto" w:fill="auto"/>
          </w:tcPr>
          <w:p w14:paraId="2FF7AF88" w14:textId="77777777" w:rsidR="00F76607" w:rsidRDefault="001863F0">
            <w:pPr>
              <w:pStyle w:val="NormalWeb"/>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Germany</w:t>
            </w:r>
          </w:p>
        </w:tc>
        <w:tc>
          <w:tcPr>
            <w:tcW w:w="0" w:type="auto"/>
          </w:tcPr>
          <w:p w14:paraId="4C15D0F1"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299,859</w:t>
            </w:r>
          </w:p>
        </w:tc>
        <w:tc>
          <w:tcPr>
            <w:tcW w:w="0" w:type="auto"/>
          </w:tcPr>
          <w:p w14:paraId="7BFD93E6"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82%</w:t>
            </w:r>
          </w:p>
        </w:tc>
        <w:tc>
          <w:tcPr>
            <w:tcW w:w="0" w:type="auto"/>
          </w:tcPr>
          <w:p w14:paraId="4A1FE367"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58.1%</w:t>
            </w:r>
          </w:p>
        </w:tc>
        <w:tc>
          <w:tcPr>
            <w:tcW w:w="0" w:type="auto"/>
          </w:tcPr>
          <w:p w14:paraId="4463C235"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VGP</w:t>
            </w:r>
          </w:p>
        </w:tc>
      </w:tr>
      <w:tr w:rsidR="00F76607" w14:paraId="7F514AB5" w14:textId="77777777">
        <w:tc>
          <w:tcPr>
            <w:tcW w:w="0" w:type="auto"/>
            <w:shd w:val="clear" w:color="auto" w:fill="auto"/>
          </w:tcPr>
          <w:p w14:paraId="1B7BFBDB" w14:textId="77777777" w:rsidR="00F76607" w:rsidRDefault="001863F0">
            <w:pPr>
              <w:pStyle w:val="NormalWeb"/>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Spain</w:t>
            </w:r>
          </w:p>
        </w:tc>
        <w:tc>
          <w:tcPr>
            <w:tcW w:w="0" w:type="auto"/>
          </w:tcPr>
          <w:p w14:paraId="7E79B228"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22,980</w:t>
            </w:r>
          </w:p>
        </w:tc>
        <w:tc>
          <w:tcPr>
            <w:tcW w:w="0" w:type="auto"/>
          </w:tcPr>
          <w:p w14:paraId="1DB4B22D"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w:t>
            </w:r>
          </w:p>
        </w:tc>
        <w:tc>
          <w:tcPr>
            <w:tcW w:w="0" w:type="auto"/>
          </w:tcPr>
          <w:p w14:paraId="382435C0"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4.4%</w:t>
            </w:r>
          </w:p>
        </w:tc>
        <w:tc>
          <w:tcPr>
            <w:tcW w:w="0" w:type="auto"/>
          </w:tcPr>
          <w:p w14:paraId="602ED293"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External</w:t>
            </w:r>
          </w:p>
        </w:tc>
      </w:tr>
      <w:tr w:rsidR="00F76607" w14:paraId="6BB1E11C" w14:textId="77777777">
        <w:tc>
          <w:tcPr>
            <w:tcW w:w="0" w:type="auto"/>
            <w:shd w:val="clear" w:color="auto" w:fill="auto"/>
          </w:tcPr>
          <w:p w14:paraId="6CAC04E0" w14:textId="77777777" w:rsidR="00F76607" w:rsidRDefault="001863F0">
            <w:pPr>
              <w:pStyle w:val="NormalWeb"/>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Czech Republic</w:t>
            </w:r>
          </w:p>
        </w:tc>
        <w:tc>
          <w:tcPr>
            <w:tcW w:w="0" w:type="auto"/>
          </w:tcPr>
          <w:p w14:paraId="1E4400C9"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143,096</w:t>
            </w:r>
          </w:p>
        </w:tc>
        <w:tc>
          <w:tcPr>
            <w:tcW w:w="0" w:type="auto"/>
          </w:tcPr>
          <w:p w14:paraId="31DED8CA"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75%</w:t>
            </w:r>
          </w:p>
        </w:tc>
        <w:tc>
          <w:tcPr>
            <w:tcW w:w="0" w:type="auto"/>
          </w:tcPr>
          <w:p w14:paraId="4D2F98F2"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27.7%</w:t>
            </w:r>
          </w:p>
        </w:tc>
        <w:tc>
          <w:tcPr>
            <w:tcW w:w="0" w:type="auto"/>
          </w:tcPr>
          <w:p w14:paraId="360B5468"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VGP</w:t>
            </w:r>
          </w:p>
        </w:tc>
      </w:tr>
      <w:tr w:rsidR="00F76607" w14:paraId="515B73FE" w14:textId="77777777">
        <w:tc>
          <w:tcPr>
            <w:tcW w:w="0" w:type="auto"/>
            <w:shd w:val="clear" w:color="auto" w:fill="auto"/>
          </w:tcPr>
          <w:p w14:paraId="2215EC61" w14:textId="77777777" w:rsidR="00F76607" w:rsidRDefault="001863F0">
            <w:pPr>
              <w:pStyle w:val="NormalWeb"/>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Hungary</w:t>
            </w:r>
          </w:p>
        </w:tc>
        <w:tc>
          <w:tcPr>
            <w:tcW w:w="0" w:type="auto"/>
          </w:tcPr>
          <w:p w14:paraId="3E1A0CCC"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12,212</w:t>
            </w:r>
          </w:p>
        </w:tc>
        <w:tc>
          <w:tcPr>
            <w:tcW w:w="0" w:type="auto"/>
          </w:tcPr>
          <w:p w14:paraId="0869B37F"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100%</w:t>
            </w:r>
          </w:p>
        </w:tc>
        <w:tc>
          <w:tcPr>
            <w:tcW w:w="0" w:type="auto"/>
          </w:tcPr>
          <w:p w14:paraId="5A17CA41"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2.4%</w:t>
            </w:r>
          </w:p>
        </w:tc>
        <w:tc>
          <w:tcPr>
            <w:tcW w:w="0" w:type="auto"/>
          </w:tcPr>
          <w:p w14:paraId="5DB70584"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External</w:t>
            </w:r>
          </w:p>
        </w:tc>
      </w:tr>
      <w:tr w:rsidR="00F76607" w14:paraId="03C9308C" w14:textId="77777777">
        <w:tc>
          <w:tcPr>
            <w:tcW w:w="0" w:type="auto"/>
            <w:shd w:val="clear" w:color="auto" w:fill="auto"/>
          </w:tcPr>
          <w:p w14:paraId="3C7DA559" w14:textId="77777777" w:rsidR="00F76607" w:rsidRDefault="001863F0">
            <w:pPr>
              <w:pStyle w:val="NormalWeb"/>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Latvia</w:t>
            </w:r>
          </w:p>
        </w:tc>
        <w:tc>
          <w:tcPr>
            <w:tcW w:w="0" w:type="auto"/>
          </w:tcPr>
          <w:p w14:paraId="3B3D2B83"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20,152</w:t>
            </w:r>
          </w:p>
        </w:tc>
        <w:tc>
          <w:tcPr>
            <w:tcW w:w="0" w:type="auto"/>
          </w:tcPr>
          <w:p w14:paraId="34BB14CF"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w:t>
            </w:r>
          </w:p>
        </w:tc>
        <w:tc>
          <w:tcPr>
            <w:tcW w:w="0" w:type="auto"/>
          </w:tcPr>
          <w:p w14:paraId="081A2956"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3.9%</w:t>
            </w:r>
          </w:p>
        </w:tc>
        <w:tc>
          <w:tcPr>
            <w:tcW w:w="0" w:type="auto"/>
          </w:tcPr>
          <w:p w14:paraId="6EB07D70"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External</w:t>
            </w:r>
          </w:p>
        </w:tc>
      </w:tr>
      <w:tr w:rsidR="00F76607" w14:paraId="3F66E7A3" w14:textId="77777777">
        <w:tc>
          <w:tcPr>
            <w:tcW w:w="0" w:type="auto"/>
            <w:shd w:val="clear" w:color="auto" w:fill="auto"/>
          </w:tcPr>
          <w:p w14:paraId="58580BE7" w14:textId="77777777" w:rsidR="00F76607" w:rsidRDefault="001863F0">
            <w:pPr>
              <w:pStyle w:val="NormalWeb"/>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Slovakia</w:t>
            </w:r>
          </w:p>
        </w:tc>
        <w:tc>
          <w:tcPr>
            <w:tcW w:w="0" w:type="auto"/>
          </w:tcPr>
          <w:p w14:paraId="44CD7ABA"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18,162</w:t>
            </w:r>
          </w:p>
        </w:tc>
        <w:tc>
          <w:tcPr>
            <w:tcW w:w="0" w:type="auto"/>
          </w:tcPr>
          <w:p w14:paraId="19EA1B4C"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51%</w:t>
            </w:r>
          </w:p>
        </w:tc>
        <w:tc>
          <w:tcPr>
            <w:tcW w:w="0" w:type="auto"/>
          </w:tcPr>
          <w:p w14:paraId="4525F166"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3.5%</w:t>
            </w:r>
          </w:p>
        </w:tc>
        <w:tc>
          <w:tcPr>
            <w:tcW w:w="0" w:type="auto"/>
          </w:tcPr>
          <w:p w14:paraId="5BAAB822"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VGP</w:t>
            </w:r>
          </w:p>
        </w:tc>
      </w:tr>
      <w:tr w:rsidR="00F76607" w14:paraId="6B7493BB" w14:textId="77777777">
        <w:tc>
          <w:tcPr>
            <w:tcW w:w="0" w:type="auto"/>
            <w:shd w:val="clear" w:color="auto" w:fill="auto"/>
          </w:tcPr>
          <w:p w14:paraId="69D138A5" w14:textId="77777777" w:rsidR="00F76607" w:rsidRDefault="001863F0">
            <w:pPr>
              <w:pStyle w:val="NormalWeb"/>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Total</w:t>
            </w:r>
          </w:p>
        </w:tc>
        <w:tc>
          <w:tcPr>
            <w:tcW w:w="0" w:type="auto"/>
          </w:tcPr>
          <w:p w14:paraId="1A770961" w14:textId="77777777" w:rsidR="00F76607" w:rsidRDefault="001863F0">
            <w:pPr>
              <w:jc w:val="right"/>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516,461</w:t>
            </w:r>
          </w:p>
        </w:tc>
        <w:tc>
          <w:tcPr>
            <w:tcW w:w="0" w:type="auto"/>
          </w:tcPr>
          <w:p w14:paraId="63AF963E" w14:textId="77777777" w:rsidR="00F76607" w:rsidRDefault="001863F0">
            <w:pPr>
              <w:jc w:val="right"/>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71%</w:t>
            </w:r>
          </w:p>
        </w:tc>
        <w:tc>
          <w:tcPr>
            <w:tcW w:w="0" w:type="auto"/>
          </w:tcPr>
          <w:p w14:paraId="6223B7B7" w14:textId="77777777" w:rsidR="00F76607" w:rsidRDefault="001863F0">
            <w:pPr>
              <w:jc w:val="right"/>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100.0%</w:t>
            </w:r>
          </w:p>
        </w:tc>
        <w:tc>
          <w:tcPr>
            <w:tcW w:w="0" w:type="auto"/>
          </w:tcPr>
          <w:p w14:paraId="0F4BD69A" w14:textId="77777777" w:rsidR="00F76607" w:rsidRDefault="00F76607">
            <w:pPr>
              <w:jc w:val="right"/>
              <w:rPr>
                <w:rFonts w:ascii="Times New Roman" w:eastAsia="Times New Roman" w:hAnsi="Times New Roman" w:cs="Times New Roman"/>
                <w:sz w:val="18"/>
                <w:szCs w:val="18"/>
                <w:lang w:val="en-US"/>
              </w:rPr>
            </w:pPr>
          </w:p>
        </w:tc>
      </w:tr>
    </w:tbl>
    <w:p w14:paraId="28EF0BDD" w14:textId="77777777" w:rsidR="00F76607" w:rsidRDefault="001863F0">
      <w:pPr>
        <w:pStyle w:val="VulcanIILevel2"/>
      </w:pPr>
      <w:r>
        <w:t>Rent out and marketing</w:t>
      </w:r>
    </w:p>
    <w:p w14:paraId="75A6ED61" w14:textId="77777777" w:rsidR="00F76607" w:rsidRDefault="001863F0">
      <w:pPr>
        <w:pStyle w:val="NormalWeb"/>
        <w:spacing w:before="240" w:after="0"/>
        <w:ind w:firstLine="857"/>
        <w:rPr>
          <w:sz w:val="18"/>
          <w:szCs w:val="18"/>
          <w:lang w:val="en-GB"/>
        </w:rPr>
      </w:pPr>
      <w:r>
        <w:rPr>
          <w:sz w:val="18"/>
          <w:szCs w:val="18"/>
          <w:lang w:val="en-GB"/>
        </w:rPr>
        <w:t xml:space="preserve">The buildings are generally leased under long term lease agreements to tenants which are active in the logistics sector, e-commerce and/or light manufacturing sector, such as assembling, re-conditioning and final treatment of the goods prior to transport to industrial clients or retailers. The lease agreements typically range between five and ten years, all designed as “triple net leases”, i.e. the tenant being responsible for reimbursement of all maintenance, insurance as well as tax costs related to the ownership of the property. The leases are drafted in accordance with local laws securing that the rights and obligations of the parties are well suited to the character of the logistic properties held by the Group. The Group requires specific guarantees securing the obligations of the tenants, generally in the form of a deposit or a bank guarantee. Specific regulations are agreed for adaptation of the space for tenants’ needs, in particular, where the tenants’ operations require special permits or changes to the structure of the building. Costs of such adaptation are generally borne by the tenant. </w:t>
      </w:r>
      <w:r>
        <w:rPr>
          <w:rFonts w:eastAsiaTheme="minorHAnsi"/>
          <w:color w:val="221E1F"/>
          <w:sz w:val="18"/>
          <w:szCs w:val="18"/>
        </w:rPr>
        <w:t>For more detail on the lease agreements, see “</w:t>
      </w:r>
      <w:r>
        <w:rPr>
          <w:rFonts w:eastAsiaTheme="minorHAnsi"/>
          <w:i/>
          <w:color w:val="221E1F"/>
          <w:sz w:val="18"/>
          <w:szCs w:val="18"/>
        </w:rPr>
        <w:t>Operating and Financial Review – Factors affecting results of operations – Contracted Income</w:t>
      </w:r>
      <w:r>
        <w:rPr>
          <w:rFonts w:eastAsiaTheme="minorHAnsi"/>
          <w:color w:val="221E1F"/>
          <w:sz w:val="18"/>
          <w:szCs w:val="18"/>
        </w:rPr>
        <w:t>”.</w:t>
      </w:r>
    </w:p>
    <w:p w14:paraId="1FEDA91D" w14:textId="0A68DFB7" w:rsidR="00F76607" w:rsidRDefault="001863F0">
      <w:pPr>
        <w:pStyle w:val="NormalWeb"/>
        <w:spacing w:before="240" w:after="0"/>
        <w:ind w:firstLine="857"/>
        <w:rPr>
          <w:sz w:val="18"/>
          <w:szCs w:val="18"/>
          <w:lang w:val="en-GB"/>
        </w:rPr>
      </w:pPr>
      <w:r>
        <w:rPr>
          <w:sz w:val="18"/>
          <w:szCs w:val="18"/>
          <w:lang w:val="en-GB"/>
        </w:rPr>
        <w:t xml:space="preserve">The Group attaches great importance to its direct client relations. The Group's commercial officers are responsible for the contacts with the existing and potential tenants, the proposals and monitoring of the tenants’ requirements during the building process until the handover of the premises. Generally, the Group </w:t>
      </w:r>
      <w:r w:rsidR="00AF7864">
        <w:rPr>
          <w:sz w:val="18"/>
          <w:szCs w:val="18"/>
          <w:lang w:val="en-GB"/>
        </w:rPr>
        <w:t>engages with</w:t>
      </w:r>
      <w:r>
        <w:rPr>
          <w:sz w:val="18"/>
          <w:szCs w:val="18"/>
          <w:lang w:val="en-GB"/>
        </w:rPr>
        <w:t xml:space="preserve"> clients via local real estate brokers (who are the primary source of sales leads), </w:t>
      </w:r>
      <w:r w:rsidR="00B848E4" w:rsidRPr="00B848E4">
        <w:rPr>
          <w:sz w:val="18"/>
          <w:szCs w:val="18"/>
          <w:lang w:val="en-GB"/>
        </w:rPr>
        <w:t xml:space="preserve">internal VGP sales team, </w:t>
      </w:r>
      <w:r>
        <w:rPr>
          <w:sz w:val="18"/>
          <w:szCs w:val="18"/>
          <w:lang w:val="en-GB"/>
        </w:rPr>
        <w:t xml:space="preserve">at trade fairs and through various advertisement channels (the Group launches awareness campaigns through offline and online advertising and press coverage). </w:t>
      </w:r>
    </w:p>
    <w:p w14:paraId="7B7D6F36" w14:textId="77777777" w:rsidR="00F76607" w:rsidRDefault="001863F0">
      <w:pPr>
        <w:pStyle w:val="NormalWeb"/>
        <w:spacing w:before="240" w:after="0"/>
        <w:ind w:firstLine="857"/>
        <w:rPr>
          <w:sz w:val="18"/>
          <w:szCs w:val="18"/>
          <w:lang w:val="en-GB"/>
        </w:rPr>
      </w:pPr>
      <w:r>
        <w:rPr>
          <w:sz w:val="18"/>
          <w:szCs w:val="18"/>
          <w:lang w:val="en-GB"/>
        </w:rPr>
        <w:t>The Group believes that it enjoys a strong recognition in the vast majority of the markets in which it operates. The Group markets all parks, including those that are owned by the Joint Venture, under one brand umbrella, “VGP Parks”.</w:t>
      </w:r>
    </w:p>
    <w:p w14:paraId="162054DE" w14:textId="78C9750A" w:rsidR="00F76607" w:rsidRDefault="001863F0">
      <w:pPr>
        <w:pStyle w:val="NormalWeb"/>
        <w:spacing w:before="240" w:after="0"/>
        <w:ind w:firstLine="857"/>
        <w:rPr>
          <w:sz w:val="18"/>
          <w:szCs w:val="18"/>
          <w:lang w:val="en-GB"/>
        </w:rPr>
      </w:pPr>
      <w:r>
        <w:rPr>
          <w:sz w:val="18"/>
          <w:szCs w:val="18"/>
          <w:lang w:val="en-GB"/>
        </w:rPr>
        <w:t>The Group’s target is to attain a healthy mix of end users and logistics companies as tenants. Key considerations for the prioritisation of tenants are their creditworthiness, the lease term and lettable area, with a focus on repeat tenants and cross-border clients.</w:t>
      </w:r>
    </w:p>
    <w:p w14:paraId="71649200" w14:textId="3BF6F885" w:rsidR="00F76607" w:rsidRDefault="001863F0">
      <w:pPr>
        <w:pStyle w:val="NormalWeb"/>
        <w:spacing w:before="240" w:after="0"/>
        <w:ind w:firstLine="857"/>
        <w:rPr>
          <w:sz w:val="18"/>
          <w:szCs w:val="18"/>
          <w:lang w:val="en-GB"/>
        </w:rPr>
      </w:pPr>
      <w:r>
        <w:rPr>
          <w:sz w:val="18"/>
          <w:szCs w:val="18"/>
          <w:lang w:val="en-GB"/>
        </w:rPr>
        <w:t xml:space="preserve">In Germany, where VGP became one of top tier developers in 2015, the Group </w:t>
      </w:r>
      <w:r w:rsidR="00E3089A">
        <w:rPr>
          <w:sz w:val="18"/>
          <w:szCs w:val="18"/>
          <w:lang w:val="en-GB"/>
        </w:rPr>
        <w:t>as of 30 June 2017</w:t>
      </w:r>
      <w:r w:rsidR="00AF7864">
        <w:rPr>
          <w:sz w:val="18"/>
          <w:szCs w:val="18"/>
          <w:lang w:val="en-GB"/>
        </w:rPr>
        <w:t>,</w:t>
      </w:r>
      <w:r w:rsidR="00E3089A">
        <w:rPr>
          <w:sz w:val="18"/>
          <w:szCs w:val="18"/>
          <w:lang w:val="en-GB"/>
        </w:rPr>
        <w:t xml:space="preserve"> had</w:t>
      </w:r>
      <w:r>
        <w:rPr>
          <w:sz w:val="18"/>
          <w:szCs w:val="18"/>
          <w:lang w:val="en-GB"/>
        </w:rPr>
        <w:t xml:space="preserve"> several repeat tenants with more than one rent contract</w:t>
      </w:r>
      <w:r w:rsidR="00940375">
        <w:rPr>
          <w:sz w:val="18"/>
          <w:szCs w:val="18"/>
          <w:lang w:val="en-GB"/>
        </w:rPr>
        <w:t xml:space="preserve"> (including in other countries)</w:t>
      </w:r>
      <w:r>
        <w:rPr>
          <w:sz w:val="18"/>
          <w:szCs w:val="18"/>
          <w:lang w:val="en-GB"/>
        </w:rPr>
        <w:t xml:space="preserve">, such as Lidl (2 lease agreements), </w:t>
      </w:r>
      <w:proofErr w:type="spellStart"/>
      <w:r>
        <w:rPr>
          <w:sz w:val="18"/>
          <w:szCs w:val="18"/>
          <w:lang w:val="en-GB"/>
        </w:rPr>
        <w:t>Benteler</w:t>
      </w:r>
      <w:proofErr w:type="spellEnd"/>
      <w:r>
        <w:rPr>
          <w:sz w:val="18"/>
          <w:szCs w:val="18"/>
          <w:lang w:val="en-GB"/>
        </w:rPr>
        <w:t xml:space="preserve"> Automotive (2 lease agreements), </w:t>
      </w:r>
      <w:proofErr w:type="spellStart"/>
      <w:r>
        <w:rPr>
          <w:sz w:val="18"/>
          <w:szCs w:val="18"/>
          <w:lang w:val="en-GB"/>
        </w:rPr>
        <w:t>Rhenus</w:t>
      </w:r>
      <w:proofErr w:type="spellEnd"/>
      <w:r>
        <w:rPr>
          <w:sz w:val="18"/>
          <w:szCs w:val="18"/>
          <w:lang w:val="en-GB"/>
        </w:rPr>
        <w:t xml:space="preserve"> Logistics (2 lease agreements), Volkswagen (3 lease agreements), </w:t>
      </w:r>
      <w:proofErr w:type="spellStart"/>
      <w:r>
        <w:rPr>
          <w:sz w:val="18"/>
          <w:szCs w:val="18"/>
          <w:lang w:val="en-GB"/>
        </w:rPr>
        <w:t>Geis</w:t>
      </w:r>
      <w:proofErr w:type="spellEnd"/>
      <w:r>
        <w:rPr>
          <w:sz w:val="18"/>
          <w:szCs w:val="18"/>
          <w:lang w:val="en-GB"/>
        </w:rPr>
        <w:t xml:space="preserve"> Global Logistics (2 lease agreements), Cargo-Partner (2 lease agreements), Hartmann (2 lease agreements) and </w:t>
      </w:r>
      <w:proofErr w:type="spellStart"/>
      <w:r>
        <w:rPr>
          <w:sz w:val="18"/>
          <w:szCs w:val="18"/>
          <w:lang w:val="en-GB"/>
        </w:rPr>
        <w:t>Lekkerland</w:t>
      </w:r>
      <w:proofErr w:type="spellEnd"/>
      <w:r>
        <w:rPr>
          <w:sz w:val="18"/>
          <w:szCs w:val="18"/>
          <w:lang w:val="en-GB"/>
        </w:rPr>
        <w:t xml:space="preserve"> (2 lease agreements). </w:t>
      </w:r>
    </w:p>
    <w:p w14:paraId="3A420389" w14:textId="31505885" w:rsidR="00F76607" w:rsidRDefault="00842A6C" w:rsidP="00842A6C">
      <w:pPr>
        <w:pStyle w:val="NormalWeb"/>
        <w:ind w:firstLine="857"/>
        <w:rPr>
          <w:sz w:val="18"/>
          <w:szCs w:val="18"/>
          <w:lang w:val="en-GB"/>
        </w:rPr>
      </w:pPr>
      <w:r>
        <w:rPr>
          <w:sz w:val="18"/>
          <w:szCs w:val="18"/>
          <w:lang w:val="en-GB"/>
        </w:rPr>
        <w:t>The following graph</w:t>
      </w:r>
      <w:r w:rsidR="001863F0">
        <w:rPr>
          <w:sz w:val="18"/>
          <w:szCs w:val="18"/>
          <w:lang w:val="en-GB"/>
        </w:rPr>
        <w:t xml:space="preserve"> gives an overview of the Group’s top 10 tenants, based on gross lettable area</w:t>
      </w:r>
      <w:r w:rsidR="00BD4338">
        <w:rPr>
          <w:sz w:val="18"/>
          <w:szCs w:val="18"/>
          <w:lang w:val="en-GB"/>
        </w:rPr>
        <w:t xml:space="preserve"> as at 30 June 2017</w:t>
      </w:r>
      <w:r w:rsidR="001863F0">
        <w:rPr>
          <w:sz w:val="18"/>
          <w:szCs w:val="18"/>
          <w:lang w:val="en-GB"/>
        </w:rPr>
        <w:t>:</w:t>
      </w:r>
    </w:p>
    <w:p w14:paraId="118E6A3A" w14:textId="77777777" w:rsidR="00F76607" w:rsidRDefault="001863F0">
      <w:pPr>
        <w:pStyle w:val="NormalWeb"/>
        <w:spacing w:before="240" w:after="0"/>
        <w:ind w:firstLine="857"/>
        <w:rPr>
          <w:sz w:val="18"/>
          <w:szCs w:val="18"/>
          <w:lang w:val="en-GB"/>
        </w:rPr>
      </w:pPr>
      <w:r>
        <w:rPr>
          <w:noProof/>
          <w:sz w:val="18"/>
          <w:szCs w:val="18"/>
          <w:lang w:val="nl-BE" w:eastAsia="nl-BE"/>
        </w:rPr>
        <w:drawing>
          <wp:inline distT="0" distB="0" distL="0" distR="0" wp14:anchorId="30B2CD6B" wp14:editId="567F52B8">
            <wp:extent cx="2547474" cy="2218387"/>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F8DE32D" w14:textId="77777777" w:rsidR="00F76607" w:rsidRDefault="001863F0">
      <w:pPr>
        <w:pStyle w:val="NormalWeb"/>
        <w:spacing w:before="240" w:after="0"/>
        <w:ind w:firstLine="857"/>
        <w:rPr>
          <w:sz w:val="18"/>
          <w:szCs w:val="18"/>
          <w:lang w:val="en-GB"/>
        </w:rPr>
      </w:pPr>
      <w:r>
        <w:rPr>
          <w:sz w:val="18"/>
          <w:szCs w:val="18"/>
          <w:lang w:val="en-GB"/>
        </w:rPr>
        <w:t xml:space="preserve">Key tenants of the Group include: </w:t>
      </w:r>
      <w:proofErr w:type="spellStart"/>
      <w:r>
        <w:rPr>
          <w:sz w:val="18"/>
          <w:szCs w:val="18"/>
          <w:lang w:val="en-GB"/>
        </w:rPr>
        <w:t>Faiveley</w:t>
      </w:r>
      <w:proofErr w:type="spellEnd"/>
      <w:r>
        <w:rPr>
          <w:sz w:val="18"/>
          <w:szCs w:val="18"/>
          <w:lang w:val="en-GB"/>
        </w:rPr>
        <w:t xml:space="preserve"> Transport, </w:t>
      </w:r>
      <w:proofErr w:type="spellStart"/>
      <w:r>
        <w:rPr>
          <w:sz w:val="18"/>
          <w:szCs w:val="18"/>
          <w:lang w:val="en-GB"/>
        </w:rPr>
        <w:t>Benteler</w:t>
      </w:r>
      <w:proofErr w:type="spellEnd"/>
      <w:r>
        <w:rPr>
          <w:sz w:val="18"/>
          <w:szCs w:val="18"/>
          <w:lang w:val="en-GB"/>
        </w:rPr>
        <w:t xml:space="preserve"> Automotive, Fromm Packaging Systems, Audi, </w:t>
      </w:r>
      <w:proofErr w:type="spellStart"/>
      <w:r>
        <w:rPr>
          <w:sz w:val="18"/>
          <w:szCs w:val="18"/>
          <w:lang w:val="en-GB"/>
        </w:rPr>
        <w:t>Skiny</w:t>
      </w:r>
      <w:proofErr w:type="spellEnd"/>
      <w:r>
        <w:rPr>
          <w:sz w:val="18"/>
          <w:szCs w:val="18"/>
          <w:lang w:val="en-GB"/>
        </w:rPr>
        <w:t xml:space="preserve">, </w:t>
      </w:r>
      <w:proofErr w:type="spellStart"/>
      <w:r>
        <w:rPr>
          <w:sz w:val="18"/>
          <w:szCs w:val="18"/>
          <w:lang w:val="en-GB"/>
        </w:rPr>
        <w:t>Gebrüder</w:t>
      </w:r>
      <w:proofErr w:type="spellEnd"/>
      <w:r>
        <w:rPr>
          <w:sz w:val="18"/>
          <w:szCs w:val="18"/>
          <w:lang w:val="en-GB"/>
        </w:rPr>
        <w:t xml:space="preserve"> Weiss, DHL, PTG </w:t>
      </w:r>
      <w:proofErr w:type="spellStart"/>
      <w:r>
        <w:rPr>
          <w:sz w:val="18"/>
          <w:szCs w:val="18"/>
          <w:lang w:val="en-GB"/>
        </w:rPr>
        <w:t>Unionpack</w:t>
      </w:r>
      <w:proofErr w:type="spellEnd"/>
      <w:r>
        <w:rPr>
          <w:sz w:val="18"/>
          <w:szCs w:val="18"/>
          <w:lang w:val="en-GB"/>
        </w:rPr>
        <w:t xml:space="preserve">, Geodis, Dana, Mango, </w:t>
      </w:r>
      <w:proofErr w:type="spellStart"/>
      <w:r>
        <w:rPr>
          <w:sz w:val="18"/>
          <w:szCs w:val="18"/>
          <w:lang w:val="en-GB"/>
        </w:rPr>
        <w:t>Rossmann</w:t>
      </w:r>
      <w:proofErr w:type="spellEnd"/>
      <w:r>
        <w:rPr>
          <w:sz w:val="18"/>
          <w:szCs w:val="18"/>
          <w:lang w:val="en-GB"/>
        </w:rPr>
        <w:t xml:space="preserve">, </w:t>
      </w:r>
      <w:proofErr w:type="spellStart"/>
      <w:r>
        <w:rPr>
          <w:sz w:val="18"/>
          <w:szCs w:val="18"/>
          <w:lang w:val="en-GB"/>
        </w:rPr>
        <w:t>Syncreon</w:t>
      </w:r>
      <w:proofErr w:type="spellEnd"/>
      <w:r>
        <w:rPr>
          <w:sz w:val="18"/>
          <w:szCs w:val="18"/>
          <w:lang w:val="en-GB"/>
        </w:rPr>
        <w:t>, Hartmann, Amazon, C&amp;A, Knorr-</w:t>
      </w:r>
      <w:proofErr w:type="spellStart"/>
      <w:r>
        <w:rPr>
          <w:sz w:val="18"/>
          <w:szCs w:val="18"/>
          <w:lang w:val="en-GB"/>
        </w:rPr>
        <w:t>Bremse</w:t>
      </w:r>
      <w:proofErr w:type="spellEnd"/>
      <w:r>
        <w:rPr>
          <w:sz w:val="18"/>
          <w:szCs w:val="18"/>
          <w:lang w:val="en-GB"/>
        </w:rPr>
        <w:t xml:space="preserve">, Nagel-Group, CF&amp;S, </w:t>
      </w:r>
      <w:proofErr w:type="spellStart"/>
      <w:r>
        <w:rPr>
          <w:sz w:val="18"/>
          <w:szCs w:val="18"/>
          <w:lang w:val="en-GB"/>
        </w:rPr>
        <w:t>Lekkerland</w:t>
      </w:r>
      <w:proofErr w:type="spellEnd"/>
      <w:r>
        <w:rPr>
          <w:sz w:val="18"/>
          <w:szCs w:val="18"/>
          <w:lang w:val="en-GB"/>
        </w:rPr>
        <w:t xml:space="preserve">, Custom Chrome, SSI, </w:t>
      </w:r>
      <w:proofErr w:type="spellStart"/>
      <w:r>
        <w:rPr>
          <w:sz w:val="18"/>
          <w:szCs w:val="18"/>
          <w:lang w:val="en-GB"/>
        </w:rPr>
        <w:t>Rhenus</w:t>
      </w:r>
      <w:proofErr w:type="spellEnd"/>
      <w:r>
        <w:rPr>
          <w:sz w:val="18"/>
          <w:szCs w:val="18"/>
          <w:lang w:val="en-GB"/>
        </w:rPr>
        <w:t xml:space="preserve"> Logistics, </w:t>
      </w:r>
      <w:proofErr w:type="spellStart"/>
      <w:r>
        <w:rPr>
          <w:sz w:val="18"/>
          <w:szCs w:val="18"/>
          <w:lang w:val="en-GB"/>
        </w:rPr>
        <w:t>Caamaño</w:t>
      </w:r>
      <w:proofErr w:type="spellEnd"/>
      <w:r>
        <w:rPr>
          <w:sz w:val="18"/>
          <w:szCs w:val="18"/>
          <w:lang w:val="en-GB"/>
        </w:rPr>
        <w:t xml:space="preserve"> CZ, </w:t>
      </w:r>
      <w:proofErr w:type="spellStart"/>
      <w:r>
        <w:rPr>
          <w:sz w:val="18"/>
          <w:szCs w:val="18"/>
          <w:lang w:val="en-GB"/>
        </w:rPr>
        <w:t>Assa</w:t>
      </w:r>
      <w:proofErr w:type="spellEnd"/>
      <w:r>
        <w:rPr>
          <w:sz w:val="18"/>
          <w:szCs w:val="18"/>
          <w:lang w:val="en-GB"/>
        </w:rPr>
        <w:t xml:space="preserve"> </w:t>
      </w:r>
      <w:proofErr w:type="spellStart"/>
      <w:r>
        <w:rPr>
          <w:sz w:val="18"/>
          <w:szCs w:val="18"/>
          <w:lang w:val="en-GB"/>
        </w:rPr>
        <w:t>Abloy</w:t>
      </w:r>
      <w:proofErr w:type="spellEnd"/>
      <w:r>
        <w:rPr>
          <w:sz w:val="18"/>
          <w:szCs w:val="18"/>
          <w:lang w:val="en-GB"/>
        </w:rPr>
        <w:t xml:space="preserve">, Volkswagen, </w:t>
      </w:r>
      <w:proofErr w:type="spellStart"/>
      <w:r>
        <w:rPr>
          <w:sz w:val="18"/>
          <w:szCs w:val="18"/>
          <w:lang w:val="en-GB"/>
        </w:rPr>
        <w:t>Drylock</w:t>
      </w:r>
      <w:proofErr w:type="spellEnd"/>
      <w:r>
        <w:rPr>
          <w:sz w:val="18"/>
          <w:szCs w:val="18"/>
          <w:lang w:val="en-GB"/>
        </w:rPr>
        <w:t xml:space="preserve">, </w:t>
      </w:r>
      <w:proofErr w:type="spellStart"/>
      <w:r>
        <w:rPr>
          <w:sz w:val="18"/>
          <w:szCs w:val="18"/>
          <w:lang w:val="en-GB"/>
        </w:rPr>
        <w:t>Taigo</w:t>
      </w:r>
      <w:proofErr w:type="spellEnd"/>
      <w:r>
        <w:rPr>
          <w:sz w:val="18"/>
          <w:szCs w:val="18"/>
          <w:lang w:val="en-GB"/>
        </w:rPr>
        <w:t xml:space="preserve"> and Ikea.</w:t>
      </w:r>
    </w:p>
    <w:p w14:paraId="2151005A" w14:textId="77777777" w:rsidR="00F76607" w:rsidRDefault="001863F0">
      <w:pPr>
        <w:pStyle w:val="VulcanIILevel2"/>
      </w:pPr>
      <w:bookmarkStart w:id="73" w:name="_Toc460854312"/>
      <w:r>
        <w:lastRenderedPageBreak/>
        <w:t>Portfolio: ancillary services provided</w:t>
      </w:r>
    </w:p>
    <w:p w14:paraId="3B874FB7" w14:textId="77777777" w:rsidR="00F76607" w:rsidRDefault="001863F0">
      <w:pPr>
        <w:pStyle w:val="NormalWeb"/>
        <w:rPr>
          <w:bCs/>
          <w:i/>
          <w:sz w:val="18"/>
          <w:szCs w:val="18"/>
          <w:lang w:val="en-GB"/>
        </w:rPr>
      </w:pPr>
      <w:r>
        <w:rPr>
          <w:bCs/>
          <w:i/>
          <w:sz w:val="18"/>
          <w:szCs w:val="18"/>
          <w:lang w:val="en-GB"/>
        </w:rPr>
        <w:t>Property Management and Asset Management services</w:t>
      </w:r>
    </w:p>
    <w:p w14:paraId="510A0336" w14:textId="085234C6" w:rsidR="00F76607" w:rsidRDefault="001863F0" w:rsidP="00411069">
      <w:pPr>
        <w:pStyle w:val="NormalWeb"/>
        <w:ind w:firstLine="857"/>
        <w:rPr>
          <w:sz w:val="18"/>
          <w:szCs w:val="18"/>
          <w:lang w:val="en-GB"/>
        </w:rPr>
      </w:pPr>
      <w:r>
        <w:rPr>
          <w:sz w:val="18"/>
          <w:szCs w:val="18"/>
          <w:lang w:val="en-GB"/>
        </w:rPr>
        <w:t xml:space="preserve">Property Management services are exclusively provided by the Group in connection to its own portfolio and the Joint Venture’s portfolio whereby the respective Group property management company is responsible for managing the proper and undisturbed operation of the buildings. In addition, the property manager identifies, supervises and manages, on behalf of the Group or the Joint Venture, the relationship with third party suppliers. </w:t>
      </w:r>
    </w:p>
    <w:p w14:paraId="0829FF65" w14:textId="77777777" w:rsidR="00F76607" w:rsidRDefault="001863F0">
      <w:pPr>
        <w:pStyle w:val="NormalWeb"/>
        <w:spacing w:before="240" w:after="0"/>
        <w:ind w:firstLine="857"/>
        <w:rPr>
          <w:sz w:val="18"/>
          <w:szCs w:val="18"/>
          <w:lang w:val="en-GB"/>
        </w:rPr>
      </w:pPr>
      <w:r>
        <w:rPr>
          <w:sz w:val="18"/>
          <w:szCs w:val="18"/>
          <w:lang w:val="en-GB"/>
        </w:rPr>
        <w:t>As part of its offered services the VGP property management companies also provides Project Management services. These services cover the performance of capital improvements and any other construction works as may be requested by the owner of the buildings. This scope covers the full range of Project Management services (such as the supervision and coordination of the contractors for design, advising on obtaining permits, advising on the works and any tenders relating thereto).</w:t>
      </w:r>
    </w:p>
    <w:p w14:paraId="4E3771D3" w14:textId="7908EAB0" w:rsidR="00F76607" w:rsidRDefault="00E3089A">
      <w:pPr>
        <w:pStyle w:val="NormalWeb"/>
        <w:spacing w:before="240" w:after="0"/>
        <w:ind w:firstLine="857"/>
        <w:rPr>
          <w:sz w:val="18"/>
          <w:szCs w:val="18"/>
          <w:lang w:val="en-GB"/>
        </w:rPr>
      </w:pPr>
      <w:r>
        <w:rPr>
          <w:sz w:val="18"/>
          <w:szCs w:val="18"/>
          <w:lang w:val="en-GB"/>
        </w:rPr>
        <w:t>As part of the p</w:t>
      </w:r>
      <w:r w:rsidR="001863F0">
        <w:rPr>
          <w:sz w:val="18"/>
          <w:szCs w:val="18"/>
          <w:lang w:val="en-GB"/>
        </w:rPr>
        <w:t xml:space="preserve">roperty </w:t>
      </w:r>
      <w:r>
        <w:rPr>
          <w:sz w:val="18"/>
          <w:szCs w:val="18"/>
          <w:lang w:val="en-GB"/>
        </w:rPr>
        <w:t>m</w:t>
      </w:r>
      <w:r w:rsidR="001863F0">
        <w:rPr>
          <w:sz w:val="18"/>
          <w:szCs w:val="18"/>
          <w:lang w:val="en-GB"/>
        </w:rPr>
        <w:t>anagement services VGP also provide</w:t>
      </w:r>
      <w:r w:rsidR="00BD4338">
        <w:rPr>
          <w:sz w:val="18"/>
          <w:szCs w:val="18"/>
          <w:lang w:val="en-GB"/>
        </w:rPr>
        <w:t>s</w:t>
      </w:r>
      <w:r w:rsidR="001863F0">
        <w:rPr>
          <w:sz w:val="18"/>
          <w:szCs w:val="18"/>
          <w:lang w:val="en-GB"/>
        </w:rPr>
        <w:t xml:space="preserve"> leasing services. The Group's commercial department is responsible for all aspects of the performance and enforcement of the leases and the lease agreements, also on behalf of the Joint Venture and its subsidiaries, as well as for day-to-day co-operation with the tenants.</w:t>
      </w:r>
    </w:p>
    <w:p w14:paraId="401684F8" w14:textId="77777777" w:rsidR="00F76607" w:rsidRDefault="001863F0">
      <w:pPr>
        <w:pStyle w:val="NormalWeb"/>
        <w:spacing w:before="240" w:after="0"/>
        <w:ind w:firstLine="857"/>
        <w:rPr>
          <w:sz w:val="18"/>
          <w:szCs w:val="18"/>
          <w:lang w:val="en-GB"/>
        </w:rPr>
      </w:pPr>
      <w:r>
        <w:rPr>
          <w:sz w:val="18"/>
          <w:szCs w:val="18"/>
          <w:lang w:val="en-GB"/>
        </w:rPr>
        <w:t xml:space="preserve">The asset management function was created in 2016 as part of the services rendered to the Joint Venture and entails giving advice and recommendations to the Joint Venture and its subsidiaries on the Joint Venture’s asset management and strategy. Further advice and recommendations are given by the asset manager in respect of an appropriate tenant mix, and the execution of a leasing strategy that aligns cash flows with portfolio needs and management of both capital and operating expenses. As part of the provided services, VGP is responsible for standard corporate administration of financing, business planning, reporting, budgeting, management of tax and legal affairs, controlling, etc. The asset management services are provided by the subsidiary VGP Asset Management </w:t>
      </w:r>
      <w:proofErr w:type="spellStart"/>
      <w:r>
        <w:rPr>
          <w:sz w:val="18"/>
          <w:szCs w:val="18"/>
          <w:lang w:val="en-GB"/>
        </w:rPr>
        <w:t>S.à</w:t>
      </w:r>
      <w:proofErr w:type="spellEnd"/>
      <w:r>
        <w:rPr>
          <w:sz w:val="18"/>
          <w:szCs w:val="18"/>
          <w:lang w:val="en-GB"/>
        </w:rPr>
        <w:t xml:space="preserve"> </w:t>
      </w:r>
      <w:proofErr w:type="spellStart"/>
      <w:r>
        <w:rPr>
          <w:sz w:val="18"/>
          <w:szCs w:val="18"/>
          <w:lang w:val="en-GB"/>
        </w:rPr>
        <w:t>r.l</w:t>
      </w:r>
      <w:proofErr w:type="spellEnd"/>
      <w:r>
        <w:rPr>
          <w:sz w:val="18"/>
          <w:szCs w:val="18"/>
          <w:lang w:val="en-GB"/>
        </w:rPr>
        <w:t>. which operates from Luxembourg. As a consideration for the asset management services, VGP is entitled to an asset management fee, the calculation of which is based on invested equity in the JV, adjusted for any future capital contribution / distribution.</w:t>
      </w:r>
    </w:p>
    <w:p w14:paraId="3AF7E55A" w14:textId="77777777" w:rsidR="00F76607" w:rsidRDefault="001863F0">
      <w:pPr>
        <w:pStyle w:val="NormalWeb"/>
        <w:rPr>
          <w:bCs/>
          <w:i/>
          <w:sz w:val="18"/>
          <w:szCs w:val="18"/>
          <w:lang w:val="en-GB"/>
        </w:rPr>
      </w:pPr>
      <w:r>
        <w:rPr>
          <w:bCs/>
          <w:i/>
          <w:sz w:val="18"/>
          <w:szCs w:val="18"/>
          <w:lang w:val="en-GB"/>
        </w:rPr>
        <w:t>Facility Management services</w:t>
      </w:r>
    </w:p>
    <w:p w14:paraId="06AC15A5" w14:textId="460AC83F" w:rsidR="00F76607" w:rsidRDefault="001863F0">
      <w:pPr>
        <w:pStyle w:val="NormalWeb"/>
        <w:spacing w:before="240" w:after="0"/>
        <w:ind w:firstLine="857"/>
        <w:rPr>
          <w:sz w:val="18"/>
          <w:szCs w:val="18"/>
          <w:lang w:val="en-GB"/>
        </w:rPr>
      </w:pPr>
      <w:r>
        <w:rPr>
          <w:sz w:val="18"/>
          <w:szCs w:val="18"/>
          <w:lang w:val="en-GB"/>
        </w:rPr>
        <w:t xml:space="preserve">Facility Management services are carried out in the Czech Republic by SUTA </w:t>
      </w:r>
      <w:proofErr w:type="spellStart"/>
      <w:r>
        <w:rPr>
          <w:sz w:val="18"/>
          <w:szCs w:val="18"/>
          <w:lang w:val="en-GB"/>
        </w:rPr>
        <w:t>s.r.o</w:t>
      </w:r>
      <w:proofErr w:type="spellEnd"/>
      <w:r>
        <w:rPr>
          <w:sz w:val="18"/>
          <w:szCs w:val="18"/>
          <w:lang w:val="en-GB"/>
        </w:rPr>
        <w:t xml:space="preserve">. (“SUTA”) </w:t>
      </w:r>
      <w:r w:rsidR="00D11DE1">
        <w:rPr>
          <w:sz w:val="18"/>
          <w:szCs w:val="18"/>
          <w:lang w:val="en-GB"/>
        </w:rPr>
        <w:t xml:space="preserve">and are focused on </w:t>
      </w:r>
      <w:r w:rsidR="00D11DE1" w:rsidRPr="00D11DE1">
        <w:rPr>
          <w:sz w:val="18"/>
          <w:szCs w:val="18"/>
          <w:lang w:val="en-GB"/>
        </w:rPr>
        <w:t>providing facility management services which include various actions such as general maintenance, maintenance of gas and electricity utilities, readings of measuring devices, defect reporting, supervision of cleaning works etc.</w:t>
      </w:r>
      <w:r w:rsidR="00D11DE1">
        <w:rPr>
          <w:sz w:val="18"/>
          <w:szCs w:val="18"/>
          <w:lang w:val="en-GB"/>
        </w:rPr>
        <w:t xml:space="preserve"> </w:t>
      </w:r>
      <w:r>
        <w:rPr>
          <w:sz w:val="18"/>
          <w:szCs w:val="18"/>
          <w:lang w:val="en-GB"/>
        </w:rPr>
        <w:t>During 2016 VGP undertook a strategic repositioning of the SUTA facility management within the VGP Group. In the past SUTA provided facility management services to a broad range of third party customers. In view of the strong growth of the own and the Joint Venture portfolio it was decided during the year to scale down all services provided to third parties and to concentrate primarily on the Group’s and the Joint Venture’s portfolios and a limited selected number of third parties going forward. In Germany, facility manageme</w:t>
      </w:r>
      <w:r w:rsidR="005B70E2">
        <w:rPr>
          <w:sz w:val="18"/>
          <w:szCs w:val="18"/>
          <w:lang w:val="en-GB"/>
        </w:rPr>
        <w:t xml:space="preserve">nt services are carried out by FM </w:t>
      </w:r>
      <w:r>
        <w:rPr>
          <w:sz w:val="18"/>
          <w:szCs w:val="18"/>
          <w:lang w:val="en-GB"/>
        </w:rPr>
        <w:t>L</w:t>
      </w:r>
      <w:r w:rsidR="005B70E2">
        <w:rPr>
          <w:sz w:val="18"/>
          <w:szCs w:val="18"/>
          <w:lang w:val="en-GB"/>
        </w:rPr>
        <w:t>og</w:t>
      </w:r>
      <w:r>
        <w:rPr>
          <w:sz w:val="18"/>
          <w:szCs w:val="18"/>
          <w:lang w:val="en-GB"/>
        </w:rPr>
        <w:t>.</w:t>
      </w:r>
    </w:p>
    <w:p w14:paraId="12C718FC" w14:textId="77777777" w:rsidR="00F76607" w:rsidRDefault="001863F0">
      <w:pPr>
        <w:pStyle w:val="NormalWeb"/>
        <w:spacing w:before="240" w:after="0"/>
        <w:ind w:firstLine="857"/>
        <w:rPr>
          <w:sz w:val="18"/>
          <w:szCs w:val="18"/>
          <w:lang w:val="en-GB"/>
        </w:rPr>
      </w:pPr>
      <w:r>
        <w:rPr>
          <w:sz w:val="18"/>
          <w:szCs w:val="18"/>
          <w:lang w:val="en-GB"/>
        </w:rPr>
        <w:t xml:space="preserve">In other countries where no local facility management team is in place, the Group uses third party facility management services companies to perform these activities. </w:t>
      </w:r>
    </w:p>
    <w:p w14:paraId="7B163E4E" w14:textId="77777777" w:rsidR="00F76607" w:rsidRDefault="001863F0">
      <w:pPr>
        <w:pStyle w:val="NormalWeb"/>
        <w:spacing w:before="240" w:after="0"/>
        <w:ind w:firstLine="857"/>
        <w:rPr>
          <w:b/>
          <w:sz w:val="18"/>
          <w:szCs w:val="18"/>
          <w:lang w:val="en-GB"/>
        </w:rPr>
      </w:pPr>
      <w:r>
        <w:rPr>
          <w:b/>
          <w:sz w:val="18"/>
          <w:szCs w:val="18"/>
          <w:lang w:val="en-GB"/>
        </w:rPr>
        <w:t>Operating portfolio</w:t>
      </w:r>
      <w:bookmarkEnd w:id="73"/>
    </w:p>
    <w:p w14:paraId="1F613079" w14:textId="3B72C90A" w:rsidR="00F76607" w:rsidRDefault="001863F0">
      <w:pPr>
        <w:pStyle w:val="NormalWeb"/>
        <w:spacing w:before="240" w:after="0"/>
        <w:ind w:firstLine="857"/>
        <w:rPr>
          <w:sz w:val="18"/>
          <w:szCs w:val="18"/>
          <w:lang w:val="en-GB"/>
        </w:rPr>
      </w:pPr>
      <w:r>
        <w:rPr>
          <w:sz w:val="18"/>
          <w:szCs w:val="18"/>
          <w:lang w:val="en-GB"/>
        </w:rPr>
        <w:t xml:space="preserve">The </w:t>
      </w:r>
      <w:r w:rsidR="00BD4338">
        <w:rPr>
          <w:sz w:val="18"/>
          <w:szCs w:val="18"/>
          <w:lang w:val="en-GB"/>
        </w:rPr>
        <w:t xml:space="preserve">aggregate </w:t>
      </w:r>
      <w:r>
        <w:rPr>
          <w:sz w:val="18"/>
          <w:szCs w:val="18"/>
          <w:lang w:val="en-GB"/>
        </w:rPr>
        <w:t xml:space="preserve">value of </w:t>
      </w:r>
      <w:r w:rsidR="007A3C71" w:rsidRPr="007A3C71">
        <w:rPr>
          <w:sz w:val="18"/>
          <w:szCs w:val="18"/>
          <w:lang w:val="en-GB"/>
        </w:rPr>
        <w:t>Annualised Committed Leases</w:t>
      </w:r>
      <w:r w:rsidR="007A3C71">
        <w:rPr>
          <w:sz w:val="18"/>
          <w:szCs w:val="18"/>
          <w:lang w:val="en-GB"/>
        </w:rPr>
        <w:t xml:space="preserve"> </w:t>
      </w:r>
      <w:r w:rsidR="00BD4338" w:rsidRPr="00C17ECC">
        <w:rPr>
          <w:sz w:val="18"/>
          <w:szCs w:val="18"/>
          <w:lang w:val="en-GB"/>
        </w:rPr>
        <w:t xml:space="preserve">of the </w:t>
      </w:r>
      <w:r w:rsidR="00A40882">
        <w:rPr>
          <w:sz w:val="18"/>
          <w:szCs w:val="18"/>
          <w:lang w:val="en-GB"/>
        </w:rPr>
        <w:t>Group’s own</w:t>
      </w:r>
      <w:r w:rsidR="00BD4338" w:rsidRPr="00C17ECC">
        <w:rPr>
          <w:sz w:val="18"/>
          <w:szCs w:val="18"/>
          <w:lang w:val="en-GB"/>
        </w:rPr>
        <w:t xml:space="preserve"> portfolio and the Joint Venture portfolio (at 100%)</w:t>
      </w:r>
      <w:r w:rsidRPr="00C17ECC">
        <w:rPr>
          <w:sz w:val="18"/>
          <w:szCs w:val="18"/>
          <w:lang w:val="en-GB"/>
        </w:rPr>
        <w:t xml:space="preserve"> as of 30 of June 2017 was € 78.2 million</w:t>
      </w:r>
      <w:r w:rsidR="00BD4338" w:rsidRPr="00C17ECC">
        <w:rPr>
          <w:sz w:val="18"/>
          <w:szCs w:val="18"/>
          <w:lang w:val="en-GB"/>
        </w:rPr>
        <w:t xml:space="preserve"> including </w:t>
      </w:r>
      <w:r w:rsidR="00C17ECC" w:rsidRPr="00C17ECC">
        <w:rPr>
          <w:sz w:val="18"/>
          <w:szCs w:val="18"/>
          <w:lang w:val="en-GB"/>
        </w:rPr>
        <w:t xml:space="preserve">Estonia </w:t>
      </w:r>
      <w:r w:rsidR="00BD4338" w:rsidRPr="00C17ECC">
        <w:rPr>
          <w:sz w:val="18"/>
          <w:szCs w:val="18"/>
          <w:lang w:val="en-GB"/>
        </w:rPr>
        <w:t xml:space="preserve">(by excluding Estonia the </w:t>
      </w:r>
      <w:r w:rsidR="007A3C71" w:rsidRPr="007A3C71">
        <w:rPr>
          <w:sz w:val="18"/>
          <w:szCs w:val="18"/>
          <w:lang w:val="en-GB"/>
        </w:rPr>
        <w:t>Annualised Committed Leases</w:t>
      </w:r>
      <w:r w:rsidR="007A3C71">
        <w:rPr>
          <w:sz w:val="18"/>
          <w:szCs w:val="18"/>
          <w:lang w:val="en-GB"/>
        </w:rPr>
        <w:t xml:space="preserve"> </w:t>
      </w:r>
      <w:r w:rsidR="00BD4338" w:rsidRPr="00C17ECC">
        <w:rPr>
          <w:sz w:val="18"/>
          <w:szCs w:val="18"/>
          <w:lang w:val="en-GB"/>
        </w:rPr>
        <w:t xml:space="preserve">figure would be </w:t>
      </w:r>
      <w:r w:rsidR="00C17ECC" w:rsidRPr="00C17ECC">
        <w:rPr>
          <w:sz w:val="18"/>
          <w:szCs w:val="18"/>
          <w:lang w:val="en-GB"/>
        </w:rPr>
        <w:t>€ 73.9 million</w:t>
      </w:r>
      <w:r w:rsidR="00BD4338" w:rsidRPr="00C17ECC">
        <w:rPr>
          <w:sz w:val="18"/>
          <w:szCs w:val="18"/>
          <w:lang w:val="en-GB"/>
        </w:rPr>
        <w:t>)</w:t>
      </w:r>
      <w:r w:rsidRPr="00C17ECC">
        <w:rPr>
          <w:sz w:val="18"/>
          <w:szCs w:val="18"/>
          <w:lang w:val="en-GB"/>
        </w:rPr>
        <w:t xml:space="preserve"> generated from a total of 1,564,320 m² of lettable area</w:t>
      </w:r>
      <w:r w:rsidR="00C17ECC" w:rsidRPr="00C17ECC">
        <w:rPr>
          <w:sz w:val="18"/>
          <w:szCs w:val="18"/>
          <w:lang w:val="en-GB"/>
        </w:rPr>
        <w:t xml:space="preserve"> including Estonia (by excluding Estonia, this figure would be 1,487,280 m²)</w:t>
      </w:r>
      <w:r w:rsidRPr="00C17ECC">
        <w:rPr>
          <w:sz w:val="18"/>
          <w:szCs w:val="18"/>
          <w:lang w:val="en-GB"/>
        </w:rPr>
        <w:t>. Of this total space, 573,433 m² belong to the</w:t>
      </w:r>
      <w:r>
        <w:rPr>
          <w:sz w:val="18"/>
          <w:szCs w:val="18"/>
          <w:lang w:val="en-GB"/>
        </w:rPr>
        <w:t xml:space="preserve"> </w:t>
      </w:r>
      <w:r w:rsidR="00A40882">
        <w:rPr>
          <w:sz w:val="18"/>
          <w:szCs w:val="18"/>
          <w:lang w:val="en-GB"/>
        </w:rPr>
        <w:t xml:space="preserve">Group’s </w:t>
      </w:r>
      <w:r>
        <w:rPr>
          <w:sz w:val="18"/>
          <w:szCs w:val="18"/>
          <w:lang w:val="en-GB"/>
        </w:rPr>
        <w:t>own portfolio and 990,888 m² to the Joint Venture.</w:t>
      </w:r>
    </w:p>
    <w:p w14:paraId="6E8D486D" w14:textId="3D059F32" w:rsidR="00F76607" w:rsidRDefault="001863F0">
      <w:pPr>
        <w:pStyle w:val="NormalWeb"/>
        <w:ind w:firstLine="857"/>
        <w:rPr>
          <w:sz w:val="18"/>
          <w:szCs w:val="18"/>
          <w:lang w:val="en-GB"/>
        </w:rPr>
      </w:pPr>
      <w:r>
        <w:rPr>
          <w:sz w:val="18"/>
          <w:szCs w:val="18"/>
          <w:lang w:val="en-GB"/>
        </w:rPr>
        <w:t xml:space="preserve">The weighted average term of the </w:t>
      </w:r>
      <w:r w:rsidR="007A3C71" w:rsidRPr="007A3C71">
        <w:rPr>
          <w:sz w:val="18"/>
          <w:szCs w:val="18"/>
          <w:lang w:val="en-GB"/>
        </w:rPr>
        <w:t>Annualised Committed Leases</w:t>
      </w:r>
      <w:r w:rsidR="007A3C71">
        <w:rPr>
          <w:sz w:val="18"/>
          <w:szCs w:val="18"/>
          <w:lang w:val="en-GB"/>
        </w:rPr>
        <w:t xml:space="preserve"> </w:t>
      </w:r>
      <w:r>
        <w:rPr>
          <w:sz w:val="18"/>
          <w:szCs w:val="18"/>
          <w:lang w:val="en-GB"/>
        </w:rPr>
        <w:t xml:space="preserve">of the own and Joint Venture portfolios combined stood at 10.2 years at the end of June </w:t>
      </w:r>
      <w:r w:rsidRPr="00C17ECC">
        <w:rPr>
          <w:sz w:val="18"/>
          <w:szCs w:val="18"/>
          <w:lang w:val="en-GB"/>
        </w:rPr>
        <w:t>2017</w:t>
      </w:r>
      <w:r w:rsidR="00C17ECC" w:rsidRPr="00C17ECC">
        <w:rPr>
          <w:sz w:val="18"/>
          <w:szCs w:val="18"/>
          <w:lang w:val="en-GB"/>
        </w:rPr>
        <w:t xml:space="preserve"> </w:t>
      </w:r>
      <w:r w:rsidR="00BD4338" w:rsidRPr="00C17ECC">
        <w:rPr>
          <w:sz w:val="18"/>
          <w:szCs w:val="18"/>
          <w:lang w:val="en-GB"/>
        </w:rPr>
        <w:t>including Estonia</w:t>
      </w:r>
      <w:r w:rsidR="00C17ECC">
        <w:rPr>
          <w:sz w:val="18"/>
          <w:szCs w:val="18"/>
          <w:lang w:val="en-GB"/>
        </w:rPr>
        <w:t xml:space="preserve"> (by excluding Estonia this figure would be 10.3 years)</w:t>
      </w:r>
      <w:r>
        <w:rPr>
          <w:sz w:val="18"/>
          <w:szCs w:val="18"/>
          <w:lang w:val="en-GB"/>
        </w:rPr>
        <w:t xml:space="preserve">. The own portfolio reached an average </w:t>
      </w:r>
      <w:r w:rsidR="007A3C71">
        <w:rPr>
          <w:sz w:val="18"/>
          <w:szCs w:val="18"/>
          <w:lang w:val="en-GB"/>
        </w:rPr>
        <w:t xml:space="preserve">Annualised Committed Lease </w:t>
      </w:r>
      <w:r>
        <w:rPr>
          <w:sz w:val="18"/>
          <w:szCs w:val="18"/>
          <w:lang w:val="en-GB"/>
        </w:rPr>
        <w:t xml:space="preserve">period of 14. years as at </w:t>
      </w:r>
      <w:r w:rsidR="00F65890">
        <w:rPr>
          <w:sz w:val="18"/>
          <w:szCs w:val="18"/>
          <w:lang w:val="en-GB"/>
        </w:rPr>
        <w:t xml:space="preserve">30 </w:t>
      </w:r>
      <w:r>
        <w:rPr>
          <w:sz w:val="18"/>
          <w:szCs w:val="18"/>
          <w:lang w:val="en-GB"/>
        </w:rPr>
        <w:t xml:space="preserve">June </w:t>
      </w:r>
      <w:r w:rsidRPr="00C17ECC">
        <w:rPr>
          <w:sz w:val="18"/>
          <w:szCs w:val="18"/>
          <w:lang w:val="en-GB"/>
        </w:rPr>
        <w:t>2017</w:t>
      </w:r>
      <w:r w:rsidR="00C17ECC" w:rsidRPr="00C17ECC">
        <w:rPr>
          <w:sz w:val="18"/>
          <w:szCs w:val="18"/>
          <w:lang w:val="en-GB"/>
        </w:rPr>
        <w:t xml:space="preserve"> in</w:t>
      </w:r>
      <w:r w:rsidR="00BD4338" w:rsidRPr="00C17ECC">
        <w:rPr>
          <w:sz w:val="18"/>
          <w:szCs w:val="18"/>
          <w:lang w:val="en-GB"/>
        </w:rPr>
        <w:t>cluding Estonia</w:t>
      </w:r>
      <w:r w:rsidR="00C17ECC">
        <w:rPr>
          <w:sz w:val="18"/>
          <w:szCs w:val="18"/>
          <w:lang w:val="en-GB"/>
        </w:rPr>
        <w:t xml:space="preserve"> (by excluding Estonia this figure would be 15.1 years)</w:t>
      </w:r>
      <w:r>
        <w:rPr>
          <w:sz w:val="18"/>
          <w:szCs w:val="18"/>
          <w:lang w:val="en-GB"/>
        </w:rPr>
        <w:t>, while the Joint Venture portfolio reached 8.1 years</w:t>
      </w:r>
      <w:r w:rsidR="00F65890">
        <w:rPr>
          <w:sz w:val="18"/>
          <w:szCs w:val="18"/>
          <w:lang w:val="en-GB"/>
        </w:rPr>
        <w:t>.</w:t>
      </w:r>
      <w:r>
        <w:rPr>
          <w:sz w:val="18"/>
          <w:szCs w:val="18"/>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1"/>
        <w:gridCol w:w="1081"/>
        <w:gridCol w:w="1082"/>
        <w:gridCol w:w="1082"/>
        <w:gridCol w:w="1086"/>
        <w:gridCol w:w="1086"/>
        <w:gridCol w:w="1086"/>
        <w:gridCol w:w="1086"/>
        <w:gridCol w:w="627"/>
      </w:tblGrid>
      <w:tr w:rsidR="00F76607" w14:paraId="3124D635" w14:textId="77777777" w:rsidTr="00F90491">
        <w:tc>
          <w:tcPr>
            <w:tcW w:w="1081" w:type="dxa"/>
            <w:shd w:val="clear" w:color="auto" w:fill="BFBFBF" w:themeFill="background1" w:themeFillShade="BF"/>
          </w:tcPr>
          <w:p w14:paraId="3D207FD3" w14:textId="162152BC" w:rsidR="00F76607" w:rsidRDefault="00850DD8">
            <w:pP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For the Group and the Joint Venture</w:t>
            </w:r>
            <w:r w:rsidR="00D948BD">
              <w:rPr>
                <w:rFonts w:ascii="Times New Roman" w:eastAsia="Times New Roman" w:hAnsi="Times New Roman" w:cs="Times New Roman"/>
                <w:b/>
                <w:bCs/>
                <w:color w:val="FFFFFF" w:themeColor="background1"/>
                <w:sz w:val="18"/>
                <w:szCs w:val="18"/>
                <w:lang w:val="en-US"/>
              </w:rPr>
              <w:t xml:space="preserve"> (at 100%)</w:t>
            </w:r>
          </w:p>
        </w:tc>
        <w:tc>
          <w:tcPr>
            <w:tcW w:w="1081" w:type="dxa"/>
            <w:shd w:val="clear" w:color="auto" w:fill="BFBFBF" w:themeFill="background1" w:themeFillShade="BF"/>
          </w:tcPr>
          <w:p w14:paraId="22D48FCE" w14:textId="77777777" w:rsidR="00F76607" w:rsidRDefault="001863F0">
            <w:pPr>
              <w:pStyle w:val="NormalWeb"/>
              <w:jc w:val="right"/>
              <w:rPr>
                <w:rFonts w:ascii="Times New Roman" w:hAnsi="Times New Roman" w:cs="Times New Roman"/>
                <w:b/>
                <w:bCs/>
                <w:color w:val="FFFFFF" w:themeColor="background1"/>
                <w:sz w:val="18"/>
                <w:szCs w:val="18"/>
                <w:lang w:val="en-US"/>
              </w:rPr>
            </w:pPr>
            <w:r>
              <w:rPr>
                <w:rFonts w:ascii="Times New Roman" w:hAnsi="Times New Roman" w:cs="Times New Roman"/>
                <w:b/>
                <w:bCs/>
                <w:color w:val="FFFFFF" w:themeColor="background1"/>
                <w:sz w:val="18"/>
                <w:szCs w:val="18"/>
                <w:lang w:val="en-US"/>
              </w:rPr>
              <w:t>Germany</w:t>
            </w:r>
          </w:p>
        </w:tc>
        <w:tc>
          <w:tcPr>
            <w:tcW w:w="1082" w:type="dxa"/>
            <w:shd w:val="clear" w:color="auto" w:fill="BFBFBF" w:themeFill="background1" w:themeFillShade="BF"/>
          </w:tcPr>
          <w:p w14:paraId="4F9D969F" w14:textId="77777777" w:rsidR="00F76607" w:rsidRDefault="001863F0">
            <w:pPr>
              <w:pStyle w:val="NormalWeb"/>
              <w:jc w:val="right"/>
              <w:rPr>
                <w:rFonts w:ascii="Times New Roman" w:hAnsi="Times New Roman" w:cs="Times New Roman"/>
                <w:b/>
                <w:bCs/>
                <w:color w:val="FFFFFF" w:themeColor="background1"/>
                <w:sz w:val="18"/>
                <w:szCs w:val="18"/>
                <w:lang w:val="en-US"/>
              </w:rPr>
            </w:pPr>
            <w:r>
              <w:rPr>
                <w:rFonts w:ascii="Times New Roman" w:hAnsi="Times New Roman" w:cs="Times New Roman"/>
                <w:b/>
                <w:bCs/>
                <w:color w:val="FFFFFF" w:themeColor="background1"/>
                <w:sz w:val="18"/>
                <w:szCs w:val="18"/>
                <w:lang w:val="en-US"/>
              </w:rPr>
              <w:t xml:space="preserve">Spain </w:t>
            </w:r>
          </w:p>
        </w:tc>
        <w:tc>
          <w:tcPr>
            <w:tcW w:w="1082" w:type="dxa"/>
            <w:shd w:val="clear" w:color="auto" w:fill="BFBFBF" w:themeFill="background1" w:themeFillShade="BF"/>
          </w:tcPr>
          <w:p w14:paraId="6BA821DC" w14:textId="77777777" w:rsidR="00F76607" w:rsidRDefault="001863F0">
            <w:pPr>
              <w:pStyle w:val="NormalWeb"/>
              <w:jc w:val="right"/>
              <w:rPr>
                <w:rFonts w:ascii="Times New Roman" w:hAnsi="Times New Roman" w:cs="Times New Roman"/>
                <w:b/>
                <w:bCs/>
                <w:color w:val="FFFFFF" w:themeColor="background1"/>
                <w:sz w:val="18"/>
                <w:szCs w:val="18"/>
                <w:lang w:val="en-US"/>
              </w:rPr>
            </w:pPr>
            <w:r>
              <w:rPr>
                <w:rFonts w:ascii="Times New Roman" w:hAnsi="Times New Roman" w:cs="Times New Roman"/>
                <w:b/>
                <w:bCs/>
                <w:color w:val="FFFFFF" w:themeColor="background1"/>
                <w:sz w:val="18"/>
                <w:szCs w:val="18"/>
                <w:lang w:val="en-US"/>
              </w:rPr>
              <w:t>Czech Republic</w:t>
            </w:r>
          </w:p>
        </w:tc>
        <w:tc>
          <w:tcPr>
            <w:tcW w:w="1086" w:type="dxa"/>
            <w:shd w:val="clear" w:color="auto" w:fill="BFBFBF" w:themeFill="background1" w:themeFillShade="BF"/>
          </w:tcPr>
          <w:p w14:paraId="2C27D56E" w14:textId="77777777" w:rsidR="00F76607" w:rsidRDefault="001863F0">
            <w:pPr>
              <w:pStyle w:val="NormalWeb"/>
              <w:jc w:val="right"/>
              <w:rPr>
                <w:rFonts w:ascii="Times New Roman" w:hAnsi="Times New Roman" w:cs="Times New Roman"/>
                <w:b/>
                <w:bCs/>
                <w:color w:val="FFFFFF" w:themeColor="background1"/>
                <w:sz w:val="18"/>
                <w:szCs w:val="18"/>
                <w:lang w:val="en-US"/>
              </w:rPr>
            </w:pPr>
            <w:r>
              <w:rPr>
                <w:rFonts w:ascii="Times New Roman" w:hAnsi="Times New Roman" w:cs="Times New Roman"/>
                <w:b/>
                <w:bCs/>
                <w:color w:val="FFFFFF" w:themeColor="background1"/>
                <w:sz w:val="18"/>
                <w:szCs w:val="18"/>
                <w:lang w:val="en-US"/>
              </w:rPr>
              <w:t>Hungary</w:t>
            </w:r>
          </w:p>
        </w:tc>
        <w:tc>
          <w:tcPr>
            <w:tcW w:w="1086" w:type="dxa"/>
            <w:shd w:val="clear" w:color="auto" w:fill="BFBFBF" w:themeFill="background1" w:themeFillShade="BF"/>
          </w:tcPr>
          <w:p w14:paraId="0F33B501" w14:textId="77777777" w:rsidR="00F76607" w:rsidRDefault="001863F0">
            <w:pPr>
              <w:pStyle w:val="NormalWeb"/>
              <w:jc w:val="right"/>
              <w:rPr>
                <w:rFonts w:ascii="Times New Roman" w:hAnsi="Times New Roman" w:cs="Times New Roman"/>
                <w:b/>
                <w:bCs/>
                <w:color w:val="FFFFFF" w:themeColor="background1"/>
                <w:sz w:val="18"/>
                <w:szCs w:val="18"/>
                <w:lang w:val="en-US"/>
              </w:rPr>
            </w:pPr>
            <w:r>
              <w:rPr>
                <w:rFonts w:ascii="Times New Roman" w:hAnsi="Times New Roman" w:cs="Times New Roman"/>
                <w:b/>
                <w:bCs/>
                <w:color w:val="FFFFFF" w:themeColor="background1"/>
                <w:sz w:val="18"/>
                <w:szCs w:val="18"/>
                <w:lang w:val="en-US"/>
              </w:rPr>
              <w:t>Latvia</w:t>
            </w:r>
          </w:p>
        </w:tc>
        <w:tc>
          <w:tcPr>
            <w:tcW w:w="1086" w:type="dxa"/>
            <w:shd w:val="clear" w:color="auto" w:fill="BFBFBF" w:themeFill="background1" w:themeFillShade="BF"/>
          </w:tcPr>
          <w:p w14:paraId="4DB3AB3F" w14:textId="77777777" w:rsidR="00F76607" w:rsidRDefault="001863F0">
            <w:pPr>
              <w:pStyle w:val="NormalWeb"/>
              <w:jc w:val="right"/>
              <w:rPr>
                <w:rFonts w:ascii="Times New Roman" w:hAnsi="Times New Roman" w:cs="Times New Roman"/>
                <w:b/>
                <w:bCs/>
                <w:color w:val="FFFFFF" w:themeColor="background1"/>
                <w:sz w:val="18"/>
                <w:szCs w:val="18"/>
                <w:lang w:val="en-US"/>
              </w:rPr>
            </w:pPr>
            <w:r>
              <w:rPr>
                <w:rFonts w:ascii="Times New Roman" w:hAnsi="Times New Roman" w:cs="Times New Roman"/>
                <w:b/>
                <w:bCs/>
                <w:color w:val="FFFFFF" w:themeColor="background1"/>
                <w:sz w:val="18"/>
                <w:szCs w:val="18"/>
                <w:lang w:val="en-US"/>
              </w:rPr>
              <w:t>Romania</w:t>
            </w:r>
          </w:p>
        </w:tc>
        <w:tc>
          <w:tcPr>
            <w:tcW w:w="1086" w:type="dxa"/>
            <w:shd w:val="clear" w:color="auto" w:fill="BFBFBF" w:themeFill="background1" w:themeFillShade="BF"/>
          </w:tcPr>
          <w:p w14:paraId="00BD7F76" w14:textId="77777777" w:rsidR="00F76607" w:rsidRDefault="001863F0">
            <w:pPr>
              <w:pStyle w:val="NormalWeb"/>
              <w:jc w:val="right"/>
              <w:rPr>
                <w:rFonts w:ascii="Times New Roman" w:hAnsi="Times New Roman" w:cs="Times New Roman"/>
                <w:b/>
                <w:bCs/>
                <w:color w:val="FFFFFF" w:themeColor="background1"/>
                <w:sz w:val="18"/>
                <w:szCs w:val="18"/>
                <w:lang w:val="en-US"/>
              </w:rPr>
            </w:pPr>
            <w:r>
              <w:rPr>
                <w:rFonts w:ascii="Times New Roman" w:hAnsi="Times New Roman" w:cs="Times New Roman"/>
                <w:b/>
                <w:bCs/>
                <w:color w:val="FFFFFF" w:themeColor="background1"/>
                <w:sz w:val="18"/>
                <w:szCs w:val="18"/>
                <w:lang w:val="en-US"/>
              </w:rPr>
              <w:t>Slovakia</w:t>
            </w:r>
          </w:p>
        </w:tc>
        <w:tc>
          <w:tcPr>
            <w:tcW w:w="627" w:type="dxa"/>
            <w:shd w:val="clear" w:color="auto" w:fill="BFBFBF" w:themeFill="background1" w:themeFillShade="BF"/>
          </w:tcPr>
          <w:p w14:paraId="00CF70BE" w14:textId="77777777" w:rsidR="00F76607" w:rsidRDefault="001863F0">
            <w:pPr>
              <w:pStyle w:val="NormalWeb"/>
              <w:jc w:val="right"/>
              <w:rPr>
                <w:rFonts w:ascii="Times New Roman" w:hAnsi="Times New Roman" w:cs="Times New Roman"/>
                <w:b/>
                <w:bCs/>
                <w:color w:val="FFFFFF" w:themeColor="background1"/>
                <w:sz w:val="18"/>
                <w:szCs w:val="18"/>
                <w:lang w:val="en-US"/>
              </w:rPr>
            </w:pPr>
            <w:r>
              <w:rPr>
                <w:rFonts w:ascii="Times New Roman" w:hAnsi="Times New Roman" w:cs="Times New Roman"/>
                <w:b/>
                <w:bCs/>
                <w:color w:val="FFFFFF" w:themeColor="background1"/>
                <w:sz w:val="18"/>
                <w:szCs w:val="18"/>
                <w:lang w:val="en-US"/>
              </w:rPr>
              <w:t>Total</w:t>
            </w:r>
          </w:p>
        </w:tc>
      </w:tr>
      <w:tr w:rsidR="00F76607" w14:paraId="38A80B42" w14:textId="77777777" w:rsidTr="00F90491">
        <w:tc>
          <w:tcPr>
            <w:tcW w:w="1081" w:type="dxa"/>
            <w:shd w:val="clear" w:color="auto" w:fill="auto"/>
          </w:tcPr>
          <w:p w14:paraId="6D3A8288" w14:textId="77777777" w:rsidR="00F76607" w:rsidRDefault="001863F0">
            <w:pPr>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Occupancy</w:t>
            </w:r>
          </w:p>
          <w:p w14:paraId="78AE93B3" w14:textId="77777777" w:rsidR="00F76607" w:rsidRDefault="001863F0">
            <w:pPr>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(in %)</w:t>
            </w:r>
          </w:p>
        </w:tc>
        <w:tc>
          <w:tcPr>
            <w:tcW w:w="1081" w:type="dxa"/>
          </w:tcPr>
          <w:p w14:paraId="5C653F06"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100</w:t>
            </w:r>
          </w:p>
        </w:tc>
        <w:tc>
          <w:tcPr>
            <w:tcW w:w="1082" w:type="dxa"/>
          </w:tcPr>
          <w:p w14:paraId="332FB2E8"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100</w:t>
            </w:r>
          </w:p>
        </w:tc>
        <w:tc>
          <w:tcPr>
            <w:tcW w:w="1082" w:type="dxa"/>
          </w:tcPr>
          <w:p w14:paraId="47EF2D12"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100</w:t>
            </w:r>
          </w:p>
        </w:tc>
        <w:tc>
          <w:tcPr>
            <w:tcW w:w="1086" w:type="dxa"/>
          </w:tcPr>
          <w:p w14:paraId="3DA0ED9F"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100</w:t>
            </w:r>
          </w:p>
        </w:tc>
        <w:tc>
          <w:tcPr>
            <w:tcW w:w="1086" w:type="dxa"/>
          </w:tcPr>
          <w:p w14:paraId="61C8BDAF" w14:textId="77777777" w:rsidR="00F76607" w:rsidRDefault="001863F0">
            <w:pPr>
              <w:jc w:val="right"/>
              <w:rPr>
                <w:rFonts w:ascii="Times New Roman" w:eastAsia="Times New Roman" w:hAnsi="Times New Roman" w:cs="Times New Roman"/>
                <w:sz w:val="18"/>
                <w:szCs w:val="18"/>
                <w:lang w:val="en-US"/>
              </w:rPr>
            </w:pPr>
            <w:proofErr w:type="spellStart"/>
            <w:r>
              <w:rPr>
                <w:rFonts w:ascii="Times New Roman" w:eastAsia="Times New Roman" w:hAnsi="Times New Roman" w:cs="Times New Roman"/>
                <w:sz w:val="18"/>
                <w:szCs w:val="18"/>
                <w:lang w:val="en-US"/>
              </w:rPr>
              <w:t>n.a</w:t>
            </w:r>
            <w:proofErr w:type="spellEnd"/>
            <w:r>
              <w:rPr>
                <w:rFonts w:ascii="Times New Roman" w:eastAsia="Times New Roman" w:hAnsi="Times New Roman" w:cs="Times New Roman"/>
                <w:sz w:val="18"/>
                <w:szCs w:val="18"/>
                <w:lang w:val="en-US"/>
              </w:rPr>
              <w:t>.</w:t>
            </w:r>
          </w:p>
        </w:tc>
        <w:tc>
          <w:tcPr>
            <w:tcW w:w="1086" w:type="dxa"/>
          </w:tcPr>
          <w:p w14:paraId="6D21C301"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100</w:t>
            </w:r>
          </w:p>
        </w:tc>
        <w:tc>
          <w:tcPr>
            <w:tcW w:w="1086" w:type="dxa"/>
          </w:tcPr>
          <w:p w14:paraId="4342F4CD"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100</w:t>
            </w:r>
          </w:p>
        </w:tc>
        <w:tc>
          <w:tcPr>
            <w:tcW w:w="627" w:type="dxa"/>
          </w:tcPr>
          <w:p w14:paraId="7AB624A0" w14:textId="77777777" w:rsidR="00F76607" w:rsidRDefault="001863F0">
            <w:pPr>
              <w:jc w:val="right"/>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100</w:t>
            </w:r>
          </w:p>
        </w:tc>
      </w:tr>
      <w:tr w:rsidR="00F76607" w14:paraId="76D50796" w14:textId="77777777" w:rsidTr="00F90491">
        <w:tc>
          <w:tcPr>
            <w:tcW w:w="1081" w:type="dxa"/>
            <w:shd w:val="clear" w:color="auto" w:fill="auto"/>
          </w:tcPr>
          <w:p w14:paraId="21C4A3A4" w14:textId="77777777" w:rsidR="00F76607" w:rsidRDefault="001863F0">
            <w:pPr>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Weighted average lease term</w:t>
            </w:r>
          </w:p>
          <w:p w14:paraId="0FC69B0E" w14:textId="77777777" w:rsidR="00F76607" w:rsidRDefault="001863F0">
            <w:pPr>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(in years)</w:t>
            </w:r>
          </w:p>
        </w:tc>
        <w:tc>
          <w:tcPr>
            <w:tcW w:w="1081" w:type="dxa"/>
          </w:tcPr>
          <w:p w14:paraId="51371EB5"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8.8</w:t>
            </w:r>
          </w:p>
        </w:tc>
        <w:tc>
          <w:tcPr>
            <w:tcW w:w="1082" w:type="dxa"/>
          </w:tcPr>
          <w:p w14:paraId="4AA1EF8D"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29.5</w:t>
            </w:r>
            <w:r>
              <w:rPr>
                <w:rStyle w:val="FootnoteReference"/>
                <w:rFonts w:ascii="Times New Roman" w:eastAsia="Times New Roman" w:hAnsi="Times New Roman" w:cs="Times New Roman"/>
                <w:sz w:val="18"/>
                <w:szCs w:val="18"/>
                <w:lang w:val="en-US"/>
              </w:rPr>
              <w:footnoteReference w:id="12"/>
            </w:r>
          </w:p>
        </w:tc>
        <w:tc>
          <w:tcPr>
            <w:tcW w:w="1082" w:type="dxa"/>
          </w:tcPr>
          <w:p w14:paraId="416FE058"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7.8</w:t>
            </w:r>
          </w:p>
        </w:tc>
        <w:tc>
          <w:tcPr>
            <w:tcW w:w="1086" w:type="dxa"/>
          </w:tcPr>
          <w:p w14:paraId="7BFE6DED"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7.3</w:t>
            </w:r>
          </w:p>
        </w:tc>
        <w:tc>
          <w:tcPr>
            <w:tcW w:w="1086" w:type="dxa"/>
          </w:tcPr>
          <w:p w14:paraId="6ACC14C1" w14:textId="77777777" w:rsidR="00F76607" w:rsidRDefault="001863F0">
            <w:pPr>
              <w:jc w:val="right"/>
              <w:rPr>
                <w:rFonts w:ascii="Times New Roman" w:eastAsia="Times New Roman" w:hAnsi="Times New Roman" w:cs="Times New Roman"/>
                <w:sz w:val="18"/>
                <w:szCs w:val="18"/>
                <w:lang w:val="en-US"/>
              </w:rPr>
            </w:pPr>
            <w:proofErr w:type="spellStart"/>
            <w:r>
              <w:rPr>
                <w:rFonts w:ascii="Times New Roman" w:eastAsia="Times New Roman" w:hAnsi="Times New Roman" w:cs="Times New Roman"/>
                <w:sz w:val="18"/>
                <w:szCs w:val="18"/>
                <w:lang w:val="en-US"/>
              </w:rPr>
              <w:t>n.a</w:t>
            </w:r>
            <w:proofErr w:type="spellEnd"/>
            <w:r>
              <w:rPr>
                <w:rFonts w:ascii="Times New Roman" w:eastAsia="Times New Roman" w:hAnsi="Times New Roman" w:cs="Times New Roman"/>
                <w:sz w:val="18"/>
                <w:szCs w:val="18"/>
                <w:lang w:val="en-US"/>
              </w:rPr>
              <w:t>.</w:t>
            </w:r>
          </w:p>
        </w:tc>
        <w:tc>
          <w:tcPr>
            <w:tcW w:w="1086" w:type="dxa"/>
          </w:tcPr>
          <w:p w14:paraId="32453377"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2.9</w:t>
            </w:r>
          </w:p>
        </w:tc>
        <w:tc>
          <w:tcPr>
            <w:tcW w:w="1086" w:type="dxa"/>
          </w:tcPr>
          <w:p w14:paraId="23D41FBE"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6.4</w:t>
            </w:r>
          </w:p>
        </w:tc>
        <w:tc>
          <w:tcPr>
            <w:tcW w:w="627" w:type="dxa"/>
          </w:tcPr>
          <w:p w14:paraId="1BD288C1" w14:textId="77777777" w:rsidR="00F76607" w:rsidRDefault="001863F0">
            <w:pPr>
              <w:jc w:val="right"/>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10.2</w:t>
            </w:r>
          </w:p>
        </w:tc>
      </w:tr>
    </w:tbl>
    <w:p w14:paraId="6590FD86" w14:textId="77777777" w:rsidR="00F76607" w:rsidRDefault="00F76607" w:rsidP="00F90491">
      <w:pPr>
        <w:pStyle w:val="NormalWeb"/>
        <w:rPr>
          <w:sz w:val="18"/>
          <w:szCs w:val="18"/>
          <w:lang w:val="en-GB"/>
        </w:rPr>
      </w:pPr>
    </w:p>
    <w:p w14:paraId="065AFD96" w14:textId="372CF615" w:rsidR="00F76607" w:rsidRDefault="001863F0">
      <w:pPr>
        <w:pStyle w:val="NormalWeb"/>
        <w:ind w:firstLine="857"/>
        <w:rPr>
          <w:sz w:val="18"/>
          <w:szCs w:val="18"/>
          <w:lang w:val="en-GB"/>
        </w:rPr>
      </w:pPr>
      <w:r>
        <w:rPr>
          <w:sz w:val="18"/>
          <w:szCs w:val="18"/>
          <w:lang w:val="en-GB"/>
        </w:rPr>
        <w:t>Based on a valuation by Jones Lang LaSalle</w:t>
      </w:r>
      <w:r w:rsidR="00AF7864">
        <w:rPr>
          <w:sz w:val="18"/>
          <w:szCs w:val="18"/>
          <w:lang w:val="en-GB"/>
        </w:rPr>
        <w:t>,</w:t>
      </w:r>
      <w:r>
        <w:rPr>
          <w:sz w:val="18"/>
          <w:szCs w:val="18"/>
          <w:lang w:val="en-GB"/>
        </w:rPr>
        <w:t xml:space="preserve"> as of 30 June 2017, the Group’s property portfolio (including the own</w:t>
      </w:r>
      <w:r w:rsidR="00850DD8">
        <w:rPr>
          <w:sz w:val="18"/>
          <w:szCs w:val="18"/>
          <w:lang w:val="en-GB"/>
        </w:rPr>
        <w:t xml:space="preserve"> property portfolio</w:t>
      </w:r>
      <w:r>
        <w:rPr>
          <w:sz w:val="18"/>
          <w:szCs w:val="18"/>
          <w:lang w:val="en-GB"/>
        </w:rPr>
        <w:t xml:space="preserve"> and the Joint Venture property portfolio</w:t>
      </w:r>
      <w:r w:rsidR="00850DD8">
        <w:rPr>
          <w:sz w:val="18"/>
          <w:szCs w:val="18"/>
          <w:lang w:val="en-GB"/>
        </w:rPr>
        <w:t xml:space="preserve"> </w:t>
      </w:r>
      <w:r w:rsidR="00D5229D" w:rsidRPr="00D5229D">
        <w:rPr>
          <w:sz w:val="18"/>
          <w:szCs w:val="18"/>
          <w:lang w:val="en-GB"/>
        </w:rPr>
        <w:t>(at 100%)</w:t>
      </w:r>
      <w:r w:rsidRPr="00D5229D">
        <w:rPr>
          <w:sz w:val="18"/>
          <w:szCs w:val="18"/>
          <w:lang w:val="en-GB"/>
        </w:rPr>
        <w:t>)</w:t>
      </w:r>
      <w:r>
        <w:rPr>
          <w:sz w:val="18"/>
          <w:szCs w:val="18"/>
          <w:lang w:val="en-GB"/>
        </w:rPr>
        <w:t xml:space="preserve"> had a gross asset value of (rounded) € 1.4 billion (€ 550 million (rounded) for the own portfolio and € 844 million (rounded) for the JV portfolio), with a completed gross lettable area of 1.2 million m², 0.5 million m² gross lettable area under construction and 1.2 million</w:t>
      </w:r>
      <w:r w:rsidR="00A71D2D">
        <w:rPr>
          <w:sz w:val="18"/>
          <w:szCs w:val="18"/>
          <w:lang w:val="en-GB"/>
        </w:rPr>
        <w:t xml:space="preserve"> m²</w:t>
      </w:r>
      <w:r>
        <w:rPr>
          <w:sz w:val="18"/>
          <w:szCs w:val="18"/>
          <w:lang w:val="en-GB"/>
        </w:rPr>
        <w:t xml:space="preserve"> gross lettable area of remaining potential. The Group’s property portfolio, including the own and Joint Venture property portfolios, both had an occupancy rate of 100.0% at the end of June 2017. </w:t>
      </w:r>
    </w:p>
    <w:p w14:paraId="6BBF194A" w14:textId="1346E939" w:rsidR="00F76607" w:rsidRDefault="00A40882">
      <w:pPr>
        <w:pStyle w:val="NormalWeb"/>
        <w:ind w:firstLine="857"/>
        <w:rPr>
          <w:b/>
          <w:bCs/>
          <w:i/>
          <w:sz w:val="18"/>
          <w:szCs w:val="18"/>
          <w:lang w:val="en-GB"/>
        </w:rPr>
      </w:pPr>
      <w:r>
        <w:rPr>
          <w:b/>
          <w:bCs/>
          <w:i/>
          <w:sz w:val="18"/>
          <w:szCs w:val="18"/>
          <w:lang w:val="en-GB"/>
        </w:rPr>
        <w:t>Group’s o</w:t>
      </w:r>
      <w:r w:rsidR="001863F0">
        <w:rPr>
          <w:b/>
          <w:bCs/>
          <w:i/>
          <w:sz w:val="18"/>
          <w:szCs w:val="18"/>
          <w:lang w:val="en-GB"/>
        </w:rPr>
        <w:t>wn portfolio</w:t>
      </w:r>
    </w:p>
    <w:p w14:paraId="1D3A15C2" w14:textId="1A389C2B" w:rsidR="00F76607" w:rsidRDefault="001863F0">
      <w:pPr>
        <w:pStyle w:val="NormalWeb"/>
        <w:spacing w:before="240" w:after="0"/>
        <w:ind w:firstLine="857"/>
        <w:rPr>
          <w:sz w:val="18"/>
          <w:szCs w:val="18"/>
          <w:lang w:val="en-GB"/>
        </w:rPr>
      </w:pPr>
      <w:r>
        <w:rPr>
          <w:sz w:val="18"/>
          <w:szCs w:val="18"/>
          <w:lang w:val="en-GB"/>
        </w:rPr>
        <w:t>As of 30 June 2017, the Group's own investment property portfolio consisted of 13 completed buildings, representing 353,08</w:t>
      </w:r>
      <w:r w:rsidR="00D3576A">
        <w:rPr>
          <w:sz w:val="18"/>
          <w:szCs w:val="18"/>
          <w:lang w:val="en-GB"/>
        </w:rPr>
        <w:t>8</w:t>
      </w:r>
      <w:r>
        <w:rPr>
          <w:sz w:val="18"/>
          <w:szCs w:val="18"/>
          <w:lang w:val="en-GB"/>
        </w:rPr>
        <w:t xml:space="preserve"> m² of lettable area</w:t>
      </w:r>
      <w:r w:rsidR="00A40882">
        <w:rPr>
          <w:sz w:val="18"/>
          <w:szCs w:val="18"/>
          <w:lang w:val="en-GB"/>
        </w:rPr>
        <w:t xml:space="preserve"> </w:t>
      </w:r>
      <w:r>
        <w:rPr>
          <w:sz w:val="18"/>
          <w:szCs w:val="18"/>
          <w:lang w:val="en-GB"/>
        </w:rPr>
        <w:t xml:space="preserve">16 buildings were under construction, i.e. in the Czech Republic: 3 buildings in VGP Park Olomouc, 4 buildings in VGP Park </w:t>
      </w:r>
      <w:proofErr w:type="spellStart"/>
      <w:r>
        <w:rPr>
          <w:sz w:val="18"/>
          <w:szCs w:val="18"/>
          <w:lang w:val="en-GB"/>
        </w:rPr>
        <w:t>Jenec</w:t>
      </w:r>
      <w:proofErr w:type="spellEnd"/>
      <w:r>
        <w:rPr>
          <w:sz w:val="18"/>
          <w:szCs w:val="18"/>
          <w:lang w:val="en-GB"/>
        </w:rPr>
        <w:t xml:space="preserve"> and 1 building in VGP Park </w:t>
      </w:r>
      <w:proofErr w:type="spellStart"/>
      <w:r>
        <w:rPr>
          <w:sz w:val="18"/>
          <w:szCs w:val="18"/>
          <w:lang w:val="en-GB"/>
        </w:rPr>
        <w:t>Chomutov</w:t>
      </w:r>
      <w:proofErr w:type="spellEnd"/>
      <w:r>
        <w:rPr>
          <w:sz w:val="18"/>
          <w:szCs w:val="18"/>
          <w:lang w:val="en-GB"/>
        </w:rPr>
        <w:t xml:space="preserve">. In Germany: 3 buildings in VGP Park Berlin, 1 building in VGP Park </w:t>
      </w:r>
      <w:proofErr w:type="spellStart"/>
      <w:r>
        <w:rPr>
          <w:sz w:val="18"/>
          <w:szCs w:val="18"/>
          <w:lang w:val="en-GB"/>
        </w:rPr>
        <w:t>Ginsheim</w:t>
      </w:r>
      <w:proofErr w:type="spellEnd"/>
      <w:r>
        <w:rPr>
          <w:sz w:val="18"/>
          <w:szCs w:val="18"/>
          <w:lang w:val="en-GB"/>
        </w:rPr>
        <w:t xml:space="preserve"> and 1 building in VGP Park </w:t>
      </w:r>
      <w:proofErr w:type="spellStart"/>
      <w:r>
        <w:rPr>
          <w:sz w:val="18"/>
          <w:szCs w:val="18"/>
          <w:lang w:val="en-GB"/>
        </w:rPr>
        <w:t>Wetzlar</w:t>
      </w:r>
      <w:proofErr w:type="spellEnd"/>
      <w:r>
        <w:rPr>
          <w:sz w:val="18"/>
          <w:szCs w:val="18"/>
          <w:lang w:val="en-GB"/>
        </w:rPr>
        <w:t xml:space="preserve">. In other countries: 1 building VGP Park San Fernando de Henares (Spain), 1 building in VGP Park </w:t>
      </w:r>
      <w:proofErr w:type="spellStart"/>
      <w:r>
        <w:rPr>
          <w:sz w:val="18"/>
          <w:szCs w:val="18"/>
          <w:lang w:val="en-GB"/>
        </w:rPr>
        <w:t>Nehatu</w:t>
      </w:r>
      <w:proofErr w:type="spellEnd"/>
      <w:r>
        <w:rPr>
          <w:sz w:val="18"/>
          <w:szCs w:val="18"/>
          <w:lang w:val="en-GB"/>
        </w:rPr>
        <w:t xml:space="preserve"> (Estonia) (held for sale</w:t>
      </w:r>
      <w:r w:rsidR="00850DD8">
        <w:rPr>
          <w:sz w:val="18"/>
          <w:szCs w:val="18"/>
          <w:lang w:val="en-GB"/>
        </w:rPr>
        <w:t xml:space="preserve"> as at 30 June 2017</w:t>
      </w:r>
      <w:r>
        <w:rPr>
          <w:sz w:val="18"/>
          <w:szCs w:val="18"/>
          <w:lang w:val="en-GB"/>
        </w:rPr>
        <w:t xml:space="preserve">) and 1 building in VGP Park </w:t>
      </w:r>
      <w:proofErr w:type="spellStart"/>
      <w:r>
        <w:rPr>
          <w:sz w:val="18"/>
          <w:szCs w:val="18"/>
          <w:lang w:val="en-GB"/>
        </w:rPr>
        <w:t>Kekava</w:t>
      </w:r>
      <w:proofErr w:type="spellEnd"/>
      <w:r>
        <w:rPr>
          <w:sz w:val="18"/>
          <w:szCs w:val="18"/>
          <w:lang w:val="en-GB"/>
        </w:rPr>
        <w:t xml:space="preserve"> (Latvia). </w:t>
      </w:r>
    </w:p>
    <w:p w14:paraId="58618047" w14:textId="18B653D3" w:rsidR="00F76607" w:rsidRDefault="001863F0" w:rsidP="00850DD8">
      <w:pPr>
        <w:pStyle w:val="NormalWeb"/>
        <w:spacing w:before="240"/>
        <w:ind w:firstLine="857"/>
        <w:rPr>
          <w:sz w:val="18"/>
          <w:szCs w:val="18"/>
          <w:lang w:val="en-GB"/>
        </w:rPr>
      </w:pPr>
      <w:r>
        <w:rPr>
          <w:sz w:val="18"/>
          <w:szCs w:val="18"/>
          <w:lang w:val="en-GB"/>
        </w:rPr>
        <w:t xml:space="preserve">The new buildings under construction (on which 65% pre-leases were already signed as at </w:t>
      </w:r>
      <w:r w:rsidR="00F65890">
        <w:rPr>
          <w:sz w:val="18"/>
          <w:szCs w:val="18"/>
          <w:lang w:val="en-GB"/>
        </w:rPr>
        <w:t>30 June 2017</w:t>
      </w:r>
      <w:r>
        <w:rPr>
          <w:sz w:val="18"/>
          <w:szCs w:val="18"/>
          <w:lang w:val="en-GB"/>
        </w:rPr>
        <w:t>), represent a total future lettable area of 328,033 m² which corresponds to an estimated annualised rent income of € 13.1 million (assuming full occupancy and current market conditions).</w:t>
      </w:r>
    </w:p>
    <w:tbl>
      <w:tblPr>
        <w:tblW w:w="9244" w:type="dxa"/>
        <w:tblInd w:w="-30" w:type="dxa"/>
        <w:tblLayout w:type="fixed"/>
        <w:tblLook w:val="0000" w:firstRow="0" w:lastRow="0" w:firstColumn="0" w:lastColumn="0" w:noHBand="0" w:noVBand="0"/>
      </w:tblPr>
      <w:tblGrid>
        <w:gridCol w:w="1873"/>
        <w:gridCol w:w="709"/>
        <w:gridCol w:w="1134"/>
        <w:gridCol w:w="1134"/>
        <w:gridCol w:w="1134"/>
        <w:gridCol w:w="1134"/>
        <w:gridCol w:w="1134"/>
        <w:gridCol w:w="992"/>
      </w:tblGrid>
      <w:tr w:rsidR="00F76607" w14:paraId="33A5CB8B" w14:textId="77777777">
        <w:trPr>
          <w:trHeight w:val="247"/>
        </w:trPr>
        <w:tc>
          <w:tcPr>
            <w:tcW w:w="1873" w:type="dxa"/>
            <w:tcBorders>
              <w:top w:val="nil"/>
              <w:left w:val="nil"/>
              <w:bottom w:val="nil"/>
              <w:right w:val="nil"/>
            </w:tcBorders>
            <w:shd w:val="solid" w:color="969696" w:fill="auto"/>
          </w:tcPr>
          <w:p w14:paraId="2F83049A" w14:textId="77777777" w:rsidR="00F76607" w:rsidRDefault="00F76607">
            <w:pPr>
              <w:keepNext/>
              <w:autoSpaceDE w:val="0"/>
              <w:autoSpaceDN w:val="0"/>
              <w:adjustRightInd w:val="0"/>
              <w:jc w:val="right"/>
              <w:rPr>
                <w:rFonts w:eastAsiaTheme="minorHAnsi"/>
                <w:b/>
                <w:bCs/>
                <w:color w:val="FFFFFF" w:themeColor="background1"/>
                <w:sz w:val="18"/>
                <w:szCs w:val="18"/>
                <w:lang w:val="en-GB"/>
              </w:rPr>
            </w:pPr>
          </w:p>
        </w:tc>
        <w:tc>
          <w:tcPr>
            <w:tcW w:w="709" w:type="dxa"/>
            <w:tcBorders>
              <w:top w:val="nil"/>
              <w:left w:val="single" w:sz="6" w:space="0" w:color="FFFFFF"/>
              <w:bottom w:val="nil"/>
              <w:right w:val="single" w:sz="6" w:space="0" w:color="FFFFFF"/>
            </w:tcBorders>
            <w:shd w:val="solid" w:color="969696" w:fill="auto"/>
          </w:tcPr>
          <w:p w14:paraId="5054557F" w14:textId="77777777" w:rsidR="00F76607" w:rsidRDefault="00F76607">
            <w:pPr>
              <w:keepNext/>
              <w:autoSpaceDE w:val="0"/>
              <w:autoSpaceDN w:val="0"/>
              <w:adjustRightInd w:val="0"/>
              <w:jc w:val="center"/>
              <w:rPr>
                <w:rFonts w:eastAsiaTheme="minorHAnsi"/>
                <w:b/>
                <w:bCs/>
                <w:color w:val="FFFFFF" w:themeColor="background1"/>
                <w:sz w:val="18"/>
                <w:szCs w:val="18"/>
              </w:rPr>
            </w:pPr>
          </w:p>
        </w:tc>
        <w:tc>
          <w:tcPr>
            <w:tcW w:w="1134" w:type="dxa"/>
            <w:tcBorders>
              <w:top w:val="nil"/>
              <w:left w:val="single" w:sz="6" w:space="0" w:color="FFFFFF"/>
              <w:bottom w:val="nil"/>
              <w:right w:val="single" w:sz="6" w:space="0" w:color="FFFFFF"/>
            </w:tcBorders>
            <w:shd w:val="solid" w:color="969696" w:fill="auto"/>
          </w:tcPr>
          <w:p w14:paraId="4E60C2E6" w14:textId="77777777" w:rsidR="00F76607" w:rsidRDefault="00F76607">
            <w:pPr>
              <w:keepNext/>
              <w:autoSpaceDE w:val="0"/>
              <w:autoSpaceDN w:val="0"/>
              <w:adjustRightInd w:val="0"/>
              <w:jc w:val="right"/>
              <w:rPr>
                <w:rFonts w:eastAsiaTheme="minorHAnsi"/>
                <w:b/>
                <w:bCs/>
                <w:color w:val="FFFFFF" w:themeColor="background1"/>
                <w:sz w:val="18"/>
                <w:szCs w:val="18"/>
              </w:rPr>
            </w:pPr>
          </w:p>
        </w:tc>
        <w:tc>
          <w:tcPr>
            <w:tcW w:w="2268" w:type="dxa"/>
            <w:gridSpan w:val="2"/>
            <w:tcBorders>
              <w:top w:val="nil"/>
              <w:left w:val="single" w:sz="6" w:space="0" w:color="FFFFFF"/>
              <w:bottom w:val="single" w:sz="6" w:space="0" w:color="FFFFFF"/>
              <w:right w:val="nil"/>
            </w:tcBorders>
            <w:shd w:val="solid" w:color="969696" w:fill="auto"/>
          </w:tcPr>
          <w:p w14:paraId="7121E29E" w14:textId="77777777" w:rsidR="00F76607" w:rsidRDefault="001863F0">
            <w:pPr>
              <w:keepNext/>
              <w:autoSpaceDE w:val="0"/>
              <w:autoSpaceDN w:val="0"/>
              <w:adjustRightInd w:val="0"/>
              <w:jc w:val="center"/>
              <w:rPr>
                <w:rFonts w:eastAsiaTheme="minorHAnsi"/>
                <w:b/>
                <w:bCs/>
                <w:color w:val="FFFFFF" w:themeColor="background1"/>
                <w:sz w:val="18"/>
                <w:szCs w:val="18"/>
              </w:rPr>
            </w:pPr>
            <w:r>
              <w:rPr>
                <w:rFonts w:eastAsiaTheme="minorHAnsi"/>
                <w:b/>
                <w:bCs/>
                <w:color w:val="FFFFFF" w:themeColor="background1"/>
                <w:sz w:val="18"/>
                <w:szCs w:val="18"/>
              </w:rPr>
              <w:t>LETTABLE AREA (m²)</w:t>
            </w:r>
          </w:p>
        </w:tc>
        <w:tc>
          <w:tcPr>
            <w:tcW w:w="1134" w:type="dxa"/>
            <w:tcBorders>
              <w:top w:val="nil"/>
              <w:left w:val="nil"/>
              <w:bottom w:val="single" w:sz="6" w:space="0" w:color="FFFFFF"/>
              <w:right w:val="nil"/>
            </w:tcBorders>
            <w:shd w:val="solid" w:color="969696" w:fill="auto"/>
          </w:tcPr>
          <w:p w14:paraId="3BFFCB46" w14:textId="77777777" w:rsidR="00F76607" w:rsidRDefault="00F76607">
            <w:pPr>
              <w:keepNext/>
              <w:autoSpaceDE w:val="0"/>
              <w:autoSpaceDN w:val="0"/>
              <w:adjustRightInd w:val="0"/>
              <w:jc w:val="center"/>
              <w:rPr>
                <w:rFonts w:eastAsiaTheme="minorHAnsi"/>
                <w:b/>
                <w:bCs/>
                <w:color w:val="FFFFFF" w:themeColor="background1"/>
                <w:sz w:val="18"/>
                <w:szCs w:val="18"/>
              </w:rPr>
            </w:pPr>
          </w:p>
        </w:tc>
        <w:tc>
          <w:tcPr>
            <w:tcW w:w="1134" w:type="dxa"/>
            <w:tcBorders>
              <w:top w:val="nil"/>
              <w:left w:val="nil"/>
              <w:bottom w:val="single" w:sz="6" w:space="0" w:color="FFFFFF"/>
              <w:right w:val="single" w:sz="6" w:space="0" w:color="FFFFFF"/>
            </w:tcBorders>
            <w:shd w:val="solid" w:color="969696" w:fill="auto"/>
          </w:tcPr>
          <w:p w14:paraId="5F260A47" w14:textId="77777777" w:rsidR="00F76607" w:rsidRDefault="00F76607">
            <w:pPr>
              <w:keepNext/>
              <w:autoSpaceDE w:val="0"/>
              <w:autoSpaceDN w:val="0"/>
              <w:adjustRightInd w:val="0"/>
              <w:jc w:val="center"/>
              <w:rPr>
                <w:rFonts w:eastAsiaTheme="minorHAnsi"/>
                <w:b/>
                <w:bCs/>
                <w:color w:val="FFFFFF" w:themeColor="background1"/>
                <w:sz w:val="18"/>
                <w:szCs w:val="18"/>
              </w:rPr>
            </w:pPr>
          </w:p>
        </w:tc>
        <w:tc>
          <w:tcPr>
            <w:tcW w:w="992" w:type="dxa"/>
            <w:tcBorders>
              <w:top w:val="nil"/>
              <w:left w:val="single" w:sz="6" w:space="0" w:color="FFFFFF"/>
              <w:bottom w:val="nil"/>
              <w:right w:val="single" w:sz="6" w:space="0" w:color="FFFFFF"/>
            </w:tcBorders>
            <w:shd w:val="solid" w:color="969696" w:fill="auto"/>
          </w:tcPr>
          <w:p w14:paraId="51653B6E" w14:textId="77777777" w:rsidR="00F76607" w:rsidRDefault="00F76607">
            <w:pPr>
              <w:keepNext/>
              <w:autoSpaceDE w:val="0"/>
              <w:autoSpaceDN w:val="0"/>
              <w:adjustRightInd w:val="0"/>
              <w:jc w:val="right"/>
              <w:rPr>
                <w:rFonts w:eastAsiaTheme="minorHAnsi"/>
                <w:b/>
                <w:bCs/>
                <w:color w:val="FFFFFF" w:themeColor="background1"/>
                <w:sz w:val="18"/>
                <w:szCs w:val="18"/>
              </w:rPr>
            </w:pPr>
          </w:p>
        </w:tc>
      </w:tr>
      <w:tr w:rsidR="00F76607" w14:paraId="70B0F8D3" w14:textId="77777777">
        <w:trPr>
          <w:trHeight w:val="494"/>
        </w:trPr>
        <w:tc>
          <w:tcPr>
            <w:tcW w:w="1873" w:type="dxa"/>
            <w:tcBorders>
              <w:top w:val="nil"/>
              <w:left w:val="nil"/>
              <w:bottom w:val="nil"/>
              <w:right w:val="nil"/>
            </w:tcBorders>
            <w:shd w:val="solid" w:color="969696" w:fill="auto"/>
          </w:tcPr>
          <w:p w14:paraId="7A7E7280" w14:textId="77777777" w:rsidR="00F76607" w:rsidRDefault="001863F0">
            <w:pPr>
              <w:keepNext/>
              <w:autoSpaceDE w:val="0"/>
              <w:autoSpaceDN w:val="0"/>
              <w:adjustRightInd w:val="0"/>
              <w:rPr>
                <w:rFonts w:eastAsiaTheme="minorHAnsi"/>
                <w:b/>
                <w:bCs/>
                <w:color w:val="FFFFFF" w:themeColor="background1"/>
                <w:sz w:val="16"/>
                <w:szCs w:val="16"/>
              </w:rPr>
            </w:pPr>
            <w:r>
              <w:rPr>
                <w:rFonts w:eastAsiaTheme="minorHAnsi"/>
                <w:b/>
                <w:bCs/>
                <w:color w:val="FFFFFF" w:themeColor="background1"/>
                <w:sz w:val="16"/>
                <w:szCs w:val="16"/>
              </w:rPr>
              <w:t>VGP PARK</w:t>
            </w:r>
            <w:r>
              <w:rPr>
                <w:rStyle w:val="FootnoteReference"/>
                <w:rFonts w:eastAsiaTheme="minorHAnsi"/>
                <w:b/>
                <w:bCs/>
                <w:color w:val="FFFFFF" w:themeColor="background1"/>
                <w:sz w:val="16"/>
                <w:szCs w:val="16"/>
              </w:rPr>
              <w:footnoteReference w:id="13"/>
            </w:r>
          </w:p>
        </w:tc>
        <w:tc>
          <w:tcPr>
            <w:tcW w:w="709" w:type="dxa"/>
            <w:tcBorders>
              <w:top w:val="nil"/>
              <w:left w:val="single" w:sz="6" w:space="0" w:color="FFFFFF"/>
              <w:bottom w:val="nil"/>
              <w:right w:val="single" w:sz="6" w:space="0" w:color="FFFFFF"/>
            </w:tcBorders>
            <w:shd w:val="solid" w:color="969696" w:fill="auto"/>
          </w:tcPr>
          <w:p w14:paraId="5FFBA4FD" w14:textId="77777777" w:rsidR="00F76607" w:rsidRDefault="001863F0">
            <w:pPr>
              <w:keepNext/>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Owner</w:t>
            </w:r>
          </w:p>
        </w:tc>
        <w:tc>
          <w:tcPr>
            <w:tcW w:w="1134" w:type="dxa"/>
            <w:tcBorders>
              <w:top w:val="nil"/>
              <w:left w:val="single" w:sz="6" w:space="0" w:color="FFFFFF"/>
              <w:bottom w:val="nil"/>
              <w:right w:val="single" w:sz="6" w:space="0" w:color="FFFFFF"/>
            </w:tcBorders>
            <w:shd w:val="solid" w:color="969696" w:fill="auto"/>
          </w:tcPr>
          <w:p w14:paraId="53F56DED" w14:textId="77777777" w:rsidR="00F76607" w:rsidRDefault="001863F0">
            <w:pPr>
              <w:keepNext/>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 xml:space="preserve">Land area </w:t>
            </w:r>
          </w:p>
          <w:p w14:paraId="09870C25" w14:textId="77777777" w:rsidR="00F76607" w:rsidRDefault="001863F0">
            <w:pPr>
              <w:keepNext/>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in m²</w:t>
            </w:r>
          </w:p>
        </w:tc>
        <w:tc>
          <w:tcPr>
            <w:tcW w:w="1134" w:type="dxa"/>
            <w:tcBorders>
              <w:top w:val="single" w:sz="6" w:space="0" w:color="FFFFFF"/>
              <w:left w:val="single" w:sz="6" w:space="0" w:color="FFFFFF"/>
              <w:bottom w:val="nil"/>
              <w:right w:val="single" w:sz="6" w:space="0" w:color="FFFFFF"/>
            </w:tcBorders>
            <w:shd w:val="solid" w:color="969696" w:fill="auto"/>
          </w:tcPr>
          <w:p w14:paraId="1CE9A243" w14:textId="77777777" w:rsidR="00F76607" w:rsidRDefault="001863F0">
            <w:pPr>
              <w:keepNext/>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Completed</w:t>
            </w:r>
          </w:p>
          <w:p w14:paraId="4A02AE5E" w14:textId="77777777" w:rsidR="00F76607" w:rsidRDefault="001863F0">
            <w:pPr>
              <w:keepNext/>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in m²</w:t>
            </w:r>
          </w:p>
        </w:tc>
        <w:tc>
          <w:tcPr>
            <w:tcW w:w="1134" w:type="dxa"/>
            <w:tcBorders>
              <w:top w:val="single" w:sz="6" w:space="0" w:color="FFFFFF"/>
              <w:left w:val="single" w:sz="6" w:space="0" w:color="FFFFFF"/>
              <w:bottom w:val="nil"/>
              <w:right w:val="single" w:sz="6" w:space="0" w:color="FFFFFF"/>
            </w:tcBorders>
            <w:shd w:val="solid" w:color="969696" w:fill="auto"/>
          </w:tcPr>
          <w:p w14:paraId="63E837AB" w14:textId="77777777" w:rsidR="00F76607" w:rsidRDefault="001863F0">
            <w:pPr>
              <w:keepNext/>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Under Construction</w:t>
            </w:r>
          </w:p>
          <w:p w14:paraId="5EAC8E0F" w14:textId="77777777" w:rsidR="00F76607" w:rsidRDefault="001863F0">
            <w:pPr>
              <w:keepNext/>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in m²</w:t>
            </w:r>
          </w:p>
        </w:tc>
        <w:tc>
          <w:tcPr>
            <w:tcW w:w="1134" w:type="dxa"/>
            <w:tcBorders>
              <w:top w:val="single" w:sz="6" w:space="0" w:color="FFFFFF"/>
              <w:left w:val="single" w:sz="6" w:space="0" w:color="FFFFFF"/>
              <w:bottom w:val="nil"/>
              <w:right w:val="single" w:sz="6" w:space="0" w:color="FFFFFF"/>
            </w:tcBorders>
            <w:shd w:val="solid" w:color="969696" w:fill="auto"/>
          </w:tcPr>
          <w:p w14:paraId="1CD2C7B8" w14:textId="77777777" w:rsidR="00F76607" w:rsidRDefault="001863F0">
            <w:pPr>
              <w:keepNext/>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Potential</w:t>
            </w:r>
          </w:p>
          <w:p w14:paraId="5D449165" w14:textId="77777777" w:rsidR="00F76607" w:rsidRDefault="001863F0">
            <w:pPr>
              <w:keepNext/>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in m²</w:t>
            </w:r>
          </w:p>
        </w:tc>
        <w:tc>
          <w:tcPr>
            <w:tcW w:w="1134" w:type="dxa"/>
            <w:tcBorders>
              <w:top w:val="single" w:sz="6" w:space="0" w:color="FFFFFF"/>
              <w:left w:val="single" w:sz="6" w:space="0" w:color="FFFFFF"/>
              <w:bottom w:val="nil"/>
              <w:right w:val="nil"/>
            </w:tcBorders>
            <w:shd w:val="solid" w:color="969696" w:fill="auto"/>
          </w:tcPr>
          <w:p w14:paraId="2A8AA855" w14:textId="77777777" w:rsidR="00F76607" w:rsidRDefault="001863F0">
            <w:pPr>
              <w:keepNext/>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Total</w:t>
            </w:r>
          </w:p>
          <w:p w14:paraId="24689A26" w14:textId="77777777" w:rsidR="00F76607" w:rsidRDefault="001863F0">
            <w:pPr>
              <w:keepNext/>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in m²</w:t>
            </w:r>
          </w:p>
        </w:tc>
        <w:tc>
          <w:tcPr>
            <w:tcW w:w="992" w:type="dxa"/>
            <w:tcBorders>
              <w:top w:val="single" w:sz="6" w:space="0" w:color="FFFFFF"/>
              <w:left w:val="single" w:sz="6" w:space="0" w:color="FFFFFF"/>
              <w:bottom w:val="nil"/>
              <w:right w:val="nil"/>
            </w:tcBorders>
            <w:shd w:val="solid" w:color="969696" w:fill="auto"/>
          </w:tcPr>
          <w:p w14:paraId="5BEE7267" w14:textId="1D79544B" w:rsidR="00F76607" w:rsidRDefault="000078A9">
            <w:pPr>
              <w:keepNext/>
              <w:autoSpaceDE w:val="0"/>
              <w:autoSpaceDN w:val="0"/>
              <w:adjustRightInd w:val="0"/>
              <w:jc w:val="center"/>
              <w:rPr>
                <w:rFonts w:eastAsiaTheme="minorHAnsi"/>
                <w:b/>
                <w:bCs/>
                <w:color w:val="FFFFFF" w:themeColor="background1"/>
                <w:sz w:val="16"/>
                <w:szCs w:val="16"/>
              </w:rPr>
            </w:pPr>
            <w:proofErr w:type="spellStart"/>
            <w:r>
              <w:rPr>
                <w:rFonts w:eastAsiaTheme="minorHAnsi"/>
                <w:b/>
                <w:bCs/>
                <w:color w:val="FFFFFF" w:themeColor="background1"/>
                <w:sz w:val="16"/>
                <w:szCs w:val="16"/>
              </w:rPr>
              <w:t>Annualised</w:t>
            </w:r>
            <w:proofErr w:type="spellEnd"/>
            <w:r>
              <w:rPr>
                <w:rFonts w:eastAsiaTheme="minorHAnsi"/>
                <w:b/>
                <w:bCs/>
                <w:color w:val="FFFFFF" w:themeColor="background1"/>
                <w:sz w:val="16"/>
                <w:szCs w:val="16"/>
              </w:rPr>
              <w:t xml:space="preserve"> Committed Leases</w:t>
            </w:r>
          </w:p>
          <w:p w14:paraId="65A7C803" w14:textId="77777777" w:rsidR="00F76607" w:rsidRDefault="001863F0">
            <w:pPr>
              <w:keepNext/>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(in million €)</w:t>
            </w:r>
          </w:p>
        </w:tc>
      </w:tr>
      <w:tr w:rsidR="00F76607" w14:paraId="655F4706" w14:textId="77777777">
        <w:trPr>
          <w:trHeight w:val="247"/>
        </w:trPr>
        <w:tc>
          <w:tcPr>
            <w:tcW w:w="1873" w:type="dxa"/>
            <w:tcBorders>
              <w:top w:val="single" w:sz="6" w:space="0" w:color="969696"/>
              <w:left w:val="nil"/>
              <w:bottom w:val="single" w:sz="6" w:space="0" w:color="969696"/>
              <w:right w:val="nil"/>
            </w:tcBorders>
            <w:vAlign w:val="center"/>
          </w:tcPr>
          <w:p w14:paraId="50469968" w14:textId="77777777" w:rsidR="00F76607" w:rsidRDefault="001863F0">
            <w:pPr>
              <w:rPr>
                <w:b/>
                <w:bCs/>
                <w:sz w:val="18"/>
                <w:szCs w:val="18"/>
              </w:rPr>
            </w:pPr>
            <w:r>
              <w:rPr>
                <w:b/>
                <w:bCs/>
                <w:sz w:val="18"/>
                <w:szCs w:val="18"/>
              </w:rPr>
              <w:t>Germany</w:t>
            </w:r>
          </w:p>
        </w:tc>
        <w:tc>
          <w:tcPr>
            <w:tcW w:w="709" w:type="dxa"/>
            <w:tcBorders>
              <w:top w:val="single" w:sz="6" w:space="0" w:color="969696"/>
              <w:left w:val="nil"/>
              <w:bottom w:val="single" w:sz="6" w:space="0" w:color="969696"/>
              <w:right w:val="nil"/>
            </w:tcBorders>
            <w:vAlign w:val="center"/>
          </w:tcPr>
          <w:p w14:paraId="3F781435" w14:textId="77777777" w:rsidR="00F76607" w:rsidRDefault="001863F0">
            <w:pPr>
              <w:jc w:val="cente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7CABFE88" w14:textId="77777777" w:rsidR="00F76607" w:rsidRDefault="001863F0">
            <w:pP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6D5099F8" w14:textId="77777777" w:rsidR="00F76607" w:rsidRDefault="001863F0">
            <w:pP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482FB4F5" w14:textId="77777777" w:rsidR="00F76607" w:rsidRDefault="001863F0">
            <w:pP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693DEA33" w14:textId="77777777" w:rsidR="00F76607" w:rsidRDefault="001863F0">
            <w:pPr>
              <w:jc w:val="right"/>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074EA682" w14:textId="77777777" w:rsidR="00F76607" w:rsidRDefault="001863F0">
            <w:pPr>
              <w:rPr>
                <w:sz w:val="18"/>
                <w:szCs w:val="18"/>
              </w:rPr>
            </w:pPr>
            <w:r>
              <w:rPr>
                <w:sz w:val="18"/>
                <w:szCs w:val="18"/>
              </w:rPr>
              <w:t> </w:t>
            </w:r>
          </w:p>
        </w:tc>
        <w:tc>
          <w:tcPr>
            <w:tcW w:w="992" w:type="dxa"/>
            <w:tcBorders>
              <w:top w:val="single" w:sz="6" w:space="0" w:color="969696"/>
              <w:left w:val="nil"/>
              <w:bottom w:val="single" w:sz="6" w:space="0" w:color="969696"/>
              <w:right w:val="nil"/>
            </w:tcBorders>
            <w:vAlign w:val="center"/>
          </w:tcPr>
          <w:p w14:paraId="6F5685FE" w14:textId="77777777" w:rsidR="00F76607" w:rsidRDefault="001863F0">
            <w:pPr>
              <w:rPr>
                <w:sz w:val="18"/>
                <w:szCs w:val="18"/>
              </w:rPr>
            </w:pPr>
            <w:r>
              <w:rPr>
                <w:sz w:val="18"/>
                <w:szCs w:val="18"/>
              </w:rPr>
              <w:t> </w:t>
            </w:r>
          </w:p>
        </w:tc>
      </w:tr>
      <w:tr w:rsidR="00F76607" w14:paraId="42653175" w14:textId="77777777">
        <w:trPr>
          <w:trHeight w:val="247"/>
        </w:trPr>
        <w:tc>
          <w:tcPr>
            <w:tcW w:w="1873" w:type="dxa"/>
            <w:tcBorders>
              <w:top w:val="single" w:sz="6" w:space="0" w:color="969696"/>
              <w:left w:val="nil"/>
              <w:bottom w:val="single" w:sz="6" w:space="0" w:color="969696"/>
              <w:right w:val="nil"/>
            </w:tcBorders>
            <w:vAlign w:val="center"/>
          </w:tcPr>
          <w:p w14:paraId="1334A4CC" w14:textId="77777777" w:rsidR="00F76607" w:rsidRDefault="001863F0">
            <w:pPr>
              <w:rPr>
                <w:sz w:val="18"/>
                <w:szCs w:val="18"/>
              </w:rPr>
            </w:pPr>
            <w:r>
              <w:rPr>
                <w:sz w:val="18"/>
                <w:szCs w:val="18"/>
              </w:rPr>
              <w:t>VGP Park Hamburg</w:t>
            </w:r>
          </w:p>
        </w:tc>
        <w:tc>
          <w:tcPr>
            <w:tcW w:w="709" w:type="dxa"/>
            <w:tcBorders>
              <w:top w:val="single" w:sz="6" w:space="0" w:color="969696"/>
              <w:left w:val="nil"/>
              <w:bottom w:val="single" w:sz="6" w:space="0" w:color="969696"/>
              <w:right w:val="nil"/>
            </w:tcBorders>
            <w:vAlign w:val="center"/>
          </w:tcPr>
          <w:p w14:paraId="65A2E400"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3511AF30" w14:textId="77777777" w:rsidR="00F76607" w:rsidRDefault="001863F0">
            <w:pPr>
              <w:jc w:val="right"/>
              <w:rPr>
                <w:sz w:val="18"/>
                <w:szCs w:val="18"/>
              </w:rPr>
            </w:pPr>
            <w:r>
              <w:rPr>
                <w:sz w:val="18"/>
                <w:szCs w:val="18"/>
              </w:rPr>
              <w:t>87,952</w:t>
            </w:r>
          </w:p>
        </w:tc>
        <w:tc>
          <w:tcPr>
            <w:tcW w:w="1134" w:type="dxa"/>
            <w:tcBorders>
              <w:top w:val="single" w:sz="6" w:space="0" w:color="969696"/>
              <w:left w:val="nil"/>
              <w:bottom w:val="single" w:sz="6" w:space="0" w:color="969696"/>
              <w:right w:val="nil"/>
            </w:tcBorders>
            <w:vAlign w:val="center"/>
          </w:tcPr>
          <w:p w14:paraId="027AA074"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356A37B7"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46E83C74" w14:textId="77777777" w:rsidR="00F76607" w:rsidRDefault="001863F0">
            <w:pPr>
              <w:jc w:val="right"/>
              <w:rPr>
                <w:sz w:val="18"/>
                <w:szCs w:val="18"/>
              </w:rPr>
            </w:pPr>
            <w:r>
              <w:rPr>
                <w:sz w:val="18"/>
                <w:szCs w:val="18"/>
              </w:rPr>
              <w:t>30,148</w:t>
            </w:r>
          </w:p>
        </w:tc>
        <w:tc>
          <w:tcPr>
            <w:tcW w:w="1134" w:type="dxa"/>
            <w:tcBorders>
              <w:top w:val="single" w:sz="6" w:space="0" w:color="969696"/>
              <w:left w:val="nil"/>
              <w:bottom w:val="single" w:sz="6" w:space="0" w:color="969696"/>
              <w:right w:val="nil"/>
            </w:tcBorders>
            <w:vAlign w:val="center"/>
          </w:tcPr>
          <w:p w14:paraId="5663F7DE" w14:textId="77777777" w:rsidR="00F76607" w:rsidRDefault="001863F0">
            <w:pPr>
              <w:jc w:val="right"/>
              <w:rPr>
                <w:sz w:val="18"/>
                <w:szCs w:val="18"/>
              </w:rPr>
            </w:pPr>
            <w:r>
              <w:rPr>
                <w:sz w:val="18"/>
                <w:szCs w:val="18"/>
              </w:rPr>
              <w:t>30,148</w:t>
            </w:r>
          </w:p>
        </w:tc>
        <w:tc>
          <w:tcPr>
            <w:tcW w:w="992" w:type="dxa"/>
            <w:tcBorders>
              <w:top w:val="single" w:sz="6" w:space="0" w:color="969696"/>
              <w:left w:val="nil"/>
              <w:bottom w:val="single" w:sz="6" w:space="0" w:color="969696"/>
              <w:right w:val="nil"/>
            </w:tcBorders>
            <w:vAlign w:val="center"/>
          </w:tcPr>
          <w:p w14:paraId="5428F5A9" w14:textId="77777777" w:rsidR="00F76607" w:rsidRDefault="001863F0">
            <w:pPr>
              <w:jc w:val="right"/>
              <w:rPr>
                <w:sz w:val="18"/>
                <w:szCs w:val="18"/>
              </w:rPr>
            </w:pPr>
            <w:r>
              <w:rPr>
                <w:sz w:val="18"/>
                <w:szCs w:val="18"/>
              </w:rPr>
              <w:t xml:space="preserve">- </w:t>
            </w:r>
          </w:p>
        </w:tc>
      </w:tr>
      <w:tr w:rsidR="00F76607" w14:paraId="3878E06B" w14:textId="77777777">
        <w:trPr>
          <w:trHeight w:val="247"/>
        </w:trPr>
        <w:tc>
          <w:tcPr>
            <w:tcW w:w="1873" w:type="dxa"/>
            <w:tcBorders>
              <w:top w:val="single" w:sz="6" w:space="0" w:color="969696"/>
              <w:left w:val="nil"/>
              <w:bottom w:val="single" w:sz="6" w:space="0" w:color="969696"/>
              <w:right w:val="nil"/>
            </w:tcBorders>
            <w:vAlign w:val="center"/>
          </w:tcPr>
          <w:p w14:paraId="3F271FE8" w14:textId="77777777" w:rsidR="00F76607" w:rsidRDefault="001863F0">
            <w:pPr>
              <w:rPr>
                <w:sz w:val="18"/>
                <w:szCs w:val="18"/>
              </w:rPr>
            </w:pPr>
            <w:r>
              <w:rPr>
                <w:sz w:val="18"/>
                <w:szCs w:val="18"/>
              </w:rPr>
              <w:t>VGP Park Berlin</w:t>
            </w:r>
          </w:p>
        </w:tc>
        <w:tc>
          <w:tcPr>
            <w:tcW w:w="709" w:type="dxa"/>
            <w:tcBorders>
              <w:top w:val="single" w:sz="6" w:space="0" w:color="969696"/>
              <w:left w:val="nil"/>
              <w:bottom w:val="single" w:sz="6" w:space="0" w:color="969696"/>
              <w:right w:val="nil"/>
            </w:tcBorders>
            <w:vAlign w:val="center"/>
          </w:tcPr>
          <w:p w14:paraId="5AFFEF48"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278B7B7E" w14:textId="77777777" w:rsidR="00F76607" w:rsidRDefault="001863F0">
            <w:pPr>
              <w:jc w:val="right"/>
              <w:rPr>
                <w:sz w:val="18"/>
                <w:szCs w:val="18"/>
              </w:rPr>
            </w:pPr>
            <w:r>
              <w:rPr>
                <w:sz w:val="18"/>
                <w:szCs w:val="18"/>
              </w:rPr>
              <w:t>188,455</w:t>
            </w:r>
          </w:p>
        </w:tc>
        <w:tc>
          <w:tcPr>
            <w:tcW w:w="1134" w:type="dxa"/>
            <w:tcBorders>
              <w:top w:val="single" w:sz="6" w:space="0" w:color="969696"/>
              <w:left w:val="nil"/>
              <w:bottom w:val="single" w:sz="6" w:space="0" w:color="969696"/>
              <w:right w:val="nil"/>
            </w:tcBorders>
            <w:vAlign w:val="center"/>
          </w:tcPr>
          <w:p w14:paraId="2D0D5E8D" w14:textId="77777777" w:rsidR="00F76607" w:rsidRDefault="001863F0">
            <w:pP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74F10F87" w14:textId="77777777" w:rsidR="00F76607" w:rsidRDefault="001863F0">
            <w:pPr>
              <w:jc w:val="right"/>
              <w:rPr>
                <w:sz w:val="18"/>
                <w:szCs w:val="18"/>
              </w:rPr>
            </w:pPr>
            <w:r>
              <w:rPr>
                <w:sz w:val="18"/>
                <w:szCs w:val="18"/>
              </w:rPr>
              <w:t>89,739</w:t>
            </w:r>
          </w:p>
        </w:tc>
        <w:tc>
          <w:tcPr>
            <w:tcW w:w="1134" w:type="dxa"/>
            <w:tcBorders>
              <w:top w:val="single" w:sz="6" w:space="0" w:color="969696"/>
              <w:left w:val="nil"/>
              <w:bottom w:val="single" w:sz="6" w:space="0" w:color="969696"/>
              <w:right w:val="nil"/>
            </w:tcBorders>
            <w:vAlign w:val="center"/>
          </w:tcPr>
          <w:p w14:paraId="5EED92BF"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5B238805" w14:textId="77777777" w:rsidR="00F76607" w:rsidRDefault="001863F0">
            <w:pPr>
              <w:jc w:val="right"/>
              <w:rPr>
                <w:sz w:val="18"/>
                <w:szCs w:val="18"/>
              </w:rPr>
            </w:pPr>
            <w:r>
              <w:rPr>
                <w:sz w:val="18"/>
                <w:szCs w:val="18"/>
              </w:rPr>
              <w:t>89,739</w:t>
            </w:r>
          </w:p>
        </w:tc>
        <w:tc>
          <w:tcPr>
            <w:tcW w:w="992" w:type="dxa"/>
            <w:tcBorders>
              <w:top w:val="single" w:sz="6" w:space="0" w:color="969696"/>
              <w:left w:val="nil"/>
              <w:bottom w:val="single" w:sz="6" w:space="0" w:color="969696"/>
              <w:right w:val="nil"/>
            </w:tcBorders>
            <w:vAlign w:val="center"/>
          </w:tcPr>
          <w:p w14:paraId="7D261176" w14:textId="77777777" w:rsidR="00F76607" w:rsidRDefault="001863F0">
            <w:pPr>
              <w:jc w:val="right"/>
              <w:rPr>
                <w:sz w:val="18"/>
                <w:szCs w:val="18"/>
              </w:rPr>
            </w:pPr>
            <w:r>
              <w:rPr>
                <w:sz w:val="18"/>
                <w:szCs w:val="18"/>
              </w:rPr>
              <w:t xml:space="preserve">2.4 </w:t>
            </w:r>
          </w:p>
        </w:tc>
      </w:tr>
      <w:tr w:rsidR="00F76607" w14:paraId="76E85FA1" w14:textId="77777777">
        <w:trPr>
          <w:trHeight w:val="247"/>
        </w:trPr>
        <w:tc>
          <w:tcPr>
            <w:tcW w:w="1873" w:type="dxa"/>
            <w:tcBorders>
              <w:top w:val="single" w:sz="6" w:space="0" w:color="969696"/>
              <w:left w:val="nil"/>
              <w:bottom w:val="single" w:sz="6" w:space="0" w:color="969696"/>
              <w:right w:val="nil"/>
            </w:tcBorders>
            <w:vAlign w:val="center"/>
          </w:tcPr>
          <w:p w14:paraId="104628CA" w14:textId="77777777" w:rsidR="00F76607" w:rsidRDefault="001863F0">
            <w:pPr>
              <w:rPr>
                <w:sz w:val="18"/>
                <w:szCs w:val="18"/>
              </w:rPr>
            </w:pPr>
            <w:r>
              <w:rPr>
                <w:sz w:val="18"/>
                <w:szCs w:val="18"/>
              </w:rPr>
              <w:t xml:space="preserve">VGP Park </w:t>
            </w:r>
            <w:proofErr w:type="spellStart"/>
            <w:r>
              <w:rPr>
                <w:sz w:val="18"/>
                <w:szCs w:val="18"/>
              </w:rPr>
              <w:t>Ginsheim</w:t>
            </w:r>
            <w:proofErr w:type="spellEnd"/>
          </w:p>
        </w:tc>
        <w:tc>
          <w:tcPr>
            <w:tcW w:w="709" w:type="dxa"/>
            <w:tcBorders>
              <w:top w:val="single" w:sz="6" w:space="0" w:color="969696"/>
              <w:left w:val="nil"/>
              <w:bottom w:val="single" w:sz="6" w:space="0" w:color="969696"/>
              <w:right w:val="nil"/>
            </w:tcBorders>
            <w:vAlign w:val="center"/>
          </w:tcPr>
          <w:p w14:paraId="6E977E89"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44DE2D9A" w14:textId="77777777" w:rsidR="00F76607" w:rsidRDefault="001863F0">
            <w:pPr>
              <w:jc w:val="right"/>
              <w:rPr>
                <w:sz w:val="18"/>
                <w:szCs w:val="18"/>
              </w:rPr>
            </w:pPr>
            <w:r>
              <w:rPr>
                <w:sz w:val="18"/>
                <w:szCs w:val="18"/>
              </w:rPr>
              <w:t>59,845</w:t>
            </w:r>
          </w:p>
        </w:tc>
        <w:tc>
          <w:tcPr>
            <w:tcW w:w="1134" w:type="dxa"/>
            <w:tcBorders>
              <w:top w:val="single" w:sz="6" w:space="0" w:color="969696"/>
              <w:left w:val="nil"/>
              <w:bottom w:val="single" w:sz="6" w:space="0" w:color="969696"/>
              <w:right w:val="nil"/>
            </w:tcBorders>
            <w:vAlign w:val="center"/>
          </w:tcPr>
          <w:p w14:paraId="1A885313"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7AE7C97B" w14:textId="77777777" w:rsidR="00F76607" w:rsidRDefault="001863F0">
            <w:pPr>
              <w:jc w:val="right"/>
              <w:rPr>
                <w:sz w:val="18"/>
                <w:szCs w:val="18"/>
              </w:rPr>
            </w:pPr>
            <w:r>
              <w:rPr>
                <w:sz w:val="18"/>
                <w:szCs w:val="18"/>
              </w:rPr>
              <w:t>35,337</w:t>
            </w:r>
          </w:p>
        </w:tc>
        <w:tc>
          <w:tcPr>
            <w:tcW w:w="1134" w:type="dxa"/>
            <w:tcBorders>
              <w:top w:val="single" w:sz="6" w:space="0" w:color="969696"/>
              <w:left w:val="nil"/>
              <w:bottom w:val="single" w:sz="6" w:space="0" w:color="969696"/>
              <w:right w:val="nil"/>
            </w:tcBorders>
            <w:vAlign w:val="center"/>
          </w:tcPr>
          <w:p w14:paraId="29295BC3"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32B206DB" w14:textId="77777777" w:rsidR="00F76607" w:rsidRDefault="001863F0">
            <w:pPr>
              <w:jc w:val="right"/>
              <w:rPr>
                <w:sz w:val="18"/>
                <w:szCs w:val="18"/>
              </w:rPr>
            </w:pPr>
            <w:r>
              <w:rPr>
                <w:sz w:val="18"/>
                <w:szCs w:val="18"/>
              </w:rPr>
              <w:t>35,337</w:t>
            </w:r>
          </w:p>
        </w:tc>
        <w:tc>
          <w:tcPr>
            <w:tcW w:w="992" w:type="dxa"/>
            <w:tcBorders>
              <w:top w:val="single" w:sz="6" w:space="0" w:color="969696"/>
              <w:left w:val="nil"/>
              <w:bottom w:val="single" w:sz="6" w:space="0" w:color="969696"/>
              <w:right w:val="nil"/>
            </w:tcBorders>
            <w:vAlign w:val="center"/>
          </w:tcPr>
          <w:p w14:paraId="72BDD02E" w14:textId="77777777" w:rsidR="00F76607" w:rsidRDefault="001863F0">
            <w:pPr>
              <w:jc w:val="right"/>
              <w:rPr>
                <w:sz w:val="18"/>
                <w:szCs w:val="18"/>
              </w:rPr>
            </w:pPr>
            <w:r>
              <w:rPr>
                <w:sz w:val="18"/>
                <w:szCs w:val="18"/>
              </w:rPr>
              <w:t xml:space="preserve">2.1 </w:t>
            </w:r>
          </w:p>
        </w:tc>
      </w:tr>
      <w:tr w:rsidR="00F76607" w14:paraId="2E2E16A4" w14:textId="77777777">
        <w:trPr>
          <w:trHeight w:val="247"/>
        </w:trPr>
        <w:tc>
          <w:tcPr>
            <w:tcW w:w="1873" w:type="dxa"/>
            <w:tcBorders>
              <w:top w:val="single" w:sz="6" w:space="0" w:color="969696"/>
              <w:left w:val="nil"/>
              <w:bottom w:val="single" w:sz="6" w:space="0" w:color="969696"/>
              <w:right w:val="nil"/>
            </w:tcBorders>
            <w:vAlign w:val="center"/>
          </w:tcPr>
          <w:p w14:paraId="4BA9AB7C" w14:textId="77777777" w:rsidR="00F76607" w:rsidRDefault="001863F0">
            <w:pPr>
              <w:rPr>
                <w:sz w:val="18"/>
                <w:szCs w:val="18"/>
              </w:rPr>
            </w:pPr>
            <w:r>
              <w:rPr>
                <w:sz w:val="18"/>
                <w:szCs w:val="18"/>
              </w:rPr>
              <w:t xml:space="preserve">VGP Park </w:t>
            </w:r>
            <w:proofErr w:type="spellStart"/>
            <w:r>
              <w:rPr>
                <w:sz w:val="18"/>
                <w:szCs w:val="18"/>
              </w:rPr>
              <w:t>Wetzlar</w:t>
            </w:r>
            <w:proofErr w:type="spellEnd"/>
          </w:p>
        </w:tc>
        <w:tc>
          <w:tcPr>
            <w:tcW w:w="709" w:type="dxa"/>
            <w:tcBorders>
              <w:top w:val="single" w:sz="6" w:space="0" w:color="969696"/>
              <w:left w:val="nil"/>
              <w:bottom w:val="single" w:sz="6" w:space="0" w:color="969696"/>
              <w:right w:val="nil"/>
            </w:tcBorders>
            <w:vAlign w:val="center"/>
          </w:tcPr>
          <w:p w14:paraId="47248199"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5E8CA458" w14:textId="77777777" w:rsidR="00F76607" w:rsidRDefault="001863F0">
            <w:pPr>
              <w:jc w:val="right"/>
              <w:rPr>
                <w:sz w:val="18"/>
                <w:szCs w:val="18"/>
              </w:rPr>
            </w:pPr>
            <w:r>
              <w:rPr>
                <w:sz w:val="18"/>
                <w:szCs w:val="18"/>
              </w:rPr>
              <w:t>67,336</w:t>
            </w:r>
          </w:p>
        </w:tc>
        <w:tc>
          <w:tcPr>
            <w:tcW w:w="1134" w:type="dxa"/>
            <w:tcBorders>
              <w:top w:val="single" w:sz="6" w:space="0" w:color="969696"/>
              <w:left w:val="nil"/>
              <w:bottom w:val="single" w:sz="6" w:space="0" w:color="969696"/>
              <w:right w:val="nil"/>
            </w:tcBorders>
            <w:vAlign w:val="center"/>
          </w:tcPr>
          <w:p w14:paraId="5489B509"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41F2F7C8" w14:textId="77777777" w:rsidR="00F76607" w:rsidRDefault="001863F0">
            <w:pPr>
              <w:jc w:val="right"/>
              <w:rPr>
                <w:sz w:val="18"/>
                <w:szCs w:val="18"/>
              </w:rPr>
            </w:pPr>
            <w:r>
              <w:rPr>
                <w:sz w:val="18"/>
                <w:szCs w:val="18"/>
              </w:rPr>
              <w:t>18,385</w:t>
            </w:r>
          </w:p>
        </w:tc>
        <w:tc>
          <w:tcPr>
            <w:tcW w:w="1134" w:type="dxa"/>
            <w:tcBorders>
              <w:top w:val="single" w:sz="6" w:space="0" w:color="969696"/>
              <w:left w:val="nil"/>
              <w:bottom w:val="single" w:sz="6" w:space="0" w:color="969696"/>
              <w:right w:val="nil"/>
            </w:tcBorders>
            <w:vAlign w:val="center"/>
          </w:tcPr>
          <w:p w14:paraId="21188182" w14:textId="77777777" w:rsidR="00F76607" w:rsidRDefault="001863F0">
            <w:pPr>
              <w:jc w:val="right"/>
              <w:rPr>
                <w:sz w:val="18"/>
                <w:szCs w:val="18"/>
              </w:rPr>
            </w:pPr>
            <w:r>
              <w:rPr>
                <w:sz w:val="18"/>
                <w:szCs w:val="18"/>
              </w:rPr>
              <w:t>18,385</w:t>
            </w:r>
          </w:p>
        </w:tc>
        <w:tc>
          <w:tcPr>
            <w:tcW w:w="1134" w:type="dxa"/>
            <w:tcBorders>
              <w:top w:val="single" w:sz="6" w:space="0" w:color="969696"/>
              <w:left w:val="nil"/>
              <w:bottom w:val="single" w:sz="6" w:space="0" w:color="969696"/>
              <w:right w:val="nil"/>
            </w:tcBorders>
            <w:vAlign w:val="center"/>
          </w:tcPr>
          <w:p w14:paraId="442D2780" w14:textId="77777777" w:rsidR="00F76607" w:rsidRDefault="001863F0">
            <w:pPr>
              <w:jc w:val="right"/>
              <w:rPr>
                <w:sz w:val="18"/>
                <w:szCs w:val="18"/>
              </w:rPr>
            </w:pPr>
            <w:r>
              <w:rPr>
                <w:sz w:val="18"/>
                <w:szCs w:val="18"/>
              </w:rPr>
              <w:t>36,770</w:t>
            </w:r>
          </w:p>
        </w:tc>
        <w:tc>
          <w:tcPr>
            <w:tcW w:w="992" w:type="dxa"/>
            <w:tcBorders>
              <w:top w:val="single" w:sz="6" w:space="0" w:color="969696"/>
              <w:left w:val="nil"/>
              <w:bottom w:val="single" w:sz="6" w:space="0" w:color="969696"/>
              <w:right w:val="nil"/>
            </w:tcBorders>
            <w:vAlign w:val="center"/>
          </w:tcPr>
          <w:p w14:paraId="13513A16" w14:textId="77777777" w:rsidR="00F76607" w:rsidRDefault="001863F0">
            <w:pPr>
              <w:jc w:val="right"/>
              <w:rPr>
                <w:sz w:val="18"/>
                <w:szCs w:val="18"/>
              </w:rPr>
            </w:pPr>
            <w:r>
              <w:rPr>
                <w:sz w:val="18"/>
                <w:szCs w:val="18"/>
              </w:rPr>
              <w:t xml:space="preserve">0.4 </w:t>
            </w:r>
          </w:p>
        </w:tc>
      </w:tr>
      <w:tr w:rsidR="00F76607" w14:paraId="516518F1" w14:textId="77777777">
        <w:trPr>
          <w:trHeight w:val="247"/>
        </w:trPr>
        <w:tc>
          <w:tcPr>
            <w:tcW w:w="1873" w:type="dxa"/>
            <w:tcBorders>
              <w:top w:val="single" w:sz="6" w:space="0" w:color="969696"/>
              <w:left w:val="nil"/>
              <w:bottom w:val="single" w:sz="6" w:space="0" w:color="969696"/>
              <w:right w:val="nil"/>
            </w:tcBorders>
            <w:vAlign w:val="center"/>
          </w:tcPr>
          <w:p w14:paraId="39275158" w14:textId="77777777" w:rsidR="00F76607" w:rsidRDefault="001863F0">
            <w:pPr>
              <w:rPr>
                <w:sz w:val="18"/>
                <w:szCs w:val="18"/>
              </w:rPr>
            </w:pPr>
            <w:r>
              <w:rPr>
                <w:sz w:val="18"/>
                <w:szCs w:val="18"/>
              </w:rPr>
              <w:t>VGP Park München</w:t>
            </w:r>
          </w:p>
        </w:tc>
        <w:tc>
          <w:tcPr>
            <w:tcW w:w="709" w:type="dxa"/>
            <w:tcBorders>
              <w:top w:val="single" w:sz="6" w:space="0" w:color="969696"/>
              <w:left w:val="nil"/>
              <w:bottom w:val="single" w:sz="6" w:space="0" w:color="969696"/>
              <w:right w:val="nil"/>
            </w:tcBorders>
            <w:vAlign w:val="center"/>
          </w:tcPr>
          <w:p w14:paraId="3468668D"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2432F0F0" w14:textId="77777777" w:rsidR="00F76607" w:rsidRDefault="001863F0">
            <w:pPr>
              <w:jc w:val="right"/>
              <w:rPr>
                <w:sz w:val="18"/>
                <w:szCs w:val="18"/>
              </w:rPr>
            </w:pPr>
            <w:r>
              <w:rPr>
                <w:sz w:val="18"/>
                <w:szCs w:val="18"/>
              </w:rPr>
              <w:t>537,003</w:t>
            </w:r>
          </w:p>
        </w:tc>
        <w:tc>
          <w:tcPr>
            <w:tcW w:w="1134" w:type="dxa"/>
            <w:tcBorders>
              <w:top w:val="single" w:sz="6" w:space="0" w:color="969696"/>
              <w:left w:val="nil"/>
              <w:bottom w:val="single" w:sz="6" w:space="0" w:color="969696"/>
              <w:right w:val="nil"/>
            </w:tcBorders>
            <w:vAlign w:val="center"/>
          </w:tcPr>
          <w:p w14:paraId="5151E620"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4DF649A4"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7C74079E" w14:textId="77777777" w:rsidR="00F76607" w:rsidRDefault="001863F0">
            <w:pPr>
              <w:jc w:val="right"/>
              <w:rPr>
                <w:sz w:val="18"/>
                <w:szCs w:val="18"/>
              </w:rPr>
            </w:pPr>
            <w:r>
              <w:rPr>
                <w:sz w:val="18"/>
                <w:szCs w:val="18"/>
              </w:rPr>
              <w:t>244,304</w:t>
            </w:r>
          </w:p>
        </w:tc>
        <w:tc>
          <w:tcPr>
            <w:tcW w:w="1134" w:type="dxa"/>
            <w:tcBorders>
              <w:top w:val="single" w:sz="6" w:space="0" w:color="969696"/>
              <w:left w:val="nil"/>
              <w:bottom w:val="single" w:sz="6" w:space="0" w:color="969696"/>
              <w:right w:val="nil"/>
            </w:tcBorders>
            <w:vAlign w:val="center"/>
          </w:tcPr>
          <w:p w14:paraId="0A553FF3" w14:textId="77777777" w:rsidR="00F76607" w:rsidRDefault="001863F0">
            <w:pPr>
              <w:jc w:val="right"/>
              <w:rPr>
                <w:sz w:val="18"/>
                <w:szCs w:val="18"/>
              </w:rPr>
            </w:pPr>
            <w:r>
              <w:rPr>
                <w:sz w:val="18"/>
                <w:szCs w:val="18"/>
              </w:rPr>
              <w:t>244,304</w:t>
            </w:r>
          </w:p>
        </w:tc>
        <w:tc>
          <w:tcPr>
            <w:tcW w:w="992" w:type="dxa"/>
            <w:tcBorders>
              <w:top w:val="single" w:sz="6" w:space="0" w:color="969696"/>
              <w:left w:val="nil"/>
              <w:bottom w:val="single" w:sz="6" w:space="0" w:color="969696"/>
              <w:right w:val="nil"/>
            </w:tcBorders>
            <w:vAlign w:val="center"/>
          </w:tcPr>
          <w:p w14:paraId="0382F106" w14:textId="77777777" w:rsidR="00F76607" w:rsidRDefault="001863F0">
            <w:pPr>
              <w:jc w:val="right"/>
              <w:rPr>
                <w:sz w:val="18"/>
                <w:szCs w:val="18"/>
              </w:rPr>
            </w:pPr>
            <w:r>
              <w:rPr>
                <w:sz w:val="18"/>
                <w:szCs w:val="18"/>
              </w:rPr>
              <w:t xml:space="preserve">- </w:t>
            </w:r>
          </w:p>
        </w:tc>
      </w:tr>
      <w:tr w:rsidR="00F76607" w14:paraId="6BDB19E8" w14:textId="77777777">
        <w:trPr>
          <w:trHeight w:val="247"/>
        </w:trPr>
        <w:tc>
          <w:tcPr>
            <w:tcW w:w="1873" w:type="dxa"/>
            <w:tcBorders>
              <w:top w:val="single" w:sz="6" w:space="0" w:color="969696"/>
              <w:left w:val="nil"/>
              <w:bottom w:val="single" w:sz="6" w:space="0" w:color="969696"/>
              <w:right w:val="nil"/>
            </w:tcBorders>
            <w:vAlign w:val="center"/>
          </w:tcPr>
          <w:p w14:paraId="2E7AC45F" w14:textId="77777777" w:rsidR="00F76607" w:rsidRDefault="001863F0">
            <w:pPr>
              <w:rPr>
                <w:sz w:val="18"/>
                <w:szCs w:val="18"/>
              </w:rPr>
            </w:pPr>
            <w:r>
              <w:rPr>
                <w:sz w:val="18"/>
                <w:szCs w:val="18"/>
              </w:rPr>
              <w:t>VGP Park Gottingen</w:t>
            </w:r>
          </w:p>
        </w:tc>
        <w:tc>
          <w:tcPr>
            <w:tcW w:w="709" w:type="dxa"/>
            <w:tcBorders>
              <w:top w:val="single" w:sz="6" w:space="0" w:color="969696"/>
              <w:left w:val="nil"/>
              <w:bottom w:val="single" w:sz="6" w:space="0" w:color="969696"/>
              <w:right w:val="nil"/>
            </w:tcBorders>
            <w:vAlign w:val="center"/>
          </w:tcPr>
          <w:p w14:paraId="36CC3CCA"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5444E7C6" w14:textId="77777777" w:rsidR="00F76607" w:rsidRDefault="001863F0">
            <w:pPr>
              <w:jc w:val="right"/>
              <w:rPr>
                <w:sz w:val="18"/>
                <w:szCs w:val="18"/>
              </w:rPr>
            </w:pPr>
            <w:r>
              <w:rPr>
                <w:sz w:val="18"/>
                <w:szCs w:val="18"/>
              </w:rPr>
              <w:t>81,086</w:t>
            </w:r>
          </w:p>
        </w:tc>
        <w:tc>
          <w:tcPr>
            <w:tcW w:w="1134" w:type="dxa"/>
            <w:tcBorders>
              <w:top w:val="single" w:sz="6" w:space="0" w:color="969696"/>
              <w:left w:val="nil"/>
              <w:bottom w:val="single" w:sz="6" w:space="0" w:color="969696"/>
              <w:right w:val="nil"/>
            </w:tcBorders>
            <w:vAlign w:val="center"/>
          </w:tcPr>
          <w:p w14:paraId="727C8153"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2D7A4AA9"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478EF276" w14:textId="77777777" w:rsidR="00F76607" w:rsidRDefault="001863F0">
            <w:pPr>
              <w:jc w:val="right"/>
              <w:rPr>
                <w:sz w:val="18"/>
                <w:szCs w:val="18"/>
              </w:rPr>
            </w:pPr>
            <w:r>
              <w:rPr>
                <w:sz w:val="18"/>
                <w:szCs w:val="18"/>
              </w:rPr>
              <w:t>40,148</w:t>
            </w:r>
          </w:p>
        </w:tc>
        <w:tc>
          <w:tcPr>
            <w:tcW w:w="1134" w:type="dxa"/>
            <w:tcBorders>
              <w:top w:val="single" w:sz="6" w:space="0" w:color="969696"/>
              <w:left w:val="nil"/>
              <w:bottom w:val="single" w:sz="6" w:space="0" w:color="969696"/>
              <w:right w:val="nil"/>
            </w:tcBorders>
            <w:vAlign w:val="center"/>
          </w:tcPr>
          <w:p w14:paraId="51F87421" w14:textId="77777777" w:rsidR="00F76607" w:rsidRDefault="001863F0">
            <w:pPr>
              <w:jc w:val="right"/>
              <w:rPr>
                <w:sz w:val="18"/>
                <w:szCs w:val="18"/>
              </w:rPr>
            </w:pPr>
            <w:r>
              <w:rPr>
                <w:sz w:val="18"/>
                <w:szCs w:val="18"/>
              </w:rPr>
              <w:t>40,148</w:t>
            </w:r>
          </w:p>
        </w:tc>
        <w:tc>
          <w:tcPr>
            <w:tcW w:w="992" w:type="dxa"/>
            <w:tcBorders>
              <w:top w:val="single" w:sz="6" w:space="0" w:color="969696"/>
              <w:left w:val="nil"/>
              <w:bottom w:val="single" w:sz="6" w:space="0" w:color="969696"/>
              <w:right w:val="nil"/>
            </w:tcBorders>
            <w:vAlign w:val="center"/>
          </w:tcPr>
          <w:p w14:paraId="438BF8F8" w14:textId="77777777" w:rsidR="00F76607" w:rsidRDefault="001863F0">
            <w:pPr>
              <w:jc w:val="right"/>
              <w:rPr>
                <w:sz w:val="18"/>
                <w:szCs w:val="18"/>
              </w:rPr>
            </w:pPr>
            <w:r>
              <w:rPr>
                <w:sz w:val="18"/>
                <w:szCs w:val="18"/>
              </w:rPr>
              <w:t xml:space="preserve">- </w:t>
            </w:r>
          </w:p>
        </w:tc>
      </w:tr>
      <w:tr w:rsidR="00F76607" w14:paraId="4A532378" w14:textId="77777777">
        <w:trPr>
          <w:trHeight w:val="247"/>
        </w:trPr>
        <w:tc>
          <w:tcPr>
            <w:tcW w:w="1873" w:type="dxa"/>
            <w:tcBorders>
              <w:top w:val="single" w:sz="6" w:space="0" w:color="969696"/>
              <w:left w:val="nil"/>
              <w:bottom w:val="single" w:sz="6" w:space="0" w:color="969696"/>
              <w:right w:val="nil"/>
            </w:tcBorders>
            <w:vAlign w:val="center"/>
          </w:tcPr>
          <w:p w14:paraId="4F7DD4FD" w14:textId="77777777" w:rsidR="00F76607" w:rsidRDefault="001863F0">
            <w:pPr>
              <w:rPr>
                <w:sz w:val="18"/>
                <w:szCs w:val="18"/>
              </w:rPr>
            </w:pPr>
            <w:r>
              <w:rPr>
                <w:sz w:val="18"/>
                <w:szCs w:val="18"/>
              </w:rPr>
              <w:t xml:space="preserve">VGP Park </w:t>
            </w:r>
            <w:proofErr w:type="spellStart"/>
            <w:r>
              <w:rPr>
                <w:sz w:val="18"/>
                <w:szCs w:val="18"/>
              </w:rPr>
              <w:t>Wustermark</w:t>
            </w:r>
            <w:proofErr w:type="spellEnd"/>
          </w:p>
        </w:tc>
        <w:tc>
          <w:tcPr>
            <w:tcW w:w="709" w:type="dxa"/>
            <w:tcBorders>
              <w:top w:val="single" w:sz="6" w:space="0" w:color="969696"/>
              <w:left w:val="nil"/>
              <w:bottom w:val="single" w:sz="6" w:space="0" w:color="969696"/>
              <w:right w:val="nil"/>
            </w:tcBorders>
            <w:vAlign w:val="center"/>
          </w:tcPr>
          <w:p w14:paraId="2960C38E"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003AE9AB" w14:textId="77777777" w:rsidR="00F76607" w:rsidRDefault="001863F0">
            <w:pPr>
              <w:jc w:val="right"/>
              <w:rPr>
                <w:sz w:val="18"/>
                <w:szCs w:val="18"/>
              </w:rPr>
            </w:pPr>
            <w:r>
              <w:rPr>
                <w:sz w:val="18"/>
                <w:szCs w:val="18"/>
              </w:rPr>
              <w:t>134,845</w:t>
            </w:r>
          </w:p>
        </w:tc>
        <w:tc>
          <w:tcPr>
            <w:tcW w:w="1134" w:type="dxa"/>
            <w:tcBorders>
              <w:top w:val="single" w:sz="6" w:space="0" w:color="969696"/>
              <w:left w:val="nil"/>
              <w:bottom w:val="single" w:sz="6" w:space="0" w:color="969696"/>
              <w:right w:val="nil"/>
            </w:tcBorders>
            <w:vAlign w:val="center"/>
          </w:tcPr>
          <w:p w14:paraId="6F22F8BE"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2BAD9700"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3D86942C" w14:textId="77777777" w:rsidR="00F76607" w:rsidRDefault="001863F0">
            <w:pPr>
              <w:jc w:val="right"/>
              <w:rPr>
                <w:sz w:val="18"/>
                <w:szCs w:val="18"/>
              </w:rPr>
            </w:pPr>
            <w:r>
              <w:rPr>
                <w:sz w:val="18"/>
                <w:szCs w:val="18"/>
              </w:rPr>
              <w:t>71,503</w:t>
            </w:r>
          </w:p>
        </w:tc>
        <w:tc>
          <w:tcPr>
            <w:tcW w:w="1134" w:type="dxa"/>
            <w:tcBorders>
              <w:top w:val="single" w:sz="6" w:space="0" w:color="969696"/>
              <w:left w:val="nil"/>
              <w:bottom w:val="single" w:sz="6" w:space="0" w:color="969696"/>
              <w:right w:val="nil"/>
            </w:tcBorders>
            <w:vAlign w:val="center"/>
          </w:tcPr>
          <w:p w14:paraId="6EEF2629" w14:textId="77777777" w:rsidR="00F76607" w:rsidRDefault="001863F0">
            <w:pPr>
              <w:jc w:val="right"/>
              <w:rPr>
                <w:sz w:val="18"/>
                <w:szCs w:val="18"/>
              </w:rPr>
            </w:pPr>
            <w:r>
              <w:rPr>
                <w:sz w:val="18"/>
                <w:szCs w:val="18"/>
              </w:rPr>
              <w:t>71,503</w:t>
            </w:r>
          </w:p>
        </w:tc>
        <w:tc>
          <w:tcPr>
            <w:tcW w:w="992" w:type="dxa"/>
            <w:tcBorders>
              <w:top w:val="single" w:sz="6" w:space="0" w:color="969696"/>
              <w:left w:val="nil"/>
              <w:bottom w:val="single" w:sz="6" w:space="0" w:color="969696"/>
              <w:right w:val="nil"/>
            </w:tcBorders>
            <w:vAlign w:val="center"/>
          </w:tcPr>
          <w:p w14:paraId="6797EC5A" w14:textId="77777777" w:rsidR="00F76607" w:rsidRDefault="001863F0">
            <w:pPr>
              <w:jc w:val="right"/>
              <w:rPr>
                <w:sz w:val="18"/>
                <w:szCs w:val="18"/>
              </w:rPr>
            </w:pPr>
            <w:r>
              <w:rPr>
                <w:sz w:val="18"/>
                <w:szCs w:val="18"/>
              </w:rPr>
              <w:t xml:space="preserve">- </w:t>
            </w:r>
          </w:p>
        </w:tc>
      </w:tr>
      <w:tr w:rsidR="00F76607" w14:paraId="60E2F999" w14:textId="77777777">
        <w:trPr>
          <w:trHeight w:val="247"/>
        </w:trPr>
        <w:tc>
          <w:tcPr>
            <w:tcW w:w="1873" w:type="dxa"/>
            <w:tcBorders>
              <w:top w:val="single" w:sz="6" w:space="0" w:color="969696"/>
              <w:left w:val="nil"/>
              <w:bottom w:val="single" w:sz="6" w:space="0" w:color="969696"/>
              <w:right w:val="nil"/>
            </w:tcBorders>
            <w:vAlign w:val="center"/>
          </w:tcPr>
          <w:p w14:paraId="72848636" w14:textId="77777777" w:rsidR="00F76607" w:rsidRDefault="001863F0">
            <w:pPr>
              <w:rPr>
                <w:sz w:val="18"/>
                <w:szCs w:val="18"/>
              </w:rPr>
            </w:pPr>
            <w:r>
              <w:rPr>
                <w:sz w:val="18"/>
                <w:szCs w:val="18"/>
              </w:rPr>
              <w:t> </w:t>
            </w:r>
          </w:p>
        </w:tc>
        <w:tc>
          <w:tcPr>
            <w:tcW w:w="709" w:type="dxa"/>
            <w:tcBorders>
              <w:top w:val="single" w:sz="6" w:space="0" w:color="969696"/>
              <w:left w:val="nil"/>
              <w:bottom w:val="single" w:sz="6" w:space="0" w:color="969696"/>
              <w:right w:val="nil"/>
            </w:tcBorders>
            <w:vAlign w:val="center"/>
          </w:tcPr>
          <w:p w14:paraId="611DBABA" w14:textId="77777777" w:rsidR="00F76607" w:rsidRDefault="001863F0">
            <w:pP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4C916E2D" w14:textId="77777777" w:rsidR="00F76607" w:rsidRDefault="001863F0">
            <w:pPr>
              <w:jc w:val="right"/>
              <w:rPr>
                <w:b/>
                <w:bCs/>
                <w:sz w:val="18"/>
                <w:szCs w:val="18"/>
              </w:rPr>
            </w:pPr>
            <w:r>
              <w:rPr>
                <w:b/>
                <w:bCs/>
                <w:sz w:val="18"/>
                <w:szCs w:val="18"/>
              </w:rPr>
              <w:t>1,156,522</w:t>
            </w:r>
          </w:p>
        </w:tc>
        <w:tc>
          <w:tcPr>
            <w:tcW w:w="1134" w:type="dxa"/>
            <w:tcBorders>
              <w:top w:val="single" w:sz="6" w:space="0" w:color="969696"/>
              <w:left w:val="nil"/>
              <w:bottom w:val="single" w:sz="6" w:space="0" w:color="969696"/>
              <w:right w:val="nil"/>
            </w:tcBorders>
            <w:vAlign w:val="center"/>
          </w:tcPr>
          <w:p w14:paraId="023C90D0" w14:textId="77777777" w:rsidR="00F76607" w:rsidRDefault="001863F0">
            <w:pPr>
              <w:jc w:val="right"/>
              <w:rPr>
                <w:b/>
                <w:bCs/>
                <w:sz w:val="18"/>
                <w:szCs w:val="18"/>
              </w:rPr>
            </w:pPr>
            <w:r>
              <w:rPr>
                <w:b/>
                <w:bCs/>
                <w:sz w:val="18"/>
                <w:szCs w:val="18"/>
              </w:rPr>
              <w:t>-</w:t>
            </w:r>
          </w:p>
        </w:tc>
        <w:tc>
          <w:tcPr>
            <w:tcW w:w="1134" w:type="dxa"/>
            <w:tcBorders>
              <w:top w:val="single" w:sz="6" w:space="0" w:color="969696"/>
              <w:left w:val="nil"/>
              <w:bottom w:val="single" w:sz="6" w:space="0" w:color="969696"/>
              <w:right w:val="nil"/>
            </w:tcBorders>
            <w:vAlign w:val="center"/>
          </w:tcPr>
          <w:p w14:paraId="688C3495" w14:textId="77777777" w:rsidR="00F76607" w:rsidRDefault="001863F0">
            <w:pPr>
              <w:jc w:val="right"/>
              <w:rPr>
                <w:b/>
                <w:bCs/>
                <w:sz w:val="18"/>
                <w:szCs w:val="18"/>
              </w:rPr>
            </w:pPr>
            <w:r>
              <w:rPr>
                <w:b/>
                <w:bCs/>
                <w:sz w:val="18"/>
                <w:szCs w:val="18"/>
              </w:rPr>
              <w:t>143,461</w:t>
            </w:r>
          </w:p>
        </w:tc>
        <w:tc>
          <w:tcPr>
            <w:tcW w:w="1134" w:type="dxa"/>
            <w:tcBorders>
              <w:top w:val="single" w:sz="6" w:space="0" w:color="969696"/>
              <w:left w:val="nil"/>
              <w:bottom w:val="single" w:sz="6" w:space="0" w:color="969696"/>
              <w:right w:val="nil"/>
            </w:tcBorders>
            <w:vAlign w:val="center"/>
          </w:tcPr>
          <w:p w14:paraId="65CA1ABC" w14:textId="77777777" w:rsidR="00F76607" w:rsidRDefault="001863F0">
            <w:pPr>
              <w:jc w:val="right"/>
              <w:rPr>
                <w:b/>
                <w:bCs/>
                <w:sz w:val="18"/>
                <w:szCs w:val="18"/>
              </w:rPr>
            </w:pPr>
            <w:r>
              <w:rPr>
                <w:b/>
                <w:bCs/>
                <w:sz w:val="18"/>
                <w:szCs w:val="18"/>
              </w:rPr>
              <w:t>404,488</w:t>
            </w:r>
          </w:p>
        </w:tc>
        <w:tc>
          <w:tcPr>
            <w:tcW w:w="1134" w:type="dxa"/>
            <w:tcBorders>
              <w:top w:val="single" w:sz="6" w:space="0" w:color="969696"/>
              <w:left w:val="nil"/>
              <w:bottom w:val="single" w:sz="6" w:space="0" w:color="969696"/>
              <w:right w:val="nil"/>
            </w:tcBorders>
            <w:vAlign w:val="center"/>
          </w:tcPr>
          <w:p w14:paraId="157090A4" w14:textId="77777777" w:rsidR="00F76607" w:rsidRDefault="001863F0">
            <w:pPr>
              <w:jc w:val="right"/>
              <w:rPr>
                <w:b/>
                <w:bCs/>
                <w:sz w:val="18"/>
                <w:szCs w:val="18"/>
              </w:rPr>
            </w:pPr>
            <w:r>
              <w:rPr>
                <w:b/>
                <w:bCs/>
                <w:sz w:val="18"/>
                <w:szCs w:val="18"/>
              </w:rPr>
              <w:t>547,949</w:t>
            </w:r>
          </w:p>
        </w:tc>
        <w:tc>
          <w:tcPr>
            <w:tcW w:w="992" w:type="dxa"/>
            <w:tcBorders>
              <w:top w:val="single" w:sz="6" w:space="0" w:color="969696"/>
              <w:left w:val="nil"/>
              <w:bottom w:val="single" w:sz="6" w:space="0" w:color="969696"/>
              <w:right w:val="nil"/>
            </w:tcBorders>
            <w:vAlign w:val="center"/>
          </w:tcPr>
          <w:p w14:paraId="1A699E1A" w14:textId="77777777" w:rsidR="00F76607" w:rsidRDefault="001863F0">
            <w:pPr>
              <w:jc w:val="right"/>
              <w:rPr>
                <w:b/>
                <w:bCs/>
                <w:sz w:val="18"/>
                <w:szCs w:val="18"/>
              </w:rPr>
            </w:pPr>
            <w:r>
              <w:rPr>
                <w:b/>
                <w:bCs/>
                <w:sz w:val="18"/>
                <w:szCs w:val="18"/>
              </w:rPr>
              <w:t xml:space="preserve">4.9 </w:t>
            </w:r>
          </w:p>
        </w:tc>
      </w:tr>
      <w:tr w:rsidR="00F76607" w14:paraId="79AB9855" w14:textId="77777777">
        <w:trPr>
          <w:trHeight w:val="247"/>
        </w:trPr>
        <w:tc>
          <w:tcPr>
            <w:tcW w:w="1873" w:type="dxa"/>
            <w:tcBorders>
              <w:top w:val="single" w:sz="6" w:space="0" w:color="969696"/>
              <w:left w:val="nil"/>
              <w:bottom w:val="single" w:sz="6" w:space="0" w:color="969696"/>
              <w:right w:val="nil"/>
            </w:tcBorders>
            <w:vAlign w:val="center"/>
          </w:tcPr>
          <w:p w14:paraId="7E8E5E96" w14:textId="77777777" w:rsidR="00F76607" w:rsidRDefault="001863F0">
            <w:pPr>
              <w:rPr>
                <w:b/>
                <w:bCs/>
                <w:sz w:val="18"/>
                <w:szCs w:val="18"/>
              </w:rPr>
            </w:pPr>
            <w:r>
              <w:rPr>
                <w:b/>
                <w:bCs/>
                <w:sz w:val="18"/>
                <w:szCs w:val="18"/>
              </w:rPr>
              <w:t>Czech Republic</w:t>
            </w:r>
          </w:p>
        </w:tc>
        <w:tc>
          <w:tcPr>
            <w:tcW w:w="709" w:type="dxa"/>
            <w:tcBorders>
              <w:top w:val="single" w:sz="6" w:space="0" w:color="969696"/>
              <w:left w:val="nil"/>
              <w:bottom w:val="single" w:sz="6" w:space="0" w:color="969696"/>
              <w:right w:val="nil"/>
            </w:tcBorders>
            <w:vAlign w:val="center"/>
          </w:tcPr>
          <w:p w14:paraId="36CF91EF" w14:textId="77777777" w:rsidR="00F76607" w:rsidRDefault="001863F0">
            <w:pPr>
              <w:jc w:val="cente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541E57F6" w14:textId="77777777" w:rsidR="00F76607" w:rsidRDefault="001863F0">
            <w:pP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2B2165EA" w14:textId="77777777" w:rsidR="00F76607" w:rsidRDefault="001863F0">
            <w:pP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3B4F8AEA" w14:textId="77777777" w:rsidR="00F76607" w:rsidRDefault="00F76607">
            <w:pPr>
              <w:rPr>
                <w:sz w:val="18"/>
                <w:szCs w:val="18"/>
              </w:rPr>
            </w:pPr>
          </w:p>
        </w:tc>
        <w:tc>
          <w:tcPr>
            <w:tcW w:w="1134" w:type="dxa"/>
            <w:tcBorders>
              <w:top w:val="single" w:sz="6" w:space="0" w:color="969696"/>
              <w:left w:val="nil"/>
              <w:bottom w:val="single" w:sz="6" w:space="0" w:color="969696"/>
              <w:right w:val="nil"/>
            </w:tcBorders>
            <w:vAlign w:val="center"/>
          </w:tcPr>
          <w:p w14:paraId="759102BB" w14:textId="77777777" w:rsidR="00F76607" w:rsidRDefault="00F76607">
            <w:pPr>
              <w:jc w:val="right"/>
              <w:rPr>
                <w:sz w:val="18"/>
                <w:szCs w:val="18"/>
              </w:rPr>
            </w:pPr>
          </w:p>
        </w:tc>
        <w:tc>
          <w:tcPr>
            <w:tcW w:w="1134" w:type="dxa"/>
            <w:tcBorders>
              <w:top w:val="single" w:sz="6" w:space="0" w:color="969696"/>
              <w:left w:val="nil"/>
              <w:bottom w:val="single" w:sz="6" w:space="0" w:color="969696"/>
              <w:right w:val="nil"/>
            </w:tcBorders>
            <w:vAlign w:val="center"/>
          </w:tcPr>
          <w:p w14:paraId="5722A3F6" w14:textId="77777777" w:rsidR="00F76607" w:rsidRDefault="001863F0">
            <w:pPr>
              <w:rPr>
                <w:sz w:val="18"/>
                <w:szCs w:val="18"/>
              </w:rPr>
            </w:pPr>
            <w:r>
              <w:rPr>
                <w:sz w:val="18"/>
                <w:szCs w:val="18"/>
              </w:rPr>
              <w:t> </w:t>
            </w:r>
          </w:p>
        </w:tc>
        <w:tc>
          <w:tcPr>
            <w:tcW w:w="992" w:type="dxa"/>
            <w:tcBorders>
              <w:top w:val="single" w:sz="6" w:space="0" w:color="969696"/>
              <w:left w:val="nil"/>
              <w:bottom w:val="single" w:sz="6" w:space="0" w:color="969696"/>
              <w:right w:val="nil"/>
            </w:tcBorders>
            <w:vAlign w:val="center"/>
          </w:tcPr>
          <w:p w14:paraId="66F90116" w14:textId="77777777" w:rsidR="00F76607" w:rsidRDefault="001863F0">
            <w:pPr>
              <w:rPr>
                <w:sz w:val="18"/>
                <w:szCs w:val="18"/>
              </w:rPr>
            </w:pPr>
            <w:r>
              <w:rPr>
                <w:sz w:val="18"/>
                <w:szCs w:val="18"/>
              </w:rPr>
              <w:t> </w:t>
            </w:r>
          </w:p>
        </w:tc>
      </w:tr>
      <w:tr w:rsidR="00F76607" w14:paraId="16EC980C" w14:textId="77777777">
        <w:trPr>
          <w:trHeight w:val="247"/>
        </w:trPr>
        <w:tc>
          <w:tcPr>
            <w:tcW w:w="1873" w:type="dxa"/>
            <w:tcBorders>
              <w:top w:val="single" w:sz="6" w:space="0" w:color="969696"/>
              <w:left w:val="nil"/>
              <w:bottom w:val="single" w:sz="6" w:space="0" w:color="969696"/>
              <w:right w:val="nil"/>
            </w:tcBorders>
            <w:vAlign w:val="center"/>
          </w:tcPr>
          <w:p w14:paraId="46FFF1EF" w14:textId="77777777" w:rsidR="00F76607" w:rsidRDefault="001863F0">
            <w:pPr>
              <w:rPr>
                <w:sz w:val="18"/>
                <w:szCs w:val="18"/>
                <w:lang w:val="nl-BE"/>
              </w:rPr>
            </w:pPr>
            <w:r>
              <w:rPr>
                <w:sz w:val="18"/>
                <w:szCs w:val="18"/>
                <w:lang w:val="nl-BE"/>
              </w:rPr>
              <w:t xml:space="preserve">VGP Park </w:t>
            </w:r>
            <w:proofErr w:type="spellStart"/>
            <w:r>
              <w:rPr>
                <w:sz w:val="18"/>
                <w:szCs w:val="18"/>
                <w:lang w:val="nl-BE"/>
              </w:rPr>
              <w:t>Ústí</w:t>
            </w:r>
            <w:proofErr w:type="spellEnd"/>
            <w:r>
              <w:rPr>
                <w:sz w:val="18"/>
                <w:szCs w:val="18"/>
                <w:lang w:val="nl-BE"/>
              </w:rPr>
              <w:t xml:space="preserve"> </w:t>
            </w:r>
            <w:proofErr w:type="spellStart"/>
            <w:r>
              <w:rPr>
                <w:sz w:val="18"/>
                <w:szCs w:val="18"/>
                <w:lang w:val="nl-BE"/>
              </w:rPr>
              <w:t>nad</w:t>
            </w:r>
            <w:proofErr w:type="spellEnd"/>
            <w:r>
              <w:rPr>
                <w:sz w:val="18"/>
                <w:szCs w:val="18"/>
                <w:lang w:val="nl-BE"/>
              </w:rPr>
              <w:t xml:space="preserve"> </w:t>
            </w:r>
            <w:proofErr w:type="spellStart"/>
            <w:r>
              <w:rPr>
                <w:sz w:val="18"/>
                <w:szCs w:val="18"/>
                <w:lang w:val="nl-BE"/>
              </w:rPr>
              <w:t>Labem</w:t>
            </w:r>
            <w:proofErr w:type="spellEnd"/>
            <w:r>
              <w:rPr>
                <w:sz w:val="18"/>
                <w:szCs w:val="18"/>
                <w:lang w:val="nl-BE"/>
              </w:rPr>
              <w:t xml:space="preserve"> </w:t>
            </w:r>
          </w:p>
        </w:tc>
        <w:tc>
          <w:tcPr>
            <w:tcW w:w="709" w:type="dxa"/>
            <w:tcBorders>
              <w:top w:val="single" w:sz="6" w:space="0" w:color="969696"/>
              <w:left w:val="nil"/>
              <w:bottom w:val="single" w:sz="6" w:space="0" w:color="969696"/>
              <w:right w:val="nil"/>
            </w:tcBorders>
            <w:vAlign w:val="center"/>
          </w:tcPr>
          <w:p w14:paraId="63F13DCE"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38DCFBD3" w14:textId="77777777" w:rsidR="00F76607" w:rsidRDefault="001863F0">
            <w:pPr>
              <w:jc w:val="right"/>
              <w:rPr>
                <w:sz w:val="18"/>
                <w:szCs w:val="18"/>
              </w:rPr>
            </w:pPr>
            <w:r>
              <w:rPr>
                <w:sz w:val="18"/>
                <w:szCs w:val="18"/>
              </w:rPr>
              <w:t>141,968</w:t>
            </w:r>
          </w:p>
        </w:tc>
        <w:tc>
          <w:tcPr>
            <w:tcW w:w="1134" w:type="dxa"/>
            <w:tcBorders>
              <w:top w:val="single" w:sz="6" w:space="0" w:color="969696"/>
              <w:left w:val="nil"/>
              <w:bottom w:val="single" w:sz="6" w:space="0" w:color="969696"/>
              <w:right w:val="nil"/>
            </w:tcBorders>
            <w:vAlign w:val="center"/>
          </w:tcPr>
          <w:p w14:paraId="10B5AE63" w14:textId="77777777" w:rsidR="00F76607" w:rsidRDefault="001863F0">
            <w:pPr>
              <w:jc w:val="right"/>
              <w:rPr>
                <w:sz w:val="18"/>
                <w:szCs w:val="18"/>
              </w:rPr>
            </w:pPr>
            <w:r>
              <w:rPr>
                <w:sz w:val="18"/>
                <w:szCs w:val="18"/>
              </w:rPr>
              <w:t>19,727</w:t>
            </w:r>
          </w:p>
        </w:tc>
        <w:tc>
          <w:tcPr>
            <w:tcW w:w="1134" w:type="dxa"/>
            <w:tcBorders>
              <w:top w:val="single" w:sz="6" w:space="0" w:color="969696"/>
              <w:left w:val="nil"/>
              <w:bottom w:val="single" w:sz="6" w:space="0" w:color="969696"/>
              <w:right w:val="nil"/>
            </w:tcBorders>
            <w:vAlign w:val="center"/>
          </w:tcPr>
          <w:p w14:paraId="24EFD28D"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1F6D22BF" w14:textId="77777777" w:rsidR="00F76607" w:rsidRDefault="001863F0">
            <w:pPr>
              <w:jc w:val="right"/>
              <w:rPr>
                <w:sz w:val="18"/>
                <w:szCs w:val="18"/>
              </w:rPr>
            </w:pPr>
            <w:r>
              <w:rPr>
                <w:sz w:val="18"/>
                <w:szCs w:val="18"/>
              </w:rPr>
              <w:t>21,112</w:t>
            </w:r>
          </w:p>
        </w:tc>
        <w:tc>
          <w:tcPr>
            <w:tcW w:w="1134" w:type="dxa"/>
            <w:tcBorders>
              <w:top w:val="single" w:sz="6" w:space="0" w:color="969696"/>
              <w:left w:val="nil"/>
              <w:bottom w:val="single" w:sz="6" w:space="0" w:color="969696"/>
              <w:right w:val="nil"/>
            </w:tcBorders>
            <w:vAlign w:val="center"/>
          </w:tcPr>
          <w:p w14:paraId="38DAC3B7" w14:textId="77777777" w:rsidR="00F76607" w:rsidRDefault="001863F0">
            <w:pPr>
              <w:jc w:val="right"/>
              <w:rPr>
                <w:sz w:val="18"/>
                <w:szCs w:val="18"/>
              </w:rPr>
            </w:pPr>
            <w:r>
              <w:rPr>
                <w:sz w:val="18"/>
                <w:szCs w:val="18"/>
              </w:rPr>
              <w:t>40,839</w:t>
            </w:r>
          </w:p>
        </w:tc>
        <w:tc>
          <w:tcPr>
            <w:tcW w:w="992" w:type="dxa"/>
            <w:tcBorders>
              <w:top w:val="single" w:sz="6" w:space="0" w:color="969696"/>
              <w:left w:val="nil"/>
              <w:bottom w:val="single" w:sz="6" w:space="0" w:color="969696"/>
              <w:right w:val="nil"/>
            </w:tcBorders>
            <w:vAlign w:val="center"/>
          </w:tcPr>
          <w:p w14:paraId="3B932483" w14:textId="77777777" w:rsidR="00F76607" w:rsidRDefault="001863F0">
            <w:pPr>
              <w:jc w:val="right"/>
              <w:rPr>
                <w:sz w:val="18"/>
                <w:szCs w:val="18"/>
              </w:rPr>
            </w:pPr>
            <w:r>
              <w:rPr>
                <w:sz w:val="18"/>
                <w:szCs w:val="18"/>
              </w:rPr>
              <w:t xml:space="preserve">1.9 </w:t>
            </w:r>
          </w:p>
        </w:tc>
      </w:tr>
      <w:tr w:rsidR="00F76607" w14:paraId="3B4E8700" w14:textId="77777777">
        <w:trPr>
          <w:trHeight w:val="247"/>
        </w:trPr>
        <w:tc>
          <w:tcPr>
            <w:tcW w:w="1873" w:type="dxa"/>
            <w:tcBorders>
              <w:top w:val="single" w:sz="6" w:space="0" w:color="969696"/>
              <w:left w:val="nil"/>
              <w:bottom w:val="single" w:sz="6" w:space="0" w:color="969696"/>
              <w:right w:val="nil"/>
            </w:tcBorders>
            <w:vAlign w:val="center"/>
          </w:tcPr>
          <w:p w14:paraId="0D91D1C4" w14:textId="77777777" w:rsidR="00F76607" w:rsidRDefault="001863F0">
            <w:pPr>
              <w:rPr>
                <w:sz w:val="18"/>
                <w:szCs w:val="18"/>
              </w:rPr>
            </w:pPr>
            <w:r>
              <w:rPr>
                <w:sz w:val="18"/>
                <w:szCs w:val="18"/>
              </w:rPr>
              <w:t>VGP Park Olomouc</w:t>
            </w:r>
          </w:p>
        </w:tc>
        <w:tc>
          <w:tcPr>
            <w:tcW w:w="709" w:type="dxa"/>
            <w:tcBorders>
              <w:top w:val="single" w:sz="6" w:space="0" w:color="969696"/>
              <w:left w:val="nil"/>
              <w:bottom w:val="single" w:sz="6" w:space="0" w:color="969696"/>
              <w:right w:val="nil"/>
            </w:tcBorders>
            <w:vAlign w:val="center"/>
          </w:tcPr>
          <w:p w14:paraId="2E28F1AB"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73CC0010" w14:textId="77777777" w:rsidR="00F76607" w:rsidRDefault="001863F0">
            <w:pPr>
              <w:jc w:val="right"/>
              <w:rPr>
                <w:sz w:val="18"/>
                <w:szCs w:val="18"/>
              </w:rPr>
            </w:pPr>
            <w:r>
              <w:rPr>
                <w:sz w:val="18"/>
                <w:szCs w:val="18"/>
              </w:rPr>
              <w:t>350,344</w:t>
            </w:r>
          </w:p>
        </w:tc>
        <w:tc>
          <w:tcPr>
            <w:tcW w:w="1134" w:type="dxa"/>
            <w:tcBorders>
              <w:top w:val="single" w:sz="6" w:space="0" w:color="969696"/>
              <w:left w:val="nil"/>
              <w:bottom w:val="single" w:sz="6" w:space="0" w:color="969696"/>
              <w:right w:val="nil"/>
            </w:tcBorders>
            <w:vAlign w:val="center"/>
          </w:tcPr>
          <w:p w14:paraId="742B68EF" w14:textId="77777777" w:rsidR="00F76607" w:rsidRDefault="001863F0">
            <w:pPr>
              <w:jc w:val="right"/>
              <w:rPr>
                <w:sz w:val="18"/>
                <w:szCs w:val="18"/>
              </w:rPr>
            </w:pPr>
            <w:r>
              <w:rPr>
                <w:sz w:val="18"/>
                <w:szCs w:val="18"/>
              </w:rPr>
              <w:t>14,627</w:t>
            </w:r>
          </w:p>
        </w:tc>
        <w:tc>
          <w:tcPr>
            <w:tcW w:w="1134" w:type="dxa"/>
            <w:tcBorders>
              <w:top w:val="single" w:sz="6" w:space="0" w:color="969696"/>
              <w:left w:val="nil"/>
              <w:bottom w:val="single" w:sz="6" w:space="0" w:color="969696"/>
              <w:right w:val="nil"/>
            </w:tcBorders>
            <w:vAlign w:val="center"/>
          </w:tcPr>
          <w:p w14:paraId="4065943B" w14:textId="77777777" w:rsidR="00F76607" w:rsidRDefault="001863F0">
            <w:pPr>
              <w:jc w:val="right"/>
              <w:rPr>
                <w:sz w:val="18"/>
                <w:szCs w:val="18"/>
              </w:rPr>
            </w:pPr>
            <w:r>
              <w:rPr>
                <w:sz w:val="18"/>
                <w:szCs w:val="18"/>
              </w:rPr>
              <w:t>27,262</w:t>
            </w:r>
          </w:p>
        </w:tc>
        <w:tc>
          <w:tcPr>
            <w:tcW w:w="1134" w:type="dxa"/>
            <w:tcBorders>
              <w:top w:val="single" w:sz="6" w:space="0" w:color="969696"/>
              <w:left w:val="nil"/>
              <w:bottom w:val="single" w:sz="6" w:space="0" w:color="969696"/>
              <w:right w:val="nil"/>
            </w:tcBorders>
            <w:vAlign w:val="center"/>
          </w:tcPr>
          <w:p w14:paraId="13F47B92" w14:textId="77777777" w:rsidR="00F76607" w:rsidRDefault="001863F0">
            <w:pPr>
              <w:jc w:val="right"/>
              <w:rPr>
                <w:sz w:val="18"/>
                <w:szCs w:val="18"/>
              </w:rPr>
            </w:pPr>
            <w:r>
              <w:rPr>
                <w:sz w:val="18"/>
                <w:szCs w:val="18"/>
              </w:rPr>
              <w:t>111,130</w:t>
            </w:r>
          </w:p>
        </w:tc>
        <w:tc>
          <w:tcPr>
            <w:tcW w:w="1134" w:type="dxa"/>
            <w:tcBorders>
              <w:top w:val="single" w:sz="6" w:space="0" w:color="969696"/>
              <w:left w:val="nil"/>
              <w:bottom w:val="single" w:sz="6" w:space="0" w:color="969696"/>
              <w:right w:val="nil"/>
            </w:tcBorders>
            <w:vAlign w:val="center"/>
          </w:tcPr>
          <w:p w14:paraId="2535453D" w14:textId="77777777" w:rsidR="00F76607" w:rsidRDefault="001863F0">
            <w:pPr>
              <w:jc w:val="right"/>
              <w:rPr>
                <w:sz w:val="18"/>
                <w:szCs w:val="18"/>
              </w:rPr>
            </w:pPr>
            <w:r>
              <w:rPr>
                <w:sz w:val="18"/>
                <w:szCs w:val="18"/>
              </w:rPr>
              <w:t>153,019</w:t>
            </w:r>
          </w:p>
        </w:tc>
        <w:tc>
          <w:tcPr>
            <w:tcW w:w="992" w:type="dxa"/>
            <w:tcBorders>
              <w:top w:val="single" w:sz="6" w:space="0" w:color="969696"/>
              <w:left w:val="nil"/>
              <w:bottom w:val="single" w:sz="6" w:space="0" w:color="969696"/>
              <w:right w:val="nil"/>
            </w:tcBorders>
            <w:vAlign w:val="center"/>
          </w:tcPr>
          <w:p w14:paraId="07AE0DA7" w14:textId="77777777" w:rsidR="00F76607" w:rsidRDefault="001863F0">
            <w:pPr>
              <w:jc w:val="right"/>
              <w:rPr>
                <w:sz w:val="18"/>
                <w:szCs w:val="18"/>
              </w:rPr>
            </w:pPr>
            <w:r>
              <w:rPr>
                <w:sz w:val="18"/>
                <w:szCs w:val="18"/>
              </w:rPr>
              <w:t xml:space="preserve">1.6 </w:t>
            </w:r>
          </w:p>
        </w:tc>
      </w:tr>
      <w:tr w:rsidR="00F76607" w14:paraId="3E350382" w14:textId="77777777">
        <w:trPr>
          <w:trHeight w:val="247"/>
        </w:trPr>
        <w:tc>
          <w:tcPr>
            <w:tcW w:w="1873" w:type="dxa"/>
            <w:tcBorders>
              <w:top w:val="single" w:sz="6" w:space="0" w:color="969696"/>
              <w:left w:val="nil"/>
              <w:bottom w:val="single" w:sz="6" w:space="0" w:color="969696"/>
              <w:right w:val="nil"/>
            </w:tcBorders>
            <w:vAlign w:val="center"/>
          </w:tcPr>
          <w:p w14:paraId="4E9DE1D7" w14:textId="77777777" w:rsidR="00F76607" w:rsidRDefault="001863F0">
            <w:pPr>
              <w:rPr>
                <w:sz w:val="18"/>
                <w:szCs w:val="18"/>
              </w:rPr>
            </w:pPr>
            <w:r>
              <w:rPr>
                <w:sz w:val="18"/>
                <w:szCs w:val="18"/>
              </w:rPr>
              <w:t xml:space="preserve">VGP Park </w:t>
            </w:r>
            <w:proofErr w:type="spellStart"/>
            <w:r>
              <w:rPr>
                <w:sz w:val="18"/>
                <w:szCs w:val="18"/>
              </w:rPr>
              <w:t>Jenec</w:t>
            </w:r>
            <w:proofErr w:type="spellEnd"/>
          </w:p>
        </w:tc>
        <w:tc>
          <w:tcPr>
            <w:tcW w:w="709" w:type="dxa"/>
            <w:tcBorders>
              <w:top w:val="single" w:sz="6" w:space="0" w:color="969696"/>
              <w:left w:val="nil"/>
              <w:bottom w:val="single" w:sz="6" w:space="0" w:color="969696"/>
              <w:right w:val="nil"/>
            </w:tcBorders>
            <w:vAlign w:val="center"/>
          </w:tcPr>
          <w:p w14:paraId="19EDE2F4"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5628690E" w14:textId="77777777" w:rsidR="00F76607" w:rsidRDefault="001863F0">
            <w:pPr>
              <w:jc w:val="right"/>
              <w:rPr>
                <w:sz w:val="18"/>
                <w:szCs w:val="18"/>
              </w:rPr>
            </w:pPr>
            <w:r>
              <w:rPr>
                <w:sz w:val="18"/>
                <w:szCs w:val="18"/>
              </w:rPr>
              <w:t>173,859</w:t>
            </w:r>
          </w:p>
        </w:tc>
        <w:tc>
          <w:tcPr>
            <w:tcW w:w="1134" w:type="dxa"/>
            <w:tcBorders>
              <w:top w:val="single" w:sz="6" w:space="0" w:color="969696"/>
              <w:left w:val="nil"/>
              <w:bottom w:val="single" w:sz="6" w:space="0" w:color="969696"/>
              <w:right w:val="nil"/>
            </w:tcBorders>
            <w:vAlign w:val="center"/>
          </w:tcPr>
          <w:p w14:paraId="675323B0"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7B8CFC76" w14:textId="77777777" w:rsidR="00F76607" w:rsidRDefault="001863F0">
            <w:pPr>
              <w:jc w:val="right"/>
              <w:rPr>
                <w:sz w:val="18"/>
                <w:szCs w:val="18"/>
              </w:rPr>
            </w:pPr>
            <w:r>
              <w:rPr>
                <w:sz w:val="18"/>
                <w:szCs w:val="18"/>
              </w:rPr>
              <w:t>69,734</w:t>
            </w:r>
          </w:p>
        </w:tc>
        <w:tc>
          <w:tcPr>
            <w:tcW w:w="1134" w:type="dxa"/>
            <w:tcBorders>
              <w:top w:val="single" w:sz="6" w:space="0" w:color="969696"/>
              <w:left w:val="nil"/>
              <w:bottom w:val="single" w:sz="6" w:space="0" w:color="969696"/>
              <w:right w:val="nil"/>
            </w:tcBorders>
            <w:vAlign w:val="center"/>
          </w:tcPr>
          <w:p w14:paraId="6ABE3FCA"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1FA20B37" w14:textId="77777777" w:rsidR="00F76607" w:rsidRDefault="001863F0">
            <w:pPr>
              <w:jc w:val="right"/>
              <w:rPr>
                <w:sz w:val="18"/>
                <w:szCs w:val="18"/>
              </w:rPr>
            </w:pPr>
            <w:r>
              <w:rPr>
                <w:sz w:val="18"/>
                <w:szCs w:val="18"/>
              </w:rPr>
              <w:t>69,734</w:t>
            </w:r>
          </w:p>
        </w:tc>
        <w:tc>
          <w:tcPr>
            <w:tcW w:w="992" w:type="dxa"/>
            <w:tcBorders>
              <w:top w:val="single" w:sz="6" w:space="0" w:color="969696"/>
              <w:left w:val="nil"/>
              <w:bottom w:val="single" w:sz="6" w:space="0" w:color="969696"/>
              <w:right w:val="nil"/>
            </w:tcBorders>
            <w:vAlign w:val="center"/>
          </w:tcPr>
          <w:p w14:paraId="269506DD" w14:textId="77777777" w:rsidR="00F76607" w:rsidRDefault="001863F0">
            <w:pPr>
              <w:jc w:val="right"/>
              <w:rPr>
                <w:sz w:val="18"/>
                <w:szCs w:val="18"/>
              </w:rPr>
            </w:pPr>
            <w:r>
              <w:rPr>
                <w:sz w:val="18"/>
                <w:szCs w:val="18"/>
              </w:rPr>
              <w:t xml:space="preserve">2.8 </w:t>
            </w:r>
          </w:p>
        </w:tc>
      </w:tr>
      <w:tr w:rsidR="00F76607" w14:paraId="52367479" w14:textId="77777777">
        <w:trPr>
          <w:trHeight w:val="247"/>
        </w:trPr>
        <w:tc>
          <w:tcPr>
            <w:tcW w:w="1873" w:type="dxa"/>
            <w:tcBorders>
              <w:top w:val="single" w:sz="6" w:space="0" w:color="969696"/>
              <w:left w:val="nil"/>
              <w:bottom w:val="single" w:sz="6" w:space="0" w:color="969696"/>
              <w:right w:val="nil"/>
            </w:tcBorders>
            <w:vAlign w:val="center"/>
          </w:tcPr>
          <w:p w14:paraId="12D4670C" w14:textId="7A0D3D57" w:rsidR="00F76607" w:rsidRDefault="001863F0">
            <w:pPr>
              <w:rPr>
                <w:sz w:val="18"/>
                <w:szCs w:val="18"/>
              </w:rPr>
            </w:pPr>
            <w:r>
              <w:rPr>
                <w:sz w:val="18"/>
                <w:szCs w:val="18"/>
              </w:rPr>
              <w:t xml:space="preserve">VGP Park </w:t>
            </w:r>
            <w:proofErr w:type="spellStart"/>
            <w:r>
              <w:rPr>
                <w:sz w:val="18"/>
                <w:szCs w:val="18"/>
              </w:rPr>
              <w:t>Chom</w:t>
            </w:r>
            <w:r w:rsidR="00940375">
              <w:rPr>
                <w:sz w:val="18"/>
                <w:szCs w:val="18"/>
              </w:rPr>
              <w:t>u</w:t>
            </w:r>
            <w:r>
              <w:rPr>
                <w:sz w:val="18"/>
                <w:szCs w:val="18"/>
              </w:rPr>
              <w:t>tov</w:t>
            </w:r>
            <w:proofErr w:type="spellEnd"/>
          </w:p>
        </w:tc>
        <w:tc>
          <w:tcPr>
            <w:tcW w:w="709" w:type="dxa"/>
            <w:tcBorders>
              <w:top w:val="single" w:sz="6" w:space="0" w:color="969696"/>
              <w:left w:val="nil"/>
              <w:bottom w:val="single" w:sz="6" w:space="0" w:color="969696"/>
              <w:right w:val="nil"/>
            </w:tcBorders>
            <w:vAlign w:val="center"/>
          </w:tcPr>
          <w:p w14:paraId="79820282"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0BA73C8D" w14:textId="77777777" w:rsidR="00F76607" w:rsidRDefault="001863F0">
            <w:pPr>
              <w:jc w:val="right"/>
              <w:rPr>
                <w:sz w:val="18"/>
                <w:szCs w:val="18"/>
              </w:rPr>
            </w:pPr>
            <w:r>
              <w:rPr>
                <w:sz w:val="18"/>
                <w:szCs w:val="18"/>
              </w:rPr>
              <w:t>95,057</w:t>
            </w:r>
          </w:p>
        </w:tc>
        <w:tc>
          <w:tcPr>
            <w:tcW w:w="1134" w:type="dxa"/>
            <w:tcBorders>
              <w:top w:val="single" w:sz="6" w:space="0" w:color="969696"/>
              <w:left w:val="nil"/>
              <w:bottom w:val="single" w:sz="6" w:space="0" w:color="969696"/>
              <w:right w:val="nil"/>
            </w:tcBorders>
            <w:vAlign w:val="center"/>
          </w:tcPr>
          <w:p w14:paraId="29CAA280"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5DC8C198" w14:textId="77777777" w:rsidR="00F76607" w:rsidRDefault="001863F0">
            <w:pPr>
              <w:jc w:val="right"/>
              <w:rPr>
                <w:sz w:val="18"/>
                <w:szCs w:val="18"/>
              </w:rPr>
            </w:pPr>
            <w:r>
              <w:rPr>
                <w:sz w:val="18"/>
                <w:szCs w:val="18"/>
              </w:rPr>
              <w:t>33,029</w:t>
            </w:r>
          </w:p>
        </w:tc>
        <w:tc>
          <w:tcPr>
            <w:tcW w:w="1134" w:type="dxa"/>
            <w:tcBorders>
              <w:top w:val="single" w:sz="6" w:space="0" w:color="969696"/>
              <w:left w:val="nil"/>
              <w:bottom w:val="single" w:sz="6" w:space="0" w:color="969696"/>
              <w:right w:val="nil"/>
            </w:tcBorders>
            <w:vAlign w:val="center"/>
          </w:tcPr>
          <w:p w14:paraId="79B7CDCA" w14:textId="77777777" w:rsidR="00F76607" w:rsidRDefault="001863F0">
            <w:pPr>
              <w:jc w:val="right"/>
              <w:rPr>
                <w:sz w:val="18"/>
                <w:szCs w:val="18"/>
              </w:rPr>
            </w:pPr>
            <w:r>
              <w:rPr>
                <w:sz w:val="18"/>
                <w:szCs w:val="18"/>
              </w:rPr>
              <w:t>16,779</w:t>
            </w:r>
          </w:p>
        </w:tc>
        <w:tc>
          <w:tcPr>
            <w:tcW w:w="1134" w:type="dxa"/>
            <w:tcBorders>
              <w:top w:val="single" w:sz="6" w:space="0" w:color="969696"/>
              <w:left w:val="nil"/>
              <w:bottom w:val="single" w:sz="6" w:space="0" w:color="969696"/>
              <w:right w:val="nil"/>
            </w:tcBorders>
            <w:vAlign w:val="center"/>
          </w:tcPr>
          <w:p w14:paraId="1B5EBBF7" w14:textId="77777777" w:rsidR="00F76607" w:rsidRDefault="001863F0">
            <w:pPr>
              <w:jc w:val="right"/>
              <w:rPr>
                <w:sz w:val="18"/>
                <w:szCs w:val="18"/>
              </w:rPr>
            </w:pPr>
            <w:r>
              <w:rPr>
                <w:sz w:val="18"/>
                <w:szCs w:val="18"/>
              </w:rPr>
              <w:t>49,808</w:t>
            </w:r>
          </w:p>
        </w:tc>
        <w:tc>
          <w:tcPr>
            <w:tcW w:w="992" w:type="dxa"/>
            <w:tcBorders>
              <w:top w:val="single" w:sz="6" w:space="0" w:color="969696"/>
              <w:left w:val="nil"/>
              <w:bottom w:val="single" w:sz="6" w:space="0" w:color="969696"/>
              <w:right w:val="nil"/>
            </w:tcBorders>
            <w:vAlign w:val="center"/>
          </w:tcPr>
          <w:p w14:paraId="1C5DB6B1" w14:textId="77777777" w:rsidR="00F76607" w:rsidRDefault="001863F0">
            <w:pPr>
              <w:jc w:val="right"/>
              <w:rPr>
                <w:sz w:val="18"/>
                <w:szCs w:val="18"/>
              </w:rPr>
            </w:pPr>
            <w:r>
              <w:rPr>
                <w:sz w:val="18"/>
                <w:szCs w:val="18"/>
              </w:rPr>
              <w:t xml:space="preserve">0.6 </w:t>
            </w:r>
          </w:p>
        </w:tc>
      </w:tr>
      <w:tr w:rsidR="00F76607" w14:paraId="21297F85" w14:textId="77777777">
        <w:trPr>
          <w:trHeight w:val="247"/>
        </w:trPr>
        <w:tc>
          <w:tcPr>
            <w:tcW w:w="1873" w:type="dxa"/>
            <w:tcBorders>
              <w:top w:val="single" w:sz="6" w:space="0" w:color="969696"/>
              <w:left w:val="nil"/>
              <w:bottom w:val="single" w:sz="6" w:space="0" w:color="969696"/>
              <w:right w:val="nil"/>
            </w:tcBorders>
            <w:vAlign w:val="center"/>
          </w:tcPr>
          <w:p w14:paraId="0E1F2D70" w14:textId="77777777" w:rsidR="00F76607" w:rsidRDefault="001863F0">
            <w:pPr>
              <w:rPr>
                <w:sz w:val="18"/>
                <w:szCs w:val="18"/>
              </w:rPr>
            </w:pPr>
            <w:r>
              <w:rPr>
                <w:sz w:val="18"/>
                <w:szCs w:val="18"/>
              </w:rPr>
              <w:t> </w:t>
            </w:r>
          </w:p>
        </w:tc>
        <w:tc>
          <w:tcPr>
            <w:tcW w:w="709" w:type="dxa"/>
            <w:tcBorders>
              <w:top w:val="single" w:sz="6" w:space="0" w:color="969696"/>
              <w:left w:val="nil"/>
              <w:bottom w:val="single" w:sz="6" w:space="0" w:color="969696"/>
              <w:right w:val="nil"/>
            </w:tcBorders>
            <w:vAlign w:val="center"/>
          </w:tcPr>
          <w:p w14:paraId="5D1ECF3E" w14:textId="77777777" w:rsidR="00F76607" w:rsidRDefault="001863F0">
            <w:pPr>
              <w:jc w:val="cente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02016827" w14:textId="77777777" w:rsidR="00F76607" w:rsidRDefault="001863F0">
            <w:pPr>
              <w:jc w:val="right"/>
              <w:rPr>
                <w:b/>
                <w:bCs/>
                <w:sz w:val="18"/>
                <w:szCs w:val="18"/>
              </w:rPr>
            </w:pPr>
            <w:r>
              <w:rPr>
                <w:b/>
                <w:bCs/>
                <w:sz w:val="18"/>
                <w:szCs w:val="18"/>
              </w:rPr>
              <w:t>761,228</w:t>
            </w:r>
          </w:p>
        </w:tc>
        <w:tc>
          <w:tcPr>
            <w:tcW w:w="1134" w:type="dxa"/>
            <w:tcBorders>
              <w:top w:val="single" w:sz="6" w:space="0" w:color="969696"/>
              <w:left w:val="nil"/>
              <w:bottom w:val="single" w:sz="6" w:space="0" w:color="969696"/>
              <w:right w:val="nil"/>
            </w:tcBorders>
            <w:vAlign w:val="center"/>
          </w:tcPr>
          <w:p w14:paraId="0B053F7E" w14:textId="77777777" w:rsidR="00F76607" w:rsidRDefault="001863F0">
            <w:pPr>
              <w:jc w:val="right"/>
              <w:rPr>
                <w:b/>
                <w:bCs/>
                <w:sz w:val="18"/>
                <w:szCs w:val="18"/>
              </w:rPr>
            </w:pPr>
            <w:r>
              <w:rPr>
                <w:b/>
                <w:bCs/>
                <w:sz w:val="18"/>
                <w:szCs w:val="18"/>
              </w:rPr>
              <w:t>34,354</w:t>
            </w:r>
          </w:p>
        </w:tc>
        <w:tc>
          <w:tcPr>
            <w:tcW w:w="1134" w:type="dxa"/>
            <w:tcBorders>
              <w:top w:val="single" w:sz="6" w:space="0" w:color="969696"/>
              <w:left w:val="nil"/>
              <w:bottom w:val="single" w:sz="6" w:space="0" w:color="969696"/>
              <w:right w:val="nil"/>
            </w:tcBorders>
            <w:vAlign w:val="center"/>
          </w:tcPr>
          <w:p w14:paraId="63617567" w14:textId="77777777" w:rsidR="00F76607" w:rsidRDefault="001863F0">
            <w:pPr>
              <w:jc w:val="right"/>
              <w:rPr>
                <w:b/>
                <w:bCs/>
                <w:sz w:val="18"/>
                <w:szCs w:val="18"/>
              </w:rPr>
            </w:pPr>
            <w:r>
              <w:rPr>
                <w:b/>
                <w:bCs/>
                <w:sz w:val="18"/>
                <w:szCs w:val="18"/>
              </w:rPr>
              <w:t>130,025</w:t>
            </w:r>
          </w:p>
        </w:tc>
        <w:tc>
          <w:tcPr>
            <w:tcW w:w="1134" w:type="dxa"/>
            <w:tcBorders>
              <w:top w:val="single" w:sz="6" w:space="0" w:color="969696"/>
              <w:left w:val="nil"/>
              <w:bottom w:val="single" w:sz="6" w:space="0" w:color="969696"/>
              <w:right w:val="nil"/>
            </w:tcBorders>
            <w:vAlign w:val="center"/>
          </w:tcPr>
          <w:p w14:paraId="2CE1DCD5" w14:textId="77777777" w:rsidR="00F76607" w:rsidRDefault="001863F0">
            <w:pPr>
              <w:jc w:val="right"/>
              <w:rPr>
                <w:b/>
                <w:bCs/>
                <w:sz w:val="18"/>
                <w:szCs w:val="18"/>
              </w:rPr>
            </w:pPr>
            <w:r>
              <w:rPr>
                <w:b/>
                <w:bCs/>
                <w:sz w:val="18"/>
                <w:szCs w:val="18"/>
              </w:rPr>
              <w:t>149,021</w:t>
            </w:r>
          </w:p>
        </w:tc>
        <w:tc>
          <w:tcPr>
            <w:tcW w:w="1134" w:type="dxa"/>
            <w:tcBorders>
              <w:top w:val="single" w:sz="6" w:space="0" w:color="969696"/>
              <w:left w:val="nil"/>
              <w:bottom w:val="single" w:sz="6" w:space="0" w:color="969696"/>
              <w:right w:val="nil"/>
            </w:tcBorders>
            <w:vAlign w:val="center"/>
          </w:tcPr>
          <w:p w14:paraId="6FE19B90" w14:textId="77777777" w:rsidR="00F76607" w:rsidRDefault="001863F0">
            <w:pPr>
              <w:jc w:val="right"/>
              <w:rPr>
                <w:b/>
                <w:bCs/>
                <w:sz w:val="18"/>
                <w:szCs w:val="18"/>
              </w:rPr>
            </w:pPr>
            <w:r>
              <w:rPr>
                <w:b/>
                <w:bCs/>
                <w:sz w:val="18"/>
                <w:szCs w:val="18"/>
              </w:rPr>
              <w:t>313,400</w:t>
            </w:r>
          </w:p>
        </w:tc>
        <w:tc>
          <w:tcPr>
            <w:tcW w:w="992" w:type="dxa"/>
            <w:tcBorders>
              <w:top w:val="single" w:sz="6" w:space="0" w:color="969696"/>
              <w:left w:val="nil"/>
              <w:bottom w:val="single" w:sz="6" w:space="0" w:color="969696"/>
              <w:right w:val="nil"/>
            </w:tcBorders>
            <w:vAlign w:val="center"/>
          </w:tcPr>
          <w:p w14:paraId="3D19C864" w14:textId="77777777" w:rsidR="00F76607" w:rsidRDefault="001863F0">
            <w:pPr>
              <w:jc w:val="right"/>
              <w:rPr>
                <w:b/>
                <w:bCs/>
                <w:sz w:val="18"/>
                <w:szCs w:val="18"/>
              </w:rPr>
            </w:pPr>
            <w:r>
              <w:rPr>
                <w:b/>
                <w:bCs/>
                <w:sz w:val="18"/>
                <w:szCs w:val="18"/>
              </w:rPr>
              <w:t xml:space="preserve">6.9 </w:t>
            </w:r>
          </w:p>
        </w:tc>
      </w:tr>
      <w:tr w:rsidR="00F76607" w14:paraId="26D7D83B" w14:textId="77777777">
        <w:trPr>
          <w:trHeight w:val="247"/>
        </w:trPr>
        <w:tc>
          <w:tcPr>
            <w:tcW w:w="1873" w:type="dxa"/>
            <w:tcBorders>
              <w:top w:val="single" w:sz="6" w:space="0" w:color="969696"/>
              <w:left w:val="nil"/>
              <w:bottom w:val="single" w:sz="6" w:space="0" w:color="969696"/>
              <w:right w:val="nil"/>
            </w:tcBorders>
            <w:vAlign w:val="center"/>
          </w:tcPr>
          <w:p w14:paraId="500DC6F7" w14:textId="77777777" w:rsidR="00F76607" w:rsidRDefault="001863F0">
            <w:pPr>
              <w:rPr>
                <w:b/>
                <w:bCs/>
                <w:sz w:val="18"/>
                <w:szCs w:val="18"/>
              </w:rPr>
            </w:pPr>
            <w:r>
              <w:rPr>
                <w:b/>
                <w:bCs/>
                <w:sz w:val="18"/>
                <w:szCs w:val="18"/>
              </w:rPr>
              <w:t>Other Countries</w:t>
            </w:r>
          </w:p>
        </w:tc>
        <w:tc>
          <w:tcPr>
            <w:tcW w:w="709" w:type="dxa"/>
            <w:tcBorders>
              <w:top w:val="single" w:sz="6" w:space="0" w:color="969696"/>
              <w:left w:val="nil"/>
              <w:bottom w:val="single" w:sz="6" w:space="0" w:color="969696"/>
              <w:right w:val="nil"/>
            </w:tcBorders>
            <w:vAlign w:val="center"/>
          </w:tcPr>
          <w:p w14:paraId="3B96CDAB" w14:textId="77777777" w:rsidR="00F76607" w:rsidRDefault="001863F0">
            <w:pPr>
              <w:jc w:val="cente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235CEE18"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3F26C172"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4CD80B21"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172FCD3A"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1FE0F48D" w14:textId="77777777" w:rsidR="00F76607" w:rsidRDefault="00F76607">
            <w:pPr>
              <w:rPr>
                <w:b/>
                <w:bCs/>
                <w:sz w:val="18"/>
                <w:szCs w:val="18"/>
              </w:rPr>
            </w:pPr>
          </w:p>
        </w:tc>
        <w:tc>
          <w:tcPr>
            <w:tcW w:w="992" w:type="dxa"/>
            <w:tcBorders>
              <w:top w:val="single" w:sz="6" w:space="0" w:color="969696"/>
              <w:left w:val="nil"/>
              <w:bottom w:val="single" w:sz="6" w:space="0" w:color="969696"/>
              <w:right w:val="nil"/>
            </w:tcBorders>
            <w:vAlign w:val="center"/>
          </w:tcPr>
          <w:p w14:paraId="14128DD5" w14:textId="77777777" w:rsidR="00F76607" w:rsidRDefault="001863F0">
            <w:pPr>
              <w:rPr>
                <w:b/>
                <w:bCs/>
                <w:sz w:val="18"/>
                <w:szCs w:val="18"/>
              </w:rPr>
            </w:pPr>
            <w:r>
              <w:rPr>
                <w:b/>
                <w:bCs/>
                <w:sz w:val="18"/>
                <w:szCs w:val="18"/>
              </w:rPr>
              <w:t> </w:t>
            </w:r>
          </w:p>
        </w:tc>
      </w:tr>
      <w:tr w:rsidR="00F76607" w14:paraId="6EA0C0FC" w14:textId="77777777">
        <w:trPr>
          <w:trHeight w:val="247"/>
        </w:trPr>
        <w:tc>
          <w:tcPr>
            <w:tcW w:w="1873" w:type="dxa"/>
            <w:tcBorders>
              <w:top w:val="single" w:sz="6" w:space="0" w:color="969696"/>
              <w:left w:val="nil"/>
              <w:bottom w:val="single" w:sz="6" w:space="0" w:color="969696"/>
              <w:right w:val="nil"/>
            </w:tcBorders>
            <w:vAlign w:val="center"/>
          </w:tcPr>
          <w:p w14:paraId="418F1D96" w14:textId="77777777" w:rsidR="00F76607" w:rsidRDefault="001863F0">
            <w:pPr>
              <w:rPr>
                <w:sz w:val="18"/>
                <w:szCs w:val="18"/>
              </w:rPr>
            </w:pPr>
            <w:r>
              <w:rPr>
                <w:sz w:val="18"/>
                <w:szCs w:val="18"/>
              </w:rPr>
              <w:t>VGP Park Bratislava (Slovakia)</w:t>
            </w:r>
          </w:p>
        </w:tc>
        <w:tc>
          <w:tcPr>
            <w:tcW w:w="709" w:type="dxa"/>
            <w:tcBorders>
              <w:top w:val="single" w:sz="6" w:space="0" w:color="969696"/>
              <w:left w:val="nil"/>
              <w:bottom w:val="single" w:sz="6" w:space="0" w:color="969696"/>
              <w:right w:val="nil"/>
            </w:tcBorders>
            <w:vAlign w:val="center"/>
          </w:tcPr>
          <w:p w14:paraId="2A6EC847"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77061BE3" w14:textId="77777777" w:rsidR="00F76607" w:rsidRDefault="001863F0">
            <w:pPr>
              <w:jc w:val="right"/>
              <w:rPr>
                <w:sz w:val="18"/>
                <w:szCs w:val="18"/>
              </w:rPr>
            </w:pPr>
            <w:r>
              <w:rPr>
                <w:sz w:val="18"/>
                <w:szCs w:val="18"/>
              </w:rPr>
              <w:t>419,316</w:t>
            </w:r>
          </w:p>
        </w:tc>
        <w:tc>
          <w:tcPr>
            <w:tcW w:w="1134" w:type="dxa"/>
            <w:tcBorders>
              <w:top w:val="single" w:sz="6" w:space="0" w:color="969696"/>
              <w:left w:val="nil"/>
              <w:bottom w:val="single" w:sz="6" w:space="0" w:color="969696"/>
              <w:right w:val="nil"/>
            </w:tcBorders>
            <w:vAlign w:val="center"/>
          </w:tcPr>
          <w:p w14:paraId="4068DA56"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118CED49"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6677CD67" w14:textId="77777777" w:rsidR="00F76607" w:rsidRDefault="001863F0">
            <w:pPr>
              <w:jc w:val="right"/>
              <w:rPr>
                <w:sz w:val="18"/>
                <w:szCs w:val="18"/>
              </w:rPr>
            </w:pPr>
            <w:r>
              <w:rPr>
                <w:sz w:val="18"/>
                <w:szCs w:val="18"/>
              </w:rPr>
              <w:t>205,384</w:t>
            </w:r>
          </w:p>
        </w:tc>
        <w:tc>
          <w:tcPr>
            <w:tcW w:w="1134" w:type="dxa"/>
            <w:tcBorders>
              <w:top w:val="single" w:sz="6" w:space="0" w:color="969696"/>
              <w:left w:val="nil"/>
              <w:bottom w:val="single" w:sz="6" w:space="0" w:color="969696"/>
              <w:right w:val="nil"/>
            </w:tcBorders>
            <w:vAlign w:val="center"/>
          </w:tcPr>
          <w:p w14:paraId="1D0FD7FD" w14:textId="77777777" w:rsidR="00F76607" w:rsidRDefault="001863F0">
            <w:pPr>
              <w:jc w:val="right"/>
              <w:rPr>
                <w:sz w:val="18"/>
                <w:szCs w:val="18"/>
              </w:rPr>
            </w:pPr>
            <w:r>
              <w:rPr>
                <w:sz w:val="18"/>
                <w:szCs w:val="18"/>
              </w:rPr>
              <w:t>205,384</w:t>
            </w:r>
          </w:p>
        </w:tc>
        <w:tc>
          <w:tcPr>
            <w:tcW w:w="992" w:type="dxa"/>
            <w:tcBorders>
              <w:top w:val="single" w:sz="6" w:space="0" w:color="969696"/>
              <w:left w:val="nil"/>
              <w:bottom w:val="single" w:sz="6" w:space="0" w:color="969696"/>
              <w:right w:val="nil"/>
            </w:tcBorders>
            <w:vAlign w:val="center"/>
          </w:tcPr>
          <w:p w14:paraId="03DDCA26" w14:textId="77777777" w:rsidR="00F76607" w:rsidRDefault="001863F0">
            <w:pPr>
              <w:jc w:val="right"/>
              <w:rPr>
                <w:sz w:val="18"/>
                <w:szCs w:val="18"/>
              </w:rPr>
            </w:pPr>
            <w:r>
              <w:rPr>
                <w:sz w:val="18"/>
                <w:szCs w:val="18"/>
              </w:rPr>
              <w:t xml:space="preserve">- </w:t>
            </w:r>
          </w:p>
        </w:tc>
      </w:tr>
      <w:tr w:rsidR="00F76607" w14:paraId="090AA4BF" w14:textId="77777777">
        <w:trPr>
          <w:trHeight w:val="247"/>
        </w:trPr>
        <w:tc>
          <w:tcPr>
            <w:tcW w:w="1873" w:type="dxa"/>
            <w:tcBorders>
              <w:top w:val="single" w:sz="6" w:space="0" w:color="969696"/>
              <w:left w:val="nil"/>
              <w:bottom w:val="single" w:sz="6" w:space="0" w:color="969696"/>
              <w:right w:val="nil"/>
            </w:tcBorders>
            <w:vAlign w:val="center"/>
          </w:tcPr>
          <w:p w14:paraId="281871B1" w14:textId="77777777" w:rsidR="00F76607" w:rsidRDefault="001863F0">
            <w:pPr>
              <w:rPr>
                <w:sz w:val="18"/>
                <w:szCs w:val="18"/>
              </w:rPr>
            </w:pPr>
            <w:r>
              <w:rPr>
                <w:sz w:val="18"/>
                <w:szCs w:val="18"/>
              </w:rPr>
              <w:t>VGP Park Timisoara (Romania)</w:t>
            </w:r>
          </w:p>
        </w:tc>
        <w:tc>
          <w:tcPr>
            <w:tcW w:w="709" w:type="dxa"/>
            <w:tcBorders>
              <w:top w:val="single" w:sz="6" w:space="0" w:color="969696"/>
              <w:left w:val="nil"/>
              <w:bottom w:val="single" w:sz="6" w:space="0" w:color="969696"/>
              <w:right w:val="nil"/>
            </w:tcBorders>
            <w:vAlign w:val="center"/>
          </w:tcPr>
          <w:p w14:paraId="4CCE6DBD"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2654CEB8" w14:textId="77777777" w:rsidR="00F76607" w:rsidRDefault="001863F0">
            <w:pPr>
              <w:jc w:val="right"/>
              <w:rPr>
                <w:sz w:val="18"/>
                <w:szCs w:val="18"/>
              </w:rPr>
            </w:pPr>
            <w:r>
              <w:rPr>
                <w:sz w:val="18"/>
                <w:szCs w:val="18"/>
              </w:rPr>
              <w:t>279,291</w:t>
            </w:r>
          </w:p>
        </w:tc>
        <w:tc>
          <w:tcPr>
            <w:tcW w:w="1134" w:type="dxa"/>
            <w:tcBorders>
              <w:top w:val="single" w:sz="6" w:space="0" w:color="969696"/>
              <w:left w:val="nil"/>
              <w:bottom w:val="single" w:sz="6" w:space="0" w:color="969696"/>
              <w:right w:val="nil"/>
            </w:tcBorders>
            <w:vAlign w:val="center"/>
          </w:tcPr>
          <w:p w14:paraId="1E8B2144" w14:textId="77777777" w:rsidR="00F76607" w:rsidRDefault="001863F0">
            <w:pPr>
              <w:jc w:val="right"/>
              <w:rPr>
                <w:sz w:val="18"/>
                <w:szCs w:val="18"/>
              </w:rPr>
            </w:pPr>
            <w:r>
              <w:rPr>
                <w:sz w:val="18"/>
                <w:szCs w:val="18"/>
              </w:rPr>
              <w:t>71,644</w:t>
            </w:r>
          </w:p>
        </w:tc>
        <w:tc>
          <w:tcPr>
            <w:tcW w:w="1134" w:type="dxa"/>
            <w:tcBorders>
              <w:top w:val="single" w:sz="6" w:space="0" w:color="969696"/>
              <w:left w:val="nil"/>
              <w:bottom w:val="single" w:sz="6" w:space="0" w:color="969696"/>
              <w:right w:val="nil"/>
            </w:tcBorders>
            <w:vAlign w:val="center"/>
          </w:tcPr>
          <w:p w14:paraId="5A87FEED"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2E4BA00B" w14:textId="77777777" w:rsidR="00F76607" w:rsidRDefault="001863F0">
            <w:pPr>
              <w:jc w:val="right"/>
              <w:rPr>
                <w:sz w:val="18"/>
                <w:szCs w:val="18"/>
              </w:rPr>
            </w:pPr>
            <w:r>
              <w:rPr>
                <w:sz w:val="18"/>
                <w:szCs w:val="18"/>
              </w:rPr>
              <w:t>51,160</w:t>
            </w:r>
          </w:p>
        </w:tc>
        <w:tc>
          <w:tcPr>
            <w:tcW w:w="1134" w:type="dxa"/>
            <w:tcBorders>
              <w:top w:val="single" w:sz="6" w:space="0" w:color="969696"/>
              <w:left w:val="nil"/>
              <w:bottom w:val="single" w:sz="6" w:space="0" w:color="969696"/>
              <w:right w:val="nil"/>
            </w:tcBorders>
            <w:vAlign w:val="center"/>
          </w:tcPr>
          <w:p w14:paraId="26478696" w14:textId="77777777" w:rsidR="00F76607" w:rsidRDefault="001863F0">
            <w:pPr>
              <w:jc w:val="right"/>
              <w:rPr>
                <w:sz w:val="18"/>
                <w:szCs w:val="18"/>
              </w:rPr>
            </w:pPr>
            <w:r>
              <w:rPr>
                <w:sz w:val="18"/>
                <w:szCs w:val="18"/>
              </w:rPr>
              <w:t>122,804</w:t>
            </w:r>
          </w:p>
        </w:tc>
        <w:tc>
          <w:tcPr>
            <w:tcW w:w="992" w:type="dxa"/>
            <w:tcBorders>
              <w:top w:val="single" w:sz="6" w:space="0" w:color="969696"/>
              <w:left w:val="nil"/>
              <w:bottom w:val="single" w:sz="6" w:space="0" w:color="969696"/>
              <w:right w:val="nil"/>
            </w:tcBorders>
            <w:vAlign w:val="center"/>
          </w:tcPr>
          <w:p w14:paraId="2102F200" w14:textId="77777777" w:rsidR="00F76607" w:rsidRDefault="001863F0">
            <w:pPr>
              <w:jc w:val="right"/>
              <w:rPr>
                <w:sz w:val="18"/>
                <w:szCs w:val="18"/>
              </w:rPr>
            </w:pPr>
            <w:r>
              <w:rPr>
                <w:sz w:val="18"/>
                <w:szCs w:val="18"/>
              </w:rPr>
              <w:t xml:space="preserve">3.3 </w:t>
            </w:r>
          </w:p>
        </w:tc>
      </w:tr>
      <w:tr w:rsidR="00F76607" w14:paraId="4463E694" w14:textId="77777777">
        <w:trPr>
          <w:trHeight w:val="247"/>
        </w:trPr>
        <w:tc>
          <w:tcPr>
            <w:tcW w:w="1873" w:type="dxa"/>
            <w:tcBorders>
              <w:top w:val="single" w:sz="6" w:space="0" w:color="969696"/>
              <w:left w:val="nil"/>
              <w:bottom w:val="single" w:sz="6" w:space="0" w:color="969696"/>
              <w:right w:val="nil"/>
            </w:tcBorders>
            <w:vAlign w:val="center"/>
          </w:tcPr>
          <w:p w14:paraId="785EF672" w14:textId="02DE362F" w:rsidR="00F76607" w:rsidRDefault="001863F0">
            <w:pPr>
              <w:rPr>
                <w:sz w:val="18"/>
                <w:szCs w:val="18"/>
              </w:rPr>
            </w:pPr>
            <w:r>
              <w:rPr>
                <w:sz w:val="18"/>
                <w:szCs w:val="18"/>
              </w:rPr>
              <w:t>VGP Park</w:t>
            </w:r>
            <w:r w:rsidR="00FF2ECC">
              <w:rPr>
                <w:sz w:val="18"/>
                <w:szCs w:val="18"/>
              </w:rPr>
              <w:t xml:space="preserve"> </w:t>
            </w:r>
            <w:r>
              <w:rPr>
                <w:sz w:val="18"/>
                <w:szCs w:val="18"/>
              </w:rPr>
              <w:t>Sibiu (Romania)</w:t>
            </w:r>
          </w:p>
        </w:tc>
        <w:tc>
          <w:tcPr>
            <w:tcW w:w="709" w:type="dxa"/>
            <w:tcBorders>
              <w:top w:val="single" w:sz="6" w:space="0" w:color="969696"/>
              <w:left w:val="nil"/>
              <w:bottom w:val="single" w:sz="6" w:space="0" w:color="969696"/>
              <w:right w:val="nil"/>
            </w:tcBorders>
            <w:vAlign w:val="center"/>
          </w:tcPr>
          <w:p w14:paraId="6E21630E"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11E202CE" w14:textId="77777777" w:rsidR="00F76607" w:rsidRDefault="001863F0">
            <w:pPr>
              <w:jc w:val="right"/>
              <w:rPr>
                <w:sz w:val="18"/>
                <w:szCs w:val="18"/>
              </w:rPr>
            </w:pPr>
            <w:r>
              <w:rPr>
                <w:sz w:val="18"/>
                <w:szCs w:val="18"/>
              </w:rPr>
              <w:t>97,036</w:t>
            </w:r>
          </w:p>
        </w:tc>
        <w:tc>
          <w:tcPr>
            <w:tcW w:w="1134" w:type="dxa"/>
            <w:tcBorders>
              <w:top w:val="single" w:sz="6" w:space="0" w:color="969696"/>
              <w:left w:val="nil"/>
              <w:bottom w:val="single" w:sz="6" w:space="0" w:color="969696"/>
              <w:right w:val="nil"/>
            </w:tcBorders>
            <w:vAlign w:val="center"/>
          </w:tcPr>
          <w:p w14:paraId="26924FE9"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56106487"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4DED6270" w14:textId="77777777" w:rsidR="00F76607" w:rsidRDefault="001863F0">
            <w:pPr>
              <w:jc w:val="right"/>
              <w:rPr>
                <w:sz w:val="18"/>
                <w:szCs w:val="18"/>
              </w:rPr>
            </w:pPr>
            <w:r>
              <w:rPr>
                <w:sz w:val="18"/>
                <w:szCs w:val="18"/>
              </w:rPr>
              <w:t>46,166</w:t>
            </w:r>
          </w:p>
        </w:tc>
        <w:tc>
          <w:tcPr>
            <w:tcW w:w="1134" w:type="dxa"/>
            <w:tcBorders>
              <w:top w:val="single" w:sz="6" w:space="0" w:color="969696"/>
              <w:left w:val="nil"/>
              <w:bottom w:val="single" w:sz="6" w:space="0" w:color="969696"/>
              <w:right w:val="nil"/>
            </w:tcBorders>
            <w:vAlign w:val="center"/>
          </w:tcPr>
          <w:p w14:paraId="26E642E6" w14:textId="77777777" w:rsidR="00F76607" w:rsidRDefault="001863F0">
            <w:pPr>
              <w:jc w:val="right"/>
              <w:rPr>
                <w:sz w:val="18"/>
                <w:szCs w:val="18"/>
              </w:rPr>
            </w:pPr>
            <w:r>
              <w:rPr>
                <w:sz w:val="18"/>
                <w:szCs w:val="18"/>
              </w:rPr>
              <w:t>46,166</w:t>
            </w:r>
          </w:p>
        </w:tc>
        <w:tc>
          <w:tcPr>
            <w:tcW w:w="992" w:type="dxa"/>
            <w:tcBorders>
              <w:top w:val="single" w:sz="6" w:space="0" w:color="969696"/>
              <w:left w:val="nil"/>
              <w:bottom w:val="single" w:sz="6" w:space="0" w:color="969696"/>
              <w:right w:val="nil"/>
            </w:tcBorders>
            <w:vAlign w:val="center"/>
          </w:tcPr>
          <w:p w14:paraId="6AA12DB8" w14:textId="77777777" w:rsidR="00F76607" w:rsidRDefault="001863F0">
            <w:pPr>
              <w:jc w:val="right"/>
              <w:rPr>
                <w:sz w:val="18"/>
                <w:szCs w:val="18"/>
              </w:rPr>
            </w:pPr>
            <w:r>
              <w:rPr>
                <w:sz w:val="18"/>
                <w:szCs w:val="18"/>
              </w:rPr>
              <w:t xml:space="preserve">- </w:t>
            </w:r>
          </w:p>
        </w:tc>
      </w:tr>
      <w:tr w:rsidR="00F76607" w14:paraId="0A32B809" w14:textId="77777777">
        <w:trPr>
          <w:trHeight w:val="247"/>
        </w:trPr>
        <w:tc>
          <w:tcPr>
            <w:tcW w:w="1873" w:type="dxa"/>
            <w:tcBorders>
              <w:top w:val="single" w:sz="6" w:space="0" w:color="969696"/>
              <w:left w:val="nil"/>
              <w:bottom w:val="single" w:sz="6" w:space="0" w:color="969696"/>
              <w:right w:val="nil"/>
            </w:tcBorders>
            <w:vAlign w:val="center"/>
          </w:tcPr>
          <w:p w14:paraId="47918379" w14:textId="77777777" w:rsidR="00F76607" w:rsidRDefault="001863F0">
            <w:pPr>
              <w:rPr>
                <w:sz w:val="18"/>
                <w:szCs w:val="18"/>
              </w:rPr>
            </w:pPr>
            <w:r>
              <w:rPr>
                <w:sz w:val="18"/>
                <w:szCs w:val="18"/>
              </w:rPr>
              <w:t xml:space="preserve">VGP Park </w:t>
            </w:r>
            <w:proofErr w:type="spellStart"/>
            <w:r>
              <w:rPr>
                <w:sz w:val="18"/>
                <w:szCs w:val="18"/>
              </w:rPr>
              <w:t>Nehatu</w:t>
            </w:r>
            <w:proofErr w:type="spellEnd"/>
            <w:r>
              <w:rPr>
                <w:sz w:val="18"/>
                <w:szCs w:val="18"/>
              </w:rPr>
              <w:t xml:space="preserve"> (Estonia)*</w:t>
            </w:r>
          </w:p>
        </w:tc>
        <w:tc>
          <w:tcPr>
            <w:tcW w:w="709" w:type="dxa"/>
            <w:tcBorders>
              <w:top w:val="single" w:sz="6" w:space="0" w:color="969696"/>
              <w:left w:val="nil"/>
              <w:bottom w:val="single" w:sz="6" w:space="0" w:color="969696"/>
              <w:right w:val="nil"/>
            </w:tcBorders>
            <w:vAlign w:val="center"/>
          </w:tcPr>
          <w:p w14:paraId="346D8C47"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69AB5908" w14:textId="77777777" w:rsidR="00F76607" w:rsidRDefault="001863F0">
            <w:pPr>
              <w:jc w:val="right"/>
              <w:rPr>
                <w:sz w:val="18"/>
                <w:szCs w:val="18"/>
              </w:rPr>
            </w:pPr>
            <w:r>
              <w:rPr>
                <w:sz w:val="18"/>
                <w:szCs w:val="18"/>
              </w:rPr>
              <w:t>155,450</w:t>
            </w:r>
          </w:p>
        </w:tc>
        <w:tc>
          <w:tcPr>
            <w:tcW w:w="1134" w:type="dxa"/>
            <w:tcBorders>
              <w:top w:val="single" w:sz="6" w:space="0" w:color="969696"/>
              <w:left w:val="nil"/>
              <w:bottom w:val="single" w:sz="6" w:space="0" w:color="969696"/>
              <w:right w:val="nil"/>
            </w:tcBorders>
            <w:vAlign w:val="center"/>
          </w:tcPr>
          <w:p w14:paraId="6D836E8E" w14:textId="77777777" w:rsidR="00F76607" w:rsidRDefault="001863F0">
            <w:pPr>
              <w:jc w:val="right"/>
              <w:rPr>
                <w:sz w:val="18"/>
                <w:szCs w:val="18"/>
              </w:rPr>
            </w:pPr>
            <w:r>
              <w:rPr>
                <w:sz w:val="18"/>
                <w:szCs w:val="18"/>
              </w:rPr>
              <w:t>65,625</w:t>
            </w:r>
          </w:p>
        </w:tc>
        <w:tc>
          <w:tcPr>
            <w:tcW w:w="1134" w:type="dxa"/>
            <w:tcBorders>
              <w:top w:val="single" w:sz="6" w:space="0" w:color="969696"/>
              <w:left w:val="nil"/>
              <w:bottom w:val="single" w:sz="6" w:space="0" w:color="969696"/>
              <w:right w:val="nil"/>
            </w:tcBorders>
            <w:vAlign w:val="center"/>
          </w:tcPr>
          <w:p w14:paraId="663537F1" w14:textId="77777777" w:rsidR="00F76607" w:rsidRDefault="001863F0">
            <w:pPr>
              <w:jc w:val="right"/>
              <w:rPr>
                <w:sz w:val="18"/>
                <w:szCs w:val="18"/>
              </w:rPr>
            </w:pPr>
            <w:r>
              <w:rPr>
                <w:sz w:val="18"/>
                <w:szCs w:val="18"/>
              </w:rPr>
              <w:t>11,415</w:t>
            </w:r>
          </w:p>
        </w:tc>
        <w:tc>
          <w:tcPr>
            <w:tcW w:w="1134" w:type="dxa"/>
            <w:tcBorders>
              <w:top w:val="single" w:sz="6" w:space="0" w:color="969696"/>
              <w:left w:val="nil"/>
              <w:bottom w:val="single" w:sz="6" w:space="0" w:color="969696"/>
              <w:right w:val="nil"/>
            </w:tcBorders>
            <w:vAlign w:val="center"/>
          </w:tcPr>
          <w:p w14:paraId="22B00A38"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5684CEE0" w14:textId="77777777" w:rsidR="00F76607" w:rsidRDefault="001863F0">
            <w:pPr>
              <w:jc w:val="right"/>
              <w:rPr>
                <w:sz w:val="18"/>
                <w:szCs w:val="18"/>
              </w:rPr>
            </w:pPr>
            <w:r>
              <w:rPr>
                <w:sz w:val="18"/>
                <w:szCs w:val="18"/>
              </w:rPr>
              <w:t>77,040</w:t>
            </w:r>
          </w:p>
        </w:tc>
        <w:tc>
          <w:tcPr>
            <w:tcW w:w="992" w:type="dxa"/>
            <w:tcBorders>
              <w:top w:val="single" w:sz="6" w:space="0" w:color="969696"/>
              <w:left w:val="nil"/>
              <w:bottom w:val="single" w:sz="6" w:space="0" w:color="969696"/>
              <w:right w:val="nil"/>
            </w:tcBorders>
            <w:vAlign w:val="center"/>
          </w:tcPr>
          <w:p w14:paraId="40013A9F" w14:textId="77777777" w:rsidR="00F76607" w:rsidRDefault="001863F0">
            <w:pPr>
              <w:jc w:val="right"/>
              <w:rPr>
                <w:sz w:val="18"/>
                <w:szCs w:val="18"/>
              </w:rPr>
            </w:pPr>
            <w:r>
              <w:rPr>
                <w:sz w:val="18"/>
                <w:szCs w:val="18"/>
              </w:rPr>
              <w:t xml:space="preserve">4.2 </w:t>
            </w:r>
          </w:p>
        </w:tc>
      </w:tr>
      <w:tr w:rsidR="00F76607" w14:paraId="615BF70E" w14:textId="77777777">
        <w:trPr>
          <w:trHeight w:val="247"/>
        </w:trPr>
        <w:tc>
          <w:tcPr>
            <w:tcW w:w="1873" w:type="dxa"/>
            <w:tcBorders>
              <w:top w:val="single" w:sz="6" w:space="0" w:color="969696"/>
              <w:left w:val="nil"/>
              <w:bottom w:val="single" w:sz="6" w:space="0" w:color="969696"/>
              <w:right w:val="nil"/>
            </w:tcBorders>
            <w:vAlign w:val="center"/>
          </w:tcPr>
          <w:p w14:paraId="56CAF5AE" w14:textId="77777777" w:rsidR="00F76607" w:rsidRDefault="001863F0">
            <w:pPr>
              <w:rPr>
                <w:sz w:val="18"/>
                <w:szCs w:val="18"/>
              </w:rPr>
            </w:pPr>
            <w:r>
              <w:rPr>
                <w:sz w:val="18"/>
                <w:szCs w:val="18"/>
              </w:rPr>
              <w:t xml:space="preserve">VGP Park </w:t>
            </w:r>
            <w:proofErr w:type="spellStart"/>
            <w:r>
              <w:rPr>
                <w:sz w:val="18"/>
                <w:szCs w:val="18"/>
              </w:rPr>
              <w:t>Kekava</w:t>
            </w:r>
            <w:proofErr w:type="spellEnd"/>
            <w:r>
              <w:rPr>
                <w:sz w:val="18"/>
                <w:szCs w:val="18"/>
              </w:rPr>
              <w:t xml:space="preserve"> (Latvia)</w:t>
            </w:r>
          </w:p>
        </w:tc>
        <w:tc>
          <w:tcPr>
            <w:tcW w:w="709" w:type="dxa"/>
            <w:tcBorders>
              <w:top w:val="single" w:sz="6" w:space="0" w:color="969696"/>
              <w:left w:val="nil"/>
              <w:bottom w:val="single" w:sz="6" w:space="0" w:color="969696"/>
              <w:right w:val="nil"/>
            </w:tcBorders>
            <w:vAlign w:val="center"/>
          </w:tcPr>
          <w:p w14:paraId="433FE7D5"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05ADA522" w14:textId="77777777" w:rsidR="00F76607" w:rsidRDefault="001863F0">
            <w:pPr>
              <w:jc w:val="right"/>
              <w:rPr>
                <w:sz w:val="18"/>
                <w:szCs w:val="18"/>
              </w:rPr>
            </w:pPr>
            <w:r>
              <w:rPr>
                <w:sz w:val="18"/>
                <w:szCs w:val="18"/>
              </w:rPr>
              <w:t>146,873</w:t>
            </w:r>
          </w:p>
        </w:tc>
        <w:tc>
          <w:tcPr>
            <w:tcW w:w="1134" w:type="dxa"/>
            <w:tcBorders>
              <w:top w:val="single" w:sz="6" w:space="0" w:color="969696"/>
              <w:left w:val="nil"/>
              <w:bottom w:val="single" w:sz="6" w:space="0" w:color="969696"/>
              <w:right w:val="nil"/>
            </w:tcBorders>
            <w:vAlign w:val="center"/>
          </w:tcPr>
          <w:p w14:paraId="71A4B927"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57600906" w14:textId="77777777" w:rsidR="00F76607" w:rsidRDefault="001863F0">
            <w:pPr>
              <w:jc w:val="right"/>
              <w:rPr>
                <w:sz w:val="18"/>
                <w:szCs w:val="18"/>
              </w:rPr>
            </w:pPr>
            <w:r>
              <w:rPr>
                <w:sz w:val="18"/>
                <w:szCs w:val="18"/>
              </w:rPr>
              <w:t>20,152</w:t>
            </w:r>
          </w:p>
        </w:tc>
        <w:tc>
          <w:tcPr>
            <w:tcW w:w="1134" w:type="dxa"/>
            <w:tcBorders>
              <w:top w:val="single" w:sz="6" w:space="0" w:color="969696"/>
              <w:left w:val="nil"/>
              <w:bottom w:val="single" w:sz="6" w:space="0" w:color="969696"/>
              <w:right w:val="nil"/>
            </w:tcBorders>
            <w:vAlign w:val="center"/>
          </w:tcPr>
          <w:p w14:paraId="1A470EC3" w14:textId="77777777" w:rsidR="00F76607" w:rsidRDefault="001863F0">
            <w:pPr>
              <w:jc w:val="right"/>
              <w:rPr>
                <w:sz w:val="18"/>
                <w:szCs w:val="18"/>
              </w:rPr>
            </w:pPr>
            <w:r>
              <w:rPr>
                <w:sz w:val="18"/>
                <w:szCs w:val="18"/>
              </w:rPr>
              <w:t>40,320</w:t>
            </w:r>
          </w:p>
        </w:tc>
        <w:tc>
          <w:tcPr>
            <w:tcW w:w="1134" w:type="dxa"/>
            <w:tcBorders>
              <w:top w:val="single" w:sz="6" w:space="0" w:color="969696"/>
              <w:left w:val="nil"/>
              <w:bottom w:val="single" w:sz="6" w:space="0" w:color="969696"/>
              <w:right w:val="nil"/>
            </w:tcBorders>
            <w:vAlign w:val="center"/>
          </w:tcPr>
          <w:p w14:paraId="330E11AD" w14:textId="77777777" w:rsidR="00F76607" w:rsidRDefault="001863F0">
            <w:pPr>
              <w:jc w:val="right"/>
              <w:rPr>
                <w:sz w:val="18"/>
                <w:szCs w:val="18"/>
              </w:rPr>
            </w:pPr>
            <w:r>
              <w:rPr>
                <w:sz w:val="18"/>
                <w:szCs w:val="18"/>
              </w:rPr>
              <w:t>60,472</w:t>
            </w:r>
          </w:p>
        </w:tc>
        <w:tc>
          <w:tcPr>
            <w:tcW w:w="992" w:type="dxa"/>
            <w:tcBorders>
              <w:top w:val="single" w:sz="6" w:space="0" w:color="969696"/>
              <w:left w:val="nil"/>
              <w:bottom w:val="single" w:sz="6" w:space="0" w:color="969696"/>
              <w:right w:val="nil"/>
            </w:tcBorders>
            <w:vAlign w:val="center"/>
          </w:tcPr>
          <w:p w14:paraId="3DC8F496" w14:textId="77777777" w:rsidR="00F76607" w:rsidRDefault="001863F0">
            <w:pPr>
              <w:jc w:val="right"/>
              <w:rPr>
                <w:sz w:val="18"/>
                <w:szCs w:val="18"/>
              </w:rPr>
            </w:pPr>
            <w:r>
              <w:rPr>
                <w:sz w:val="18"/>
                <w:szCs w:val="18"/>
              </w:rPr>
              <w:t xml:space="preserve">- </w:t>
            </w:r>
          </w:p>
        </w:tc>
      </w:tr>
      <w:tr w:rsidR="00F76607" w14:paraId="4A4A59F8" w14:textId="77777777">
        <w:trPr>
          <w:trHeight w:val="247"/>
        </w:trPr>
        <w:tc>
          <w:tcPr>
            <w:tcW w:w="1873" w:type="dxa"/>
            <w:tcBorders>
              <w:top w:val="single" w:sz="6" w:space="0" w:color="969696"/>
              <w:left w:val="nil"/>
              <w:bottom w:val="single" w:sz="6" w:space="0" w:color="969696"/>
              <w:right w:val="nil"/>
            </w:tcBorders>
            <w:vAlign w:val="center"/>
          </w:tcPr>
          <w:p w14:paraId="2021C8C0" w14:textId="77777777" w:rsidR="00F76607" w:rsidRDefault="001863F0">
            <w:pPr>
              <w:rPr>
                <w:sz w:val="18"/>
                <w:szCs w:val="18"/>
              </w:rPr>
            </w:pPr>
            <w:r>
              <w:rPr>
                <w:sz w:val="18"/>
                <w:szCs w:val="18"/>
              </w:rPr>
              <w:t>VGP Park San Fernando (Spain)</w:t>
            </w:r>
          </w:p>
        </w:tc>
        <w:tc>
          <w:tcPr>
            <w:tcW w:w="709" w:type="dxa"/>
            <w:tcBorders>
              <w:top w:val="single" w:sz="6" w:space="0" w:color="969696"/>
              <w:left w:val="nil"/>
              <w:bottom w:val="single" w:sz="6" w:space="0" w:color="969696"/>
              <w:right w:val="nil"/>
            </w:tcBorders>
            <w:vAlign w:val="center"/>
          </w:tcPr>
          <w:p w14:paraId="4B1F4078"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08F929D1" w14:textId="77777777" w:rsidR="00F76607" w:rsidRDefault="001863F0">
            <w:pPr>
              <w:jc w:val="right"/>
              <w:rPr>
                <w:sz w:val="18"/>
                <w:szCs w:val="18"/>
              </w:rPr>
            </w:pPr>
            <w:r>
              <w:rPr>
                <w:sz w:val="18"/>
                <w:szCs w:val="18"/>
              </w:rPr>
              <w:t>222,666</w:t>
            </w:r>
          </w:p>
        </w:tc>
        <w:tc>
          <w:tcPr>
            <w:tcW w:w="1134" w:type="dxa"/>
            <w:tcBorders>
              <w:top w:val="single" w:sz="6" w:space="0" w:color="969696"/>
              <w:left w:val="nil"/>
              <w:bottom w:val="single" w:sz="6" w:space="0" w:color="969696"/>
              <w:right w:val="nil"/>
            </w:tcBorders>
            <w:vAlign w:val="center"/>
          </w:tcPr>
          <w:p w14:paraId="59C5F1D1"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19DAD64A" w14:textId="77777777" w:rsidR="00F76607" w:rsidRDefault="001863F0">
            <w:pPr>
              <w:jc w:val="right"/>
              <w:rPr>
                <w:sz w:val="18"/>
                <w:szCs w:val="18"/>
              </w:rPr>
            </w:pPr>
            <w:r>
              <w:rPr>
                <w:sz w:val="18"/>
                <w:szCs w:val="18"/>
              </w:rPr>
              <w:t>22,980</w:t>
            </w:r>
          </w:p>
        </w:tc>
        <w:tc>
          <w:tcPr>
            <w:tcW w:w="1134" w:type="dxa"/>
            <w:tcBorders>
              <w:top w:val="single" w:sz="6" w:space="0" w:color="969696"/>
              <w:left w:val="nil"/>
              <w:bottom w:val="single" w:sz="6" w:space="0" w:color="969696"/>
              <w:right w:val="nil"/>
            </w:tcBorders>
            <w:vAlign w:val="center"/>
          </w:tcPr>
          <w:p w14:paraId="7B5B95EB" w14:textId="77777777" w:rsidR="00F76607" w:rsidRDefault="001863F0">
            <w:pPr>
              <w:jc w:val="right"/>
              <w:rPr>
                <w:sz w:val="18"/>
                <w:szCs w:val="18"/>
              </w:rPr>
            </w:pPr>
            <w:r>
              <w:rPr>
                <w:sz w:val="18"/>
                <w:szCs w:val="18"/>
              </w:rPr>
              <w:t>111,784</w:t>
            </w:r>
          </w:p>
        </w:tc>
        <w:tc>
          <w:tcPr>
            <w:tcW w:w="1134" w:type="dxa"/>
            <w:tcBorders>
              <w:top w:val="single" w:sz="6" w:space="0" w:color="969696"/>
              <w:left w:val="nil"/>
              <w:bottom w:val="single" w:sz="6" w:space="0" w:color="969696"/>
              <w:right w:val="nil"/>
            </w:tcBorders>
            <w:vAlign w:val="center"/>
          </w:tcPr>
          <w:p w14:paraId="03934BB1" w14:textId="77777777" w:rsidR="00F76607" w:rsidRDefault="001863F0">
            <w:pPr>
              <w:jc w:val="right"/>
              <w:rPr>
                <w:sz w:val="18"/>
                <w:szCs w:val="18"/>
              </w:rPr>
            </w:pPr>
            <w:r>
              <w:rPr>
                <w:sz w:val="18"/>
                <w:szCs w:val="18"/>
              </w:rPr>
              <w:t>134,764</w:t>
            </w:r>
          </w:p>
        </w:tc>
        <w:tc>
          <w:tcPr>
            <w:tcW w:w="992" w:type="dxa"/>
            <w:tcBorders>
              <w:top w:val="single" w:sz="6" w:space="0" w:color="969696"/>
              <w:left w:val="nil"/>
              <w:bottom w:val="single" w:sz="6" w:space="0" w:color="969696"/>
              <w:right w:val="nil"/>
            </w:tcBorders>
            <w:vAlign w:val="center"/>
          </w:tcPr>
          <w:p w14:paraId="44CB6765" w14:textId="77777777" w:rsidR="00F76607" w:rsidRDefault="001863F0">
            <w:pPr>
              <w:jc w:val="right"/>
              <w:rPr>
                <w:sz w:val="18"/>
                <w:szCs w:val="18"/>
              </w:rPr>
            </w:pPr>
            <w:r>
              <w:rPr>
                <w:sz w:val="18"/>
                <w:szCs w:val="18"/>
              </w:rPr>
              <w:t xml:space="preserve"> </w:t>
            </w:r>
          </w:p>
        </w:tc>
      </w:tr>
      <w:tr w:rsidR="00F76607" w14:paraId="19EECA21" w14:textId="77777777">
        <w:trPr>
          <w:trHeight w:val="247"/>
        </w:trPr>
        <w:tc>
          <w:tcPr>
            <w:tcW w:w="1873" w:type="dxa"/>
            <w:tcBorders>
              <w:top w:val="single" w:sz="6" w:space="0" w:color="969696"/>
              <w:left w:val="nil"/>
              <w:bottom w:val="single" w:sz="6" w:space="0" w:color="969696"/>
              <w:right w:val="nil"/>
            </w:tcBorders>
            <w:vAlign w:val="center"/>
          </w:tcPr>
          <w:p w14:paraId="216A557D" w14:textId="77777777" w:rsidR="00F76607" w:rsidRDefault="001863F0">
            <w:pPr>
              <w:rPr>
                <w:sz w:val="18"/>
                <w:szCs w:val="18"/>
              </w:rPr>
            </w:pPr>
            <w:r>
              <w:rPr>
                <w:sz w:val="18"/>
                <w:szCs w:val="18"/>
              </w:rPr>
              <w:t>VGP Park Mango (Spain)</w:t>
            </w:r>
          </w:p>
        </w:tc>
        <w:tc>
          <w:tcPr>
            <w:tcW w:w="709" w:type="dxa"/>
            <w:tcBorders>
              <w:top w:val="single" w:sz="6" w:space="0" w:color="969696"/>
              <w:left w:val="nil"/>
              <w:bottom w:val="single" w:sz="6" w:space="0" w:color="969696"/>
              <w:right w:val="nil"/>
            </w:tcBorders>
            <w:vAlign w:val="center"/>
          </w:tcPr>
          <w:p w14:paraId="075E6073" w14:textId="77777777" w:rsidR="00F76607" w:rsidRDefault="001863F0">
            <w:pPr>
              <w:jc w:val="center"/>
              <w:rPr>
                <w:sz w:val="18"/>
                <w:szCs w:val="18"/>
              </w:rPr>
            </w:pPr>
            <w:r>
              <w:rPr>
                <w:sz w:val="18"/>
                <w:szCs w:val="18"/>
              </w:rPr>
              <w:t>VGP</w:t>
            </w:r>
          </w:p>
        </w:tc>
        <w:tc>
          <w:tcPr>
            <w:tcW w:w="1134" w:type="dxa"/>
            <w:tcBorders>
              <w:top w:val="single" w:sz="6" w:space="0" w:color="969696"/>
              <w:left w:val="nil"/>
              <w:bottom w:val="single" w:sz="6" w:space="0" w:color="969696"/>
              <w:right w:val="nil"/>
            </w:tcBorders>
            <w:vAlign w:val="center"/>
          </w:tcPr>
          <w:p w14:paraId="4AA6CC8E" w14:textId="77777777" w:rsidR="00F76607" w:rsidRDefault="001863F0">
            <w:pPr>
              <w:jc w:val="right"/>
              <w:rPr>
                <w:sz w:val="18"/>
                <w:szCs w:val="18"/>
              </w:rPr>
            </w:pPr>
            <w:r>
              <w:rPr>
                <w:sz w:val="18"/>
                <w:szCs w:val="18"/>
              </w:rPr>
              <w:t>274,255</w:t>
            </w:r>
          </w:p>
        </w:tc>
        <w:tc>
          <w:tcPr>
            <w:tcW w:w="1134" w:type="dxa"/>
            <w:tcBorders>
              <w:top w:val="single" w:sz="6" w:space="0" w:color="969696"/>
              <w:left w:val="nil"/>
              <w:bottom w:val="single" w:sz="6" w:space="0" w:color="969696"/>
              <w:right w:val="nil"/>
            </w:tcBorders>
            <w:vAlign w:val="center"/>
          </w:tcPr>
          <w:p w14:paraId="7C0246F0" w14:textId="77777777" w:rsidR="00F76607" w:rsidRDefault="001863F0">
            <w:pPr>
              <w:jc w:val="right"/>
              <w:rPr>
                <w:sz w:val="18"/>
                <w:szCs w:val="18"/>
              </w:rPr>
            </w:pPr>
            <w:r>
              <w:rPr>
                <w:sz w:val="18"/>
                <w:szCs w:val="18"/>
              </w:rPr>
              <w:t>181,465</w:t>
            </w:r>
          </w:p>
        </w:tc>
        <w:tc>
          <w:tcPr>
            <w:tcW w:w="1134" w:type="dxa"/>
            <w:tcBorders>
              <w:top w:val="single" w:sz="6" w:space="0" w:color="969696"/>
              <w:left w:val="nil"/>
              <w:bottom w:val="single" w:sz="6" w:space="0" w:color="969696"/>
              <w:right w:val="nil"/>
            </w:tcBorders>
            <w:vAlign w:val="center"/>
          </w:tcPr>
          <w:p w14:paraId="7E685FD7"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0531C8A6" w14:textId="77777777" w:rsidR="00F76607" w:rsidRDefault="001863F0">
            <w:pPr>
              <w:jc w:val="right"/>
              <w:rPr>
                <w:sz w:val="18"/>
                <w:szCs w:val="18"/>
              </w:rPr>
            </w:pPr>
            <w:r>
              <w:rPr>
                <w:sz w:val="18"/>
                <w:szCs w:val="18"/>
              </w:rPr>
              <w:t>133,934</w:t>
            </w:r>
          </w:p>
        </w:tc>
        <w:tc>
          <w:tcPr>
            <w:tcW w:w="1134" w:type="dxa"/>
            <w:tcBorders>
              <w:top w:val="single" w:sz="6" w:space="0" w:color="969696"/>
              <w:left w:val="nil"/>
              <w:bottom w:val="single" w:sz="6" w:space="0" w:color="969696"/>
              <w:right w:val="nil"/>
            </w:tcBorders>
            <w:vAlign w:val="center"/>
          </w:tcPr>
          <w:p w14:paraId="61EB406D" w14:textId="77777777" w:rsidR="00F76607" w:rsidRDefault="001863F0">
            <w:pPr>
              <w:jc w:val="right"/>
              <w:rPr>
                <w:sz w:val="18"/>
                <w:szCs w:val="18"/>
              </w:rPr>
            </w:pPr>
            <w:r>
              <w:rPr>
                <w:sz w:val="18"/>
                <w:szCs w:val="18"/>
              </w:rPr>
              <w:t>315,399</w:t>
            </w:r>
          </w:p>
        </w:tc>
        <w:tc>
          <w:tcPr>
            <w:tcW w:w="992" w:type="dxa"/>
            <w:tcBorders>
              <w:top w:val="single" w:sz="6" w:space="0" w:color="969696"/>
              <w:left w:val="nil"/>
              <w:bottom w:val="single" w:sz="6" w:space="0" w:color="969696"/>
              <w:right w:val="nil"/>
            </w:tcBorders>
            <w:vAlign w:val="center"/>
          </w:tcPr>
          <w:p w14:paraId="19137150" w14:textId="77777777" w:rsidR="00F76607" w:rsidRDefault="001863F0">
            <w:pPr>
              <w:jc w:val="right"/>
              <w:rPr>
                <w:sz w:val="18"/>
                <w:szCs w:val="18"/>
              </w:rPr>
            </w:pPr>
            <w:r>
              <w:rPr>
                <w:sz w:val="18"/>
                <w:szCs w:val="18"/>
              </w:rPr>
              <w:t xml:space="preserve">7.5 </w:t>
            </w:r>
          </w:p>
        </w:tc>
      </w:tr>
      <w:tr w:rsidR="00F76607" w14:paraId="6DD47C48" w14:textId="77777777">
        <w:trPr>
          <w:trHeight w:val="247"/>
        </w:trPr>
        <w:tc>
          <w:tcPr>
            <w:tcW w:w="1873" w:type="dxa"/>
            <w:tcBorders>
              <w:top w:val="single" w:sz="6" w:space="0" w:color="969696"/>
              <w:left w:val="nil"/>
              <w:bottom w:val="single" w:sz="6" w:space="0" w:color="969696"/>
              <w:right w:val="nil"/>
            </w:tcBorders>
            <w:vAlign w:val="center"/>
          </w:tcPr>
          <w:p w14:paraId="78CD1313" w14:textId="77777777" w:rsidR="00F76607" w:rsidRDefault="001863F0">
            <w:pPr>
              <w:rPr>
                <w:sz w:val="18"/>
                <w:szCs w:val="18"/>
              </w:rPr>
            </w:pPr>
            <w:r>
              <w:rPr>
                <w:sz w:val="18"/>
                <w:szCs w:val="18"/>
              </w:rPr>
              <w:t> </w:t>
            </w:r>
          </w:p>
        </w:tc>
        <w:tc>
          <w:tcPr>
            <w:tcW w:w="709" w:type="dxa"/>
            <w:tcBorders>
              <w:top w:val="single" w:sz="6" w:space="0" w:color="969696"/>
              <w:left w:val="nil"/>
              <w:bottom w:val="single" w:sz="6" w:space="0" w:color="969696"/>
              <w:right w:val="nil"/>
            </w:tcBorders>
            <w:vAlign w:val="center"/>
          </w:tcPr>
          <w:p w14:paraId="6E61BDDB" w14:textId="77777777" w:rsidR="00F76607" w:rsidRDefault="001863F0">
            <w:pP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36BD6170" w14:textId="77777777" w:rsidR="00F76607" w:rsidRDefault="001863F0">
            <w:pPr>
              <w:jc w:val="right"/>
              <w:rPr>
                <w:b/>
                <w:bCs/>
                <w:sz w:val="18"/>
                <w:szCs w:val="18"/>
              </w:rPr>
            </w:pPr>
            <w:r>
              <w:rPr>
                <w:b/>
                <w:bCs/>
                <w:sz w:val="18"/>
                <w:szCs w:val="18"/>
              </w:rPr>
              <w:t>1,594,886</w:t>
            </w:r>
          </w:p>
        </w:tc>
        <w:tc>
          <w:tcPr>
            <w:tcW w:w="1134" w:type="dxa"/>
            <w:tcBorders>
              <w:top w:val="single" w:sz="6" w:space="0" w:color="969696"/>
              <w:left w:val="nil"/>
              <w:bottom w:val="single" w:sz="6" w:space="0" w:color="969696"/>
              <w:right w:val="nil"/>
            </w:tcBorders>
            <w:vAlign w:val="center"/>
          </w:tcPr>
          <w:p w14:paraId="1A4FC84D" w14:textId="77777777" w:rsidR="00F76607" w:rsidRDefault="001863F0">
            <w:pPr>
              <w:jc w:val="right"/>
              <w:rPr>
                <w:b/>
                <w:bCs/>
                <w:sz w:val="18"/>
                <w:szCs w:val="18"/>
              </w:rPr>
            </w:pPr>
            <w:r>
              <w:rPr>
                <w:b/>
                <w:bCs/>
                <w:sz w:val="18"/>
                <w:szCs w:val="18"/>
              </w:rPr>
              <w:t>318,735</w:t>
            </w:r>
          </w:p>
        </w:tc>
        <w:tc>
          <w:tcPr>
            <w:tcW w:w="1134" w:type="dxa"/>
            <w:tcBorders>
              <w:top w:val="single" w:sz="6" w:space="0" w:color="969696"/>
              <w:left w:val="nil"/>
              <w:bottom w:val="single" w:sz="6" w:space="0" w:color="969696"/>
              <w:right w:val="nil"/>
            </w:tcBorders>
            <w:vAlign w:val="center"/>
          </w:tcPr>
          <w:p w14:paraId="01C3F7CF" w14:textId="77777777" w:rsidR="00F76607" w:rsidRDefault="001863F0">
            <w:pPr>
              <w:jc w:val="right"/>
              <w:rPr>
                <w:b/>
                <w:bCs/>
                <w:sz w:val="18"/>
                <w:szCs w:val="18"/>
              </w:rPr>
            </w:pPr>
            <w:r>
              <w:rPr>
                <w:b/>
                <w:bCs/>
                <w:sz w:val="18"/>
                <w:szCs w:val="18"/>
              </w:rPr>
              <w:t>54,547</w:t>
            </w:r>
          </w:p>
        </w:tc>
        <w:tc>
          <w:tcPr>
            <w:tcW w:w="1134" w:type="dxa"/>
            <w:tcBorders>
              <w:top w:val="single" w:sz="6" w:space="0" w:color="969696"/>
              <w:left w:val="nil"/>
              <w:bottom w:val="single" w:sz="6" w:space="0" w:color="969696"/>
              <w:right w:val="nil"/>
            </w:tcBorders>
            <w:vAlign w:val="center"/>
          </w:tcPr>
          <w:p w14:paraId="56067EC3" w14:textId="77777777" w:rsidR="00F76607" w:rsidRDefault="001863F0">
            <w:pPr>
              <w:jc w:val="right"/>
              <w:rPr>
                <w:b/>
                <w:bCs/>
                <w:sz w:val="18"/>
                <w:szCs w:val="18"/>
              </w:rPr>
            </w:pPr>
            <w:r>
              <w:rPr>
                <w:b/>
                <w:bCs/>
                <w:sz w:val="18"/>
                <w:szCs w:val="18"/>
              </w:rPr>
              <w:t>588,748</w:t>
            </w:r>
          </w:p>
        </w:tc>
        <w:tc>
          <w:tcPr>
            <w:tcW w:w="1134" w:type="dxa"/>
            <w:tcBorders>
              <w:top w:val="single" w:sz="6" w:space="0" w:color="969696"/>
              <w:left w:val="nil"/>
              <w:bottom w:val="single" w:sz="6" w:space="0" w:color="969696"/>
              <w:right w:val="nil"/>
            </w:tcBorders>
            <w:vAlign w:val="center"/>
          </w:tcPr>
          <w:p w14:paraId="5239F261" w14:textId="77777777" w:rsidR="00F76607" w:rsidRDefault="001863F0">
            <w:pPr>
              <w:jc w:val="right"/>
              <w:rPr>
                <w:b/>
                <w:bCs/>
                <w:sz w:val="18"/>
                <w:szCs w:val="18"/>
              </w:rPr>
            </w:pPr>
            <w:r>
              <w:rPr>
                <w:b/>
                <w:bCs/>
                <w:sz w:val="18"/>
                <w:szCs w:val="18"/>
              </w:rPr>
              <w:t>962,029</w:t>
            </w:r>
          </w:p>
        </w:tc>
        <w:tc>
          <w:tcPr>
            <w:tcW w:w="992" w:type="dxa"/>
            <w:tcBorders>
              <w:top w:val="single" w:sz="6" w:space="0" w:color="969696"/>
              <w:left w:val="nil"/>
              <w:bottom w:val="single" w:sz="6" w:space="0" w:color="969696"/>
              <w:right w:val="nil"/>
            </w:tcBorders>
            <w:vAlign w:val="center"/>
          </w:tcPr>
          <w:p w14:paraId="14146788" w14:textId="77777777" w:rsidR="00F76607" w:rsidRDefault="001863F0">
            <w:pPr>
              <w:jc w:val="right"/>
              <w:rPr>
                <w:b/>
                <w:bCs/>
                <w:sz w:val="18"/>
                <w:szCs w:val="18"/>
              </w:rPr>
            </w:pPr>
            <w:r>
              <w:rPr>
                <w:b/>
                <w:bCs/>
                <w:sz w:val="18"/>
                <w:szCs w:val="18"/>
              </w:rPr>
              <w:t xml:space="preserve">15.1 </w:t>
            </w:r>
          </w:p>
        </w:tc>
      </w:tr>
      <w:tr w:rsidR="00F76607" w14:paraId="11EDF90F" w14:textId="77777777">
        <w:trPr>
          <w:trHeight w:val="247"/>
        </w:trPr>
        <w:tc>
          <w:tcPr>
            <w:tcW w:w="1873" w:type="dxa"/>
            <w:tcBorders>
              <w:top w:val="single" w:sz="6" w:space="0" w:color="969696"/>
              <w:left w:val="nil"/>
              <w:bottom w:val="single" w:sz="6" w:space="0" w:color="969696"/>
              <w:right w:val="nil"/>
            </w:tcBorders>
            <w:vAlign w:val="center"/>
          </w:tcPr>
          <w:p w14:paraId="0BB0D8FC" w14:textId="77777777" w:rsidR="00F76607" w:rsidRDefault="001863F0">
            <w:pPr>
              <w:rPr>
                <w:sz w:val="18"/>
                <w:szCs w:val="18"/>
              </w:rPr>
            </w:pPr>
            <w:r>
              <w:rPr>
                <w:sz w:val="18"/>
                <w:szCs w:val="18"/>
              </w:rPr>
              <w:t> </w:t>
            </w:r>
          </w:p>
        </w:tc>
        <w:tc>
          <w:tcPr>
            <w:tcW w:w="709" w:type="dxa"/>
            <w:tcBorders>
              <w:top w:val="single" w:sz="6" w:space="0" w:color="969696"/>
              <w:left w:val="nil"/>
              <w:bottom w:val="single" w:sz="6" w:space="0" w:color="969696"/>
              <w:right w:val="nil"/>
            </w:tcBorders>
            <w:vAlign w:val="center"/>
          </w:tcPr>
          <w:p w14:paraId="1A80F4B8" w14:textId="77777777" w:rsidR="00F76607" w:rsidRDefault="001863F0">
            <w:pPr>
              <w:jc w:val="cente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60390105"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05E91647"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5A086620"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0F42CCA5"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10B18274" w14:textId="77777777" w:rsidR="00F76607" w:rsidRDefault="001863F0">
            <w:pPr>
              <w:rPr>
                <w:b/>
                <w:bCs/>
                <w:sz w:val="18"/>
                <w:szCs w:val="18"/>
              </w:rPr>
            </w:pPr>
            <w:r>
              <w:rPr>
                <w:b/>
                <w:bCs/>
                <w:sz w:val="18"/>
                <w:szCs w:val="18"/>
              </w:rPr>
              <w:t> </w:t>
            </w:r>
          </w:p>
        </w:tc>
        <w:tc>
          <w:tcPr>
            <w:tcW w:w="992" w:type="dxa"/>
            <w:tcBorders>
              <w:top w:val="single" w:sz="6" w:space="0" w:color="969696"/>
              <w:left w:val="nil"/>
              <w:bottom w:val="single" w:sz="6" w:space="0" w:color="969696"/>
              <w:right w:val="nil"/>
            </w:tcBorders>
            <w:vAlign w:val="center"/>
          </w:tcPr>
          <w:p w14:paraId="04E64B93" w14:textId="77777777" w:rsidR="00F76607" w:rsidRDefault="001863F0">
            <w:pPr>
              <w:rPr>
                <w:b/>
                <w:bCs/>
                <w:sz w:val="18"/>
                <w:szCs w:val="18"/>
              </w:rPr>
            </w:pPr>
            <w:r>
              <w:rPr>
                <w:b/>
                <w:bCs/>
                <w:sz w:val="18"/>
                <w:szCs w:val="18"/>
              </w:rPr>
              <w:t> </w:t>
            </w:r>
          </w:p>
        </w:tc>
      </w:tr>
      <w:tr w:rsidR="00F76607" w14:paraId="64A60F99" w14:textId="77777777">
        <w:trPr>
          <w:trHeight w:val="247"/>
        </w:trPr>
        <w:tc>
          <w:tcPr>
            <w:tcW w:w="1873" w:type="dxa"/>
            <w:tcBorders>
              <w:top w:val="single" w:sz="6" w:space="0" w:color="969696"/>
              <w:left w:val="nil"/>
              <w:bottom w:val="single" w:sz="6" w:space="0" w:color="969696"/>
              <w:right w:val="nil"/>
            </w:tcBorders>
            <w:vAlign w:val="center"/>
          </w:tcPr>
          <w:p w14:paraId="71785FD4" w14:textId="77777777" w:rsidR="00F76607" w:rsidRDefault="001863F0">
            <w:pPr>
              <w:rPr>
                <w:b/>
                <w:bCs/>
                <w:sz w:val="18"/>
                <w:szCs w:val="18"/>
              </w:rPr>
            </w:pPr>
            <w:r>
              <w:rPr>
                <w:b/>
                <w:bCs/>
                <w:sz w:val="18"/>
                <w:szCs w:val="18"/>
              </w:rPr>
              <w:lastRenderedPageBreak/>
              <w:t>Total Own portfolio</w:t>
            </w:r>
          </w:p>
        </w:tc>
        <w:tc>
          <w:tcPr>
            <w:tcW w:w="709" w:type="dxa"/>
            <w:tcBorders>
              <w:top w:val="single" w:sz="6" w:space="0" w:color="969696"/>
              <w:left w:val="nil"/>
              <w:bottom w:val="single" w:sz="6" w:space="0" w:color="969696"/>
              <w:right w:val="nil"/>
            </w:tcBorders>
            <w:vAlign w:val="center"/>
          </w:tcPr>
          <w:p w14:paraId="32014EBD" w14:textId="77777777" w:rsidR="00F76607" w:rsidRDefault="001863F0">
            <w:pPr>
              <w:jc w:val="cente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773672E9" w14:textId="77777777" w:rsidR="00F76607" w:rsidRDefault="001863F0">
            <w:pPr>
              <w:jc w:val="right"/>
              <w:rPr>
                <w:b/>
                <w:bCs/>
                <w:sz w:val="18"/>
                <w:szCs w:val="18"/>
              </w:rPr>
            </w:pPr>
            <w:r>
              <w:rPr>
                <w:b/>
                <w:bCs/>
                <w:sz w:val="18"/>
                <w:szCs w:val="18"/>
              </w:rPr>
              <w:t>3,512,636</w:t>
            </w:r>
          </w:p>
        </w:tc>
        <w:tc>
          <w:tcPr>
            <w:tcW w:w="1134" w:type="dxa"/>
            <w:tcBorders>
              <w:top w:val="single" w:sz="6" w:space="0" w:color="969696"/>
              <w:left w:val="nil"/>
              <w:bottom w:val="single" w:sz="6" w:space="0" w:color="969696"/>
              <w:right w:val="nil"/>
            </w:tcBorders>
            <w:vAlign w:val="center"/>
          </w:tcPr>
          <w:p w14:paraId="7EE35511" w14:textId="12446470" w:rsidR="00F76607" w:rsidRDefault="001863F0">
            <w:pPr>
              <w:jc w:val="right"/>
              <w:rPr>
                <w:b/>
                <w:bCs/>
                <w:sz w:val="18"/>
                <w:szCs w:val="18"/>
              </w:rPr>
            </w:pPr>
            <w:r>
              <w:rPr>
                <w:b/>
                <w:bCs/>
                <w:sz w:val="18"/>
                <w:szCs w:val="18"/>
              </w:rPr>
              <w:t>353,08</w:t>
            </w:r>
            <w:r w:rsidR="00D3576A">
              <w:rPr>
                <w:b/>
                <w:bCs/>
                <w:sz w:val="18"/>
                <w:szCs w:val="18"/>
              </w:rPr>
              <w:t>8</w:t>
            </w:r>
          </w:p>
        </w:tc>
        <w:tc>
          <w:tcPr>
            <w:tcW w:w="1134" w:type="dxa"/>
            <w:tcBorders>
              <w:top w:val="single" w:sz="6" w:space="0" w:color="969696"/>
              <w:left w:val="nil"/>
              <w:bottom w:val="single" w:sz="6" w:space="0" w:color="969696"/>
              <w:right w:val="nil"/>
            </w:tcBorders>
            <w:vAlign w:val="center"/>
          </w:tcPr>
          <w:p w14:paraId="72437A43" w14:textId="77777777" w:rsidR="00F76607" w:rsidRDefault="001863F0">
            <w:pPr>
              <w:jc w:val="right"/>
              <w:rPr>
                <w:b/>
                <w:bCs/>
                <w:sz w:val="18"/>
                <w:szCs w:val="18"/>
              </w:rPr>
            </w:pPr>
            <w:r>
              <w:rPr>
                <w:b/>
                <w:bCs/>
                <w:sz w:val="18"/>
                <w:szCs w:val="18"/>
              </w:rPr>
              <w:t>328,033</w:t>
            </w:r>
          </w:p>
        </w:tc>
        <w:tc>
          <w:tcPr>
            <w:tcW w:w="1134" w:type="dxa"/>
            <w:tcBorders>
              <w:top w:val="single" w:sz="6" w:space="0" w:color="969696"/>
              <w:left w:val="nil"/>
              <w:bottom w:val="single" w:sz="6" w:space="0" w:color="969696"/>
              <w:right w:val="nil"/>
            </w:tcBorders>
            <w:vAlign w:val="center"/>
          </w:tcPr>
          <w:p w14:paraId="21B65DBE" w14:textId="77777777" w:rsidR="00F76607" w:rsidRDefault="001863F0">
            <w:pPr>
              <w:jc w:val="right"/>
              <w:rPr>
                <w:b/>
                <w:bCs/>
                <w:sz w:val="18"/>
                <w:szCs w:val="18"/>
              </w:rPr>
            </w:pPr>
            <w:r>
              <w:rPr>
                <w:b/>
                <w:bCs/>
                <w:sz w:val="18"/>
                <w:szCs w:val="18"/>
              </w:rPr>
              <w:t>1,142,257</w:t>
            </w:r>
          </w:p>
        </w:tc>
        <w:tc>
          <w:tcPr>
            <w:tcW w:w="1134" w:type="dxa"/>
            <w:tcBorders>
              <w:top w:val="single" w:sz="6" w:space="0" w:color="969696"/>
              <w:left w:val="nil"/>
              <w:bottom w:val="single" w:sz="6" w:space="0" w:color="969696"/>
              <w:right w:val="nil"/>
            </w:tcBorders>
            <w:vAlign w:val="center"/>
          </w:tcPr>
          <w:p w14:paraId="6C37102C" w14:textId="77777777" w:rsidR="00F76607" w:rsidRDefault="001863F0">
            <w:pPr>
              <w:jc w:val="right"/>
              <w:rPr>
                <w:b/>
                <w:bCs/>
                <w:sz w:val="18"/>
                <w:szCs w:val="18"/>
              </w:rPr>
            </w:pPr>
            <w:r>
              <w:rPr>
                <w:b/>
                <w:bCs/>
                <w:sz w:val="18"/>
                <w:szCs w:val="18"/>
              </w:rPr>
              <w:t>1,823,378</w:t>
            </w:r>
          </w:p>
        </w:tc>
        <w:tc>
          <w:tcPr>
            <w:tcW w:w="992" w:type="dxa"/>
            <w:tcBorders>
              <w:top w:val="single" w:sz="6" w:space="0" w:color="969696"/>
              <w:left w:val="nil"/>
              <w:bottom w:val="single" w:sz="6" w:space="0" w:color="969696"/>
              <w:right w:val="nil"/>
            </w:tcBorders>
            <w:vAlign w:val="center"/>
          </w:tcPr>
          <w:p w14:paraId="17745322" w14:textId="77777777" w:rsidR="00F76607" w:rsidRDefault="001863F0">
            <w:pPr>
              <w:jc w:val="right"/>
              <w:rPr>
                <w:b/>
                <w:bCs/>
                <w:sz w:val="18"/>
                <w:szCs w:val="18"/>
              </w:rPr>
            </w:pPr>
            <w:r>
              <w:rPr>
                <w:b/>
                <w:bCs/>
                <w:sz w:val="18"/>
                <w:szCs w:val="18"/>
              </w:rPr>
              <w:t xml:space="preserve">26.9 </w:t>
            </w:r>
          </w:p>
        </w:tc>
      </w:tr>
    </w:tbl>
    <w:p w14:paraId="51B14F07" w14:textId="77777777" w:rsidR="00F76607" w:rsidRDefault="00F76607">
      <w:pPr>
        <w:rPr>
          <w:sz w:val="18"/>
          <w:szCs w:val="18"/>
        </w:rPr>
      </w:pPr>
    </w:p>
    <w:p w14:paraId="1A318F58" w14:textId="3A373280" w:rsidR="00F76607" w:rsidRDefault="001863F0" w:rsidP="00E3089A">
      <w:pPr>
        <w:pStyle w:val="VulcanIIbody"/>
        <w:rPr>
          <w:sz w:val="14"/>
          <w:szCs w:val="14"/>
        </w:rPr>
      </w:pPr>
      <w:r>
        <w:rPr>
          <w:sz w:val="14"/>
          <w:szCs w:val="14"/>
        </w:rPr>
        <w:t>* Subsequently sold</w:t>
      </w:r>
      <w:r w:rsidR="00E3089A">
        <w:rPr>
          <w:sz w:val="14"/>
          <w:szCs w:val="14"/>
        </w:rPr>
        <w:t>, see section “</w:t>
      </w:r>
      <w:r w:rsidR="00E3089A">
        <w:rPr>
          <w:i/>
          <w:sz w:val="14"/>
          <w:szCs w:val="14"/>
        </w:rPr>
        <w:t xml:space="preserve">Operating and Financial Review - </w:t>
      </w:r>
      <w:r w:rsidR="00AF7864">
        <w:rPr>
          <w:i/>
          <w:sz w:val="14"/>
          <w:szCs w:val="14"/>
        </w:rPr>
        <w:t>Recent Developments and Trend</w:t>
      </w:r>
      <w:r w:rsidR="00E3089A" w:rsidRPr="00E3089A">
        <w:rPr>
          <w:i/>
          <w:sz w:val="14"/>
          <w:szCs w:val="14"/>
        </w:rPr>
        <w:t>s</w:t>
      </w:r>
      <w:r w:rsidR="00E3089A">
        <w:rPr>
          <w:sz w:val="14"/>
          <w:szCs w:val="14"/>
        </w:rPr>
        <w:t>”</w:t>
      </w:r>
      <w:r>
        <w:rPr>
          <w:sz w:val="14"/>
          <w:szCs w:val="14"/>
        </w:rPr>
        <w:t>.</w:t>
      </w:r>
    </w:p>
    <w:p w14:paraId="7A54E79A" w14:textId="77777777" w:rsidR="00F76607" w:rsidRDefault="001863F0">
      <w:pPr>
        <w:pStyle w:val="NormalWeb"/>
        <w:ind w:firstLine="857"/>
        <w:rPr>
          <w:b/>
          <w:bCs/>
          <w:i/>
          <w:sz w:val="18"/>
          <w:szCs w:val="18"/>
          <w:lang w:val="en-GB"/>
        </w:rPr>
      </w:pPr>
      <w:r>
        <w:rPr>
          <w:b/>
          <w:bCs/>
          <w:i/>
          <w:sz w:val="18"/>
          <w:szCs w:val="18"/>
          <w:lang w:val="en-GB"/>
        </w:rPr>
        <w:t>JV portfolio</w:t>
      </w:r>
    </w:p>
    <w:p w14:paraId="2645E779" w14:textId="207FDB90" w:rsidR="00F76607" w:rsidRDefault="001863F0">
      <w:pPr>
        <w:pStyle w:val="NormalWeb"/>
        <w:spacing w:after="0"/>
        <w:ind w:firstLine="857"/>
        <w:rPr>
          <w:sz w:val="18"/>
          <w:szCs w:val="18"/>
          <w:lang w:val="en-GB"/>
        </w:rPr>
      </w:pPr>
      <w:r>
        <w:rPr>
          <w:sz w:val="18"/>
          <w:szCs w:val="18"/>
          <w:lang w:val="en-GB"/>
        </w:rPr>
        <w:t xml:space="preserve">As of 30 June 2017, the Joint Venture property portfolio consisted of 44 completed buildings, representing 809,022 m² of lettable area. VGP is currently constructing 5 buildings </w:t>
      </w:r>
      <w:r w:rsidR="00762877">
        <w:rPr>
          <w:sz w:val="18"/>
          <w:szCs w:val="18"/>
          <w:lang w:val="en-GB"/>
        </w:rPr>
        <w:t>to be offered to</w:t>
      </w:r>
      <w:r>
        <w:rPr>
          <w:sz w:val="18"/>
          <w:szCs w:val="18"/>
          <w:lang w:val="en-GB"/>
        </w:rPr>
        <w:t xml:space="preserve"> the Joint Venture which should </w:t>
      </w:r>
      <w:r w:rsidR="00850DD8">
        <w:rPr>
          <w:sz w:val="18"/>
          <w:szCs w:val="18"/>
          <w:lang w:val="en-GB"/>
        </w:rPr>
        <w:t xml:space="preserve">in principle </w:t>
      </w:r>
      <w:r>
        <w:rPr>
          <w:sz w:val="18"/>
          <w:szCs w:val="18"/>
          <w:lang w:val="en-GB"/>
        </w:rPr>
        <w:t>be acquired by th</w:t>
      </w:r>
      <w:r w:rsidR="00C2417B">
        <w:rPr>
          <w:sz w:val="18"/>
          <w:szCs w:val="18"/>
          <w:lang w:val="en-GB"/>
        </w:rPr>
        <w:t xml:space="preserve">e Joint Venture upon completion, subject to and </w:t>
      </w:r>
      <w:r>
        <w:rPr>
          <w:sz w:val="18"/>
          <w:szCs w:val="18"/>
          <w:lang w:val="en-GB"/>
        </w:rPr>
        <w:t xml:space="preserve">in accordance with the terms of the Joint Venture Agreement. In Germany: 1 building in VGP Park Hamburg and 1 building in VGP Park </w:t>
      </w:r>
      <w:proofErr w:type="spellStart"/>
      <w:r>
        <w:rPr>
          <w:sz w:val="18"/>
          <w:szCs w:val="18"/>
          <w:lang w:val="en-GB"/>
        </w:rPr>
        <w:t>Frankenthal</w:t>
      </w:r>
      <w:proofErr w:type="spellEnd"/>
      <w:r>
        <w:rPr>
          <w:sz w:val="18"/>
          <w:szCs w:val="18"/>
          <w:lang w:val="en-GB"/>
        </w:rPr>
        <w:t xml:space="preserve">. In the other countries: 1 building in VGP Park Cesky </w:t>
      </w:r>
      <w:proofErr w:type="spellStart"/>
      <w:r>
        <w:rPr>
          <w:sz w:val="18"/>
          <w:szCs w:val="18"/>
          <w:lang w:val="en-GB"/>
        </w:rPr>
        <w:t>Ujezd</w:t>
      </w:r>
      <w:proofErr w:type="spellEnd"/>
      <w:r>
        <w:rPr>
          <w:sz w:val="18"/>
          <w:szCs w:val="18"/>
          <w:lang w:val="en-GB"/>
        </w:rPr>
        <w:t xml:space="preserve"> (Czech Republic), 1 building in VGP Park </w:t>
      </w:r>
      <w:proofErr w:type="spellStart"/>
      <w:r>
        <w:rPr>
          <w:sz w:val="18"/>
          <w:szCs w:val="18"/>
          <w:lang w:val="en-GB"/>
        </w:rPr>
        <w:t>Malacky</w:t>
      </w:r>
      <w:proofErr w:type="spellEnd"/>
      <w:r>
        <w:rPr>
          <w:sz w:val="18"/>
          <w:szCs w:val="18"/>
          <w:lang w:val="en-GB"/>
        </w:rPr>
        <w:t xml:space="preserve"> (Slovakia) and 1 building in VGP Park Gyor (Hungary).</w:t>
      </w:r>
    </w:p>
    <w:p w14:paraId="62CDCF6B" w14:textId="501412D3" w:rsidR="00F76607" w:rsidRDefault="001863F0">
      <w:pPr>
        <w:pStyle w:val="NormalWeb"/>
        <w:spacing w:after="0"/>
        <w:ind w:firstLine="857"/>
        <w:rPr>
          <w:sz w:val="18"/>
          <w:szCs w:val="18"/>
          <w:lang w:val="en-GB"/>
        </w:rPr>
      </w:pPr>
      <w:r>
        <w:rPr>
          <w:sz w:val="18"/>
          <w:szCs w:val="18"/>
          <w:lang w:val="en-GB"/>
        </w:rPr>
        <w:t>The new buildings under construction (on which 90%</w:t>
      </w:r>
      <w:r>
        <w:rPr>
          <w:sz w:val="12"/>
          <w:szCs w:val="18"/>
          <w:lang w:val="en-GB"/>
        </w:rPr>
        <w:footnoteReference w:id="14"/>
      </w:r>
      <w:r>
        <w:rPr>
          <w:sz w:val="18"/>
          <w:szCs w:val="18"/>
          <w:lang w:val="en-GB"/>
        </w:rPr>
        <w:t xml:space="preserve"> pre-leases were already signed as at </w:t>
      </w:r>
      <w:r w:rsidR="00F65890">
        <w:rPr>
          <w:sz w:val="18"/>
          <w:szCs w:val="18"/>
          <w:lang w:val="en-GB"/>
        </w:rPr>
        <w:t>30 June 2017</w:t>
      </w:r>
      <w:r>
        <w:rPr>
          <w:sz w:val="18"/>
          <w:szCs w:val="18"/>
          <w:lang w:val="en-GB"/>
        </w:rPr>
        <w:t>), represent a total future lettable area of 199,843 m², which corresponds to an estimated annualised rent income of € 10.3 million (assuming full occupancy and current market conditions).</w:t>
      </w:r>
    </w:p>
    <w:p w14:paraId="0C9B1A22" w14:textId="77777777" w:rsidR="00F76607" w:rsidRDefault="00F76607">
      <w:pPr>
        <w:rPr>
          <w:sz w:val="18"/>
          <w:szCs w:val="18"/>
        </w:rPr>
      </w:pPr>
    </w:p>
    <w:tbl>
      <w:tblPr>
        <w:tblW w:w="9244" w:type="dxa"/>
        <w:tblInd w:w="-30" w:type="dxa"/>
        <w:tblLayout w:type="fixed"/>
        <w:tblLook w:val="0000" w:firstRow="0" w:lastRow="0" w:firstColumn="0" w:lastColumn="0" w:noHBand="0" w:noVBand="0"/>
      </w:tblPr>
      <w:tblGrid>
        <w:gridCol w:w="1873"/>
        <w:gridCol w:w="709"/>
        <w:gridCol w:w="1134"/>
        <w:gridCol w:w="1134"/>
        <w:gridCol w:w="1134"/>
        <w:gridCol w:w="1134"/>
        <w:gridCol w:w="1134"/>
        <w:gridCol w:w="992"/>
      </w:tblGrid>
      <w:tr w:rsidR="00F76607" w14:paraId="5E72FC40" w14:textId="77777777">
        <w:trPr>
          <w:trHeight w:val="247"/>
        </w:trPr>
        <w:tc>
          <w:tcPr>
            <w:tcW w:w="1873" w:type="dxa"/>
            <w:tcBorders>
              <w:top w:val="nil"/>
              <w:left w:val="nil"/>
              <w:bottom w:val="nil"/>
              <w:right w:val="nil"/>
            </w:tcBorders>
            <w:shd w:val="solid" w:color="969696" w:fill="auto"/>
          </w:tcPr>
          <w:p w14:paraId="35465129" w14:textId="77777777" w:rsidR="00F76607" w:rsidRDefault="00F76607">
            <w:pPr>
              <w:keepNext/>
              <w:autoSpaceDE w:val="0"/>
              <w:autoSpaceDN w:val="0"/>
              <w:adjustRightInd w:val="0"/>
              <w:jc w:val="right"/>
              <w:rPr>
                <w:rFonts w:eastAsiaTheme="minorHAnsi"/>
                <w:b/>
                <w:bCs/>
                <w:color w:val="FFFFFF" w:themeColor="background1"/>
                <w:sz w:val="18"/>
                <w:szCs w:val="18"/>
              </w:rPr>
            </w:pPr>
          </w:p>
        </w:tc>
        <w:tc>
          <w:tcPr>
            <w:tcW w:w="709" w:type="dxa"/>
            <w:tcBorders>
              <w:top w:val="nil"/>
              <w:left w:val="single" w:sz="6" w:space="0" w:color="FFFFFF"/>
              <w:bottom w:val="nil"/>
              <w:right w:val="single" w:sz="6" w:space="0" w:color="FFFFFF"/>
            </w:tcBorders>
            <w:shd w:val="solid" w:color="969696" w:fill="auto"/>
          </w:tcPr>
          <w:p w14:paraId="65A45E52" w14:textId="77777777" w:rsidR="00F76607" w:rsidRDefault="00F76607">
            <w:pPr>
              <w:keepNext/>
              <w:autoSpaceDE w:val="0"/>
              <w:autoSpaceDN w:val="0"/>
              <w:adjustRightInd w:val="0"/>
              <w:jc w:val="center"/>
              <w:rPr>
                <w:rFonts w:eastAsiaTheme="minorHAnsi"/>
                <w:b/>
                <w:bCs/>
                <w:color w:val="FFFFFF" w:themeColor="background1"/>
                <w:sz w:val="18"/>
                <w:szCs w:val="18"/>
              </w:rPr>
            </w:pPr>
          </w:p>
        </w:tc>
        <w:tc>
          <w:tcPr>
            <w:tcW w:w="1134" w:type="dxa"/>
            <w:tcBorders>
              <w:top w:val="nil"/>
              <w:left w:val="single" w:sz="6" w:space="0" w:color="FFFFFF"/>
              <w:bottom w:val="nil"/>
              <w:right w:val="single" w:sz="6" w:space="0" w:color="FFFFFF"/>
            </w:tcBorders>
            <w:shd w:val="solid" w:color="969696" w:fill="auto"/>
          </w:tcPr>
          <w:p w14:paraId="6DC3541E" w14:textId="77777777" w:rsidR="00F76607" w:rsidRDefault="00F76607">
            <w:pPr>
              <w:keepNext/>
              <w:autoSpaceDE w:val="0"/>
              <w:autoSpaceDN w:val="0"/>
              <w:adjustRightInd w:val="0"/>
              <w:jc w:val="right"/>
              <w:rPr>
                <w:rFonts w:eastAsiaTheme="minorHAnsi"/>
                <w:b/>
                <w:bCs/>
                <w:color w:val="FFFFFF" w:themeColor="background1"/>
                <w:sz w:val="18"/>
                <w:szCs w:val="18"/>
              </w:rPr>
            </w:pPr>
          </w:p>
        </w:tc>
        <w:tc>
          <w:tcPr>
            <w:tcW w:w="2268" w:type="dxa"/>
            <w:gridSpan w:val="2"/>
            <w:tcBorders>
              <w:top w:val="nil"/>
              <w:left w:val="single" w:sz="6" w:space="0" w:color="FFFFFF"/>
              <w:bottom w:val="single" w:sz="6" w:space="0" w:color="FFFFFF"/>
              <w:right w:val="nil"/>
            </w:tcBorders>
            <w:shd w:val="solid" w:color="969696" w:fill="auto"/>
          </w:tcPr>
          <w:p w14:paraId="797EE50D" w14:textId="77777777" w:rsidR="00F76607" w:rsidRDefault="001863F0">
            <w:pPr>
              <w:keepNext/>
              <w:autoSpaceDE w:val="0"/>
              <w:autoSpaceDN w:val="0"/>
              <w:adjustRightInd w:val="0"/>
              <w:jc w:val="center"/>
              <w:rPr>
                <w:rFonts w:eastAsiaTheme="minorHAnsi"/>
                <w:b/>
                <w:bCs/>
                <w:color w:val="FFFFFF" w:themeColor="background1"/>
                <w:sz w:val="18"/>
                <w:szCs w:val="18"/>
              </w:rPr>
            </w:pPr>
            <w:r>
              <w:rPr>
                <w:rFonts w:eastAsiaTheme="minorHAnsi"/>
                <w:b/>
                <w:bCs/>
                <w:color w:val="FFFFFF" w:themeColor="background1"/>
                <w:sz w:val="18"/>
                <w:szCs w:val="18"/>
              </w:rPr>
              <w:t>LETTABLE AREA (m²)</w:t>
            </w:r>
          </w:p>
        </w:tc>
        <w:tc>
          <w:tcPr>
            <w:tcW w:w="1134" w:type="dxa"/>
            <w:tcBorders>
              <w:top w:val="nil"/>
              <w:left w:val="nil"/>
              <w:bottom w:val="single" w:sz="6" w:space="0" w:color="FFFFFF"/>
              <w:right w:val="nil"/>
            </w:tcBorders>
            <w:shd w:val="solid" w:color="969696" w:fill="auto"/>
          </w:tcPr>
          <w:p w14:paraId="14262221" w14:textId="77777777" w:rsidR="00F76607" w:rsidRDefault="00F76607">
            <w:pPr>
              <w:keepNext/>
              <w:autoSpaceDE w:val="0"/>
              <w:autoSpaceDN w:val="0"/>
              <w:adjustRightInd w:val="0"/>
              <w:jc w:val="center"/>
              <w:rPr>
                <w:rFonts w:eastAsiaTheme="minorHAnsi"/>
                <w:b/>
                <w:bCs/>
                <w:color w:val="FFFFFF" w:themeColor="background1"/>
                <w:sz w:val="18"/>
                <w:szCs w:val="18"/>
              </w:rPr>
            </w:pPr>
          </w:p>
        </w:tc>
        <w:tc>
          <w:tcPr>
            <w:tcW w:w="1134" w:type="dxa"/>
            <w:tcBorders>
              <w:top w:val="nil"/>
              <w:left w:val="nil"/>
              <w:bottom w:val="single" w:sz="6" w:space="0" w:color="FFFFFF"/>
              <w:right w:val="single" w:sz="6" w:space="0" w:color="FFFFFF"/>
            </w:tcBorders>
            <w:shd w:val="solid" w:color="969696" w:fill="auto"/>
          </w:tcPr>
          <w:p w14:paraId="15F80FF3" w14:textId="77777777" w:rsidR="00F76607" w:rsidRDefault="00F76607">
            <w:pPr>
              <w:keepNext/>
              <w:autoSpaceDE w:val="0"/>
              <w:autoSpaceDN w:val="0"/>
              <w:adjustRightInd w:val="0"/>
              <w:jc w:val="center"/>
              <w:rPr>
                <w:rFonts w:eastAsiaTheme="minorHAnsi"/>
                <w:b/>
                <w:bCs/>
                <w:color w:val="FFFFFF" w:themeColor="background1"/>
                <w:sz w:val="18"/>
                <w:szCs w:val="18"/>
              </w:rPr>
            </w:pPr>
          </w:p>
        </w:tc>
        <w:tc>
          <w:tcPr>
            <w:tcW w:w="992" w:type="dxa"/>
            <w:tcBorders>
              <w:top w:val="nil"/>
              <w:left w:val="single" w:sz="6" w:space="0" w:color="FFFFFF"/>
              <w:bottom w:val="nil"/>
              <w:right w:val="single" w:sz="6" w:space="0" w:color="FFFFFF"/>
            </w:tcBorders>
            <w:shd w:val="solid" w:color="969696" w:fill="auto"/>
          </w:tcPr>
          <w:p w14:paraId="6888AD73" w14:textId="77777777" w:rsidR="00F76607" w:rsidRDefault="00F76607">
            <w:pPr>
              <w:keepNext/>
              <w:autoSpaceDE w:val="0"/>
              <w:autoSpaceDN w:val="0"/>
              <w:adjustRightInd w:val="0"/>
              <w:jc w:val="right"/>
              <w:rPr>
                <w:rFonts w:eastAsiaTheme="minorHAnsi"/>
                <w:b/>
                <w:bCs/>
                <w:color w:val="FFFFFF" w:themeColor="background1"/>
                <w:sz w:val="18"/>
                <w:szCs w:val="18"/>
              </w:rPr>
            </w:pPr>
          </w:p>
        </w:tc>
      </w:tr>
      <w:tr w:rsidR="00F76607" w14:paraId="7806DBD4" w14:textId="77777777">
        <w:trPr>
          <w:trHeight w:val="494"/>
        </w:trPr>
        <w:tc>
          <w:tcPr>
            <w:tcW w:w="1873" w:type="dxa"/>
            <w:tcBorders>
              <w:top w:val="nil"/>
              <w:left w:val="nil"/>
              <w:bottom w:val="nil"/>
              <w:right w:val="nil"/>
            </w:tcBorders>
            <w:shd w:val="solid" w:color="969696" w:fill="auto"/>
          </w:tcPr>
          <w:p w14:paraId="7C441D88" w14:textId="77777777" w:rsidR="00F76607" w:rsidRDefault="001863F0">
            <w:pPr>
              <w:autoSpaceDE w:val="0"/>
              <w:autoSpaceDN w:val="0"/>
              <w:adjustRightInd w:val="0"/>
              <w:rPr>
                <w:rFonts w:eastAsiaTheme="minorHAnsi"/>
                <w:b/>
                <w:bCs/>
                <w:color w:val="FFFFFF" w:themeColor="background1"/>
                <w:sz w:val="16"/>
                <w:szCs w:val="16"/>
              </w:rPr>
            </w:pPr>
            <w:r>
              <w:rPr>
                <w:rFonts w:eastAsiaTheme="minorHAnsi"/>
                <w:b/>
                <w:bCs/>
                <w:color w:val="FFFFFF" w:themeColor="background1"/>
                <w:sz w:val="16"/>
                <w:szCs w:val="16"/>
              </w:rPr>
              <w:t>VGP PARK</w:t>
            </w:r>
            <w:r>
              <w:rPr>
                <w:rStyle w:val="FootnoteReference"/>
                <w:rFonts w:eastAsiaTheme="minorHAnsi"/>
                <w:b/>
                <w:bCs/>
                <w:color w:val="FFFFFF" w:themeColor="background1"/>
                <w:sz w:val="16"/>
                <w:szCs w:val="16"/>
              </w:rPr>
              <w:footnoteReference w:id="15"/>
            </w:r>
          </w:p>
        </w:tc>
        <w:tc>
          <w:tcPr>
            <w:tcW w:w="709" w:type="dxa"/>
            <w:tcBorders>
              <w:top w:val="nil"/>
              <w:left w:val="single" w:sz="6" w:space="0" w:color="FFFFFF"/>
              <w:bottom w:val="nil"/>
              <w:right w:val="single" w:sz="6" w:space="0" w:color="FFFFFF"/>
            </w:tcBorders>
            <w:shd w:val="solid" w:color="969696" w:fill="auto"/>
          </w:tcPr>
          <w:p w14:paraId="5C2DD507" w14:textId="77777777" w:rsidR="00F76607" w:rsidRDefault="001863F0">
            <w:pPr>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Owner</w:t>
            </w:r>
          </w:p>
          <w:p w14:paraId="655259AA" w14:textId="77777777" w:rsidR="00F76607" w:rsidRDefault="001863F0">
            <w:pPr>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in m²</w:t>
            </w:r>
          </w:p>
        </w:tc>
        <w:tc>
          <w:tcPr>
            <w:tcW w:w="1134" w:type="dxa"/>
            <w:tcBorders>
              <w:top w:val="nil"/>
              <w:left w:val="single" w:sz="6" w:space="0" w:color="FFFFFF"/>
              <w:bottom w:val="nil"/>
              <w:right w:val="single" w:sz="6" w:space="0" w:color="FFFFFF"/>
            </w:tcBorders>
            <w:shd w:val="solid" w:color="969696" w:fill="auto"/>
          </w:tcPr>
          <w:p w14:paraId="2346ACB8" w14:textId="77777777" w:rsidR="00F76607" w:rsidRDefault="001863F0">
            <w:pPr>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 xml:space="preserve">Land area </w:t>
            </w:r>
          </w:p>
          <w:p w14:paraId="695CE024" w14:textId="77777777" w:rsidR="00F76607" w:rsidRDefault="001863F0">
            <w:pPr>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in m²</w:t>
            </w:r>
          </w:p>
        </w:tc>
        <w:tc>
          <w:tcPr>
            <w:tcW w:w="1134" w:type="dxa"/>
            <w:tcBorders>
              <w:top w:val="single" w:sz="6" w:space="0" w:color="FFFFFF"/>
              <w:left w:val="single" w:sz="6" w:space="0" w:color="FFFFFF"/>
              <w:bottom w:val="nil"/>
              <w:right w:val="single" w:sz="6" w:space="0" w:color="FFFFFF"/>
            </w:tcBorders>
            <w:shd w:val="solid" w:color="969696" w:fill="auto"/>
          </w:tcPr>
          <w:p w14:paraId="2B0FA1FE" w14:textId="77777777" w:rsidR="00F76607" w:rsidRDefault="001863F0">
            <w:pPr>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Completed</w:t>
            </w:r>
          </w:p>
          <w:p w14:paraId="11C649BE" w14:textId="77777777" w:rsidR="00F76607" w:rsidRDefault="001863F0">
            <w:pPr>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in m²</w:t>
            </w:r>
          </w:p>
        </w:tc>
        <w:tc>
          <w:tcPr>
            <w:tcW w:w="1134" w:type="dxa"/>
            <w:tcBorders>
              <w:top w:val="single" w:sz="6" w:space="0" w:color="FFFFFF"/>
              <w:left w:val="single" w:sz="6" w:space="0" w:color="FFFFFF"/>
              <w:bottom w:val="nil"/>
              <w:right w:val="single" w:sz="6" w:space="0" w:color="FFFFFF"/>
            </w:tcBorders>
            <w:shd w:val="solid" w:color="969696" w:fill="auto"/>
          </w:tcPr>
          <w:p w14:paraId="7F07C7E6" w14:textId="77777777" w:rsidR="00F76607" w:rsidRDefault="001863F0">
            <w:pPr>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Under Construction</w:t>
            </w:r>
          </w:p>
          <w:p w14:paraId="688CC680" w14:textId="77777777" w:rsidR="00F76607" w:rsidRDefault="001863F0">
            <w:pPr>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in m²</w:t>
            </w:r>
          </w:p>
        </w:tc>
        <w:tc>
          <w:tcPr>
            <w:tcW w:w="1134" w:type="dxa"/>
            <w:tcBorders>
              <w:top w:val="single" w:sz="6" w:space="0" w:color="FFFFFF"/>
              <w:left w:val="single" w:sz="6" w:space="0" w:color="FFFFFF"/>
              <w:bottom w:val="nil"/>
              <w:right w:val="single" w:sz="6" w:space="0" w:color="FFFFFF"/>
            </w:tcBorders>
            <w:shd w:val="solid" w:color="969696" w:fill="auto"/>
          </w:tcPr>
          <w:p w14:paraId="7BA817C1" w14:textId="77777777" w:rsidR="00F76607" w:rsidRDefault="001863F0">
            <w:pPr>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Potential</w:t>
            </w:r>
          </w:p>
          <w:p w14:paraId="7AA43F98" w14:textId="77777777" w:rsidR="00F76607" w:rsidRDefault="001863F0">
            <w:pPr>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in m²</w:t>
            </w:r>
          </w:p>
        </w:tc>
        <w:tc>
          <w:tcPr>
            <w:tcW w:w="1134" w:type="dxa"/>
            <w:tcBorders>
              <w:top w:val="single" w:sz="6" w:space="0" w:color="FFFFFF"/>
              <w:left w:val="single" w:sz="6" w:space="0" w:color="FFFFFF"/>
              <w:bottom w:val="nil"/>
              <w:right w:val="nil"/>
            </w:tcBorders>
            <w:shd w:val="solid" w:color="969696" w:fill="auto"/>
          </w:tcPr>
          <w:p w14:paraId="0A28AD6C" w14:textId="77777777" w:rsidR="00F76607" w:rsidRDefault="001863F0">
            <w:pPr>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Total</w:t>
            </w:r>
          </w:p>
          <w:p w14:paraId="5591BDCF" w14:textId="77777777" w:rsidR="00F76607" w:rsidRDefault="001863F0">
            <w:pPr>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in m²</w:t>
            </w:r>
          </w:p>
        </w:tc>
        <w:tc>
          <w:tcPr>
            <w:tcW w:w="992" w:type="dxa"/>
            <w:tcBorders>
              <w:top w:val="single" w:sz="6" w:space="0" w:color="FFFFFF"/>
              <w:left w:val="single" w:sz="6" w:space="0" w:color="FFFFFF"/>
              <w:bottom w:val="nil"/>
              <w:right w:val="nil"/>
            </w:tcBorders>
            <w:shd w:val="solid" w:color="969696" w:fill="auto"/>
          </w:tcPr>
          <w:p w14:paraId="532B832B" w14:textId="7085D0E2" w:rsidR="00F76607" w:rsidRDefault="000078A9">
            <w:pPr>
              <w:autoSpaceDE w:val="0"/>
              <w:autoSpaceDN w:val="0"/>
              <w:adjustRightInd w:val="0"/>
              <w:jc w:val="center"/>
              <w:rPr>
                <w:rFonts w:eastAsiaTheme="minorHAnsi"/>
                <w:b/>
                <w:bCs/>
                <w:color w:val="FFFFFF" w:themeColor="background1"/>
                <w:sz w:val="16"/>
                <w:szCs w:val="16"/>
              </w:rPr>
            </w:pPr>
            <w:proofErr w:type="spellStart"/>
            <w:r>
              <w:rPr>
                <w:rFonts w:eastAsiaTheme="minorHAnsi"/>
                <w:b/>
                <w:bCs/>
                <w:color w:val="FFFFFF" w:themeColor="background1"/>
                <w:sz w:val="16"/>
                <w:szCs w:val="16"/>
              </w:rPr>
              <w:t>Annualised</w:t>
            </w:r>
            <w:proofErr w:type="spellEnd"/>
            <w:r>
              <w:rPr>
                <w:rFonts w:eastAsiaTheme="minorHAnsi"/>
                <w:b/>
                <w:bCs/>
                <w:color w:val="FFFFFF" w:themeColor="background1"/>
                <w:sz w:val="16"/>
                <w:szCs w:val="16"/>
              </w:rPr>
              <w:t xml:space="preserve"> Committed Leases</w:t>
            </w:r>
          </w:p>
          <w:p w14:paraId="4753E1B6" w14:textId="77777777" w:rsidR="00F76607" w:rsidRDefault="001863F0">
            <w:pPr>
              <w:autoSpaceDE w:val="0"/>
              <w:autoSpaceDN w:val="0"/>
              <w:adjustRightInd w:val="0"/>
              <w:jc w:val="center"/>
              <w:rPr>
                <w:rFonts w:eastAsiaTheme="minorHAnsi"/>
                <w:b/>
                <w:bCs/>
                <w:color w:val="FFFFFF" w:themeColor="background1"/>
                <w:sz w:val="16"/>
                <w:szCs w:val="16"/>
              </w:rPr>
            </w:pPr>
            <w:r>
              <w:rPr>
                <w:rFonts w:eastAsiaTheme="minorHAnsi"/>
                <w:b/>
                <w:bCs/>
                <w:color w:val="FFFFFF" w:themeColor="background1"/>
                <w:sz w:val="16"/>
                <w:szCs w:val="16"/>
              </w:rPr>
              <w:t xml:space="preserve">(in million €) </w:t>
            </w:r>
          </w:p>
        </w:tc>
      </w:tr>
      <w:tr w:rsidR="00F76607" w14:paraId="5B0C89AB" w14:textId="77777777">
        <w:trPr>
          <w:trHeight w:val="247"/>
        </w:trPr>
        <w:tc>
          <w:tcPr>
            <w:tcW w:w="1873" w:type="dxa"/>
            <w:tcBorders>
              <w:top w:val="single" w:sz="6" w:space="0" w:color="969696"/>
              <w:left w:val="nil"/>
              <w:bottom w:val="single" w:sz="6" w:space="0" w:color="969696"/>
              <w:right w:val="nil"/>
            </w:tcBorders>
            <w:vAlign w:val="center"/>
          </w:tcPr>
          <w:p w14:paraId="3A2C569E" w14:textId="77777777" w:rsidR="00F76607" w:rsidRDefault="001863F0">
            <w:pPr>
              <w:rPr>
                <w:b/>
                <w:bCs/>
                <w:sz w:val="18"/>
                <w:szCs w:val="18"/>
              </w:rPr>
            </w:pPr>
            <w:r>
              <w:rPr>
                <w:b/>
                <w:bCs/>
                <w:sz w:val="18"/>
                <w:szCs w:val="18"/>
              </w:rPr>
              <w:t>Germany</w:t>
            </w:r>
          </w:p>
        </w:tc>
        <w:tc>
          <w:tcPr>
            <w:tcW w:w="709" w:type="dxa"/>
            <w:tcBorders>
              <w:top w:val="single" w:sz="6" w:space="0" w:color="969696"/>
              <w:left w:val="nil"/>
              <w:bottom w:val="single" w:sz="6" w:space="0" w:color="969696"/>
              <w:right w:val="nil"/>
            </w:tcBorders>
            <w:vAlign w:val="center"/>
          </w:tcPr>
          <w:p w14:paraId="5203B5F4" w14:textId="77777777" w:rsidR="00F76607" w:rsidRDefault="001863F0">
            <w:pPr>
              <w:jc w:val="cente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73682136" w14:textId="77777777" w:rsidR="00F76607" w:rsidRDefault="001863F0">
            <w:pP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7CCF1112" w14:textId="77777777" w:rsidR="00F76607" w:rsidRDefault="001863F0">
            <w:pP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2ECED481" w14:textId="77777777" w:rsidR="00F76607" w:rsidRDefault="001863F0">
            <w:pP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4FBB212B" w14:textId="77777777" w:rsidR="00F76607" w:rsidRDefault="001863F0">
            <w:pPr>
              <w:jc w:val="right"/>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58F45353" w14:textId="77777777" w:rsidR="00F76607" w:rsidRDefault="001863F0">
            <w:pPr>
              <w:rPr>
                <w:sz w:val="18"/>
                <w:szCs w:val="18"/>
              </w:rPr>
            </w:pPr>
            <w:r>
              <w:rPr>
                <w:sz w:val="18"/>
                <w:szCs w:val="18"/>
              </w:rPr>
              <w:t> </w:t>
            </w:r>
          </w:p>
        </w:tc>
        <w:tc>
          <w:tcPr>
            <w:tcW w:w="992" w:type="dxa"/>
            <w:tcBorders>
              <w:top w:val="single" w:sz="6" w:space="0" w:color="969696"/>
              <w:left w:val="nil"/>
              <w:bottom w:val="single" w:sz="6" w:space="0" w:color="969696"/>
              <w:right w:val="nil"/>
            </w:tcBorders>
            <w:vAlign w:val="center"/>
          </w:tcPr>
          <w:p w14:paraId="302D75CA" w14:textId="77777777" w:rsidR="00F76607" w:rsidRDefault="001863F0">
            <w:pPr>
              <w:rPr>
                <w:sz w:val="18"/>
                <w:szCs w:val="18"/>
              </w:rPr>
            </w:pPr>
            <w:r>
              <w:rPr>
                <w:sz w:val="18"/>
                <w:szCs w:val="18"/>
              </w:rPr>
              <w:t> </w:t>
            </w:r>
          </w:p>
        </w:tc>
      </w:tr>
      <w:tr w:rsidR="00F76607" w14:paraId="372DFD69" w14:textId="77777777">
        <w:trPr>
          <w:trHeight w:val="247"/>
        </w:trPr>
        <w:tc>
          <w:tcPr>
            <w:tcW w:w="1873" w:type="dxa"/>
            <w:tcBorders>
              <w:top w:val="single" w:sz="6" w:space="0" w:color="969696"/>
              <w:left w:val="nil"/>
              <w:bottom w:val="single" w:sz="6" w:space="0" w:color="969696"/>
              <w:right w:val="nil"/>
            </w:tcBorders>
            <w:vAlign w:val="center"/>
          </w:tcPr>
          <w:p w14:paraId="0B0A434F" w14:textId="77777777" w:rsidR="00F76607" w:rsidRDefault="001863F0">
            <w:pPr>
              <w:rPr>
                <w:sz w:val="18"/>
                <w:szCs w:val="18"/>
              </w:rPr>
            </w:pPr>
            <w:r>
              <w:rPr>
                <w:sz w:val="18"/>
                <w:szCs w:val="18"/>
              </w:rPr>
              <w:t xml:space="preserve">VGP Park </w:t>
            </w:r>
            <w:proofErr w:type="spellStart"/>
            <w:r>
              <w:rPr>
                <w:sz w:val="18"/>
                <w:szCs w:val="18"/>
              </w:rPr>
              <w:t>Bingen</w:t>
            </w:r>
            <w:proofErr w:type="spellEnd"/>
          </w:p>
        </w:tc>
        <w:tc>
          <w:tcPr>
            <w:tcW w:w="709" w:type="dxa"/>
            <w:tcBorders>
              <w:top w:val="single" w:sz="6" w:space="0" w:color="969696"/>
              <w:left w:val="nil"/>
              <w:bottom w:val="single" w:sz="6" w:space="0" w:color="969696"/>
              <w:right w:val="nil"/>
            </w:tcBorders>
            <w:vAlign w:val="center"/>
          </w:tcPr>
          <w:p w14:paraId="23C4ED8A"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54D997AE" w14:textId="77777777" w:rsidR="00F76607" w:rsidRDefault="001863F0">
            <w:pPr>
              <w:jc w:val="right"/>
              <w:rPr>
                <w:sz w:val="18"/>
                <w:szCs w:val="18"/>
              </w:rPr>
            </w:pPr>
            <w:r>
              <w:rPr>
                <w:sz w:val="18"/>
                <w:szCs w:val="18"/>
              </w:rPr>
              <w:t>15,000</w:t>
            </w:r>
          </w:p>
        </w:tc>
        <w:tc>
          <w:tcPr>
            <w:tcW w:w="1134" w:type="dxa"/>
            <w:tcBorders>
              <w:top w:val="single" w:sz="6" w:space="0" w:color="969696"/>
              <w:left w:val="nil"/>
              <w:bottom w:val="single" w:sz="6" w:space="0" w:color="969696"/>
              <w:right w:val="nil"/>
            </w:tcBorders>
            <w:vAlign w:val="center"/>
          </w:tcPr>
          <w:p w14:paraId="3A9CD22A" w14:textId="77777777" w:rsidR="00F76607" w:rsidRDefault="001863F0">
            <w:pPr>
              <w:jc w:val="right"/>
              <w:rPr>
                <w:sz w:val="18"/>
                <w:szCs w:val="18"/>
              </w:rPr>
            </w:pPr>
            <w:r>
              <w:rPr>
                <w:sz w:val="18"/>
                <w:szCs w:val="18"/>
              </w:rPr>
              <w:t>6,400</w:t>
            </w:r>
          </w:p>
        </w:tc>
        <w:tc>
          <w:tcPr>
            <w:tcW w:w="1134" w:type="dxa"/>
            <w:tcBorders>
              <w:top w:val="single" w:sz="6" w:space="0" w:color="969696"/>
              <w:left w:val="nil"/>
              <w:bottom w:val="single" w:sz="6" w:space="0" w:color="969696"/>
              <w:right w:val="nil"/>
            </w:tcBorders>
            <w:vAlign w:val="center"/>
          </w:tcPr>
          <w:p w14:paraId="2D377AF0"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44740F52"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337C973B" w14:textId="77777777" w:rsidR="00F76607" w:rsidRDefault="001863F0">
            <w:pPr>
              <w:jc w:val="right"/>
              <w:rPr>
                <w:sz w:val="18"/>
                <w:szCs w:val="18"/>
              </w:rPr>
            </w:pPr>
            <w:r>
              <w:rPr>
                <w:sz w:val="18"/>
                <w:szCs w:val="18"/>
              </w:rPr>
              <w:t>6,400</w:t>
            </w:r>
          </w:p>
        </w:tc>
        <w:tc>
          <w:tcPr>
            <w:tcW w:w="992" w:type="dxa"/>
            <w:tcBorders>
              <w:top w:val="single" w:sz="6" w:space="0" w:color="969696"/>
              <w:left w:val="nil"/>
              <w:bottom w:val="single" w:sz="6" w:space="0" w:color="969696"/>
              <w:right w:val="nil"/>
            </w:tcBorders>
            <w:vAlign w:val="center"/>
          </w:tcPr>
          <w:p w14:paraId="4DC26F20" w14:textId="77777777" w:rsidR="00F76607" w:rsidRDefault="001863F0">
            <w:pPr>
              <w:jc w:val="right"/>
              <w:rPr>
                <w:sz w:val="18"/>
                <w:szCs w:val="18"/>
              </w:rPr>
            </w:pPr>
            <w:r>
              <w:rPr>
                <w:sz w:val="18"/>
                <w:szCs w:val="18"/>
              </w:rPr>
              <w:t xml:space="preserve">0.4 </w:t>
            </w:r>
          </w:p>
        </w:tc>
      </w:tr>
      <w:tr w:rsidR="00F76607" w14:paraId="2A33C651" w14:textId="77777777">
        <w:trPr>
          <w:trHeight w:val="247"/>
        </w:trPr>
        <w:tc>
          <w:tcPr>
            <w:tcW w:w="1873" w:type="dxa"/>
            <w:tcBorders>
              <w:top w:val="single" w:sz="6" w:space="0" w:color="969696"/>
              <w:left w:val="nil"/>
              <w:bottom w:val="single" w:sz="6" w:space="0" w:color="969696"/>
              <w:right w:val="nil"/>
            </w:tcBorders>
            <w:vAlign w:val="center"/>
          </w:tcPr>
          <w:p w14:paraId="7A5F765D" w14:textId="77777777" w:rsidR="00F76607" w:rsidRDefault="001863F0">
            <w:pPr>
              <w:rPr>
                <w:sz w:val="18"/>
                <w:szCs w:val="18"/>
              </w:rPr>
            </w:pPr>
            <w:r>
              <w:rPr>
                <w:sz w:val="18"/>
                <w:szCs w:val="18"/>
              </w:rPr>
              <w:t>VGP Park Hamburg</w:t>
            </w:r>
          </w:p>
        </w:tc>
        <w:tc>
          <w:tcPr>
            <w:tcW w:w="709" w:type="dxa"/>
            <w:tcBorders>
              <w:top w:val="single" w:sz="6" w:space="0" w:color="969696"/>
              <w:left w:val="nil"/>
              <w:bottom w:val="single" w:sz="6" w:space="0" w:color="969696"/>
              <w:right w:val="nil"/>
            </w:tcBorders>
            <w:vAlign w:val="center"/>
          </w:tcPr>
          <w:p w14:paraId="3B4CCA18"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0BF1BB63" w14:textId="77777777" w:rsidR="00F76607" w:rsidRDefault="001863F0">
            <w:pPr>
              <w:jc w:val="right"/>
              <w:rPr>
                <w:sz w:val="18"/>
                <w:szCs w:val="18"/>
              </w:rPr>
            </w:pPr>
            <w:r>
              <w:rPr>
                <w:sz w:val="18"/>
                <w:szCs w:val="18"/>
              </w:rPr>
              <w:t>537,112</w:t>
            </w:r>
          </w:p>
        </w:tc>
        <w:tc>
          <w:tcPr>
            <w:tcW w:w="1134" w:type="dxa"/>
            <w:tcBorders>
              <w:top w:val="single" w:sz="6" w:space="0" w:color="969696"/>
              <w:left w:val="nil"/>
              <w:bottom w:val="single" w:sz="6" w:space="0" w:color="969696"/>
              <w:right w:val="nil"/>
            </w:tcBorders>
            <w:vAlign w:val="center"/>
          </w:tcPr>
          <w:p w14:paraId="53AE6F13" w14:textId="77777777" w:rsidR="00F76607" w:rsidRDefault="001863F0">
            <w:pPr>
              <w:jc w:val="right"/>
              <w:rPr>
                <w:sz w:val="18"/>
                <w:szCs w:val="18"/>
              </w:rPr>
            </w:pPr>
            <w:r>
              <w:rPr>
                <w:sz w:val="18"/>
                <w:szCs w:val="18"/>
              </w:rPr>
              <w:t>226,667</w:t>
            </w:r>
          </w:p>
        </w:tc>
        <w:tc>
          <w:tcPr>
            <w:tcW w:w="1134" w:type="dxa"/>
            <w:tcBorders>
              <w:top w:val="single" w:sz="6" w:space="0" w:color="969696"/>
              <w:left w:val="nil"/>
              <w:bottom w:val="single" w:sz="6" w:space="0" w:color="969696"/>
              <w:right w:val="nil"/>
            </w:tcBorders>
            <w:vAlign w:val="center"/>
          </w:tcPr>
          <w:p w14:paraId="65E808E3" w14:textId="77777777" w:rsidR="00F76607" w:rsidRDefault="001863F0">
            <w:pPr>
              <w:jc w:val="right"/>
              <w:rPr>
                <w:sz w:val="18"/>
                <w:szCs w:val="18"/>
              </w:rPr>
            </w:pPr>
            <w:r>
              <w:rPr>
                <w:sz w:val="18"/>
                <w:szCs w:val="18"/>
              </w:rPr>
              <w:t>9,376</w:t>
            </w:r>
          </w:p>
        </w:tc>
        <w:tc>
          <w:tcPr>
            <w:tcW w:w="1134" w:type="dxa"/>
            <w:tcBorders>
              <w:top w:val="single" w:sz="6" w:space="0" w:color="969696"/>
              <w:left w:val="nil"/>
              <w:bottom w:val="single" w:sz="6" w:space="0" w:color="969696"/>
              <w:right w:val="nil"/>
            </w:tcBorders>
            <w:vAlign w:val="center"/>
          </w:tcPr>
          <w:p w14:paraId="11A9D644" w14:textId="77777777" w:rsidR="00F76607" w:rsidRDefault="001863F0">
            <w:pPr>
              <w:jc w:val="right"/>
              <w:rPr>
                <w:sz w:val="18"/>
                <w:szCs w:val="18"/>
              </w:rPr>
            </w:pPr>
            <w:r>
              <w:rPr>
                <w:sz w:val="18"/>
                <w:szCs w:val="18"/>
              </w:rPr>
              <w:t>11,652</w:t>
            </w:r>
          </w:p>
        </w:tc>
        <w:tc>
          <w:tcPr>
            <w:tcW w:w="1134" w:type="dxa"/>
            <w:tcBorders>
              <w:top w:val="single" w:sz="6" w:space="0" w:color="969696"/>
              <w:left w:val="nil"/>
              <w:bottom w:val="single" w:sz="6" w:space="0" w:color="969696"/>
              <w:right w:val="nil"/>
            </w:tcBorders>
            <w:vAlign w:val="center"/>
          </w:tcPr>
          <w:p w14:paraId="3B8DB476" w14:textId="77777777" w:rsidR="00F76607" w:rsidRDefault="001863F0">
            <w:pPr>
              <w:jc w:val="right"/>
              <w:rPr>
                <w:sz w:val="18"/>
                <w:szCs w:val="18"/>
              </w:rPr>
            </w:pPr>
            <w:r>
              <w:rPr>
                <w:sz w:val="18"/>
                <w:szCs w:val="18"/>
              </w:rPr>
              <w:t>247,694</w:t>
            </w:r>
          </w:p>
        </w:tc>
        <w:tc>
          <w:tcPr>
            <w:tcW w:w="992" w:type="dxa"/>
            <w:tcBorders>
              <w:top w:val="single" w:sz="6" w:space="0" w:color="969696"/>
              <w:left w:val="nil"/>
              <w:bottom w:val="single" w:sz="6" w:space="0" w:color="969696"/>
              <w:right w:val="nil"/>
            </w:tcBorders>
            <w:vAlign w:val="center"/>
          </w:tcPr>
          <w:p w14:paraId="4650F0D4" w14:textId="77777777" w:rsidR="00F76607" w:rsidRDefault="001863F0">
            <w:pPr>
              <w:jc w:val="right"/>
              <w:rPr>
                <w:sz w:val="18"/>
                <w:szCs w:val="18"/>
              </w:rPr>
            </w:pPr>
            <w:r>
              <w:rPr>
                <w:sz w:val="18"/>
                <w:szCs w:val="18"/>
              </w:rPr>
              <w:t xml:space="preserve">11.9 </w:t>
            </w:r>
          </w:p>
        </w:tc>
      </w:tr>
      <w:tr w:rsidR="00F76607" w14:paraId="65A526C8" w14:textId="77777777">
        <w:trPr>
          <w:trHeight w:val="247"/>
        </w:trPr>
        <w:tc>
          <w:tcPr>
            <w:tcW w:w="1873" w:type="dxa"/>
            <w:tcBorders>
              <w:top w:val="single" w:sz="6" w:space="0" w:color="969696"/>
              <w:left w:val="nil"/>
              <w:bottom w:val="single" w:sz="6" w:space="0" w:color="969696"/>
              <w:right w:val="nil"/>
            </w:tcBorders>
            <w:vAlign w:val="center"/>
          </w:tcPr>
          <w:p w14:paraId="1F4BC7FA" w14:textId="77777777" w:rsidR="00F76607" w:rsidRDefault="001863F0">
            <w:pPr>
              <w:rPr>
                <w:sz w:val="18"/>
                <w:szCs w:val="18"/>
              </w:rPr>
            </w:pPr>
            <w:r>
              <w:rPr>
                <w:sz w:val="18"/>
                <w:szCs w:val="18"/>
              </w:rPr>
              <w:t xml:space="preserve">VGP Park </w:t>
            </w:r>
            <w:proofErr w:type="spellStart"/>
            <w:r>
              <w:rPr>
                <w:sz w:val="18"/>
                <w:szCs w:val="18"/>
              </w:rPr>
              <w:t>Soltau</w:t>
            </w:r>
            <w:proofErr w:type="spellEnd"/>
          </w:p>
        </w:tc>
        <w:tc>
          <w:tcPr>
            <w:tcW w:w="709" w:type="dxa"/>
            <w:tcBorders>
              <w:top w:val="single" w:sz="6" w:space="0" w:color="969696"/>
              <w:left w:val="nil"/>
              <w:bottom w:val="single" w:sz="6" w:space="0" w:color="969696"/>
              <w:right w:val="nil"/>
            </w:tcBorders>
            <w:vAlign w:val="center"/>
          </w:tcPr>
          <w:p w14:paraId="39437E4A"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6D50A6C2" w14:textId="77777777" w:rsidR="00F76607" w:rsidRDefault="001863F0">
            <w:pPr>
              <w:jc w:val="right"/>
              <w:rPr>
                <w:sz w:val="18"/>
                <w:szCs w:val="18"/>
              </w:rPr>
            </w:pPr>
            <w:r>
              <w:rPr>
                <w:sz w:val="18"/>
                <w:szCs w:val="18"/>
              </w:rPr>
              <w:t>119,868</w:t>
            </w:r>
          </w:p>
        </w:tc>
        <w:tc>
          <w:tcPr>
            <w:tcW w:w="1134" w:type="dxa"/>
            <w:tcBorders>
              <w:top w:val="single" w:sz="6" w:space="0" w:color="969696"/>
              <w:left w:val="nil"/>
              <w:bottom w:val="single" w:sz="6" w:space="0" w:color="969696"/>
              <w:right w:val="nil"/>
            </w:tcBorders>
            <w:vAlign w:val="center"/>
          </w:tcPr>
          <w:p w14:paraId="4A1A646D" w14:textId="77777777" w:rsidR="00F76607" w:rsidRDefault="001863F0">
            <w:pPr>
              <w:jc w:val="right"/>
              <w:rPr>
                <w:sz w:val="18"/>
                <w:szCs w:val="18"/>
              </w:rPr>
            </w:pPr>
            <w:r>
              <w:rPr>
                <w:sz w:val="18"/>
                <w:szCs w:val="18"/>
              </w:rPr>
              <w:t>55,811</w:t>
            </w:r>
          </w:p>
        </w:tc>
        <w:tc>
          <w:tcPr>
            <w:tcW w:w="1134" w:type="dxa"/>
            <w:tcBorders>
              <w:top w:val="single" w:sz="6" w:space="0" w:color="969696"/>
              <w:left w:val="nil"/>
              <w:bottom w:val="single" w:sz="6" w:space="0" w:color="969696"/>
              <w:right w:val="nil"/>
            </w:tcBorders>
            <w:vAlign w:val="center"/>
          </w:tcPr>
          <w:p w14:paraId="718B7E7D"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0F8079E6"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4ED12307" w14:textId="77777777" w:rsidR="00F76607" w:rsidRDefault="001863F0">
            <w:pPr>
              <w:jc w:val="right"/>
              <w:rPr>
                <w:sz w:val="18"/>
                <w:szCs w:val="18"/>
              </w:rPr>
            </w:pPr>
            <w:r>
              <w:rPr>
                <w:sz w:val="18"/>
                <w:szCs w:val="18"/>
              </w:rPr>
              <w:t>55,811</w:t>
            </w:r>
          </w:p>
        </w:tc>
        <w:tc>
          <w:tcPr>
            <w:tcW w:w="992" w:type="dxa"/>
            <w:tcBorders>
              <w:top w:val="single" w:sz="6" w:space="0" w:color="969696"/>
              <w:left w:val="nil"/>
              <w:bottom w:val="single" w:sz="6" w:space="0" w:color="969696"/>
              <w:right w:val="nil"/>
            </w:tcBorders>
            <w:vAlign w:val="center"/>
          </w:tcPr>
          <w:p w14:paraId="48399F68" w14:textId="77777777" w:rsidR="00F76607" w:rsidRDefault="001863F0">
            <w:pPr>
              <w:jc w:val="right"/>
              <w:rPr>
                <w:sz w:val="18"/>
                <w:szCs w:val="18"/>
              </w:rPr>
            </w:pPr>
            <w:r>
              <w:rPr>
                <w:sz w:val="18"/>
                <w:szCs w:val="18"/>
              </w:rPr>
              <w:t xml:space="preserve">1.9 </w:t>
            </w:r>
          </w:p>
        </w:tc>
      </w:tr>
      <w:tr w:rsidR="00F76607" w14:paraId="600FC702" w14:textId="77777777">
        <w:trPr>
          <w:trHeight w:val="247"/>
        </w:trPr>
        <w:tc>
          <w:tcPr>
            <w:tcW w:w="1873" w:type="dxa"/>
            <w:tcBorders>
              <w:top w:val="single" w:sz="6" w:space="0" w:color="969696"/>
              <w:left w:val="nil"/>
              <w:bottom w:val="single" w:sz="6" w:space="0" w:color="969696"/>
              <w:right w:val="nil"/>
            </w:tcBorders>
            <w:vAlign w:val="center"/>
          </w:tcPr>
          <w:p w14:paraId="0BCDA3DF" w14:textId="77777777" w:rsidR="00F76607" w:rsidRDefault="001863F0">
            <w:pPr>
              <w:rPr>
                <w:sz w:val="18"/>
                <w:szCs w:val="18"/>
              </w:rPr>
            </w:pPr>
            <w:r>
              <w:rPr>
                <w:sz w:val="18"/>
                <w:szCs w:val="18"/>
              </w:rPr>
              <w:t xml:space="preserve">VGP Park </w:t>
            </w:r>
            <w:proofErr w:type="spellStart"/>
            <w:r>
              <w:rPr>
                <w:sz w:val="18"/>
                <w:szCs w:val="18"/>
              </w:rPr>
              <w:t>Rodgau</w:t>
            </w:r>
            <w:proofErr w:type="spellEnd"/>
          </w:p>
        </w:tc>
        <w:tc>
          <w:tcPr>
            <w:tcW w:w="709" w:type="dxa"/>
            <w:tcBorders>
              <w:top w:val="single" w:sz="6" w:space="0" w:color="969696"/>
              <w:left w:val="nil"/>
              <w:bottom w:val="single" w:sz="6" w:space="0" w:color="969696"/>
              <w:right w:val="nil"/>
            </w:tcBorders>
            <w:vAlign w:val="center"/>
          </w:tcPr>
          <w:p w14:paraId="6B1453FD"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05E6F0AC" w14:textId="77777777" w:rsidR="00F76607" w:rsidRDefault="001863F0">
            <w:pPr>
              <w:jc w:val="right"/>
              <w:rPr>
                <w:sz w:val="18"/>
                <w:szCs w:val="18"/>
              </w:rPr>
            </w:pPr>
            <w:r>
              <w:rPr>
                <w:sz w:val="18"/>
                <w:szCs w:val="18"/>
              </w:rPr>
              <w:t>212,740</w:t>
            </w:r>
          </w:p>
        </w:tc>
        <w:tc>
          <w:tcPr>
            <w:tcW w:w="1134" w:type="dxa"/>
            <w:tcBorders>
              <w:top w:val="single" w:sz="6" w:space="0" w:color="969696"/>
              <w:left w:val="nil"/>
              <w:bottom w:val="single" w:sz="6" w:space="0" w:color="969696"/>
              <w:right w:val="nil"/>
            </w:tcBorders>
            <w:vAlign w:val="center"/>
          </w:tcPr>
          <w:p w14:paraId="07ABAF5C" w14:textId="77777777" w:rsidR="00F76607" w:rsidRDefault="001863F0">
            <w:pPr>
              <w:jc w:val="right"/>
              <w:rPr>
                <w:sz w:val="18"/>
                <w:szCs w:val="18"/>
              </w:rPr>
            </w:pPr>
            <w:r>
              <w:rPr>
                <w:sz w:val="18"/>
                <w:szCs w:val="18"/>
              </w:rPr>
              <w:t>103,699</w:t>
            </w:r>
          </w:p>
        </w:tc>
        <w:tc>
          <w:tcPr>
            <w:tcW w:w="1134" w:type="dxa"/>
            <w:tcBorders>
              <w:top w:val="single" w:sz="6" w:space="0" w:color="969696"/>
              <w:left w:val="nil"/>
              <w:bottom w:val="single" w:sz="6" w:space="0" w:color="969696"/>
              <w:right w:val="nil"/>
            </w:tcBorders>
            <w:vAlign w:val="center"/>
          </w:tcPr>
          <w:p w14:paraId="60730ABA"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386F6527"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24884C02" w14:textId="77777777" w:rsidR="00F76607" w:rsidRDefault="001863F0">
            <w:pPr>
              <w:jc w:val="right"/>
              <w:rPr>
                <w:sz w:val="18"/>
                <w:szCs w:val="18"/>
              </w:rPr>
            </w:pPr>
            <w:r>
              <w:rPr>
                <w:sz w:val="18"/>
                <w:szCs w:val="18"/>
              </w:rPr>
              <w:t>103,699</w:t>
            </w:r>
          </w:p>
        </w:tc>
        <w:tc>
          <w:tcPr>
            <w:tcW w:w="992" w:type="dxa"/>
            <w:tcBorders>
              <w:top w:val="single" w:sz="6" w:space="0" w:color="969696"/>
              <w:left w:val="nil"/>
              <w:bottom w:val="single" w:sz="6" w:space="0" w:color="969696"/>
              <w:right w:val="nil"/>
            </w:tcBorders>
            <w:vAlign w:val="center"/>
          </w:tcPr>
          <w:p w14:paraId="1BD89D1B" w14:textId="77777777" w:rsidR="00F76607" w:rsidRDefault="001863F0">
            <w:pPr>
              <w:jc w:val="right"/>
              <w:rPr>
                <w:sz w:val="18"/>
                <w:szCs w:val="18"/>
              </w:rPr>
            </w:pPr>
            <w:r>
              <w:rPr>
                <w:sz w:val="18"/>
                <w:szCs w:val="18"/>
              </w:rPr>
              <w:t xml:space="preserve">6.1 </w:t>
            </w:r>
          </w:p>
        </w:tc>
      </w:tr>
      <w:tr w:rsidR="00F76607" w14:paraId="7507C79F" w14:textId="77777777">
        <w:trPr>
          <w:trHeight w:val="247"/>
        </w:trPr>
        <w:tc>
          <w:tcPr>
            <w:tcW w:w="1873" w:type="dxa"/>
            <w:tcBorders>
              <w:top w:val="single" w:sz="6" w:space="0" w:color="969696"/>
              <w:left w:val="nil"/>
              <w:bottom w:val="single" w:sz="6" w:space="0" w:color="969696"/>
              <w:right w:val="nil"/>
            </w:tcBorders>
            <w:vAlign w:val="center"/>
          </w:tcPr>
          <w:p w14:paraId="58528C64" w14:textId="77777777" w:rsidR="00F76607" w:rsidRDefault="001863F0">
            <w:pPr>
              <w:rPr>
                <w:sz w:val="18"/>
                <w:szCs w:val="18"/>
              </w:rPr>
            </w:pPr>
            <w:r>
              <w:rPr>
                <w:sz w:val="18"/>
                <w:szCs w:val="18"/>
              </w:rPr>
              <w:t xml:space="preserve">VGP Park </w:t>
            </w:r>
            <w:proofErr w:type="spellStart"/>
            <w:r>
              <w:rPr>
                <w:sz w:val="18"/>
                <w:szCs w:val="18"/>
              </w:rPr>
              <w:t>Höchstadt</w:t>
            </w:r>
            <w:proofErr w:type="spellEnd"/>
          </w:p>
        </w:tc>
        <w:tc>
          <w:tcPr>
            <w:tcW w:w="709" w:type="dxa"/>
            <w:tcBorders>
              <w:top w:val="single" w:sz="6" w:space="0" w:color="969696"/>
              <w:left w:val="nil"/>
              <w:bottom w:val="single" w:sz="6" w:space="0" w:color="969696"/>
              <w:right w:val="nil"/>
            </w:tcBorders>
            <w:vAlign w:val="center"/>
          </w:tcPr>
          <w:p w14:paraId="71E0AB0C"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530ED994" w14:textId="77777777" w:rsidR="00F76607" w:rsidRDefault="001863F0">
            <w:pPr>
              <w:jc w:val="right"/>
              <w:rPr>
                <w:sz w:val="18"/>
                <w:szCs w:val="18"/>
              </w:rPr>
            </w:pPr>
            <w:r>
              <w:rPr>
                <w:sz w:val="18"/>
                <w:szCs w:val="18"/>
              </w:rPr>
              <w:t>45,680</w:t>
            </w:r>
          </w:p>
        </w:tc>
        <w:tc>
          <w:tcPr>
            <w:tcW w:w="1134" w:type="dxa"/>
            <w:tcBorders>
              <w:top w:val="single" w:sz="6" w:space="0" w:color="969696"/>
              <w:left w:val="nil"/>
              <w:bottom w:val="single" w:sz="6" w:space="0" w:color="969696"/>
              <w:right w:val="nil"/>
            </w:tcBorders>
            <w:vAlign w:val="center"/>
          </w:tcPr>
          <w:p w14:paraId="7BBDE418" w14:textId="77777777" w:rsidR="00F76607" w:rsidRDefault="001863F0">
            <w:pPr>
              <w:jc w:val="right"/>
              <w:rPr>
                <w:sz w:val="18"/>
                <w:szCs w:val="18"/>
              </w:rPr>
            </w:pPr>
            <w:r>
              <w:rPr>
                <w:sz w:val="18"/>
                <w:szCs w:val="18"/>
              </w:rPr>
              <w:t>15,001</w:t>
            </w:r>
          </w:p>
        </w:tc>
        <w:tc>
          <w:tcPr>
            <w:tcW w:w="1134" w:type="dxa"/>
            <w:tcBorders>
              <w:top w:val="single" w:sz="6" w:space="0" w:color="969696"/>
              <w:left w:val="nil"/>
              <w:bottom w:val="single" w:sz="6" w:space="0" w:color="969696"/>
              <w:right w:val="nil"/>
            </w:tcBorders>
            <w:vAlign w:val="center"/>
          </w:tcPr>
          <w:p w14:paraId="3EE46B0C"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5BEB8ECA"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76D1B6A4" w14:textId="77777777" w:rsidR="00F76607" w:rsidRDefault="001863F0">
            <w:pPr>
              <w:jc w:val="right"/>
              <w:rPr>
                <w:sz w:val="18"/>
                <w:szCs w:val="18"/>
              </w:rPr>
            </w:pPr>
            <w:r>
              <w:rPr>
                <w:sz w:val="18"/>
                <w:szCs w:val="18"/>
              </w:rPr>
              <w:t>15,001</w:t>
            </w:r>
          </w:p>
        </w:tc>
        <w:tc>
          <w:tcPr>
            <w:tcW w:w="992" w:type="dxa"/>
            <w:tcBorders>
              <w:top w:val="single" w:sz="6" w:space="0" w:color="969696"/>
              <w:left w:val="nil"/>
              <w:bottom w:val="single" w:sz="6" w:space="0" w:color="969696"/>
              <w:right w:val="nil"/>
            </w:tcBorders>
            <w:vAlign w:val="center"/>
          </w:tcPr>
          <w:p w14:paraId="6658BAEB" w14:textId="77777777" w:rsidR="00F76607" w:rsidRDefault="001863F0">
            <w:pPr>
              <w:jc w:val="right"/>
              <w:rPr>
                <w:sz w:val="18"/>
                <w:szCs w:val="18"/>
              </w:rPr>
            </w:pPr>
            <w:r>
              <w:rPr>
                <w:sz w:val="18"/>
                <w:szCs w:val="18"/>
              </w:rPr>
              <w:t xml:space="preserve">0.9 </w:t>
            </w:r>
          </w:p>
        </w:tc>
      </w:tr>
      <w:tr w:rsidR="00F76607" w14:paraId="60D94517" w14:textId="77777777">
        <w:trPr>
          <w:trHeight w:val="247"/>
        </w:trPr>
        <w:tc>
          <w:tcPr>
            <w:tcW w:w="1873" w:type="dxa"/>
            <w:tcBorders>
              <w:top w:val="single" w:sz="6" w:space="0" w:color="969696"/>
              <w:left w:val="nil"/>
              <w:bottom w:val="single" w:sz="6" w:space="0" w:color="969696"/>
              <w:right w:val="nil"/>
            </w:tcBorders>
            <w:vAlign w:val="center"/>
          </w:tcPr>
          <w:p w14:paraId="46822170" w14:textId="77777777" w:rsidR="00F76607" w:rsidRDefault="001863F0">
            <w:pPr>
              <w:rPr>
                <w:sz w:val="18"/>
                <w:szCs w:val="18"/>
              </w:rPr>
            </w:pPr>
            <w:r>
              <w:rPr>
                <w:sz w:val="18"/>
                <w:szCs w:val="18"/>
              </w:rPr>
              <w:t>VGP Park Berlin</w:t>
            </w:r>
          </w:p>
        </w:tc>
        <w:tc>
          <w:tcPr>
            <w:tcW w:w="709" w:type="dxa"/>
            <w:tcBorders>
              <w:top w:val="single" w:sz="6" w:space="0" w:color="969696"/>
              <w:left w:val="nil"/>
              <w:bottom w:val="single" w:sz="6" w:space="0" w:color="969696"/>
              <w:right w:val="nil"/>
            </w:tcBorders>
            <w:vAlign w:val="center"/>
          </w:tcPr>
          <w:p w14:paraId="09499723"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6737DE32" w14:textId="77777777" w:rsidR="00F76607" w:rsidRDefault="001863F0">
            <w:pPr>
              <w:jc w:val="right"/>
              <w:rPr>
                <w:sz w:val="18"/>
                <w:szCs w:val="18"/>
              </w:rPr>
            </w:pPr>
            <w:r>
              <w:rPr>
                <w:sz w:val="18"/>
                <w:szCs w:val="18"/>
              </w:rPr>
              <w:t>46,540</w:t>
            </w:r>
          </w:p>
        </w:tc>
        <w:tc>
          <w:tcPr>
            <w:tcW w:w="1134" w:type="dxa"/>
            <w:tcBorders>
              <w:top w:val="single" w:sz="6" w:space="0" w:color="969696"/>
              <w:left w:val="nil"/>
              <w:bottom w:val="single" w:sz="6" w:space="0" w:color="969696"/>
              <w:right w:val="nil"/>
            </w:tcBorders>
            <w:vAlign w:val="center"/>
          </w:tcPr>
          <w:p w14:paraId="6554251D" w14:textId="77777777" w:rsidR="00F76607" w:rsidRDefault="001863F0">
            <w:pPr>
              <w:jc w:val="right"/>
              <w:rPr>
                <w:sz w:val="18"/>
                <w:szCs w:val="18"/>
              </w:rPr>
            </w:pPr>
            <w:r>
              <w:rPr>
                <w:sz w:val="18"/>
                <w:szCs w:val="18"/>
              </w:rPr>
              <w:t>23,850</w:t>
            </w:r>
          </w:p>
        </w:tc>
        <w:tc>
          <w:tcPr>
            <w:tcW w:w="1134" w:type="dxa"/>
            <w:tcBorders>
              <w:top w:val="single" w:sz="6" w:space="0" w:color="969696"/>
              <w:left w:val="nil"/>
              <w:bottom w:val="single" w:sz="6" w:space="0" w:color="969696"/>
              <w:right w:val="nil"/>
            </w:tcBorders>
            <w:vAlign w:val="center"/>
          </w:tcPr>
          <w:p w14:paraId="6820BA86"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4AA0A396"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0FB08378" w14:textId="77777777" w:rsidR="00F76607" w:rsidRDefault="001863F0">
            <w:pPr>
              <w:jc w:val="right"/>
              <w:rPr>
                <w:sz w:val="18"/>
                <w:szCs w:val="18"/>
              </w:rPr>
            </w:pPr>
            <w:r>
              <w:rPr>
                <w:sz w:val="18"/>
                <w:szCs w:val="18"/>
              </w:rPr>
              <w:t>23,850</w:t>
            </w:r>
          </w:p>
        </w:tc>
        <w:tc>
          <w:tcPr>
            <w:tcW w:w="992" w:type="dxa"/>
            <w:tcBorders>
              <w:top w:val="single" w:sz="6" w:space="0" w:color="969696"/>
              <w:left w:val="nil"/>
              <w:bottom w:val="single" w:sz="6" w:space="0" w:color="969696"/>
              <w:right w:val="nil"/>
            </w:tcBorders>
            <w:vAlign w:val="center"/>
          </w:tcPr>
          <w:p w14:paraId="01B03B22" w14:textId="77777777" w:rsidR="00F76607" w:rsidRDefault="001863F0">
            <w:pPr>
              <w:jc w:val="right"/>
              <w:rPr>
                <w:sz w:val="18"/>
                <w:szCs w:val="18"/>
              </w:rPr>
            </w:pPr>
            <w:r>
              <w:rPr>
                <w:sz w:val="18"/>
                <w:szCs w:val="18"/>
              </w:rPr>
              <w:t xml:space="preserve">1.1 </w:t>
            </w:r>
          </w:p>
        </w:tc>
      </w:tr>
      <w:tr w:rsidR="00F76607" w14:paraId="01A6BAB8" w14:textId="77777777">
        <w:trPr>
          <w:trHeight w:val="247"/>
        </w:trPr>
        <w:tc>
          <w:tcPr>
            <w:tcW w:w="1873" w:type="dxa"/>
            <w:tcBorders>
              <w:top w:val="single" w:sz="6" w:space="0" w:color="969696"/>
              <w:left w:val="nil"/>
              <w:bottom w:val="single" w:sz="6" w:space="0" w:color="969696"/>
              <w:right w:val="nil"/>
            </w:tcBorders>
            <w:vAlign w:val="center"/>
          </w:tcPr>
          <w:p w14:paraId="0A3C76FA" w14:textId="77777777" w:rsidR="00F76607" w:rsidRDefault="001863F0">
            <w:pPr>
              <w:rPr>
                <w:sz w:val="18"/>
                <w:szCs w:val="18"/>
              </w:rPr>
            </w:pPr>
            <w:r>
              <w:rPr>
                <w:sz w:val="18"/>
                <w:szCs w:val="18"/>
              </w:rPr>
              <w:t xml:space="preserve">VGP Park </w:t>
            </w:r>
            <w:proofErr w:type="spellStart"/>
            <w:r>
              <w:rPr>
                <w:sz w:val="18"/>
                <w:szCs w:val="18"/>
              </w:rPr>
              <w:t>Frankenthal</w:t>
            </w:r>
            <w:proofErr w:type="spellEnd"/>
          </w:p>
        </w:tc>
        <w:tc>
          <w:tcPr>
            <w:tcW w:w="709" w:type="dxa"/>
            <w:tcBorders>
              <w:top w:val="single" w:sz="6" w:space="0" w:color="969696"/>
              <w:left w:val="nil"/>
              <w:bottom w:val="single" w:sz="6" w:space="0" w:color="969696"/>
              <w:right w:val="nil"/>
            </w:tcBorders>
            <w:vAlign w:val="center"/>
          </w:tcPr>
          <w:p w14:paraId="4CAD035A"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246665D2" w14:textId="77777777" w:rsidR="00F76607" w:rsidRDefault="001863F0">
            <w:pPr>
              <w:jc w:val="right"/>
              <w:rPr>
                <w:sz w:val="18"/>
                <w:szCs w:val="18"/>
              </w:rPr>
            </w:pPr>
            <w:r>
              <w:rPr>
                <w:sz w:val="18"/>
                <w:szCs w:val="18"/>
              </w:rPr>
              <w:t>174,832</w:t>
            </w:r>
          </w:p>
        </w:tc>
        <w:tc>
          <w:tcPr>
            <w:tcW w:w="1134" w:type="dxa"/>
            <w:tcBorders>
              <w:top w:val="single" w:sz="6" w:space="0" w:color="969696"/>
              <w:left w:val="nil"/>
              <w:bottom w:val="single" w:sz="6" w:space="0" w:color="969696"/>
              <w:right w:val="nil"/>
            </w:tcBorders>
            <w:vAlign w:val="center"/>
          </w:tcPr>
          <w:p w14:paraId="075CDFC4"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110117B5" w14:textId="77777777" w:rsidR="00F76607" w:rsidRDefault="001863F0">
            <w:pPr>
              <w:jc w:val="right"/>
              <w:rPr>
                <w:sz w:val="18"/>
                <w:szCs w:val="18"/>
              </w:rPr>
            </w:pPr>
            <w:r>
              <w:rPr>
                <w:sz w:val="18"/>
                <w:szCs w:val="18"/>
              </w:rPr>
              <w:t>147,022</w:t>
            </w:r>
          </w:p>
        </w:tc>
        <w:tc>
          <w:tcPr>
            <w:tcW w:w="1134" w:type="dxa"/>
            <w:tcBorders>
              <w:top w:val="single" w:sz="6" w:space="0" w:color="969696"/>
              <w:left w:val="nil"/>
              <w:bottom w:val="single" w:sz="6" w:space="0" w:color="969696"/>
              <w:right w:val="nil"/>
            </w:tcBorders>
            <w:vAlign w:val="center"/>
          </w:tcPr>
          <w:p w14:paraId="71F72263"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30EF338A" w14:textId="77777777" w:rsidR="00F76607" w:rsidRDefault="001863F0">
            <w:pPr>
              <w:jc w:val="right"/>
              <w:rPr>
                <w:sz w:val="18"/>
                <w:szCs w:val="18"/>
              </w:rPr>
            </w:pPr>
            <w:r>
              <w:rPr>
                <w:sz w:val="18"/>
                <w:szCs w:val="18"/>
              </w:rPr>
              <w:t>147,022</w:t>
            </w:r>
          </w:p>
        </w:tc>
        <w:tc>
          <w:tcPr>
            <w:tcW w:w="992" w:type="dxa"/>
            <w:tcBorders>
              <w:top w:val="single" w:sz="6" w:space="0" w:color="969696"/>
              <w:left w:val="nil"/>
              <w:bottom w:val="single" w:sz="6" w:space="0" w:color="969696"/>
              <w:right w:val="nil"/>
            </w:tcBorders>
            <w:vAlign w:val="center"/>
          </w:tcPr>
          <w:p w14:paraId="63990D79" w14:textId="77777777" w:rsidR="00F76607" w:rsidRDefault="001863F0">
            <w:pPr>
              <w:jc w:val="right"/>
              <w:rPr>
                <w:sz w:val="18"/>
                <w:szCs w:val="18"/>
              </w:rPr>
            </w:pPr>
            <w:r>
              <w:rPr>
                <w:sz w:val="18"/>
                <w:szCs w:val="18"/>
              </w:rPr>
              <w:t xml:space="preserve">7.7 </w:t>
            </w:r>
          </w:p>
        </w:tc>
      </w:tr>
      <w:tr w:rsidR="00F76607" w14:paraId="5CF16DA1" w14:textId="77777777">
        <w:trPr>
          <w:trHeight w:val="247"/>
        </w:trPr>
        <w:tc>
          <w:tcPr>
            <w:tcW w:w="1873" w:type="dxa"/>
            <w:tcBorders>
              <w:top w:val="single" w:sz="6" w:space="0" w:color="969696"/>
              <w:left w:val="nil"/>
              <w:bottom w:val="single" w:sz="6" w:space="0" w:color="969696"/>
              <w:right w:val="nil"/>
            </w:tcBorders>
            <w:vAlign w:val="center"/>
          </w:tcPr>
          <w:p w14:paraId="7455DD90" w14:textId="77777777" w:rsidR="00F76607" w:rsidRDefault="001863F0">
            <w:pPr>
              <w:rPr>
                <w:sz w:val="18"/>
                <w:szCs w:val="18"/>
              </w:rPr>
            </w:pPr>
            <w:r>
              <w:rPr>
                <w:sz w:val="18"/>
                <w:szCs w:val="18"/>
              </w:rPr>
              <w:t xml:space="preserve">VGP Park </w:t>
            </w:r>
            <w:proofErr w:type="spellStart"/>
            <w:r>
              <w:rPr>
                <w:sz w:val="18"/>
                <w:szCs w:val="18"/>
              </w:rPr>
              <w:t>Bobenheim-Roxheim</w:t>
            </w:r>
            <w:proofErr w:type="spellEnd"/>
          </w:p>
        </w:tc>
        <w:tc>
          <w:tcPr>
            <w:tcW w:w="709" w:type="dxa"/>
            <w:tcBorders>
              <w:top w:val="single" w:sz="6" w:space="0" w:color="969696"/>
              <w:left w:val="nil"/>
              <w:bottom w:val="single" w:sz="6" w:space="0" w:color="969696"/>
              <w:right w:val="nil"/>
            </w:tcBorders>
            <w:vAlign w:val="center"/>
          </w:tcPr>
          <w:p w14:paraId="1D21CA69"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345EEF25" w14:textId="77777777" w:rsidR="00F76607" w:rsidRDefault="001863F0">
            <w:pPr>
              <w:jc w:val="right"/>
              <w:rPr>
                <w:sz w:val="18"/>
                <w:szCs w:val="18"/>
              </w:rPr>
            </w:pPr>
            <w:r>
              <w:rPr>
                <w:sz w:val="18"/>
                <w:szCs w:val="18"/>
              </w:rPr>
              <w:t>56,655</w:t>
            </w:r>
          </w:p>
        </w:tc>
        <w:tc>
          <w:tcPr>
            <w:tcW w:w="1134" w:type="dxa"/>
            <w:tcBorders>
              <w:top w:val="single" w:sz="6" w:space="0" w:color="969696"/>
              <w:left w:val="nil"/>
              <w:bottom w:val="single" w:sz="6" w:space="0" w:color="969696"/>
              <w:right w:val="nil"/>
            </w:tcBorders>
            <w:vAlign w:val="center"/>
          </w:tcPr>
          <w:p w14:paraId="39091F7B" w14:textId="77777777" w:rsidR="00F76607" w:rsidRDefault="001863F0">
            <w:pPr>
              <w:jc w:val="right"/>
              <w:rPr>
                <w:sz w:val="18"/>
                <w:szCs w:val="18"/>
              </w:rPr>
            </w:pPr>
            <w:r>
              <w:rPr>
                <w:sz w:val="18"/>
                <w:szCs w:val="18"/>
              </w:rPr>
              <w:t>23,270</w:t>
            </w:r>
          </w:p>
        </w:tc>
        <w:tc>
          <w:tcPr>
            <w:tcW w:w="1134" w:type="dxa"/>
            <w:tcBorders>
              <w:top w:val="single" w:sz="6" w:space="0" w:color="969696"/>
              <w:left w:val="nil"/>
              <w:bottom w:val="single" w:sz="6" w:space="0" w:color="969696"/>
              <w:right w:val="nil"/>
            </w:tcBorders>
            <w:vAlign w:val="center"/>
          </w:tcPr>
          <w:p w14:paraId="2E097EA3"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3D4BFB99"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26FFE1E4" w14:textId="77777777" w:rsidR="00F76607" w:rsidRDefault="001863F0">
            <w:pPr>
              <w:jc w:val="right"/>
              <w:rPr>
                <w:sz w:val="18"/>
                <w:szCs w:val="18"/>
              </w:rPr>
            </w:pPr>
            <w:r>
              <w:rPr>
                <w:sz w:val="18"/>
                <w:szCs w:val="18"/>
              </w:rPr>
              <w:t>23,270</w:t>
            </w:r>
          </w:p>
        </w:tc>
        <w:tc>
          <w:tcPr>
            <w:tcW w:w="992" w:type="dxa"/>
            <w:tcBorders>
              <w:top w:val="single" w:sz="6" w:space="0" w:color="969696"/>
              <w:left w:val="nil"/>
              <w:bottom w:val="single" w:sz="6" w:space="0" w:color="969696"/>
              <w:right w:val="nil"/>
            </w:tcBorders>
            <w:vAlign w:val="center"/>
          </w:tcPr>
          <w:p w14:paraId="4189C257" w14:textId="77777777" w:rsidR="00F76607" w:rsidRDefault="001863F0">
            <w:pPr>
              <w:jc w:val="right"/>
              <w:rPr>
                <w:sz w:val="18"/>
                <w:szCs w:val="18"/>
              </w:rPr>
            </w:pPr>
            <w:r>
              <w:rPr>
                <w:sz w:val="18"/>
                <w:szCs w:val="18"/>
              </w:rPr>
              <w:t xml:space="preserve">1.7 </w:t>
            </w:r>
          </w:p>
        </w:tc>
      </w:tr>
      <w:tr w:rsidR="00F76607" w14:paraId="1C4F2C08" w14:textId="77777777">
        <w:trPr>
          <w:trHeight w:val="247"/>
        </w:trPr>
        <w:tc>
          <w:tcPr>
            <w:tcW w:w="1873" w:type="dxa"/>
            <w:tcBorders>
              <w:top w:val="single" w:sz="6" w:space="0" w:color="969696"/>
              <w:left w:val="nil"/>
              <w:bottom w:val="single" w:sz="6" w:space="0" w:color="969696"/>
              <w:right w:val="nil"/>
            </w:tcBorders>
            <w:vAlign w:val="center"/>
          </w:tcPr>
          <w:p w14:paraId="35079427" w14:textId="77777777" w:rsidR="00F76607" w:rsidRDefault="001863F0">
            <w:pPr>
              <w:rPr>
                <w:sz w:val="18"/>
                <w:szCs w:val="18"/>
              </w:rPr>
            </w:pPr>
            <w:r>
              <w:rPr>
                <w:sz w:val="18"/>
                <w:szCs w:val="18"/>
              </w:rPr>
              <w:t xml:space="preserve">VGP Park </w:t>
            </w:r>
            <w:proofErr w:type="spellStart"/>
            <w:r>
              <w:rPr>
                <w:sz w:val="18"/>
                <w:szCs w:val="18"/>
              </w:rPr>
              <w:t>Borna</w:t>
            </w:r>
            <w:proofErr w:type="spellEnd"/>
          </w:p>
        </w:tc>
        <w:tc>
          <w:tcPr>
            <w:tcW w:w="709" w:type="dxa"/>
            <w:tcBorders>
              <w:top w:val="single" w:sz="6" w:space="0" w:color="969696"/>
              <w:left w:val="nil"/>
              <w:bottom w:val="single" w:sz="6" w:space="0" w:color="969696"/>
              <w:right w:val="nil"/>
            </w:tcBorders>
            <w:vAlign w:val="center"/>
          </w:tcPr>
          <w:p w14:paraId="7ECB6DC3"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5D3ECA9F" w14:textId="77777777" w:rsidR="00F76607" w:rsidRDefault="001863F0">
            <w:pPr>
              <w:jc w:val="right"/>
              <w:rPr>
                <w:sz w:val="18"/>
                <w:szCs w:val="18"/>
              </w:rPr>
            </w:pPr>
            <w:r>
              <w:rPr>
                <w:sz w:val="18"/>
                <w:szCs w:val="18"/>
              </w:rPr>
              <w:t>42,533</w:t>
            </w:r>
          </w:p>
        </w:tc>
        <w:tc>
          <w:tcPr>
            <w:tcW w:w="1134" w:type="dxa"/>
            <w:tcBorders>
              <w:top w:val="single" w:sz="6" w:space="0" w:color="969696"/>
              <w:left w:val="nil"/>
              <w:bottom w:val="single" w:sz="6" w:space="0" w:color="969696"/>
              <w:right w:val="nil"/>
            </w:tcBorders>
            <w:vAlign w:val="center"/>
          </w:tcPr>
          <w:p w14:paraId="4CF02E79" w14:textId="77777777" w:rsidR="00F76607" w:rsidRDefault="001863F0">
            <w:pPr>
              <w:jc w:val="right"/>
              <w:rPr>
                <w:sz w:val="18"/>
                <w:szCs w:val="18"/>
              </w:rPr>
            </w:pPr>
            <w:r>
              <w:rPr>
                <w:sz w:val="18"/>
                <w:szCs w:val="18"/>
              </w:rPr>
              <w:t>13,617</w:t>
            </w:r>
          </w:p>
        </w:tc>
        <w:tc>
          <w:tcPr>
            <w:tcW w:w="1134" w:type="dxa"/>
            <w:tcBorders>
              <w:top w:val="single" w:sz="6" w:space="0" w:color="969696"/>
              <w:left w:val="nil"/>
              <w:bottom w:val="single" w:sz="6" w:space="0" w:color="969696"/>
              <w:right w:val="nil"/>
            </w:tcBorders>
            <w:vAlign w:val="center"/>
          </w:tcPr>
          <w:p w14:paraId="3533A356"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190DE9BE"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45CCED26" w14:textId="77777777" w:rsidR="00F76607" w:rsidRDefault="001863F0">
            <w:pPr>
              <w:jc w:val="right"/>
              <w:rPr>
                <w:sz w:val="18"/>
                <w:szCs w:val="18"/>
              </w:rPr>
            </w:pPr>
            <w:r>
              <w:rPr>
                <w:sz w:val="18"/>
                <w:szCs w:val="18"/>
              </w:rPr>
              <w:t>13,617</w:t>
            </w:r>
          </w:p>
        </w:tc>
        <w:tc>
          <w:tcPr>
            <w:tcW w:w="992" w:type="dxa"/>
            <w:tcBorders>
              <w:top w:val="single" w:sz="6" w:space="0" w:color="969696"/>
              <w:left w:val="nil"/>
              <w:bottom w:val="single" w:sz="6" w:space="0" w:color="969696"/>
              <w:right w:val="nil"/>
            </w:tcBorders>
            <w:vAlign w:val="center"/>
          </w:tcPr>
          <w:p w14:paraId="61B29D73" w14:textId="77777777" w:rsidR="00F76607" w:rsidRDefault="001863F0">
            <w:pPr>
              <w:jc w:val="right"/>
              <w:rPr>
                <w:sz w:val="18"/>
                <w:szCs w:val="18"/>
              </w:rPr>
            </w:pPr>
            <w:r>
              <w:rPr>
                <w:sz w:val="18"/>
                <w:szCs w:val="18"/>
              </w:rPr>
              <w:t xml:space="preserve">0.8 </w:t>
            </w:r>
          </w:p>
        </w:tc>
      </w:tr>
      <w:tr w:rsidR="00F76607" w14:paraId="75CA5747" w14:textId="77777777">
        <w:trPr>
          <w:trHeight w:val="247"/>
        </w:trPr>
        <w:tc>
          <w:tcPr>
            <w:tcW w:w="1873" w:type="dxa"/>
            <w:tcBorders>
              <w:top w:val="single" w:sz="6" w:space="0" w:color="969696"/>
              <w:left w:val="nil"/>
              <w:bottom w:val="single" w:sz="6" w:space="0" w:color="969696"/>
              <w:right w:val="nil"/>
            </w:tcBorders>
            <w:vAlign w:val="center"/>
          </w:tcPr>
          <w:p w14:paraId="2458EDEC" w14:textId="77777777" w:rsidR="00F76607" w:rsidRDefault="001863F0">
            <w:pPr>
              <w:rPr>
                <w:sz w:val="18"/>
                <w:szCs w:val="18"/>
              </w:rPr>
            </w:pPr>
            <w:r>
              <w:rPr>
                <w:sz w:val="18"/>
                <w:szCs w:val="18"/>
              </w:rPr>
              <w:t xml:space="preserve">VGP Park </w:t>
            </w:r>
            <w:proofErr w:type="spellStart"/>
            <w:r>
              <w:rPr>
                <w:sz w:val="18"/>
                <w:szCs w:val="18"/>
              </w:rPr>
              <w:t>Schwalbach</w:t>
            </w:r>
            <w:proofErr w:type="spellEnd"/>
          </w:p>
        </w:tc>
        <w:tc>
          <w:tcPr>
            <w:tcW w:w="709" w:type="dxa"/>
            <w:tcBorders>
              <w:top w:val="single" w:sz="6" w:space="0" w:color="969696"/>
              <w:left w:val="nil"/>
              <w:bottom w:val="single" w:sz="6" w:space="0" w:color="969696"/>
              <w:right w:val="nil"/>
            </w:tcBorders>
            <w:vAlign w:val="center"/>
          </w:tcPr>
          <w:p w14:paraId="02AC475C" w14:textId="6B8D7973" w:rsidR="00F76607" w:rsidRDefault="00AF7864">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263A58FC" w14:textId="77777777" w:rsidR="00F76607" w:rsidRDefault="001863F0">
            <w:pPr>
              <w:jc w:val="right"/>
              <w:rPr>
                <w:sz w:val="18"/>
                <w:szCs w:val="18"/>
              </w:rPr>
            </w:pPr>
            <w:r>
              <w:rPr>
                <w:sz w:val="18"/>
                <w:szCs w:val="18"/>
              </w:rPr>
              <w:t>19,587</w:t>
            </w:r>
          </w:p>
        </w:tc>
        <w:tc>
          <w:tcPr>
            <w:tcW w:w="1134" w:type="dxa"/>
            <w:tcBorders>
              <w:top w:val="single" w:sz="6" w:space="0" w:color="969696"/>
              <w:left w:val="nil"/>
              <w:bottom w:val="single" w:sz="6" w:space="0" w:color="969696"/>
              <w:right w:val="nil"/>
            </w:tcBorders>
            <w:vAlign w:val="center"/>
          </w:tcPr>
          <w:p w14:paraId="277476BF" w14:textId="77777777" w:rsidR="00F76607" w:rsidRDefault="001863F0">
            <w:pPr>
              <w:jc w:val="right"/>
              <w:rPr>
                <w:sz w:val="18"/>
                <w:szCs w:val="18"/>
              </w:rPr>
            </w:pPr>
            <w:r>
              <w:rPr>
                <w:sz w:val="18"/>
                <w:szCs w:val="18"/>
              </w:rPr>
              <w:t>8,386</w:t>
            </w:r>
          </w:p>
        </w:tc>
        <w:tc>
          <w:tcPr>
            <w:tcW w:w="1134" w:type="dxa"/>
            <w:tcBorders>
              <w:top w:val="single" w:sz="6" w:space="0" w:color="969696"/>
              <w:left w:val="nil"/>
              <w:bottom w:val="single" w:sz="6" w:space="0" w:color="969696"/>
              <w:right w:val="nil"/>
            </w:tcBorders>
            <w:vAlign w:val="center"/>
          </w:tcPr>
          <w:p w14:paraId="39FC3489"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1B78399F"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6E475809" w14:textId="77777777" w:rsidR="00F76607" w:rsidRDefault="001863F0">
            <w:pPr>
              <w:jc w:val="right"/>
              <w:rPr>
                <w:sz w:val="18"/>
                <w:szCs w:val="18"/>
              </w:rPr>
            </w:pPr>
            <w:r>
              <w:rPr>
                <w:sz w:val="18"/>
                <w:szCs w:val="18"/>
              </w:rPr>
              <w:t>8,386</w:t>
            </w:r>
          </w:p>
        </w:tc>
        <w:tc>
          <w:tcPr>
            <w:tcW w:w="992" w:type="dxa"/>
            <w:tcBorders>
              <w:top w:val="single" w:sz="6" w:space="0" w:color="969696"/>
              <w:left w:val="nil"/>
              <w:bottom w:val="single" w:sz="6" w:space="0" w:color="969696"/>
              <w:right w:val="nil"/>
            </w:tcBorders>
            <w:vAlign w:val="center"/>
          </w:tcPr>
          <w:p w14:paraId="420931DA" w14:textId="77777777" w:rsidR="00F76607" w:rsidRDefault="001863F0">
            <w:pPr>
              <w:jc w:val="right"/>
              <w:rPr>
                <w:sz w:val="18"/>
                <w:szCs w:val="18"/>
              </w:rPr>
            </w:pPr>
            <w:r>
              <w:rPr>
                <w:sz w:val="18"/>
                <w:szCs w:val="18"/>
              </w:rPr>
              <w:t xml:space="preserve">0.5 </w:t>
            </w:r>
          </w:p>
        </w:tc>
      </w:tr>
      <w:tr w:rsidR="00F76607" w14:paraId="29EF64A8" w14:textId="77777777">
        <w:trPr>
          <w:trHeight w:val="247"/>
        </w:trPr>
        <w:tc>
          <w:tcPr>
            <w:tcW w:w="1873" w:type="dxa"/>
            <w:tcBorders>
              <w:top w:val="single" w:sz="6" w:space="0" w:color="969696"/>
              <w:left w:val="nil"/>
              <w:bottom w:val="single" w:sz="6" w:space="0" w:color="969696"/>
              <w:right w:val="nil"/>
            </w:tcBorders>
            <w:vAlign w:val="center"/>
          </w:tcPr>
          <w:p w14:paraId="6E832BE3" w14:textId="77777777" w:rsidR="00F76607" w:rsidRDefault="001863F0">
            <w:pPr>
              <w:rPr>
                <w:sz w:val="18"/>
                <w:szCs w:val="18"/>
              </w:rPr>
            </w:pPr>
            <w:r>
              <w:rPr>
                <w:sz w:val="18"/>
                <w:szCs w:val="18"/>
              </w:rPr>
              <w:t>VGP Park Leipzig</w:t>
            </w:r>
          </w:p>
        </w:tc>
        <w:tc>
          <w:tcPr>
            <w:tcW w:w="709" w:type="dxa"/>
            <w:tcBorders>
              <w:top w:val="single" w:sz="6" w:space="0" w:color="969696"/>
              <w:left w:val="nil"/>
              <w:bottom w:val="single" w:sz="6" w:space="0" w:color="969696"/>
              <w:right w:val="nil"/>
            </w:tcBorders>
            <w:vAlign w:val="center"/>
          </w:tcPr>
          <w:p w14:paraId="39378F4A"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2380CC0C" w14:textId="77777777" w:rsidR="00F76607" w:rsidRDefault="001863F0">
            <w:pPr>
              <w:jc w:val="right"/>
              <w:rPr>
                <w:sz w:val="18"/>
                <w:szCs w:val="18"/>
              </w:rPr>
            </w:pPr>
            <w:r>
              <w:rPr>
                <w:sz w:val="18"/>
                <w:szCs w:val="18"/>
              </w:rPr>
              <w:t>105,885</w:t>
            </w:r>
          </w:p>
        </w:tc>
        <w:tc>
          <w:tcPr>
            <w:tcW w:w="1134" w:type="dxa"/>
            <w:tcBorders>
              <w:top w:val="single" w:sz="6" w:space="0" w:color="969696"/>
              <w:left w:val="nil"/>
              <w:bottom w:val="single" w:sz="6" w:space="0" w:color="969696"/>
              <w:right w:val="nil"/>
            </w:tcBorders>
            <w:vAlign w:val="center"/>
          </w:tcPr>
          <w:p w14:paraId="1F20AAC0" w14:textId="77777777" w:rsidR="00F76607" w:rsidRDefault="001863F0">
            <w:pPr>
              <w:jc w:val="right"/>
              <w:rPr>
                <w:sz w:val="18"/>
                <w:szCs w:val="18"/>
              </w:rPr>
            </w:pPr>
            <w:r>
              <w:rPr>
                <w:sz w:val="18"/>
                <w:szCs w:val="18"/>
              </w:rPr>
              <w:t>24,469</w:t>
            </w:r>
          </w:p>
        </w:tc>
        <w:tc>
          <w:tcPr>
            <w:tcW w:w="1134" w:type="dxa"/>
            <w:tcBorders>
              <w:top w:val="single" w:sz="6" w:space="0" w:color="969696"/>
              <w:left w:val="nil"/>
              <w:bottom w:val="single" w:sz="6" w:space="0" w:color="969696"/>
              <w:right w:val="nil"/>
            </w:tcBorders>
            <w:vAlign w:val="center"/>
          </w:tcPr>
          <w:p w14:paraId="434338AE"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04E23625" w14:textId="77777777" w:rsidR="00F76607" w:rsidRDefault="001863F0">
            <w:pPr>
              <w:jc w:val="right"/>
              <w:rPr>
                <w:sz w:val="18"/>
                <w:szCs w:val="18"/>
              </w:rPr>
            </w:pPr>
            <w:r>
              <w:rPr>
                <w:sz w:val="18"/>
                <w:szCs w:val="18"/>
              </w:rPr>
              <w:t>19,836</w:t>
            </w:r>
          </w:p>
        </w:tc>
        <w:tc>
          <w:tcPr>
            <w:tcW w:w="1134" w:type="dxa"/>
            <w:tcBorders>
              <w:top w:val="single" w:sz="6" w:space="0" w:color="969696"/>
              <w:left w:val="nil"/>
              <w:bottom w:val="single" w:sz="6" w:space="0" w:color="969696"/>
              <w:right w:val="nil"/>
            </w:tcBorders>
            <w:vAlign w:val="center"/>
          </w:tcPr>
          <w:p w14:paraId="7543CF21" w14:textId="77777777" w:rsidR="00F76607" w:rsidRDefault="001863F0">
            <w:pPr>
              <w:jc w:val="right"/>
              <w:rPr>
                <w:sz w:val="18"/>
                <w:szCs w:val="18"/>
              </w:rPr>
            </w:pPr>
            <w:r>
              <w:rPr>
                <w:sz w:val="18"/>
                <w:szCs w:val="18"/>
              </w:rPr>
              <w:t>44,305</w:t>
            </w:r>
          </w:p>
        </w:tc>
        <w:tc>
          <w:tcPr>
            <w:tcW w:w="992" w:type="dxa"/>
            <w:tcBorders>
              <w:top w:val="single" w:sz="6" w:space="0" w:color="969696"/>
              <w:left w:val="nil"/>
              <w:bottom w:val="single" w:sz="6" w:space="0" w:color="969696"/>
              <w:right w:val="nil"/>
            </w:tcBorders>
            <w:vAlign w:val="center"/>
          </w:tcPr>
          <w:p w14:paraId="456E0CD7" w14:textId="77777777" w:rsidR="00F76607" w:rsidRDefault="001863F0">
            <w:pPr>
              <w:jc w:val="right"/>
              <w:rPr>
                <w:sz w:val="18"/>
                <w:szCs w:val="18"/>
              </w:rPr>
            </w:pPr>
            <w:r>
              <w:rPr>
                <w:sz w:val="18"/>
                <w:szCs w:val="18"/>
              </w:rPr>
              <w:t xml:space="preserve">1.2 </w:t>
            </w:r>
          </w:p>
        </w:tc>
      </w:tr>
      <w:tr w:rsidR="00F76607" w14:paraId="03BDA8E5" w14:textId="77777777">
        <w:trPr>
          <w:trHeight w:val="247"/>
        </w:trPr>
        <w:tc>
          <w:tcPr>
            <w:tcW w:w="1873" w:type="dxa"/>
            <w:tcBorders>
              <w:top w:val="single" w:sz="6" w:space="0" w:color="969696"/>
              <w:left w:val="nil"/>
              <w:bottom w:val="single" w:sz="6" w:space="0" w:color="969696"/>
              <w:right w:val="nil"/>
            </w:tcBorders>
            <w:vAlign w:val="center"/>
          </w:tcPr>
          <w:p w14:paraId="5FF53E9F" w14:textId="77777777" w:rsidR="00F76607" w:rsidRDefault="001863F0">
            <w:pPr>
              <w:rPr>
                <w:sz w:val="18"/>
                <w:szCs w:val="18"/>
              </w:rPr>
            </w:pPr>
            <w:r>
              <w:rPr>
                <w:sz w:val="18"/>
                <w:szCs w:val="18"/>
              </w:rPr>
              <w:t> </w:t>
            </w:r>
          </w:p>
        </w:tc>
        <w:tc>
          <w:tcPr>
            <w:tcW w:w="709" w:type="dxa"/>
            <w:tcBorders>
              <w:top w:val="single" w:sz="6" w:space="0" w:color="969696"/>
              <w:left w:val="nil"/>
              <w:bottom w:val="single" w:sz="6" w:space="0" w:color="969696"/>
              <w:right w:val="nil"/>
            </w:tcBorders>
            <w:vAlign w:val="center"/>
          </w:tcPr>
          <w:p w14:paraId="5E703F70" w14:textId="77777777" w:rsidR="00F76607" w:rsidRDefault="001863F0">
            <w:pP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133E9830" w14:textId="77777777" w:rsidR="00F76607" w:rsidRDefault="001863F0">
            <w:pPr>
              <w:jc w:val="right"/>
              <w:rPr>
                <w:b/>
                <w:bCs/>
                <w:sz w:val="18"/>
                <w:szCs w:val="18"/>
              </w:rPr>
            </w:pPr>
            <w:r>
              <w:rPr>
                <w:b/>
                <w:bCs/>
                <w:sz w:val="18"/>
                <w:szCs w:val="18"/>
              </w:rPr>
              <w:t>1,376,432</w:t>
            </w:r>
          </w:p>
        </w:tc>
        <w:tc>
          <w:tcPr>
            <w:tcW w:w="1134" w:type="dxa"/>
            <w:tcBorders>
              <w:top w:val="single" w:sz="6" w:space="0" w:color="969696"/>
              <w:left w:val="nil"/>
              <w:bottom w:val="single" w:sz="6" w:space="0" w:color="969696"/>
              <w:right w:val="nil"/>
            </w:tcBorders>
            <w:vAlign w:val="center"/>
          </w:tcPr>
          <w:p w14:paraId="63611D83" w14:textId="77777777" w:rsidR="00F76607" w:rsidRDefault="001863F0">
            <w:pPr>
              <w:jc w:val="right"/>
              <w:rPr>
                <w:b/>
                <w:bCs/>
                <w:sz w:val="18"/>
                <w:szCs w:val="18"/>
              </w:rPr>
            </w:pPr>
            <w:r>
              <w:rPr>
                <w:b/>
                <w:bCs/>
                <w:sz w:val="18"/>
                <w:szCs w:val="18"/>
              </w:rPr>
              <w:t>501,168</w:t>
            </w:r>
          </w:p>
        </w:tc>
        <w:tc>
          <w:tcPr>
            <w:tcW w:w="1134" w:type="dxa"/>
            <w:tcBorders>
              <w:top w:val="single" w:sz="6" w:space="0" w:color="969696"/>
              <w:left w:val="nil"/>
              <w:bottom w:val="single" w:sz="6" w:space="0" w:color="969696"/>
              <w:right w:val="nil"/>
            </w:tcBorders>
            <w:vAlign w:val="center"/>
          </w:tcPr>
          <w:p w14:paraId="1FB60DA6" w14:textId="77777777" w:rsidR="00F76607" w:rsidRDefault="001863F0">
            <w:pPr>
              <w:jc w:val="right"/>
              <w:rPr>
                <w:b/>
                <w:bCs/>
                <w:sz w:val="18"/>
                <w:szCs w:val="18"/>
              </w:rPr>
            </w:pPr>
            <w:r>
              <w:rPr>
                <w:b/>
                <w:bCs/>
                <w:sz w:val="18"/>
                <w:szCs w:val="18"/>
              </w:rPr>
              <w:t>156,398</w:t>
            </w:r>
          </w:p>
        </w:tc>
        <w:tc>
          <w:tcPr>
            <w:tcW w:w="1134" w:type="dxa"/>
            <w:tcBorders>
              <w:top w:val="single" w:sz="6" w:space="0" w:color="969696"/>
              <w:left w:val="nil"/>
              <w:bottom w:val="single" w:sz="6" w:space="0" w:color="969696"/>
              <w:right w:val="nil"/>
            </w:tcBorders>
            <w:vAlign w:val="center"/>
          </w:tcPr>
          <w:p w14:paraId="263651BA" w14:textId="77777777" w:rsidR="00F76607" w:rsidRDefault="001863F0">
            <w:pPr>
              <w:jc w:val="right"/>
              <w:rPr>
                <w:b/>
                <w:bCs/>
                <w:sz w:val="18"/>
                <w:szCs w:val="18"/>
              </w:rPr>
            </w:pPr>
            <w:r>
              <w:rPr>
                <w:b/>
                <w:bCs/>
                <w:sz w:val="18"/>
                <w:szCs w:val="18"/>
              </w:rPr>
              <w:t>31,488</w:t>
            </w:r>
          </w:p>
        </w:tc>
        <w:tc>
          <w:tcPr>
            <w:tcW w:w="1134" w:type="dxa"/>
            <w:tcBorders>
              <w:top w:val="single" w:sz="6" w:space="0" w:color="969696"/>
              <w:left w:val="nil"/>
              <w:bottom w:val="single" w:sz="6" w:space="0" w:color="969696"/>
              <w:right w:val="nil"/>
            </w:tcBorders>
            <w:vAlign w:val="center"/>
          </w:tcPr>
          <w:p w14:paraId="0CEA1DCC" w14:textId="77777777" w:rsidR="00F76607" w:rsidRDefault="001863F0">
            <w:pPr>
              <w:jc w:val="right"/>
              <w:rPr>
                <w:b/>
                <w:bCs/>
                <w:sz w:val="18"/>
                <w:szCs w:val="18"/>
              </w:rPr>
            </w:pPr>
            <w:r>
              <w:rPr>
                <w:b/>
                <w:bCs/>
                <w:sz w:val="18"/>
                <w:szCs w:val="18"/>
              </w:rPr>
              <w:t>689,054</w:t>
            </w:r>
          </w:p>
        </w:tc>
        <w:tc>
          <w:tcPr>
            <w:tcW w:w="992" w:type="dxa"/>
            <w:tcBorders>
              <w:top w:val="single" w:sz="6" w:space="0" w:color="969696"/>
              <w:left w:val="nil"/>
              <w:bottom w:val="single" w:sz="6" w:space="0" w:color="969696"/>
              <w:right w:val="nil"/>
            </w:tcBorders>
            <w:vAlign w:val="center"/>
          </w:tcPr>
          <w:p w14:paraId="0C85CAB1" w14:textId="77777777" w:rsidR="00F76607" w:rsidRDefault="001863F0">
            <w:pPr>
              <w:jc w:val="right"/>
              <w:rPr>
                <w:b/>
                <w:bCs/>
                <w:sz w:val="18"/>
                <w:szCs w:val="18"/>
              </w:rPr>
            </w:pPr>
            <w:r>
              <w:rPr>
                <w:b/>
                <w:bCs/>
                <w:sz w:val="18"/>
                <w:szCs w:val="18"/>
              </w:rPr>
              <w:t xml:space="preserve">34.1 </w:t>
            </w:r>
          </w:p>
        </w:tc>
      </w:tr>
      <w:tr w:rsidR="00F76607" w14:paraId="6F3F540A" w14:textId="77777777">
        <w:trPr>
          <w:trHeight w:val="247"/>
        </w:trPr>
        <w:tc>
          <w:tcPr>
            <w:tcW w:w="1873" w:type="dxa"/>
            <w:tcBorders>
              <w:top w:val="single" w:sz="6" w:space="0" w:color="969696"/>
              <w:left w:val="nil"/>
              <w:bottom w:val="single" w:sz="6" w:space="0" w:color="969696"/>
              <w:right w:val="nil"/>
            </w:tcBorders>
            <w:vAlign w:val="center"/>
          </w:tcPr>
          <w:p w14:paraId="1E04FC56" w14:textId="77777777" w:rsidR="00F76607" w:rsidRDefault="001863F0">
            <w:pPr>
              <w:rPr>
                <w:b/>
                <w:bCs/>
                <w:sz w:val="18"/>
                <w:szCs w:val="18"/>
              </w:rPr>
            </w:pPr>
            <w:r>
              <w:rPr>
                <w:b/>
                <w:bCs/>
                <w:sz w:val="18"/>
                <w:szCs w:val="18"/>
              </w:rPr>
              <w:t>Czech Republic</w:t>
            </w:r>
          </w:p>
        </w:tc>
        <w:tc>
          <w:tcPr>
            <w:tcW w:w="709" w:type="dxa"/>
            <w:tcBorders>
              <w:top w:val="single" w:sz="6" w:space="0" w:color="969696"/>
              <w:left w:val="nil"/>
              <w:bottom w:val="single" w:sz="6" w:space="0" w:color="969696"/>
              <w:right w:val="nil"/>
            </w:tcBorders>
            <w:vAlign w:val="center"/>
          </w:tcPr>
          <w:p w14:paraId="405129FC" w14:textId="77777777" w:rsidR="00F76607" w:rsidRDefault="001863F0">
            <w:pPr>
              <w:jc w:val="cente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04C491FA" w14:textId="77777777" w:rsidR="00F76607" w:rsidRDefault="001863F0">
            <w:pP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0420C6BE" w14:textId="77777777" w:rsidR="00F76607" w:rsidRDefault="001863F0">
            <w:pP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78750CDC" w14:textId="77777777" w:rsidR="00F76607" w:rsidRDefault="001863F0">
            <w:pP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3D7B49B6" w14:textId="77777777" w:rsidR="00F76607" w:rsidRDefault="001863F0">
            <w:pPr>
              <w:jc w:val="right"/>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3DC79346" w14:textId="77777777" w:rsidR="00F76607" w:rsidRDefault="001863F0">
            <w:pPr>
              <w:rPr>
                <w:sz w:val="18"/>
                <w:szCs w:val="18"/>
              </w:rPr>
            </w:pPr>
            <w:r>
              <w:rPr>
                <w:sz w:val="18"/>
                <w:szCs w:val="18"/>
              </w:rPr>
              <w:t> </w:t>
            </w:r>
          </w:p>
        </w:tc>
        <w:tc>
          <w:tcPr>
            <w:tcW w:w="992" w:type="dxa"/>
            <w:tcBorders>
              <w:top w:val="single" w:sz="6" w:space="0" w:color="969696"/>
              <w:left w:val="nil"/>
              <w:bottom w:val="single" w:sz="6" w:space="0" w:color="969696"/>
              <w:right w:val="nil"/>
            </w:tcBorders>
            <w:vAlign w:val="center"/>
          </w:tcPr>
          <w:p w14:paraId="2C69BB33" w14:textId="77777777" w:rsidR="00F76607" w:rsidRDefault="001863F0">
            <w:pPr>
              <w:rPr>
                <w:sz w:val="18"/>
                <w:szCs w:val="18"/>
              </w:rPr>
            </w:pPr>
            <w:r>
              <w:rPr>
                <w:sz w:val="18"/>
                <w:szCs w:val="18"/>
              </w:rPr>
              <w:t> </w:t>
            </w:r>
          </w:p>
        </w:tc>
      </w:tr>
      <w:tr w:rsidR="00F76607" w14:paraId="7371530A" w14:textId="77777777">
        <w:trPr>
          <w:trHeight w:val="247"/>
        </w:trPr>
        <w:tc>
          <w:tcPr>
            <w:tcW w:w="1873" w:type="dxa"/>
            <w:tcBorders>
              <w:top w:val="single" w:sz="6" w:space="0" w:color="969696"/>
              <w:left w:val="nil"/>
              <w:bottom w:val="single" w:sz="6" w:space="0" w:color="969696"/>
              <w:right w:val="nil"/>
            </w:tcBorders>
            <w:vAlign w:val="center"/>
          </w:tcPr>
          <w:p w14:paraId="6B87EC88" w14:textId="77777777" w:rsidR="00F76607" w:rsidRDefault="001863F0">
            <w:pPr>
              <w:rPr>
                <w:sz w:val="18"/>
                <w:szCs w:val="18"/>
              </w:rPr>
            </w:pPr>
            <w:r>
              <w:rPr>
                <w:sz w:val="18"/>
                <w:szCs w:val="18"/>
              </w:rPr>
              <w:t xml:space="preserve">VGP Park </w:t>
            </w:r>
            <w:proofErr w:type="spellStart"/>
            <w:r>
              <w:rPr>
                <w:sz w:val="18"/>
                <w:szCs w:val="18"/>
              </w:rPr>
              <w:t>Tuchoměřice</w:t>
            </w:r>
            <w:proofErr w:type="spellEnd"/>
          </w:p>
        </w:tc>
        <w:tc>
          <w:tcPr>
            <w:tcW w:w="709" w:type="dxa"/>
            <w:tcBorders>
              <w:top w:val="single" w:sz="6" w:space="0" w:color="969696"/>
              <w:left w:val="nil"/>
              <w:bottom w:val="single" w:sz="6" w:space="0" w:color="969696"/>
              <w:right w:val="nil"/>
            </w:tcBorders>
            <w:vAlign w:val="center"/>
          </w:tcPr>
          <w:p w14:paraId="588A02A2"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4193E9FA" w14:textId="77777777" w:rsidR="00F76607" w:rsidRDefault="001863F0">
            <w:pPr>
              <w:jc w:val="right"/>
              <w:rPr>
                <w:sz w:val="18"/>
                <w:szCs w:val="18"/>
              </w:rPr>
            </w:pPr>
            <w:r>
              <w:rPr>
                <w:sz w:val="18"/>
                <w:szCs w:val="18"/>
              </w:rPr>
              <w:t>58,701</w:t>
            </w:r>
          </w:p>
        </w:tc>
        <w:tc>
          <w:tcPr>
            <w:tcW w:w="1134" w:type="dxa"/>
            <w:tcBorders>
              <w:top w:val="single" w:sz="6" w:space="0" w:color="969696"/>
              <w:left w:val="nil"/>
              <w:bottom w:val="single" w:sz="6" w:space="0" w:color="969696"/>
              <w:right w:val="nil"/>
            </w:tcBorders>
            <w:vAlign w:val="center"/>
          </w:tcPr>
          <w:p w14:paraId="6283EF97" w14:textId="77777777" w:rsidR="00F76607" w:rsidRDefault="001863F0">
            <w:pPr>
              <w:jc w:val="right"/>
              <w:rPr>
                <w:sz w:val="18"/>
                <w:szCs w:val="18"/>
              </w:rPr>
            </w:pPr>
            <w:r>
              <w:rPr>
                <w:sz w:val="18"/>
                <w:szCs w:val="18"/>
              </w:rPr>
              <w:t>25,013</w:t>
            </w:r>
          </w:p>
        </w:tc>
        <w:tc>
          <w:tcPr>
            <w:tcW w:w="1134" w:type="dxa"/>
            <w:tcBorders>
              <w:top w:val="single" w:sz="6" w:space="0" w:color="969696"/>
              <w:left w:val="nil"/>
              <w:bottom w:val="single" w:sz="6" w:space="0" w:color="969696"/>
              <w:right w:val="nil"/>
            </w:tcBorders>
            <w:vAlign w:val="center"/>
          </w:tcPr>
          <w:p w14:paraId="7A8B508A"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4D9DB26C"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35D2AF7A" w14:textId="77777777" w:rsidR="00F76607" w:rsidRDefault="001863F0">
            <w:pPr>
              <w:jc w:val="right"/>
              <w:rPr>
                <w:sz w:val="18"/>
                <w:szCs w:val="18"/>
              </w:rPr>
            </w:pPr>
            <w:r>
              <w:rPr>
                <w:sz w:val="18"/>
                <w:szCs w:val="18"/>
              </w:rPr>
              <w:t>25,013</w:t>
            </w:r>
          </w:p>
        </w:tc>
        <w:tc>
          <w:tcPr>
            <w:tcW w:w="992" w:type="dxa"/>
            <w:tcBorders>
              <w:top w:val="single" w:sz="6" w:space="0" w:color="969696"/>
              <w:left w:val="nil"/>
              <w:bottom w:val="single" w:sz="6" w:space="0" w:color="969696"/>
              <w:right w:val="nil"/>
            </w:tcBorders>
            <w:vAlign w:val="center"/>
          </w:tcPr>
          <w:p w14:paraId="6EA2B7C8" w14:textId="77777777" w:rsidR="00F76607" w:rsidRDefault="001863F0">
            <w:pPr>
              <w:jc w:val="right"/>
              <w:rPr>
                <w:sz w:val="18"/>
                <w:szCs w:val="18"/>
              </w:rPr>
            </w:pPr>
            <w:r>
              <w:rPr>
                <w:sz w:val="18"/>
                <w:szCs w:val="18"/>
              </w:rPr>
              <w:t xml:space="preserve">1.1 </w:t>
            </w:r>
          </w:p>
        </w:tc>
      </w:tr>
      <w:tr w:rsidR="00F76607" w14:paraId="4E1F4197" w14:textId="77777777">
        <w:trPr>
          <w:trHeight w:val="247"/>
        </w:trPr>
        <w:tc>
          <w:tcPr>
            <w:tcW w:w="1873" w:type="dxa"/>
            <w:tcBorders>
              <w:top w:val="single" w:sz="6" w:space="0" w:color="969696"/>
              <w:left w:val="nil"/>
              <w:bottom w:val="single" w:sz="6" w:space="0" w:color="969696"/>
              <w:right w:val="nil"/>
            </w:tcBorders>
            <w:vAlign w:val="center"/>
          </w:tcPr>
          <w:p w14:paraId="5D8B8950" w14:textId="77777777" w:rsidR="00F76607" w:rsidRDefault="001863F0">
            <w:pPr>
              <w:rPr>
                <w:sz w:val="18"/>
                <w:szCs w:val="18"/>
              </w:rPr>
            </w:pPr>
            <w:r>
              <w:rPr>
                <w:sz w:val="18"/>
                <w:szCs w:val="18"/>
              </w:rPr>
              <w:t>VGP Park BRNO</w:t>
            </w:r>
          </w:p>
        </w:tc>
        <w:tc>
          <w:tcPr>
            <w:tcW w:w="709" w:type="dxa"/>
            <w:tcBorders>
              <w:top w:val="single" w:sz="6" w:space="0" w:color="969696"/>
              <w:left w:val="nil"/>
              <w:bottom w:val="single" w:sz="6" w:space="0" w:color="969696"/>
              <w:right w:val="nil"/>
            </w:tcBorders>
            <w:vAlign w:val="center"/>
          </w:tcPr>
          <w:p w14:paraId="4D1FA471"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51F46FD9" w14:textId="77777777" w:rsidR="00F76607" w:rsidRDefault="001863F0">
            <w:pPr>
              <w:jc w:val="right"/>
              <w:rPr>
                <w:sz w:val="18"/>
                <w:szCs w:val="18"/>
              </w:rPr>
            </w:pPr>
            <w:r>
              <w:rPr>
                <w:sz w:val="18"/>
                <w:szCs w:val="18"/>
              </w:rPr>
              <w:t>63,974</w:t>
            </w:r>
          </w:p>
        </w:tc>
        <w:tc>
          <w:tcPr>
            <w:tcW w:w="1134" w:type="dxa"/>
            <w:tcBorders>
              <w:top w:val="single" w:sz="6" w:space="0" w:color="969696"/>
              <w:left w:val="nil"/>
              <w:bottom w:val="single" w:sz="6" w:space="0" w:color="969696"/>
              <w:right w:val="nil"/>
            </w:tcBorders>
            <w:vAlign w:val="center"/>
          </w:tcPr>
          <w:p w14:paraId="2973A7C8" w14:textId="77777777" w:rsidR="00F76607" w:rsidRDefault="001863F0">
            <w:pPr>
              <w:jc w:val="right"/>
              <w:rPr>
                <w:sz w:val="18"/>
                <w:szCs w:val="18"/>
              </w:rPr>
            </w:pPr>
            <w:r>
              <w:rPr>
                <w:sz w:val="18"/>
                <w:szCs w:val="18"/>
              </w:rPr>
              <w:t>34,520</w:t>
            </w:r>
          </w:p>
        </w:tc>
        <w:tc>
          <w:tcPr>
            <w:tcW w:w="1134" w:type="dxa"/>
            <w:tcBorders>
              <w:top w:val="single" w:sz="6" w:space="0" w:color="969696"/>
              <w:left w:val="nil"/>
              <w:bottom w:val="single" w:sz="6" w:space="0" w:color="969696"/>
              <w:right w:val="nil"/>
            </w:tcBorders>
            <w:vAlign w:val="center"/>
          </w:tcPr>
          <w:p w14:paraId="54F8763A"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5ADC6F5A"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55A8B931" w14:textId="77777777" w:rsidR="00F76607" w:rsidRDefault="001863F0">
            <w:pPr>
              <w:jc w:val="right"/>
              <w:rPr>
                <w:sz w:val="18"/>
                <w:szCs w:val="18"/>
              </w:rPr>
            </w:pPr>
            <w:r>
              <w:rPr>
                <w:sz w:val="18"/>
                <w:szCs w:val="18"/>
              </w:rPr>
              <w:t>34,520</w:t>
            </w:r>
          </w:p>
        </w:tc>
        <w:tc>
          <w:tcPr>
            <w:tcW w:w="992" w:type="dxa"/>
            <w:tcBorders>
              <w:top w:val="single" w:sz="6" w:space="0" w:color="969696"/>
              <w:left w:val="nil"/>
              <w:bottom w:val="single" w:sz="6" w:space="0" w:color="969696"/>
              <w:right w:val="nil"/>
            </w:tcBorders>
            <w:vAlign w:val="center"/>
          </w:tcPr>
          <w:p w14:paraId="44D5836A" w14:textId="77777777" w:rsidR="00F76607" w:rsidRDefault="001863F0">
            <w:pPr>
              <w:jc w:val="right"/>
              <w:rPr>
                <w:sz w:val="18"/>
                <w:szCs w:val="18"/>
              </w:rPr>
            </w:pPr>
            <w:r>
              <w:rPr>
                <w:sz w:val="18"/>
                <w:szCs w:val="18"/>
              </w:rPr>
              <w:t xml:space="preserve">1.8 </w:t>
            </w:r>
          </w:p>
        </w:tc>
      </w:tr>
      <w:tr w:rsidR="00F76607" w14:paraId="22FD9276" w14:textId="77777777">
        <w:trPr>
          <w:trHeight w:val="247"/>
        </w:trPr>
        <w:tc>
          <w:tcPr>
            <w:tcW w:w="1873" w:type="dxa"/>
            <w:tcBorders>
              <w:top w:val="single" w:sz="6" w:space="0" w:color="969696"/>
              <w:left w:val="nil"/>
              <w:bottom w:val="single" w:sz="6" w:space="0" w:color="969696"/>
              <w:right w:val="nil"/>
            </w:tcBorders>
            <w:vAlign w:val="center"/>
          </w:tcPr>
          <w:p w14:paraId="20240DA8" w14:textId="77777777" w:rsidR="00F76607" w:rsidRDefault="001863F0">
            <w:pPr>
              <w:rPr>
                <w:sz w:val="18"/>
                <w:szCs w:val="18"/>
                <w:lang w:val="nl-BE"/>
              </w:rPr>
            </w:pPr>
            <w:r>
              <w:rPr>
                <w:sz w:val="18"/>
                <w:szCs w:val="18"/>
                <w:lang w:val="nl-BE"/>
              </w:rPr>
              <w:t xml:space="preserve">VGP Park </w:t>
            </w:r>
            <w:proofErr w:type="spellStart"/>
            <w:r>
              <w:rPr>
                <w:sz w:val="18"/>
                <w:szCs w:val="18"/>
                <w:lang w:val="nl-BE"/>
              </w:rPr>
              <w:t>Hrádek</w:t>
            </w:r>
            <w:proofErr w:type="spellEnd"/>
            <w:r>
              <w:rPr>
                <w:sz w:val="18"/>
                <w:szCs w:val="18"/>
                <w:lang w:val="nl-BE"/>
              </w:rPr>
              <w:t xml:space="preserve"> </w:t>
            </w:r>
            <w:proofErr w:type="spellStart"/>
            <w:r>
              <w:rPr>
                <w:sz w:val="18"/>
                <w:szCs w:val="18"/>
                <w:lang w:val="nl-BE"/>
              </w:rPr>
              <w:t>nad</w:t>
            </w:r>
            <w:proofErr w:type="spellEnd"/>
            <w:r>
              <w:rPr>
                <w:sz w:val="18"/>
                <w:szCs w:val="18"/>
                <w:lang w:val="nl-BE"/>
              </w:rPr>
              <w:t xml:space="preserve"> </w:t>
            </w:r>
            <w:proofErr w:type="spellStart"/>
            <w:r>
              <w:rPr>
                <w:sz w:val="18"/>
                <w:szCs w:val="18"/>
                <w:lang w:val="nl-BE"/>
              </w:rPr>
              <w:t>Nisou</w:t>
            </w:r>
            <w:proofErr w:type="spellEnd"/>
          </w:p>
        </w:tc>
        <w:tc>
          <w:tcPr>
            <w:tcW w:w="709" w:type="dxa"/>
            <w:tcBorders>
              <w:top w:val="single" w:sz="6" w:space="0" w:color="969696"/>
              <w:left w:val="nil"/>
              <w:bottom w:val="single" w:sz="6" w:space="0" w:color="969696"/>
              <w:right w:val="nil"/>
            </w:tcBorders>
            <w:vAlign w:val="center"/>
          </w:tcPr>
          <w:p w14:paraId="222CAAAB"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269C2449" w14:textId="77777777" w:rsidR="00F76607" w:rsidRDefault="001863F0">
            <w:pPr>
              <w:jc w:val="right"/>
              <w:rPr>
                <w:sz w:val="18"/>
                <w:szCs w:val="18"/>
              </w:rPr>
            </w:pPr>
            <w:r>
              <w:rPr>
                <w:sz w:val="18"/>
                <w:szCs w:val="18"/>
              </w:rPr>
              <w:t>180,638</w:t>
            </w:r>
          </w:p>
        </w:tc>
        <w:tc>
          <w:tcPr>
            <w:tcW w:w="1134" w:type="dxa"/>
            <w:tcBorders>
              <w:top w:val="single" w:sz="6" w:space="0" w:color="969696"/>
              <w:left w:val="nil"/>
              <w:bottom w:val="single" w:sz="6" w:space="0" w:color="969696"/>
              <w:right w:val="nil"/>
            </w:tcBorders>
            <w:vAlign w:val="center"/>
          </w:tcPr>
          <w:p w14:paraId="4F28C6E8" w14:textId="77777777" w:rsidR="00F76607" w:rsidRDefault="001863F0">
            <w:pPr>
              <w:jc w:val="right"/>
              <w:rPr>
                <w:sz w:val="18"/>
                <w:szCs w:val="18"/>
              </w:rPr>
            </w:pPr>
            <w:r>
              <w:rPr>
                <w:sz w:val="18"/>
                <w:szCs w:val="18"/>
              </w:rPr>
              <w:t>40,361</w:t>
            </w:r>
          </w:p>
        </w:tc>
        <w:tc>
          <w:tcPr>
            <w:tcW w:w="1134" w:type="dxa"/>
            <w:tcBorders>
              <w:top w:val="single" w:sz="6" w:space="0" w:color="969696"/>
              <w:left w:val="nil"/>
              <w:bottom w:val="single" w:sz="6" w:space="0" w:color="969696"/>
              <w:right w:val="nil"/>
            </w:tcBorders>
            <w:vAlign w:val="center"/>
          </w:tcPr>
          <w:p w14:paraId="6A638992"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07A19756" w14:textId="77777777" w:rsidR="00F76607" w:rsidRDefault="001863F0">
            <w:pPr>
              <w:jc w:val="right"/>
              <w:rPr>
                <w:sz w:val="18"/>
                <w:szCs w:val="18"/>
              </w:rPr>
            </w:pPr>
            <w:r>
              <w:rPr>
                <w:sz w:val="18"/>
                <w:szCs w:val="18"/>
              </w:rPr>
              <w:t>36,519</w:t>
            </w:r>
          </w:p>
        </w:tc>
        <w:tc>
          <w:tcPr>
            <w:tcW w:w="1134" w:type="dxa"/>
            <w:tcBorders>
              <w:top w:val="single" w:sz="6" w:space="0" w:color="969696"/>
              <w:left w:val="nil"/>
              <w:bottom w:val="single" w:sz="6" w:space="0" w:color="969696"/>
              <w:right w:val="nil"/>
            </w:tcBorders>
            <w:vAlign w:val="center"/>
          </w:tcPr>
          <w:p w14:paraId="5D3763EE" w14:textId="77777777" w:rsidR="00F76607" w:rsidRDefault="001863F0">
            <w:pPr>
              <w:jc w:val="right"/>
              <w:rPr>
                <w:sz w:val="18"/>
                <w:szCs w:val="18"/>
              </w:rPr>
            </w:pPr>
            <w:r>
              <w:rPr>
                <w:sz w:val="18"/>
                <w:szCs w:val="18"/>
              </w:rPr>
              <w:t>76,880</w:t>
            </w:r>
          </w:p>
        </w:tc>
        <w:tc>
          <w:tcPr>
            <w:tcW w:w="992" w:type="dxa"/>
            <w:tcBorders>
              <w:top w:val="single" w:sz="6" w:space="0" w:color="969696"/>
              <w:left w:val="nil"/>
              <w:bottom w:val="single" w:sz="6" w:space="0" w:color="969696"/>
              <w:right w:val="nil"/>
            </w:tcBorders>
            <w:vAlign w:val="center"/>
          </w:tcPr>
          <w:p w14:paraId="31018950" w14:textId="77777777" w:rsidR="00F76607" w:rsidRDefault="001863F0">
            <w:pPr>
              <w:jc w:val="right"/>
              <w:rPr>
                <w:sz w:val="18"/>
                <w:szCs w:val="18"/>
              </w:rPr>
            </w:pPr>
            <w:r>
              <w:rPr>
                <w:sz w:val="18"/>
                <w:szCs w:val="18"/>
              </w:rPr>
              <w:t xml:space="preserve">2.2 </w:t>
            </w:r>
          </w:p>
        </w:tc>
      </w:tr>
      <w:tr w:rsidR="00F76607" w14:paraId="3C97B8B9" w14:textId="77777777">
        <w:trPr>
          <w:trHeight w:val="247"/>
        </w:trPr>
        <w:tc>
          <w:tcPr>
            <w:tcW w:w="1873" w:type="dxa"/>
            <w:tcBorders>
              <w:top w:val="single" w:sz="6" w:space="0" w:color="969696"/>
              <w:left w:val="nil"/>
              <w:bottom w:val="single" w:sz="6" w:space="0" w:color="969696"/>
              <w:right w:val="nil"/>
            </w:tcBorders>
            <w:vAlign w:val="center"/>
          </w:tcPr>
          <w:p w14:paraId="74E88EE2" w14:textId="77777777" w:rsidR="00F76607" w:rsidRDefault="001863F0">
            <w:pPr>
              <w:rPr>
                <w:sz w:val="18"/>
                <w:szCs w:val="18"/>
              </w:rPr>
            </w:pPr>
            <w:r>
              <w:rPr>
                <w:sz w:val="18"/>
                <w:szCs w:val="18"/>
              </w:rPr>
              <w:t>VGP Park Olomouc</w:t>
            </w:r>
          </w:p>
        </w:tc>
        <w:tc>
          <w:tcPr>
            <w:tcW w:w="709" w:type="dxa"/>
            <w:tcBorders>
              <w:top w:val="single" w:sz="6" w:space="0" w:color="969696"/>
              <w:left w:val="nil"/>
              <w:bottom w:val="single" w:sz="6" w:space="0" w:color="969696"/>
              <w:right w:val="nil"/>
            </w:tcBorders>
            <w:vAlign w:val="center"/>
          </w:tcPr>
          <w:p w14:paraId="18BE6206"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5AC345A3" w14:textId="77777777" w:rsidR="00F76607" w:rsidRDefault="001863F0">
            <w:pPr>
              <w:jc w:val="right"/>
              <w:rPr>
                <w:sz w:val="18"/>
                <w:szCs w:val="18"/>
              </w:rPr>
            </w:pPr>
            <w:r>
              <w:rPr>
                <w:sz w:val="18"/>
                <w:szCs w:val="18"/>
              </w:rPr>
              <w:t>54,674</w:t>
            </w:r>
          </w:p>
        </w:tc>
        <w:tc>
          <w:tcPr>
            <w:tcW w:w="1134" w:type="dxa"/>
            <w:tcBorders>
              <w:top w:val="single" w:sz="6" w:space="0" w:color="969696"/>
              <w:left w:val="nil"/>
              <w:bottom w:val="single" w:sz="6" w:space="0" w:color="969696"/>
              <w:right w:val="nil"/>
            </w:tcBorders>
            <w:vAlign w:val="center"/>
          </w:tcPr>
          <w:p w14:paraId="105366AB" w14:textId="77777777" w:rsidR="00F76607" w:rsidRDefault="001863F0">
            <w:pPr>
              <w:jc w:val="right"/>
              <w:rPr>
                <w:sz w:val="18"/>
                <w:szCs w:val="18"/>
              </w:rPr>
            </w:pPr>
            <w:r>
              <w:rPr>
                <w:sz w:val="18"/>
                <w:szCs w:val="18"/>
              </w:rPr>
              <w:t>19,859</w:t>
            </w:r>
          </w:p>
        </w:tc>
        <w:tc>
          <w:tcPr>
            <w:tcW w:w="1134" w:type="dxa"/>
            <w:tcBorders>
              <w:top w:val="single" w:sz="6" w:space="0" w:color="969696"/>
              <w:left w:val="nil"/>
              <w:bottom w:val="single" w:sz="6" w:space="0" w:color="969696"/>
              <w:right w:val="nil"/>
            </w:tcBorders>
            <w:vAlign w:val="center"/>
          </w:tcPr>
          <w:p w14:paraId="6A966989"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275BAE8C"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0343FB6B" w14:textId="77777777" w:rsidR="00F76607" w:rsidRDefault="001863F0">
            <w:pPr>
              <w:jc w:val="right"/>
              <w:rPr>
                <w:sz w:val="18"/>
                <w:szCs w:val="18"/>
              </w:rPr>
            </w:pPr>
            <w:r>
              <w:rPr>
                <w:sz w:val="18"/>
                <w:szCs w:val="18"/>
              </w:rPr>
              <w:t>19,859</w:t>
            </w:r>
          </w:p>
        </w:tc>
        <w:tc>
          <w:tcPr>
            <w:tcW w:w="992" w:type="dxa"/>
            <w:tcBorders>
              <w:top w:val="single" w:sz="6" w:space="0" w:color="969696"/>
              <w:left w:val="nil"/>
              <w:bottom w:val="single" w:sz="6" w:space="0" w:color="969696"/>
              <w:right w:val="nil"/>
            </w:tcBorders>
            <w:vAlign w:val="center"/>
          </w:tcPr>
          <w:p w14:paraId="6210E114" w14:textId="77777777" w:rsidR="00F76607" w:rsidRDefault="001863F0">
            <w:pPr>
              <w:jc w:val="right"/>
              <w:rPr>
                <w:sz w:val="18"/>
                <w:szCs w:val="18"/>
              </w:rPr>
            </w:pPr>
            <w:r>
              <w:rPr>
                <w:sz w:val="18"/>
                <w:szCs w:val="18"/>
              </w:rPr>
              <w:t xml:space="preserve">1.0 </w:t>
            </w:r>
          </w:p>
        </w:tc>
      </w:tr>
      <w:tr w:rsidR="00F76607" w14:paraId="3DBE3F6F" w14:textId="77777777">
        <w:trPr>
          <w:trHeight w:val="247"/>
        </w:trPr>
        <w:tc>
          <w:tcPr>
            <w:tcW w:w="1873" w:type="dxa"/>
            <w:tcBorders>
              <w:top w:val="single" w:sz="6" w:space="0" w:color="969696"/>
              <w:left w:val="nil"/>
              <w:bottom w:val="single" w:sz="6" w:space="0" w:color="969696"/>
              <w:right w:val="nil"/>
            </w:tcBorders>
            <w:vAlign w:val="center"/>
          </w:tcPr>
          <w:p w14:paraId="239676BD" w14:textId="77777777" w:rsidR="00F76607" w:rsidRDefault="001863F0">
            <w:pPr>
              <w:rPr>
                <w:sz w:val="18"/>
                <w:szCs w:val="18"/>
              </w:rPr>
            </w:pPr>
            <w:r>
              <w:rPr>
                <w:sz w:val="18"/>
                <w:szCs w:val="18"/>
              </w:rPr>
              <w:t>VGP Park Pilsen</w:t>
            </w:r>
          </w:p>
        </w:tc>
        <w:tc>
          <w:tcPr>
            <w:tcW w:w="709" w:type="dxa"/>
            <w:tcBorders>
              <w:top w:val="single" w:sz="6" w:space="0" w:color="969696"/>
              <w:left w:val="nil"/>
              <w:bottom w:val="single" w:sz="6" w:space="0" w:color="969696"/>
              <w:right w:val="nil"/>
            </w:tcBorders>
            <w:vAlign w:val="center"/>
          </w:tcPr>
          <w:p w14:paraId="5E55E8DB"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20D2FC3E" w14:textId="77777777" w:rsidR="00F76607" w:rsidRDefault="001863F0">
            <w:pPr>
              <w:jc w:val="right"/>
              <w:rPr>
                <w:sz w:val="18"/>
                <w:szCs w:val="18"/>
              </w:rPr>
            </w:pPr>
            <w:r>
              <w:rPr>
                <w:sz w:val="18"/>
                <w:szCs w:val="18"/>
              </w:rPr>
              <w:t>92,354</w:t>
            </w:r>
          </w:p>
        </w:tc>
        <w:tc>
          <w:tcPr>
            <w:tcW w:w="1134" w:type="dxa"/>
            <w:tcBorders>
              <w:top w:val="single" w:sz="6" w:space="0" w:color="969696"/>
              <w:left w:val="nil"/>
              <w:bottom w:val="single" w:sz="6" w:space="0" w:color="969696"/>
              <w:right w:val="nil"/>
            </w:tcBorders>
            <w:vAlign w:val="center"/>
          </w:tcPr>
          <w:p w14:paraId="59239277" w14:textId="77777777" w:rsidR="00F76607" w:rsidRDefault="001863F0">
            <w:pPr>
              <w:jc w:val="right"/>
              <w:rPr>
                <w:sz w:val="18"/>
                <w:szCs w:val="18"/>
              </w:rPr>
            </w:pPr>
            <w:r>
              <w:rPr>
                <w:sz w:val="18"/>
                <w:szCs w:val="18"/>
              </w:rPr>
              <w:t>44,256</w:t>
            </w:r>
          </w:p>
        </w:tc>
        <w:tc>
          <w:tcPr>
            <w:tcW w:w="1134" w:type="dxa"/>
            <w:tcBorders>
              <w:top w:val="single" w:sz="6" w:space="0" w:color="969696"/>
              <w:left w:val="nil"/>
              <w:bottom w:val="single" w:sz="6" w:space="0" w:color="969696"/>
              <w:right w:val="nil"/>
            </w:tcBorders>
            <w:vAlign w:val="center"/>
          </w:tcPr>
          <w:p w14:paraId="44B6C50F"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32B2A485"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0A5E5484" w14:textId="77777777" w:rsidR="00F76607" w:rsidRDefault="001863F0">
            <w:pPr>
              <w:jc w:val="right"/>
              <w:rPr>
                <w:sz w:val="18"/>
                <w:szCs w:val="18"/>
              </w:rPr>
            </w:pPr>
            <w:r>
              <w:rPr>
                <w:sz w:val="18"/>
                <w:szCs w:val="18"/>
              </w:rPr>
              <w:t>44,256</w:t>
            </w:r>
          </w:p>
        </w:tc>
        <w:tc>
          <w:tcPr>
            <w:tcW w:w="992" w:type="dxa"/>
            <w:tcBorders>
              <w:top w:val="single" w:sz="6" w:space="0" w:color="969696"/>
              <w:left w:val="nil"/>
              <w:bottom w:val="single" w:sz="6" w:space="0" w:color="969696"/>
              <w:right w:val="nil"/>
            </w:tcBorders>
            <w:vAlign w:val="center"/>
          </w:tcPr>
          <w:p w14:paraId="5FDD0965" w14:textId="77777777" w:rsidR="00F76607" w:rsidRDefault="001863F0">
            <w:pPr>
              <w:jc w:val="right"/>
              <w:rPr>
                <w:sz w:val="18"/>
                <w:szCs w:val="18"/>
              </w:rPr>
            </w:pPr>
            <w:r>
              <w:rPr>
                <w:sz w:val="18"/>
                <w:szCs w:val="18"/>
              </w:rPr>
              <w:t xml:space="preserve">2.2 </w:t>
            </w:r>
          </w:p>
        </w:tc>
      </w:tr>
      <w:tr w:rsidR="00F76607" w14:paraId="1DBAB6D9" w14:textId="77777777">
        <w:trPr>
          <w:trHeight w:val="247"/>
        </w:trPr>
        <w:tc>
          <w:tcPr>
            <w:tcW w:w="1873" w:type="dxa"/>
            <w:tcBorders>
              <w:top w:val="single" w:sz="6" w:space="0" w:color="969696"/>
              <w:left w:val="nil"/>
              <w:bottom w:val="single" w:sz="6" w:space="0" w:color="969696"/>
              <w:right w:val="nil"/>
            </w:tcBorders>
            <w:vAlign w:val="center"/>
          </w:tcPr>
          <w:p w14:paraId="469453B3" w14:textId="77777777" w:rsidR="00F76607" w:rsidRDefault="001863F0">
            <w:pPr>
              <w:rPr>
                <w:sz w:val="18"/>
                <w:szCs w:val="18"/>
              </w:rPr>
            </w:pPr>
            <w:r>
              <w:rPr>
                <w:sz w:val="18"/>
                <w:szCs w:val="18"/>
              </w:rPr>
              <w:t xml:space="preserve">VGP Park Cesky </w:t>
            </w:r>
            <w:proofErr w:type="spellStart"/>
            <w:r>
              <w:rPr>
                <w:sz w:val="18"/>
                <w:szCs w:val="18"/>
              </w:rPr>
              <w:t>Ujezd</w:t>
            </w:r>
            <w:proofErr w:type="spellEnd"/>
          </w:p>
        </w:tc>
        <w:tc>
          <w:tcPr>
            <w:tcW w:w="709" w:type="dxa"/>
            <w:tcBorders>
              <w:top w:val="single" w:sz="6" w:space="0" w:color="969696"/>
              <w:left w:val="nil"/>
              <w:bottom w:val="single" w:sz="6" w:space="0" w:color="969696"/>
              <w:right w:val="nil"/>
            </w:tcBorders>
            <w:vAlign w:val="center"/>
          </w:tcPr>
          <w:p w14:paraId="435BD3B7"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34D5FD94" w14:textId="77777777" w:rsidR="00F76607" w:rsidRDefault="001863F0">
            <w:pPr>
              <w:jc w:val="right"/>
              <w:rPr>
                <w:sz w:val="18"/>
                <w:szCs w:val="18"/>
              </w:rPr>
            </w:pPr>
            <w:r>
              <w:rPr>
                <w:sz w:val="18"/>
                <w:szCs w:val="18"/>
              </w:rPr>
              <w:t>45,383</w:t>
            </w:r>
          </w:p>
        </w:tc>
        <w:tc>
          <w:tcPr>
            <w:tcW w:w="1134" w:type="dxa"/>
            <w:tcBorders>
              <w:top w:val="single" w:sz="6" w:space="0" w:color="969696"/>
              <w:left w:val="nil"/>
              <w:bottom w:val="single" w:sz="6" w:space="0" w:color="969696"/>
              <w:right w:val="nil"/>
            </w:tcBorders>
            <w:vAlign w:val="center"/>
          </w:tcPr>
          <w:p w14:paraId="106DF867" w14:textId="77777777" w:rsidR="00F76607" w:rsidRDefault="001863F0">
            <w:pPr>
              <w:jc w:val="right"/>
              <w:rPr>
                <w:sz w:val="18"/>
                <w:szCs w:val="18"/>
              </w:rPr>
            </w:pPr>
            <w:r>
              <w:rPr>
                <w:sz w:val="18"/>
                <w:szCs w:val="18"/>
              </w:rPr>
              <w:t>2,753</w:t>
            </w:r>
          </w:p>
        </w:tc>
        <w:tc>
          <w:tcPr>
            <w:tcW w:w="1134" w:type="dxa"/>
            <w:tcBorders>
              <w:top w:val="single" w:sz="6" w:space="0" w:color="969696"/>
              <w:left w:val="nil"/>
              <w:bottom w:val="single" w:sz="6" w:space="0" w:color="969696"/>
              <w:right w:val="nil"/>
            </w:tcBorders>
            <w:vAlign w:val="center"/>
          </w:tcPr>
          <w:p w14:paraId="65DF2E87" w14:textId="77777777" w:rsidR="00F76607" w:rsidRDefault="001863F0">
            <w:pPr>
              <w:jc w:val="right"/>
              <w:rPr>
                <w:sz w:val="18"/>
                <w:szCs w:val="18"/>
              </w:rPr>
            </w:pPr>
            <w:r>
              <w:rPr>
                <w:sz w:val="18"/>
                <w:szCs w:val="18"/>
              </w:rPr>
              <w:t>13,071</w:t>
            </w:r>
          </w:p>
        </w:tc>
        <w:tc>
          <w:tcPr>
            <w:tcW w:w="1134" w:type="dxa"/>
            <w:tcBorders>
              <w:top w:val="single" w:sz="6" w:space="0" w:color="969696"/>
              <w:left w:val="nil"/>
              <w:bottom w:val="single" w:sz="6" w:space="0" w:color="969696"/>
              <w:right w:val="nil"/>
            </w:tcBorders>
            <w:vAlign w:val="center"/>
          </w:tcPr>
          <w:p w14:paraId="3E08EA34"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770D9BB6" w14:textId="77777777" w:rsidR="00F76607" w:rsidRDefault="001863F0">
            <w:pPr>
              <w:jc w:val="right"/>
              <w:rPr>
                <w:sz w:val="18"/>
                <w:szCs w:val="18"/>
              </w:rPr>
            </w:pPr>
            <w:r>
              <w:rPr>
                <w:sz w:val="18"/>
                <w:szCs w:val="18"/>
              </w:rPr>
              <w:t>15,824</w:t>
            </w:r>
          </w:p>
        </w:tc>
        <w:tc>
          <w:tcPr>
            <w:tcW w:w="992" w:type="dxa"/>
            <w:tcBorders>
              <w:top w:val="single" w:sz="6" w:space="0" w:color="969696"/>
              <w:left w:val="nil"/>
              <w:bottom w:val="single" w:sz="6" w:space="0" w:color="969696"/>
              <w:right w:val="nil"/>
            </w:tcBorders>
            <w:vAlign w:val="center"/>
          </w:tcPr>
          <w:p w14:paraId="601B989D" w14:textId="77777777" w:rsidR="00F76607" w:rsidRDefault="001863F0">
            <w:pPr>
              <w:jc w:val="right"/>
              <w:rPr>
                <w:sz w:val="18"/>
                <w:szCs w:val="18"/>
              </w:rPr>
            </w:pPr>
            <w:r>
              <w:rPr>
                <w:sz w:val="18"/>
                <w:szCs w:val="18"/>
              </w:rPr>
              <w:t xml:space="preserve">0.5 </w:t>
            </w:r>
          </w:p>
        </w:tc>
      </w:tr>
      <w:tr w:rsidR="00F76607" w14:paraId="1E0F784B" w14:textId="77777777">
        <w:trPr>
          <w:trHeight w:val="247"/>
        </w:trPr>
        <w:tc>
          <w:tcPr>
            <w:tcW w:w="1873" w:type="dxa"/>
            <w:tcBorders>
              <w:top w:val="single" w:sz="6" w:space="0" w:color="969696"/>
              <w:left w:val="nil"/>
              <w:bottom w:val="single" w:sz="6" w:space="0" w:color="969696"/>
              <w:right w:val="nil"/>
            </w:tcBorders>
            <w:vAlign w:val="center"/>
          </w:tcPr>
          <w:p w14:paraId="1F056752" w14:textId="77777777" w:rsidR="00F76607" w:rsidRDefault="001863F0">
            <w:pPr>
              <w:rPr>
                <w:sz w:val="18"/>
                <w:szCs w:val="18"/>
              </w:rPr>
            </w:pPr>
            <w:r>
              <w:rPr>
                <w:sz w:val="18"/>
                <w:szCs w:val="18"/>
              </w:rPr>
              <w:t>VGP Park Liberec</w:t>
            </w:r>
          </w:p>
        </w:tc>
        <w:tc>
          <w:tcPr>
            <w:tcW w:w="709" w:type="dxa"/>
            <w:tcBorders>
              <w:top w:val="single" w:sz="6" w:space="0" w:color="969696"/>
              <w:left w:val="nil"/>
              <w:bottom w:val="single" w:sz="6" w:space="0" w:color="969696"/>
              <w:right w:val="nil"/>
            </w:tcBorders>
            <w:vAlign w:val="center"/>
          </w:tcPr>
          <w:p w14:paraId="2D596904"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5A1E8915" w14:textId="77777777" w:rsidR="00F76607" w:rsidRDefault="001863F0">
            <w:pPr>
              <w:jc w:val="right"/>
              <w:rPr>
                <w:sz w:val="18"/>
                <w:szCs w:val="18"/>
              </w:rPr>
            </w:pPr>
            <w:r>
              <w:rPr>
                <w:sz w:val="18"/>
                <w:szCs w:val="18"/>
              </w:rPr>
              <w:t>36,062</w:t>
            </w:r>
          </w:p>
        </w:tc>
        <w:tc>
          <w:tcPr>
            <w:tcW w:w="1134" w:type="dxa"/>
            <w:tcBorders>
              <w:top w:val="single" w:sz="6" w:space="0" w:color="969696"/>
              <w:left w:val="nil"/>
              <w:bottom w:val="single" w:sz="6" w:space="0" w:color="969696"/>
              <w:right w:val="nil"/>
            </w:tcBorders>
            <w:vAlign w:val="center"/>
          </w:tcPr>
          <w:p w14:paraId="607DC12B" w14:textId="77777777" w:rsidR="00F76607" w:rsidRDefault="001863F0">
            <w:pPr>
              <w:jc w:val="right"/>
              <w:rPr>
                <w:sz w:val="18"/>
                <w:szCs w:val="18"/>
              </w:rPr>
            </w:pPr>
            <w:r>
              <w:rPr>
                <w:sz w:val="18"/>
                <w:szCs w:val="18"/>
              </w:rPr>
              <w:t>11,436</w:t>
            </w:r>
          </w:p>
        </w:tc>
        <w:tc>
          <w:tcPr>
            <w:tcW w:w="1134" w:type="dxa"/>
            <w:tcBorders>
              <w:top w:val="single" w:sz="6" w:space="0" w:color="969696"/>
              <w:left w:val="nil"/>
              <w:bottom w:val="single" w:sz="6" w:space="0" w:color="969696"/>
              <w:right w:val="nil"/>
            </w:tcBorders>
            <w:vAlign w:val="center"/>
          </w:tcPr>
          <w:p w14:paraId="536886F4"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6C0E33E7" w14:textId="77777777" w:rsidR="00F76607" w:rsidRDefault="001863F0">
            <w:pPr>
              <w:jc w:val="right"/>
              <w:rPr>
                <w:sz w:val="18"/>
                <w:szCs w:val="18"/>
              </w:rPr>
            </w:pPr>
            <w:r>
              <w:rPr>
                <w:sz w:val="18"/>
                <w:szCs w:val="18"/>
              </w:rPr>
              <w:t>2,304</w:t>
            </w:r>
          </w:p>
        </w:tc>
        <w:tc>
          <w:tcPr>
            <w:tcW w:w="1134" w:type="dxa"/>
            <w:tcBorders>
              <w:top w:val="single" w:sz="6" w:space="0" w:color="969696"/>
              <w:left w:val="nil"/>
              <w:bottom w:val="single" w:sz="6" w:space="0" w:color="969696"/>
              <w:right w:val="nil"/>
            </w:tcBorders>
            <w:vAlign w:val="center"/>
          </w:tcPr>
          <w:p w14:paraId="77EA0905" w14:textId="77777777" w:rsidR="00F76607" w:rsidRDefault="001863F0">
            <w:pPr>
              <w:jc w:val="right"/>
              <w:rPr>
                <w:sz w:val="18"/>
                <w:szCs w:val="18"/>
              </w:rPr>
            </w:pPr>
            <w:r>
              <w:rPr>
                <w:sz w:val="18"/>
                <w:szCs w:val="18"/>
              </w:rPr>
              <w:t>13,740</w:t>
            </w:r>
          </w:p>
        </w:tc>
        <w:tc>
          <w:tcPr>
            <w:tcW w:w="992" w:type="dxa"/>
            <w:tcBorders>
              <w:top w:val="single" w:sz="6" w:space="0" w:color="969696"/>
              <w:left w:val="nil"/>
              <w:bottom w:val="single" w:sz="6" w:space="0" w:color="969696"/>
              <w:right w:val="nil"/>
            </w:tcBorders>
            <w:vAlign w:val="center"/>
          </w:tcPr>
          <w:p w14:paraId="6868F86E" w14:textId="77777777" w:rsidR="00F76607" w:rsidRDefault="001863F0">
            <w:pPr>
              <w:jc w:val="right"/>
              <w:rPr>
                <w:sz w:val="18"/>
                <w:szCs w:val="18"/>
              </w:rPr>
            </w:pPr>
            <w:r>
              <w:rPr>
                <w:sz w:val="18"/>
                <w:szCs w:val="18"/>
              </w:rPr>
              <w:t xml:space="preserve">0.6 </w:t>
            </w:r>
          </w:p>
        </w:tc>
      </w:tr>
      <w:tr w:rsidR="00F76607" w14:paraId="579B7C54" w14:textId="77777777">
        <w:trPr>
          <w:trHeight w:val="247"/>
        </w:trPr>
        <w:tc>
          <w:tcPr>
            <w:tcW w:w="1873" w:type="dxa"/>
            <w:tcBorders>
              <w:top w:val="single" w:sz="6" w:space="0" w:color="969696"/>
              <w:left w:val="nil"/>
              <w:bottom w:val="single" w:sz="6" w:space="0" w:color="969696"/>
              <w:right w:val="nil"/>
            </w:tcBorders>
            <w:vAlign w:val="center"/>
          </w:tcPr>
          <w:p w14:paraId="5286910A" w14:textId="77777777" w:rsidR="00F76607" w:rsidRDefault="001863F0">
            <w:pPr>
              <w:rPr>
                <w:b/>
                <w:bCs/>
                <w:sz w:val="18"/>
                <w:szCs w:val="18"/>
              </w:rPr>
            </w:pPr>
            <w:r>
              <w:rPr>
                <w:b/>
                <w:bCs/>
                <w:sz w:val="18"/>
                <w:szCs w:val="18"/>
              </w:rPr>
              <w:t> </w:t>
            </w:r>
          </w:p>
        </w:tc>
        <w:tc>
          <w:tcPr>
            <w:tcW w:w="709" w:type="dxa"/>
            <w:tcBorders>
              <w:top w:val="single" w:sz="6" w:space="0" w:color="969696"/>
              <w:left w:val="nil"/>
              <w:bottom w:val="single" w:sz="6" w:space="0" w:color="969696"/>
              <w:right w:val="nil"/>
            </w:tcBorders>
            <w:vAlign w:val="center"/>
          </w:tcPr>
          <w:p w14:paraId="0F770487"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63F564FD" w14:textId="77777777" w:rsidR="00F76607" w:rsidRDefault="001863F0">
            <w:pPr>
              <w:jc w:val="right"/>
              <w:rPr>
                <w:b/>
                <w:bCs/>
                <w:sz w:val="18"/>
                <w:szCs w:val="18"/>
              </w:rPr>
            </w:pPr>
            <w:r>
              <w:rPr>
                <w:b/>
                <w:bCs/>
                <w:sz w:val="18"/>
                <w:szCs w:val="18"/>
              </w:rPr>
              <w:t>531,786</w:t>
            </w:r>
          </w:p>
        </w:tc>
        <w:tc>
          <w:tcPr>
            <w:tcW w:w="1134" w:type="dxa"/>
            <w:tcBorders>
              <w:top w:val="single" w:sz="6" w:space="0" w:color="969696"/>
              <w:left w:val="nil"/>
              <w:bottom w:val="single" w:sz="6" w:space="0" w:color="969696"/>
              <w:right w:val="nil"/>
            </w:tcBorders>
            <w:vAlign w:val="center"/>
          </w:tcPr>
          <w:p w14:paraId="583035B8" w14:textId="77777777" w:rsidR="00F76607" w:rsidRDefault="001863F0">
            <w:pPr>
              <w:jc w:val="right"/>
              <w:rPr>
                <w:b/>
                <w:bCs/>
                <w:sz w:val="18"/>
                <w:szCs w:val="18"/>
              </w:rPr>
            </w:pPr>
            <w:r>
              <w:rPr>
                <w:b/>
                <w:bCs/>
                <w:sz w:val="18"/>
                <w:szCs w:val="18"/>
              </w:rPr>
              <w:t>178,198</w:t>
            </w:r>
          </w:p>
        </w:tc>
        <w:tc>
          <w:tcPr>
            <w:tcW w:w="1134" w:type="dxa"/>
            <w:tcBorders>
              <w:top w:val="single" w:sz="6" w:space="0" w:color="969696"/>
              <w:left w:val="nil"/>
              <w:bottom w:val="single" w:sz="6" w:space="0" w:color="969696"/>
              <w:right w:val="nil"/>
            </w:tcBorders>
            <w:vAlign w:val="center"/>
          </w:tcPr>
          <w:p w14:paraId="4C89BEB1" w14:textId="77777777" w:rsidR="00F76607" w:rsidRDefault="001863F0">
            <w:pPr>
              <w:jc w:val="right"/>
              <w:rPr>
                <w:b/>
                <w:bCs/>
                <w:sz w:val="18"/>
                <w:szCs w:val="18"/>
              </w:rPr>
            </w:pPr>
            <w:r>
              <w:rPr>
                <w:b/>
                <w:bCs/>
                <w:sz w:val="18"/>
                <w:szCs w:val="18"/>
              </w:rPr>
              <w:t>13,071</w:t>
            </w:r>
          </w:p>
        </w:tc>
        <w:tc>
          <w:tcPr>
            <w:tcW w:w="1134" w:type="dxa"/>
            <w:tcBorders>
              <w:top w:val="single" w:sz="6" w:space="0" w:color="969696"/>
              <w:left w:val="nil"/>
              <w:bottom w:val="single" w:sz="6" w:space="0" w:color="969696"/>
              <w:right w:val="nil"/>
            </w:tcBorders>
            <w:vAlign w:val="center"/>
          </w:tcPr>
          <w:p w14:paraId="5B6566E3" w14:textId="77777777" w:rsidR="00F76607" w:rsidRDefault="001863F0">
            <w:pPr>
              <w:jc w:val="right"/>
              <w:rPr>
                <w:b/>
                <w:bCs/>
                <w:sz w:val="18"/>
                <w:szCs w:val="18"/>
              </w:rPr>
            </w:pPr>
            <w:r>
              <w:rPr>
                <w:b/>
                <w:bCs/>
                <w:sz w:val="18"/>
                <w:szCs w:val="18"/>
              </w:rPr>
              <w:t>38,823</w:t>
            </w:r>
          </w:p>
        </w:tc>
        <w:tc>
          <w:tcPr>
            <w:tcW w:w="1134" w:type="dxa"/>
            <w:tcBorders>
              <w:top w:val="single" w:sz="6" w:space="0" w:color="969696"/>
              <w:left w:val="nil"/>
              <w:bottom w:val="single" w:sz="6" w:space="0" w:color="969696"/>
              <w:right w:val="nil"/>
            </w:tcBorders>
            <w:vAlign w:val="center"/>
          </w:tcPr>
          <w:p w14:paraId="5C290375" w14:textId="77777777" w:rsidR="00F76607" w:rsidRDefault="001863F0">
            <w:pPr>
              <w:jc w:val="right"/>
              <w:rPr>
                <w:b/>
                <w:bCs/>
                <w:sz w:val="18"/>
                <w:szCs w:val="18"/>
              </w:rPr>
            </w:pPr>
            <w:r>
              <w:rPr>
                <w:b/>
                <w:bCs/>
                <w:sz w:val="18"/>
                <w:szCs w:val="18"/>
              </w:rPr>
              <w:t>230,091</w:t>
            </w:r>
          </w:p>
        </w:tc>
        <w:tc>
          <w:tcPr>
            <w:tcW w:w="992" w:type="dxa"/>
            <w:tcBorders>
              <w:top w:val="single" w:sz="6" w:space="0" w:color="969696"/>
              <w:left w:val="nil"/>
              <w:bottom w:val="single" w:sz="6" w:space="0" w:color="969696"/>
              <w:right w:val="nil"/>
            </w:tcBorders>
            <w:vAlign w:val="center"/>
          </w:tcPr>
          <w:p w14:paraId="2C76760C" w14:textId="77777777" w:rsidR="00F76607" w:rsidRDefault="001863F0">
            <w:pPr>
              <w:jc w:val="right"/>
              <w:rPr>
                <w:b/>
                <w:bCs/>
                <w:sz w:val="18"/>
                <w:szCs w:val="18"/>
              </w:rPr>
            </w:pPr>
            <w:r>
              <w:rPr>
                <w:b/>
                <w:bCs/>
                <w:sz w:val="18"/>
                <w:szCs w:val="18"/>
              </w:rPr>
              <w:t xml:space="preserve">9.5 </w:t>
            </w:r>
          </w:p>
        </w:tc>
      </w:tr>
      <w:tr w:rsidR="00F76607" w14:paraId="18788804" w14:textId="77777777">
        <w:trPr>
          <w:trHeight w:val="247"/>
        </w:trPr>
        <w:tc>
          <w:tcPr>
            <w:tcW w:w="1873" w:type="dxa"/>
            <w:tcBorders>
              <w:top w:val="single" w:sz="6" w:space="0" w:color="969696"/>
              <w:left w:val="nil"/>
              <w:bottom w:val="single" w:sz="6" w:space="0" w:color="969696"/>
              <w:right w:val="nil"/>
            </w:tcBorders>
            <w:vAlign w:val="center"/>
          </w:tcPr>
          <w:p w14:paraId="02FD97C8" w14:textId="77777777" w:rsidR="00F76607" w:rsidRDefault="001863F0">
            <w:pPr>
              <w:rPr>
                <w:b/>
                <w:bCs/>
                <w:sz w:val="18"/>
                <w:szCs w:val="18"/>
              </w:rPr>
            </w:pPr>
            <w:r>
              <w:rPr>
                <w:b/>
                <w:bCs/>
                <w:sz w:val="18"/>
                <w:szCs w:val="18"/>
              </w:rPr>
              <w:t>Other Countries</w:t>
            </w:r>
          </w:p>
        </w:tc>
        <w:tc>
          <w:tcPr>
            <w:tcW w:w="709" w:type="dxa"/>
            <w:tcBorders>
              <w:top w:val="single" w:sz="6" w:space="0" w:color="969696"/>
              <w:left w:val="nil"/>
              <w:bottom w:val="single" w:sz="6" w:space="0" w:color="969696"/>
              <w:right w:val="nil"/>
            </w:tcBorders>
            <w:vAlign w:val="center"/>
          </w:tcPr>
          <w:p w14:paraId="55B49165"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0B3AC350"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68638297"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4C95D357" w14:textId="77777777" w:rsidR="00F76607" w:rsidRDefault="00F76607">
            <w:pPr>
              <w:rPr>
                <w:b/>
                <w:bCs/>
                <w:sz w:val="18"/>
                <w:szCs w:val="18"/>
              </w:rPr>
            </w:pPr>
          </w:p>
        </w:tc>
        <w:tc>
          <w:tcPr>
            <w:tcW w:w="1134" w:type="dxa"/>
            <w:tcBorders>
              <w:top w:val="single" w:sz="6" w:space="0" w:color="969696"/>
              <w:left w:val="nil"/>
              <w:bottom w:val="single" w:sz="6" w:space="0" w:color="969696"/>
              <w:right w:val="nil"/>
            </w:tcBorders>
            <w:vAlign w:val="center"/>
          </w:tcPr>
          <w:p w14:paraId="2AD98D71"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771403E9" w14:textId="77777777" w:rsidR="00F76607" w:rsidRDefault="001863F0">
            <w:pPr>
              <w:rPr>
                <w:b/>
                <w:bCs/>
                <w:sz w:val="18"/>
                <w:szCs w:val="18"/>
              </w:rPr>
            </w:pPr>
            <w:r>
              <w:rPr>
                <w:b/>
                <w:bCs/>
                <w:sz w:val="18"/>
                <w:szCs w:val="18"/>
              </w:rPr>
              <w:t> </w:t>
            </w:r>
          </w:p>
        </w:tc>
        <w:tc>
          <w:tcPr>
            <w:tcW w:w="992" w:type="dxa"/>
            <w:tcBorders>
              <w:top w:val="single" w:sz="6" w:space="0" w:color="969696"/>
              <w:left w:val="nil"/>
              <w:bottom w:val="single" w:sz="6" w:space="0" w:color="969696"/>
              <w:right w:val="nil"/>
            </w:tcBorders>
            <w:vAlign w:val="center"/>
          </w:tcPr>
          <w:p w14:paraId="55E6F602" w14:textId="77777777" w:rsidR="00F76607" w:rsidRDefault="001863F0">
            <w:pPr>
              <w:rPr>
                <w:b/>
                <w:bCs/>
                <w:sz w:val="18"/>
                <w:szCs w:val="18"/>
              </w:rPr>
            </w:pPr>
            <w:r>
              <w:rPr>
                <w:b/>
                <w:bCs/>
                <w:sz w:val="18"/>
                <w:szCs w:val="18"/>
              </w:rPr>
              <w:t> </w:t>
            </w:r>
          </w:p>
        </w:tc>
      </w:tr>
      <w:tr w:rsidR="00F76607" w14:paraId="776D4F3C" w14:textId="77777777">
        <w:trPr>
          <w:trHeight w:val="247"/>
        </w:trPr>
        <w:tc>
          <w:tcPr>
            <w:tcW w:w="1873" w:type="dxa"/>
            <w:tcBorders>
              <w:top w:val="single" w:sz="6" w:space="0" w:color="969696"/>
              <w:left w:val="nil"/>
              <w:bottom w:val="single" w:sz="6" w:space="0" w:color="969696"/>
              <w:right w:val="nil"/>
            </w:tcBorders>
            <w:vAlign w:val="center"/>
          </w:tcPr>
          <w:p w14:paraId="6306BA66" w14:textId="77777777" w:rsidR="00F76607" w:rsidRDefault="001863F0">
            <w:pPr>
              <w:rPr>
                <w:sz w:val="18"/>
                <w:szCs w:val="18"/>
              </w:rPr>
            </w:pPr>
            <w:r>
              <w:rPr>
                <w:sz w:val="18"/>
                <w:szCs w:val="18"/>
              </w:rPr>
              <w:t xml:space="preserve">VGP Park </w:t>
            </w:r>
            <w:proofErr w:type="spellStart"/>
            <w:r>
              <w:rPr>
                <w:sz w:val="18"/>
                <w:szCs w:val="18"/>
              </w:rPr>
              <w:t>Malacky</w:t>
            </w:r>
            <w:proofErr w:type="spellEnd"/>
            <w:r>
              <w:rPr>
                <w:sz w:val="18"/>
                <w:szCs w:val="18"/>
              </w:rPr>
              <w:t xml:space="preserve"> (Slovakia)</w:t>
            </w:r>
          </w:p>
        </w:tc>
        <w:tc>
          <w:tcPr>
            <w:tcW w:w="709" w:type="dxa"/>
            <w:tcBorders>
              <w:top w:val="single" w:sz="6" w:space="0" w:color="969696"/>
              <w:left w:val="nil"/>
              <w:bottom w:val="single" w:sz="6" w:space="0" w:color="969696"/>
              <w:right w:val="nil"/>
            </w:tcBorders>
            <w:vAlign w:val="center"/>
          </w:tcPr>
          <w:p w14:paraId="1429B6B2"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1F5283C3" w14:textId="77777777" w:rsidR="00F76607" w:rsidRDefault="001863F0">
            <w:pPr>
              <w:jc w:val="right"/>
              <w:rPr>
                <w:sz w:val="18"/>
                <w:szCs w:val="18"/>
              </w:rPr>
            </w:pPr>
            <w:r>
              <w:rPr>
                <w:sz w:val="18"/>
                <w:szCs w:val="18"/>
              </w:rPr>
              <w:t>220,492</w:t>
            </w:r>
          </w:p>
        </w:tc>
        <w:tc>
          <w:tcPr>
            <w:tcW w:w="1134" w:type="dxa"/>
            <w:tcBorders>
              <w:top w:val="single" w:sz="6" w:space="0" w:color="969696"/>
              <w:left w:val="nil"/>
              <w:bottom w:val="single" w:sz="6" w:space="0" w:color="969696"/>
              <w:right w:val="nil"/>
            </w:tcBorders>
            <w:vAlign w:val="center"/>
          </w:tcPr>
          <w:p w14:paraId="3B95930D" w14:textId="77777777" w:rsidR="00F76607" w:rsidRDefault="001863F0">
            <w:pPr>
              <w:jc w:val="right"/>
              <w:rPr>
                <w:sz w:val="18"/>
                <w:szCs w:val="18"/>
              </w:rPr>
            </w:pPr>
            <w:r>
              <w:rPr>
                <w:sz w:val="18"/>
                <w:szCs w:val="18"/>
              </w:rPr>
              <w:t>68,566</w:t>
            </w:r>
          </w:p>
        </w:tc>
        <w:tc>
          <w:tcPr>
            <w:tcW w:w="1134" w:type="dxa"/>
            <w:tcBorders>
              <w:top w:val="single" w:sz="6" w:space="0" w:color="969696"/>
              <w:left w:val="nil"/>
              <w:bottom w:val="single" w:sz="6" w:space="0" w:color="969696"/>
              <w:right w:val="nil"/>
            </w:tcBorders>
            <w:vAlign w:val="center"/>
          </w:tcPr>
          <w:p w14:paraId="743730F0" w14:textId="77777777" w:rsidR="00F76607" w:rsidRDefault="001863F0">
            <w:pPr>
              <w:jc w:val="right"/>
              <w:rPr>
                <w:sz w:val="18"/>
                <w:szCs w:val="18"/>
              </w:rPr>
            </w:pPr>
            <w:r>
              <w:rPr>
                <w:sz w:val="18"/>
                <w:szCs w:val="18"/>
              </w:rPr>
              <w:t>18,162</w:t>
            </w:r>
          </w:p>
        </w:tc>
        <w:tc>
          <w:tcPr>
            <w:tcW w:w="1134" w:type="dxa"/>
            <w:tcBorders>
              <w:top w:val="single" w:sz="6" w:space="0" w:color="969696"/>
              <w:left w:val="nil"/>
              <w:bottom w:val="single" w:sz="6" w:space="0" w:color="969696"/>
              <w:right w:val="nil"/>
            </w:tcBorders>
            <w:vAlign w:val="center"/>
          </w:tcPr>
          <w:p w14:paraId="045D5184" w14:textId="77777777" w:rsidR="00F76607" w:rsidRDefault="001863F0">
            <w:pPr>
              <w:jc w:val="right"/>
              <w:rPr>
                <w:sz w:val="18"/>
                <w:szCs w:val="18"/>
              </w:rPr>
            </w:pPr>
            <w:r>
              <w:rPr>
                <w:sz w:val="18"/>
                <w:szCs w:val="18"/>
              </w:rPr>
              <w:t>9,880</w:t>
            </w:r>
          </w:p>
        </w:tc>
        <w:tc>
          <w:tcPr>
            <w:tcW w:w="1134" w:type="dxa"/>
            <w:tcBorders>
              <w:top w:val="single" w:sz="6" w:space="0" w:color="969696"/>
              <w:left w:val="nil"/>
              <w:bottom w:val="single" w:sz="6" w:space="0" w:color="969696"/>
              <w:right w:val="nil"/>
            </w:tcBorders>
            <w:vAlign w:val="center"/>
          </w:tcPr>
          <w:p w14:paraId="0B0CDED7" w14:textId="77777777" w:rsidR="00F76607" w:rsidRDefault="001863F0">
            <w:pPr>
              <w:jc w:val="right"/>
              <w:rPr>
                <w:sz w:val="18"/>
                <w:szCs w:val="18"/>
              </w:rPr>
            </w:pPr>
            <w:r>
              <w:rPr>
                <w:sz w:val="18"/>
                <w:szCs w:val="18"/>
              </w:rPr>
              <w:t>96,608</w:t>
            </w:r>
          </w:p>
        </w:tc>
        <w:tc>
          <w:tcPr>
            <w:tcW w:w="992" w:type="dxa"/>
            <w:tcBorders>
              <w:top w:val="single" w:sz="6" w:space="0" w:color="969696"/>
              <w:left w:val="nil"/>
              <w:bottom w:val="single" w:sz="6" w:space="0" w:color="969696"/>
              <w:right w:val="nil"/>
            </w:tcBorders>
            <w:vAlign w:val="center"/>
          </w:tcPr>
          <w:p w14:paraId="07CDA631" w14:textId="77777777" w:rsidR="00F76607" w:rsidRDefault="001863F0">
            <w:pPr>
              <w:jc w:val="right"/>
              <w:rPr>
                <w:sz w:val="18"/>
                <w:szCs w:val="18"/>
              </w:rPr>
            </w:pPr>
            <w:r>
              <w:rPr>
                <w:sz w:val="18"/>
                <w:szCs w:val="18"/>
              </w:rPr>
              <w:t xml:space="preserve">3.7 </w:t>
            </w:r>
          </w:p>
        </w:tc>
      </w:tr>
      <w:tr w:rsidR="00F76607" w14:paraId="40C50CA4" w14:textId="77777777">
        <w:trPr>
          <w:trHeight w:val="247"/>
        </w:trPr>
        <w:tc>
          <w:tcPr>
            <w:tcW w:w="1873" w:type="dxa"/>
            <w:tcBorders>
              <w:top w:val="single" w:sz="6" w:space="0" w:color="969696"/>
              <w:left w:val="nil"/>
              <w:bottom w:val="single" w:sz="6" w:space="0" w:color="969696"/>
              <w:right w:val="nil"/>
            </w:tcBorders>
            <w:vAlign w:val="center"/>
          </w:tcPr>
          <w:p w14:paraId="37859BCC" w14:textId="77777777" w:rsidR="00F76607" w:rsidRDefault="001863F0">
            <w:pPr>
              <w:rPr>
                <w:sz w:val="18"/>
                <w:szCs w:val="18"/>
              </w:rPr>
            </w:pPr>
            <w:r>
              <w:rPr>
                <w:sz w:val="18"/>
                <w:szCs w:val="18"/>
              </w:rPr>
              <w:t xml:space="preserve">VGP Park </w:t>
            </w:r>
            <w:proofErr w:type="spellStart"/>
            <w:r>
              <w:rPr>
                <w:sz w:val="18"/>
                <w:szCs w:val="18"/>
              </w:rPr>
              <w:t>Győr</w:t>
            </w:r>
            <w:proofErr w:type="spellEnd"/>
            <w:r>
              <w:rPr>
                <w:sz w:val="18"/>
                <w:szCs w:val="18"/>
              </w:rPr>
              <w:t xml:space="preserve"> (Hungary)</w:t>
            </w:r>
          </w:p>
        </w:tc>
        <w:tc>
          <w:tcPr>
            <w:tcW w:w="709" w:type="dxa"/>
            <w:tcBorders>
              <w:top w:val="single" w:sz="6" w:space="0" w:color="969696"/>
              <w:left w:val="nil"/>
              <w:bottom w:val="single" w:sz="6" w:space="0" w:color="969696"/>
              <w:right w:val="nil"/>
            </w:tcBorders>
            <w:vAlign w:val="center"/>
          </w:tcPr>
          <w:p w14:paraId="1BB6A346"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48A276D1" w14:textId="77777777" w:rsidR="00F76607" w:rsidRDefault="001863F0">
            <w:pPr>
              <w:jc w:val="right"/>
              <w:rPr>
                <w:sz w:val="18"/>
                <w:szCs w:val="18"/>
              </w:rPr>
            </w:pPr>
            <w:r>
              <w:rPr>
                <w:sz w:val="18"/>
                <w:szCs w:val="18"/>
              </w:rPr>
              <w:t>121,798</w:t>
            </w:r>
          </w:p>
        </w:tc>
        <w:tc>
          <w:tcPr>
            <w:tcW w:w="1134" w:type="dxa"/>
            <w:tcBorders>
              <w:top w:val="single" w:sz="6" w:space="0" w:color="969696"/>
              <w:left w:val="nil"/>
              <w:bottom w:val="single" w:sz="6" w:space="0" w:color="969696"/>
              <w:right w:val="nil"/>
            </w:tcBorders>
            <w:vAlign w:val="center"/>
          </w:tcPr>
          <w:p w14:paraId="1BB50738" w14:textId="77777777" w:rsidR="00F76607" w:rsidRDefault="001863F0">
            <w:pPr>
              <w:jc w:val="right"/>
              <w:rPr>
                <w:sz w:val="18"/>
                <w:szCs w:val="18"/>
              </w:rPr>
            </w:pPr>
            <w:r>
              <w:rPr>
                <w:sz w:val="18"/>
                <w:szCs w:val="18"/>
              </w:rPr>
              <w:t>38,183</w:t>
            </w:r>
          </w:p>
        </w:tc>
        <w:tc>
          <w:tcPr>
            <w:tcW w:w="1134" w:type="dxa"/>
            <w:tcBorders>
              <w:top w:val="single" w:sz="6" w:space="0" w:color="969696"/>
              <w:left w:val="nil"/>
              <w:bottom w:val="single" w:sz="6" w:space="0" w:color="969696"/>
              <w:right w:val="nil"/>
            </w:tcBorders>
            <w:vAlign w:val="center"/>
          </w:tcPr>
          <w:p w14:paraId="0AE2BA47" w14:textId="77777777" w:rsidR="00F76607" w:rsidRDefault="001863F0">
            <w:pPr>
              <w:jc w:val="right"/>
              <w:rPr>
                <w:sz w:val="18"/>
                <w:szCs w:val="18"/>
              </w:rPr>
            </w:pPr>
            <w:r>
              <w:rPr>
                <w:sz w:val="18"/>
                <w:szCs w:val="18"/>
              </w:rPr>
              <w:t>12,212</w:t>
            </w:r>
          </w:p>
        </w:tc>
        <w:tc>
          <w:tcPr>
            <w:tcW w:w="1134" w:type="dxa"/>
            <w:tcBorders>
              <w:top w:val="single" w:sz="6" w:space="0" w:color="969696"/>
              <w:left w:val="nil"/>
              <w:bottom w:val="single" w:sz="6" w:space="0" w:color="969696"/>
              <w:right w:val="nil"/>
            </w:tcBorders>
            <w:vAlign w:val="center"/>
          </w:tcPr>
          <w:p w14:paraId="3710DB7C" w14:textId="77777777" w:rsidR="00F76607" w:rsidRDefault="001863F0">
            <w:pPr>
              <w:jc w:val="right"/>
              <w:rPr>
                <w:sz w:val="18"/>
                <w:szCs w:val="18"/>
              </w:rPr>
            </w:pPr>
            <w:r>
              <w:rPr>
                <w:sz w:val="18"/>
                <w:szCs w:val="18"/>
              </w:rPr>
              <w:t>-</w:t>
            </w:r>
          </w:p>
        </w:tc>
        <w:tc>
          <w:tcPr>
            <w:tcW w:w="1134" w:type="dxa"/>
            <w:tcBorders>
              <w:top w:val="single" w:sz="6" w:space="0" w:color="969696"/>
              <w:left w:val="nil"/>
              <w:bottom w:val="single" w:sz="6" w:space="0" w:color="969696"/>
              <w:right w:val="nil"/>
            </w:tcBorders>
            <w:vAlign w:val="center"/>
          </w:tcPr>
          <w:p w14:paraId="1CC0E589" w14:textId="77777777" w:rsidR="00F76607" w:rsidRDefault="001863F0">
            <w:pPr>
              <w:jc w:val="right"/>
              <w:rPr>
                <w:sz w:val="18"/>
                <w:szCs w:val="18"/>
              </w:rPr>
            </w:pPr>
            <w:r>
              <w:rPr>
                <w:sz w:val="18"/>
                <w:szCs w:val="18"/>
              </w:rPr>
              <w:t>50,395</w:t>
            </w:r>
          </w:p>
        </w:tc>
        <w:tc>
          <w:tcPr>
            <w:tcW w:w="992" w:type="dxa"/>
            <w:tcBorders>
              <w:top w:val="single" w:sz="6" w:space="0" w:color="969696"/>
              <w:left w:val="nil"/>
              <w:bottom w:val="single" w:sz="6" w:space="0" w:color="969696"/>
              <w:right w:val="nil"/>
            </w:tcBorders>
            <w:vAlign w:val="center"/>
          </w:tcPr>
          <w:p w14:paraId="2F32892B" w14:textId="77777777" w:rsidR="00F76607" w:rsidRDefault="001863F0">
            <w:pPr>
              <w:jc w:val="right"/>
              <w:rPr>
                <w:sz w:val="18"/>
                <w:szCs w:val="18"/>
              </w:rPr>
            </w:pPr>
            <w:r>
              <w:rPr>
                <w:sz w:val="18"/>
                <w:szCs w:val="18"/>
              </w:rPr>
              <w:t xml:space="preserve">2.6 </w:t>
            </w:r>
          </w:p>
        </w:tc>
      </w:tr>
      <w:tr w:rsidR="00F76607" w14:paraId="7EE5B20B" w14:textId="77777777">
        <w:trPr>
          <w:trHeight w:val="247"/>
        </w:trPr>
        <w:tc>
          <w:tcPr>
            <w:tcW w:w="1873" w:type="dxa"/>
            <w:tcBorders>
              <w:top w:val="single" w:sz="6" w:space="0" w:color="969696"/>
              <w:left w:val="nil"/>
              <w:bottom w:val="single" w:sz="6" w:space="0" w:color="969696"/>
              <w:right w:val="nil"/>
            </w:tcBorders>
            <w:vAlign w:val="center"/>
          </w:tcPr>
          <w:p w14:paraId="6282B722" w14:textId="77777777" w:rsidR="00F76607" w:rsidRDefault="001863F0">
            <w:pPr>
              <w:rPr>
                <w:sz w:val="18"/>
                <w:szCs w:val="18"/>
              </w:rPr>
            </w:pPr>
            <w:r>
              <w:rPr>
                <w:sz w:val="18"/>
                <w:szCs w:val="18"/>
              </w:rPr>
              <w:t xml:space="preserve">VGP Park </w:t>
            </w:r>
            <w:proofErr w:type="spellStart"/>
            <w:r>
              <w:rPr>
                <w:sz w:val="18"/>
                <w:szCs w:val="18"/>
              </w:rPr>
              <w:t>Alsónémedi</w:t>
            </w:r>
            <w:proofErr w:type="spellEnd"/>
            <w:r>
              <w:rPr>
                <w:sz w:val="18"/>
                <w:szCs w:val="18"/>
              </w:rPr>
              <w:t xml:space="preserve"> (Hungary)</w:t>
            </w:r>
          </w:p>
        </w:tc>
        <w:tc>
          <w:tcPr>
            <w:tcW w:w="709" w:type="dxa"/>
            <w:tcBorders>
              <w:top w:val="single" w:sz="6" w:space="0" w:color="969696"/>
              <w:left w:val="nil"/>
              <w:bottom w:val="single" w:sz="6" w:space="0" w:color="969696"/>
              <w:right w:val="nil"/>
            </w:tcBorders>
            <w:vAlign w:val="center"/>
          </w:tcPr>
          <w:p w14:paraId="4BB87F19" w14:textId="77777777" w:rsidR="00F76607" w:rsidRDefault="001863F0">
            <w:pPr>
              <w:jc w:val="center"/>
              <w:rPr>
                <w:sz w:val="18"/>
                <w:szCs w:val="18"/>
              </w:rPr>
            </w:pPr>
            <w:r>
              <w:rPr>
                <w:sz w:val="18"/>
                <w:szCs w:val="18"/>
              </w:rPr>
              <w:t>JV</w:t>
            </w:r>
          </w:p>
        </w:tc>
        <w:tc>
          <w:tcPr>
            <w:tcW w:w="1134" w:type="dxa"/>
            <w:tcBorders>
              <w:top w:val="single" w:sz="6" w:space="0" w:color="969696"/>
              <w:left w:val="nil"/>
              <w:bottom w:val="single" w:sz="6" w:space="0" w:color="969696"/>
              <w:right w:val="nil"/>
            </w:tcBorders>
            <w:vAlign w:val="center"/>
          </w:tcPr>
          <w:p w14:paraId="7FF0C38F" w14:textId="77777777" w:rsidR="00F76607" w:rsidRDefault="001863F0">
            <w:pPr>
              <w:jc w:val="right"/>
              <w:rPr>
                <w:sz w:val="18"/>
                <w:szCs w:val="18"/>
              </w:rPr>
            </w:pPr>
            <w:r>
              <w:rPr>
                <w:sz w:val="18"/>
                <w:szCs w:val="18"/>
              </w:rPr>
              <w:t>85,349</w:t>
            </w:r>
          </w:p>
        </w:tc>
        <w:tc>
          <w:tcPr>
            <w:tcW w:w="1134" w:type="dxa"/>
            <w:tcBorders>
              <w:top w:val="single" w:sz="6" w:space="0" w:color="969696"/>
              <w:left w:val="nil"/>
              <w:bottom w:val="single" w:sz="6" w:space="0" w:color="969696"/>
              <w:right w:val="nil"/>
            </w:tcBorders>
            <w:vAlign w:val="center"/>
          </w:tcPr>
          <w:p w14:paraId="528B5137" w14:textId="77777777" w:rsidR="00F76607" w:rsidRDefault="001863F0">
            <w:pPr>
              <w:jc w:val="right"/>
              <w:rPr>
                <w:sz w:val="18"/>
                <w:szCs w:val="18"/>
              </w:rPr>
            </w:pPr>
            <w:r>
              <w:rPr>
                <w:sz w:val="18"/>
                <w:szCs w:val="18"/>
              </w:rPr>
              <w:t>22,905</w:t>
            </w:r>
          </w:p>
        </w:tc>
        <w:tc>
          <w:tcPr>
            <w:tcW w:w="1134" w:type="dxa"/>
            <w:tcBorders>
              <w:top w:val="single" w:sz="6" w:space="0" w:color="969696"/>
              <w:left w:val="nil"/>
              <w:bottom w:val="single" w:sz="6" w:space="0" w:color="969696"/>
              <w:right w:val="nil"/>
            </w:tcBorders>
            <w:vAlign w:val="center"/>
          </w:tcPr>
          <w:p w14:paraId="45B78605" w14:textId="77777777" w:rsidR="00F76607" w:rsidRDefault="001863F0">
            <w:pPr>
              <w:jc w:val="right"/>
              <w:rPr>
                <w:sz w:val="18"/>
                <w:szCs w:val="18"/>
              </w:rPr>
            </w:pPr>
            <w:r>
              <w:rPr>
                <w:sz w:val="18"/>
                <w:szCs w:val="18"/>
              </w:rPr>
              <w:t>0</w:t>
            </w:r>
          </w:p>
        </w:tc>
        <w:tc>
          <w:tcPr>
            <w:tcW w:w="1134" w:type="dxa"/>
            <w:tcBorders>
              <w:top w:val="single" w:sz="6" w:space="0" w:color="969696"/>
              <w:left w:val="nil"/>
              <w:bottom w:val="single" w:sz="6" w:space="0" w:color="969696"/>
              <w:right w:val="nil"/>
            </w:tcBorders>
            <w:vAlign w:val="center"/>
          </w:tcPr>
          <w:p w14:paraId="2C9D3BE5" w14:textId="77777777" w:rsidR="00F76607" w:rsidRDefault="001863F0">
            <w:pPr>
              <w:jc w:val="right"/>
              <w:rPr>
                <w:sz w:val="18"/>
                <w:szCs w:val="18"/>
              </w:rPr>
            </w:pPr>
            <w:r>
              <w:rPr>
                <w:sz w:val="18"/>
                <w:szCs w:val="18"/>
              </w:rPr>
              <w:t>12,000</w:t>
            </w:r>
          </w:p>
        </w:tc>
        <w:tc>
          <w:tcPr>
            <w:tcW w:w="1134" w:type="dxa"/>
            <w:tcBorders>
              <w:top w:val="single" w:sz="6" w:space="0" w:color="969696"/>
              <w:left w:val="nil"/>
              <w:bottom w:val="single" w:sz="6" w:space="0" w:color="969696"/>
              <w:right w:val="nil"/>
            </w:tcBorders>
            <w:vAlign w:val="center"/>
          </w:tcPr>
          <w:p w14:paraId="270F7E02" w14:textId="77777777" w:rsidR="00F76607" w:rsidRDefault="001863F0">
            <w:pPr>
              <w:jc w:val="right"/>
              <w:rPr>
                <w:sz w:val="18"/>
                <w:szCs w:val="18"/>
              </w:rPr>
            </w:pPr>
            <w:r>
              <w:rPr>
                <w:sz w:val="18"/>
                <w:szCs w:val="18"/>
              </w:rPr>
              <w:t>34,905</w:t>
            </w:r>
          </w:p>
        </w:tc>
        <w:tc>
          <w:tcPr>
            <w:tcW w:w="992" w:type="dxa"/>
            <w:tcBorders>
              <w:top w:val="single" w:sz="6" w:space="0" w:color="969696"/>
              <w:left w:val="nil"/>
              <w:bottom w:val="single" w:sz="6" w:space="0" w:color="969696"/>
              <w:right w:val="nil"/>
            </w:tcBorders>
            <w:vAlign w:val="center"/>
          </w:tcPr>
          <w:p w14:paraId="1861E6F3" w14:textId="77777777" w:rsidR="00F76607" w:rsidRDefault="001863F0">
            <w:pPr>
              <w:jc w:val="right"/>
              <w:rPr>
                <w:sz w:val="18"/>
                <w:szCs w:val="18"/>
              </w:rPr>
            </w:pPr>
            <w:r>
              <w:rPr>
                <w:sz w:val="18"/>
                <w:szCs w:val="18"/>
              </w:rPr>
              <w:t xml:space="preserve">1.4 </w:t>
            </w:r>
          </w:p>
        </w:tc>
      </w:tr>
      <w:tr w:rsidR="00F76607" w14:paraId="0E281311" w14:textId="77777777">
        <w:trPr>
          <w:trHeight w:val="247"/>
        </w:trPr>
        <w:tc>
          <w:tcPr>
            <w:tcW w:w="1873" w:type="dxa"/>
            <w:tcBorders>
              <w:top w:val="single" w:sz="6" w:space="0" w:color="969696"/>
              <w:left w:val="nil"/>
              <w:bottom w:val="single" w:sz="6" w:space="0" w:color="969696"/>
              <w:right w:val="nil"/>
            </w:tcBorders>
            <w:vAlign w:val="center"/>
          </w:tcPr>
          <w:p w14:paraId="4CEC51EC" w14:textId="77777777" w:rsidR="00F76607" w:rsidRDefault="001863F0">
            <w:pPr>
              <w:rPr>
                <w:sz w:val="18"/>
                <w:szCs w:val="18"/>
              </w:rPr>
            </w:pPr>
            <w:r>
              <w:rPr>
                <w:sz w:val="18"/>
                <w:szCs w:val="18"/>
              </w:rPr>
              <w:t> </w:t>
            </w:r>
          </w:p>
        </w:tc>
        <w:tc>
          <w:tcPr>
            <w:tcW w:w="709" w:type="dxa"/>
            <w:tcBorders>
              <w:top w:val="single" w:sz="6" w:space="0" w:color="969696"/>
              <w:left w:val="nil"/>
              <w:bottom w:val="single" w:sz="6" w:space="0" w:color="969696"/>
              <w:right w:val="nil"/>
            </w:tcBorders>
            <w:vAlign w:val="center"/>
          </w:tcPr>
          <w:p w14:paraId="210FA360" w14:textId="77777777" w:rsidR="00F76607" w:rsidRDefault="001863F0">
            <w:pP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6FFB6F24" w14:textId="77777777" w:rsidR="00F76607" w:rsidRDefault="001863F0">
            <w:pPr>
              <w:jc w:val="right"/>
              <w:rPr>
                <w:b/>
                <w:bCs/>
                <w:sz w:val="18"/>
                <w:szCs w:val="18"/>
              </w:rPr>
            </w:pPr>
            <w:r>
              <w:rPr>
                <w:b/>
                <w:bCs/>
                <w:sz w:val="18"/>
                <w:szCs w:val="18"/>
              </w:rPr>
              <w:t>427,639</w:t>
            </w:r>
          </w:p>
        </w:tc>
        <w:tc>
          <w:tcPr>
            <w:tcW w:w="1134" w:type="dxa"/>
            <w:tcBorders>
              <w:top w:val="single" w:sz="6" w:space="0" w:color="969696"/>
              <w:left w:val="nil"/>
              <w:bottom w:val="single" w:sz="6" w:space="0" w:color="969696"/>
              <w:right w:val="nil"/>
            </w:tcBorders>
            <w:vAlign w:val="center"/>
          </w:tcPr>
          <w:p w14:paraId="1BE3AD0B" w14:textId="77777777" w:rsidR="00F76607" w:rsidRDefault="001863F0">
            <w:pPr>
              <w:jc w:val="right"/>
              <w:rPr>
                <w:b/>
                <w:bCs/>
                <w:sz w:val="18"/>
                <w:szCs w:val="18"/>
              </w:rPr>
            </w:pPr>
            <w:r>
              <w:rPr>
                <w:b/>
                <w:bCs/>
                <w:sz w:val="18"/>
                <w:szCs w:val="18"/>
              </w:rPr>
              <w:t>129,654</w:t>
            </w:r>
          </w:p>
        </w:tc>
        <w:tc>
          <w:tcPr>
            <w:tcW w:w="1134" w:type="dxa"/>
            <w:tcBorders>
              <w:top w:val="single" w:sz="6" w:space="0" w:color="969696"/>
              <w:left w:val="nil"/>
              <w:bottom w:val="single" w:sz="6" w:space="0" w:color="969696"/>
              <w:right w:val="nil"/>
            </w:tcBorders>
            <w:vAlign w:val="center"/>
          </w:tcPr>
          <w:p w14:paraId="0872474E" w14:textId="77777777" w:rsidR="00F76607" w:rsidRDefault="001863F0">
            <w:pPr>
              <w:jc w:val="right"/>
              <w:rPr>
                <w:b/>
                <w:bCs/>
                <w:sz w:val="18"/>
                <w:szCs w:val="18"/>
              </w:rPr>
            </w:pPr>
            <w:r>
              <w:rPr>
                <w:b/>
                <w:bCs/>
                <w:sz w:val="18"/>
                <w:szCs w:val="18"/>
              </w:rPr>
              <w:t>30,374</w:t>
            </w:r>
          </w:p>
        </w:tc>
        <w:tc>
          <w:tcPr>
            <w:tcW w:w="1134" w:type="dxa"/>
            <w:tcBorders>
              <w:top w:val="single" w:sz="6" w:space="0" w:color="969696"/>
              <w:left w:val="nil"/>
              <w:bottom w:val="single" w:sz="6" w:space="0" w:color="969696"/>
              <w:right w:val="nil"/>
            </w:tcBorders>
            <w:vAlign w:val="center"/>
          </w:tcPr>
          <w:p w14:paraId="232639AE" w14:textId="77777777" w:rsidR="00F76607" w:rsidRDefault="001863F0">
            <w:pPr>
              <w:jc w:val="right"/>
              <w:rPr>
                <w:b/>
                <w:bCs/>
                <w:sz w:val="18"/>
                <w:szCs w:val="18"/>
              </w:rPr>
            </w:pPr>
            <w:r>
              <w:rPr>
                <w:b/>
                <w:bCs/>
                <w:sz w:val="18"/>
                <w:szCs w:val="18"/>
              </w:rPr>
              <w:t>21,880</w:t>
            </w:r>
          </w:p>
        </w:tc>
        <w:tc>
          <w:tcPr>
            <w:tcW w:w="1134" w:type="dxa"/>
            <w:tcBorders>
              <w:top w:val="single" w:sz="6" w:space="0" w:color="969696"/>
              <w:left w:val="nil"/>
              <w:bottom w:val="single" w:sz="6" w:space="0" w:color="969696"/>
              <w:right w:val="nil"/>
            </w:tcBorders>
            <w:vAlign w:val="center"/>
          </w:tcPr>
          <w:p w14:paraId="0C7F807C" w14:textId="77777777" w:rsidR="00F76607" w:rsidRDefault="001863F0">
            <w:pPr>
              <w:jc w:val="right"/>
              <w:rPr>
                <w:b/>
                <w:bCs/>
                <w:sz w:val="18"/>
                <w:szCs w:val="18"/>
              </w:rPr>
            </w:pPr>
            <w:r>
              <w:rPr>
                <w:b/>
                <w:bCs/>
                <w:sz w:val="18"/>
                <w:szCs w:val="18"/>
              </w:rPr>
              <w:t>181,908</w:t>
            </w:r>
          </w:p>
        </w:tc>
        <w:tc>
          <w:tcPr>
            <w:tcW w:w="992" w:type="dxa"/>
            <w:tcBorders>
              <w:top w:val="single" w:sz="6" w:space="0" w:color="969696"/>
              <w:left w:val="nil"/>
              <w:bottom w:val="single" w:sz="6" w:space="0" w:color="969696"/>
              <w:right w:val="nil"/>
            </w:tcBorders>
            <w:vAlign w:val="center"/>
          </w:tcPr>
          <w:p w14:paraId="1270D856" w14:textId="77777777" w:rsidR="00F76607" w:rsidRDefault="001863F0">
            <w:pPr>
              <w:jc w:val="right"/>
              <w:rPr>
                <w:b/>
                <w:bCs/>
                <w:sz w:val="18"/>
                <w:szCs w:val="18"/>
              </w:rPr>
            </w:pPr>
            <w:r>
              <w:rPr>
                <w:b/>
                <w:bCs/>
                <w:sz w:val="18"/>
                <w:szCs w:val="18"/>
              </w:rPr>
              <w:t xml:space="preserve">7.7 </w:t>
            </w:r>
          </w:p>
        </w:tc>
      </w:tr>
      <w:tr w:rsidR="00F76607" w14:paraId="241F1818" w14:textId="77777777">
        <w:trPr>
          <w:trHeight w:val="247"/>
        </w:trPr>
        <w:tc>
          <w:tcPr>
            <w:tcW w:w="1873" w:type="dxa"/>
            <w:tcBorders>
              <w:top w:val="single" w:sz="6" w:space="0" w:color="969696"/>
              <w:left w:val="nil"/>
              <w:bottom w:val="single" w:sz="6" w:space="0" w:color="969696"/>
              <w:right w:val="nil"/>
            </w:tcBorders>
            <w:vAlign w:val="center"/>
          </w:tcPr>
          <w:p w14:paraId="32703304" w14:textId="77777777" w:rsidR="00F76607" w:rsidRDefault="001863F0">
            <w:pPr>
              <w:rPr>
                <w:b/>
                <w:bCs/>
                <w:sz w:val="18"/>
                <w:szCs w:val="18"/>
              </w:rPr>
            </w:pPr>
            <w:r>
              <w:rPr>
                <w:b/>
                <w:bCs/>
                <w:sz w:val="18"/>
                <w:szCs w:val="18"/>
              </w:rPr>
              <w:t> </w:t>
            </w:r>
          </w:p>
        </w:tc>
        <w:tc>
          <w:tcPr>
            <w:tcW w:w="709" w:type="dxa"/>
            <w:tcBorders>
              <w:top w:val="single" w:sz="6" w:space="0" w:color="969696"/>
              <w:left w:val="nil"/>
              <w:bottom w:val="single" w:sz="6" w:space="0" w:color="969696"/>
              <w:right w:val="nil"/>
            </w:tcBorders>
            <w:vAlign w:val="center"/>
          </w:tcPr>
          <w:p w14:paraId="1561F101"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696770F4"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40652652"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037BDDED"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41FD812C" w14:textId="77777777" w:rsidR="00F76607" w:rsidRDefault="001863F0">
            <w:pPr>
              <w:rPr>
                <w:b/>
                <w:bCs/>
                <w:sz w:val="18"/>
                <w:szCs w:val="18"/>
              </w:rPr>
            </w:pPr>
            <w:r>
              <w:rPr>
                <w:b/>
                <w:bCs/>
                <w:sz w:val="18"/>
                <w:szCs w:val="18"/>
              </w:rPr>
              <w:t> </w:t>
            </w:r>
          </w:p>
        </w:tc>
        <w:tc>
          <w:tcPr>
            <w:tcW w:w="1134" w:type="dxa"/>
            <w:tcBorders>
              <w:top w:val="single" w:sz="6" w:space="0" w:color="969696"/>
              <w:left w:val="nil"/>
              <w:bottom w:val="single" w:sz="6" w:space="0" w:color="969696"/>
              <w:right w:val="nil"/>
            </w:tcBorders>
            <w:vAlign w:val="center"/>
          </w:tcPr>
          <w:p w14:paraId="3551580A" w14:textId="77777777" w:rsidR="00F76607" w:rsidRDefault="001863F0">
            <w:pPr>
              <w:rPr>
                <w:b/>
                <w:bCs/>
                <w:sz w:val="18"/>
                <w:szCs w:val="18"/>
              </w:rPr>
            </w:pPr>
            <w:r>
              <w:rPr>
                <w:b/>
                <w:bCs/>
                <w:sz w:val="18"/>
                <w:szCs w:val="18"/>
              </w:rPr>
              <w:t> </w:t>
            </w:r>
          </w:p>
        </w:tc>
        <w:tc>
          <w:tcPr>
            <w:tcW w:w="992" w:type="dxa"/>
            <w:tcBorders>
              <w:top w:val="single" w:sz="6" w:space="0" w:color="969696"/>
              <w:left w:val="nil"/>
              <w:bottom w:val="single" w:sz="6" w:space="0" w:color="969696"/>
              <w:right w:val="nil"/>
            </w:tcBorders>
            <w:vAlign w:val="center"/>
          </w:tcPr>
          <w:p w14:paraId="0CAB566C" w14:textId="77777777" w:rsidR="00F76607" w:rsidRDefault="001863F0">
            <w:pPr>
              <w:rPr>
                <w:b/>
                <w:bCs/>
                <w:sz w:val="18"/>
                <w:szCs w:val="18"/>
              </w:rPr>
            </w:pPr>
            <w:r>
              <w:rPr>
                <w:b/>
                <w:bCs/>
                <w:sz w:val="18"/>
                <w:szCs w:val="18"/>
              </w:rPr>
              <w:t> </w:t>
            </w:r>
          </w:p>
        </w:tc>
      </w:tr>
      <w:tr w:rsidR="00F76607" w14:paraId="275282DF" w14:textId="77777777">
        <w:trPr>
          <w:trHeight w:val="247"/>
        </w:trPr>
        <w:tc>
          <w:tcPr>
            <w:tcW w:w="1873" w:type="dxa"/>
            <w:tcBorders>
              <w:top w:val="single" w:sz="6" w:space="0" w:color="969696"/>
              <w:left w:val="nil"/>
              <w:bottom w:val="single" w:sz="6" w:space="0" w:color="969696"/>
              <w:right w:val="nil"/>
            </w:tcBorders>
            <w:vAlign w:val="center"/>
          </w:tcPr>
          <w:p w14:paraId="57EC26A9" w14:textId="77777777" w:rsidR="00F76607" w:rsidRDefault="001863F0">
            <w:pPr>
              <w:rPr>
                <w:b/>
                <w:bCs/>
                <w:sz w:val="18"/>
                <w:szCs w:val="18"/>
              </w:rPr>
            </w:pPr>
            <w:r>
              <w:rPr>
                <w:b/>
                <w:bCs/>
                <w:sz w:val="18"/>
                <w:szCs w:val="18"/>
              </w:rPr>
              <w:lastRenderedPageBreak/>
              <w:t>Total Joint Venture portfolio</w:t>
            </w:r>
          </w:p>
        </w:tc>
        <w:tc>
          <w:tcPr>
            <w:tcW w:w="709" w:type="dxa"/>
            <w:tcBorders>
              <w:top w:val="single" w:sz="6" w:space="0" w:color="969696"/>
              <w:left w:val="nil"/>
              <w:bottom w:val="single" w:sz="6" w:space="0" w:color="969696"/>
              <w:right w:val="nil"/>
            </w:tcBorders>
            <w:vAlign w:val="center"/>
          </w:tcPr>
          <w:p w14:paraId="19940859" w14:textId="77777777" w:rsidR="00F76607" w:rsidRDefault="001863F0">
            <w:pPr>
              <w:jc w:val="center"/>
              <w:rPr>
                <w:sz w:val="18"/>
                <w:szCs w:val="18"/>
              </w:rPr>
            </w:pPr>
            <w:r>
              <w:rPr>
                <w:sz w:val="18"/>
                <w:szCs w:val="18"/>
              </w:rPr>
              <w:t> </w:t>
            </w:r>
          </w:p>
        </w:tc>
        <w:tc>
          <w:tcPr>
            <w:tcW w:w="1134" w:type="dxa"/>
            <w:tcBorders>
              <w:top w:val="single" w:sz="6" w:space="0" w:color="969696"/>
              <w:left w:val="nil"/>
              <w:bottom w:val="single" w:sz="6" w:space="0" w:color="969696"/>
              <w:right w:val="nil"/>
            </w:tcBorders>
            <w:vAlign w:val="center"/>
          </w:tcPr>
          <w:p w14:paraId="5F1107D6" w14:textId="748E6E82" w:rsidR="00F76607" w:rsidRDefault="001863F0">
            <w:pPr>
              <w:jc w:val="right"/>
              <w:rPr>
                <w:b/>
                <w:bCs/>
                <w:sz w:val="18"/>
                <w:szCs w:val="18"/>
              </w:rPr>
            </w:pPr>
            <w:r>
              <w:rPr>
                <w:b/>
                <w:bCs/>
                <w:sz w:val="18"/>
                <w:szCs w:val="18"/>
              </w:rPr>
              <w:t>2,335,85</w:t>
            </w:r>
            <w:r w:rsidR="00F479F2">
              <w:rPr>
                <w:b/>
                <w:bCs/>
                <w:sz w:val="18"/>
                <w:szCs w:val="18"/>
              </w:rPr>
              <w:t>8</w:t>
            </w:r>
          </w:p>
        </w:tc>
        <w:tc>
          <w:tcPr>
            <w:tcW w:w="1134" w:type="dxa"/>
            <w:tcBorders>
              <w:top w:val="single" w:sz="6" w:space="0" w:color="969696"/>
              <w:left w:val="nil"/>
              <w:bottom w:val="single" w:sz="6" w:space="0" w:color="969696"/>
              <w:right w:val="nil"/>
            </w:tcBorders>
            <w:vAlign w:val="center"/>
          </w:tcPr>
          <w:p w14:paraId="2B667DDA" w14:textId="77777777" w:rsidR="00F76607" w:rsidRDefault="001863F0">
            <w:pPr>
              <w:jc w:val="right"/>
              <w:rPr>
                <w:b/>
                <w:bCs/>
                <w:sz w:val="18"/>
                <w:szCs w:val="18"/>
              </w:rPr>
            </w:pPr>
            <w:r>
              <w:rPr>
                <w:b/>
                <w:bCs/>
                <w:sz w:val="18"/>
                <w:szCs w:val="18"/>
              </w:rPr>
              <w:t>809,020</w:t>
            </w:r>
          </w:p>
        </w:tc>
        <w:tc>
          <w:tcPr>
            <w:tcW w:w="1134" w:type="dxa"/>
            <w:tcBorders>
              <w:top w:val="single" w:sz="6" w:space="0" w:color="969696"/>
              <w:left w:val="nil"/>
              <w:bottom w:val="single" w:sz="6" w:space="0" w:color="969696"/>
              <w:right w:val="nil"/>
            </w:tcBorders>
            <w:vAlign w:val="center"/>
          </w:tcPr>
          <w:p w14:paraId="15F6D742" w14:textId="77777777" w:rsidR="00F76607" w:rsidRDefault="001863F0">
            <w:pPr>
              <w:jc w:val="right"/>
              <w:rPr>
                <w:b/>
                <w:bCs/>
                <w:sz w:val="18"/>
                <w:szCs w:val="18"/>
              </w:rPr>
            </w:pPr>
            <w:r>
              <w:rPr>
                <w:b/>
                <w:bCs/>
                <w:sz w:val="18"/>
                <w:szCs w:val="18"/>
              </w:rPr>
              <w:t>199,843</w:t>
            </w:r>
          </w:p>
        </w:tc>
        <w:tc>
          <w:tcPr>
            <w:tcW w:w="1134" w:type="dxa"/>
            <w:tcBorders>
              <w:top w:val="single" w:sz="6" w:space="0" w:color="969696"/>
              <w:left w:val="nil"/>
              <w:bottom w:val="single" w:sz="6" w:space="0" w:color="969696"/>
              <w:right w:val="nil"/>
            </w:tcBorders>
            <w:vAlign w:val="center"/>
          </w:tcPr>
          <w:p w14:paraId="39ACC842" w14:textId="23927DFD" w:rsidR="00F76607" w:rsidRDefault="001863F0">
            <w:pPr>
              <w:jc w:val="right"/>
              <w:rPr>
                <w:b/>
                <w:bCs/>
                <w:sz w:val="18"/>
                <w:szCs w:val="18"/>
              </w:rPr>
            </w:pPr>
            <w:r>
              <w:rPr>
                <w:b/>
                <w:bCs/>
                <w:sz w:val="18"/>
                <w:szCs w:val="18"/>
              </w:rPr>
              <w:t>92,19</w:t>
            </w:r>
            <w:r w:rsidR="00F479F2">
              <w:rPr>
                <w:b/>
                <w:bCs/>
                <w:sz w:val="18"/>
                <w:szCs w:val="18"/>
              </w:rPr>
              <w:t>0</w:t>
            </w:r>
          </w:p>
        </w:tc>
        <w:tc>
          <w:tcPr>
            <w:tcW w:w="1134" w:type="dxa"/>
            <w:tcBorders>
              <w:top w:val="single" w:sz="6" w:space="0" w:color="969696"/>
              <w:left w:val="nil"/>
              <w:bottom w:val="single" w:sz="6" w:space="0" w:color="969696"/>
              <w:right w:val="nil"/>
            </w:tcBorders>
            <w:vAlign w:val="center"/>
          </w:tcPr>
          <w:p w14:paraId="348B582E" w14:textId="77777777" w:rsidR="00F76607" w:rsidRDefault="001863F0">
            <w:pPr>
              <w:jc w:val="right"/>
              <w:rPr>
                <w:b/>
                <w:bCs/>
                <w:sz w:val="18"/>
                <w:szCs w:val="18"/>
              </w:rPr>
            </w:pPr>
            <w:r>
              <w:rPr>
                <w:b/>
                <w:bCs/>
                <w:sz w:val="18"/>
                <w:szCs w:val="18"/>
              </w:rPr>
              <w:t>1,101,053</w:t>
            </w:r>
          </w:p>
        </w:tc>
        <w:tc>
          <w:tcPr>
            <w:tcW w:w="992" w:type="dxa"/>
            <w:tcBorders>
              <w:top w:val="single" w:sz="6" w:space="0" w:color="969696"/>
              <w:left w:val="nil"/>
              <w:bottom w:val="single" w:sz="6" w:space="0" w:color="969696"/>
              <w:right w:val="nil"/>
            </w:tcBorders>
            <w:vAlign w:val="center"/>
          </w:tcPr>
          <w:p w14:paraId="60C2AC22" w14:textId="77777777" w:rsidR="00F76607" w:rsidRDefault="001863F0">
            <w:pPr>
              <w:jc w:val="right"/>
              <w:rPr>
                <w:b/>
                <w:bCs/>
                <w:sz w:val="18"/>
                <w:szCs w:val="18"/>
              </w:rPr>
            </w:pPr>
            <w:r>
              <w:rPr>
                <w:b/>
                <w:bCs/>
                <w:sz w:val="18"/>
                <w:szCs w:val="18"/>
              </w:rPr>
              <w:t xml:space="preserve">51.3 </w:t>
            </w:r>
          </w:p>
        </w:tc>
      </w:tr>
    </w:tbl>
    <w:p w14:paraId="23737BC8" w14:textId="77777777" w:rsidR="00F76607" w:rsidRDefault="00F76607">
      <w:pPr>
        <w:pStyle w:val="VulcanIIbody"/>
        <w:rPr>
          <w:lang w:val="en-GB"/>
        </w:rPr>
      </w:pPr>
    </w:p>
    <w:p w14:paraId="2060682C" w14:textId="77777777" w:rsidR="00F76607" w:rsidRDefault="001863F0">
      <w:pPr>
        <w:pStyle w:val="VulcanIILevel1"/>
        <w:rPr>
          <w:lang w:val="en-GB"/>
        </w:rPr>
      </w:pPr>
      <w:bookmarkStart w:id="74" w:name="_Toc460854372"/>
      <w:r>
        <w:rPr>
          <w:lang w:val="en-GB"/>
        </w:rPr>
        <w:t>Development pipeline</w:t>
      </w:r>
      <w:bookmarkEnd w:id="74"/>
      <w:r>
        <w:rPr>
          <w:lang w:val="en-GB"/>
        </w:rPr>
        <w:t xml:space="preserve"> </w:t>
      </w:r>
    </w:p>
    <w:p w14:paraId="2D892286" w14:textId="38E01E5C" w:rsidR="00F76607" w:rsidRDefault="001863F0">
      <w:pPr>
        <w:pStyle w:val="VulcanIIbody"/>
        <w:rPr>
          <w:lang w:val="en-GB"/>
        </w:rPr>
      </w:pPr>
      <w:r>
        <w:rPr>
          <w:lang w:val="en-GB"/>
        </w:rPr>
        <w:t>During the period as from January 2013 until December 2016, the Group has acquired, on average, 950,000 m² land per year. During the period as from 1 January 2016 until 30 June 2017, the Group completed c. 438,000 m² gross lettable area (excluding the Mango building), with another 528,000 m² of gross lettable area to be delivered in the period as from 1 July 2017 until 30 June 2018. The Group has identified approximately 2.1 million m² of additional land plots across Europe which could lead to an expansion of the land bank</w:t>
      </w:r>
      <w:r w:rsidR="00A71D2D">
        <w:rPr>
          <w:lang w:val="en-GB"/>
        </w:rPr>
        <w:t xml:space="preserve"> (representing approximately 1.2 million m² of gross lettable area to be added to the development pipeline)</w:t>
      </w:r>
      <w:r>
        <w:rPr>
          <w:lang w:val="en-GB"/>
        </w:rPr>
        <w:t>.</w:t>
      </w:r>
    </w:p>
    <w:p w14:paraId="00FE2D8C" w14:textId="77777777" w:rsidR="00F76607" w:rsidRDefault="001863F0">
      <w:pPr>
        <w:pStyle w:val="VulcanIILevel2"/>
      </w:pPr>
      <w:r>
        <w:t>Own portfolio</w:t>
      </w:r>
    </w:p>
    <w:p w14:paraId="751FB8E5" w14:textId="1259D330" w:rsidR="009346E5" w:rsidRDefault="009346E5" w:rsidP="009346E5">
      <w:pPr>
        <w:pStyle w:val="NormalWeb"/>
        <w:spacing w:before="240" w:beforeAutospacing="0" w:after="0" w:afterAutospacing="0"/>
        <w:ind w:firstLine="857"/>
        <w:rPr>
          <w:bCs/>
          <w:sz w:val="18"/>
          <w:szCs w:val="18"/>
          <w:lang w:val="en-GB"/>
        </w:rPr>
      </w:pPr>
      <w:r>
        <w:rPr>
          <w:bCs/>
          <w:sz w:val="18"/>
          <w:szCs w:val="18"/>
          <w:lang w:val="en-GB"/>
        </w:rPr>
        <w:t xml:space="preserve">As at 30 June the total secured land bank owned by the Group amounted to 3,512,636 m² of which 2,770,995 m² (79%) was in full ownership and 741,641 m² (21%) was subject to future purchase agreement and hence </w:t>
      </w:r>
      <w:r w:rsidR="00C2417B">
        <w:rPr>
          <w:bCs/>
          <w:sz w:val="18"/>
          <w:szCs w:val="18"/>
          <w:lang w:val="en-GB"/>
        </w:rPr>
        <w:t>would</w:t>
      </w:r>
      <w:r>
        <w:rPr>
          <w:bCs/>
          <w:sz w:val="18"/>
          <w:szCs w:val="18"/>
          <w:lang w:val="en-GB"/>
        </w:rPr>
        <w:t xml:space="preserve"> be acquired and paid for upon the receipt of the necessary permits. These future purchase agreements are binding contracts for VGP and the respective sellers whereby the effective purchase is always triggered once the necessary permits have been obtained.</w:t>
      </w:r>
    </w:p>
    <w:p w14:paraId="27CB41D8" w14:textId="4F901ADC" w:rsidR="009346E5" w:rsidRDefault="001863F0">
      <w:pPr>
        <w:pStyle w:val="NormalWeb"/>
        <w:spacing w:before="240" w:after="0"/>
        <w:ind w:firstLine="857"/>
        <w:rPr>
          <w:sz w:val="18"/>
          <w:szCs w:val="18"/>
          <w:lang w:val="en-GB"/>
        </w:rPr>
      </w:pPr>
      <w:r>
        <w:rPr>
          <w:sz w:val="18"/>
          <w:szCs w:val="18"/>
          <w:lang w:val="en-GB"/>
        </w:rPr>
        <w:t>The secured land bank allows VGP, in addition to the current completed projects and projects under construction, to develop an additional 1,142,000 m² of lettable area</w:t>
      </w:r>
      <w:r w:rsidR="00C2417B">
        <w:rPr>
          <w:sz w:val="18"/>
          <w:szCs w:val="18"/>
          <w:lang w:val="en-GB"/>
        </w:rPr>
        <w:t xml:space="preserve"> </w:t>
      </w:r>
      <w:r w:rsidR="00717810">
        <w:rPr>
          <w:sz w:val="18"/>
          <w:szCs w:val="18"/>
          <w:lang w:val="en-GB"/>
        </w:rPr>
        <w:t>(</w:t>
      </w:r>
      <w:r w:rsidR="009346E5">
        <w:rPr>
          <w:sz w:val="18"/>
          <w:szCs w:val="18"/>
          <w:lang w:val="en-GB"/>
        </w:rPr>
        <w:t>778,000 m² on fully owned land and 364,000 m² on land which are subject to future purchase agreements</w:t>
      </w:r>
      <w:r w:rsidR="00D5229D">
        <w:rPr>
          <w:sz w:val="18"/>
          <w:szCs w:val="18"/>
          <w:lang w:val="en-GB"/>
        </w:rPr>
        <w:t>, excluding Estonia as there was no further development land or future purchase agreements for land acquisition in place as per 30 June 2017)</w:t>
      </w:r>
      <w:r w:rsidR="00717810">
        <w:rPr>
          <w:sz w:val="18"/>
          <w:szCs w:val="18"/>
          <w:lang w:val="en-GB"/>
        </w:rPr>
        <w:t>)</w:t>
      </w:r>
      <w:r w:rsidR="00717810" w:rsidRPr="00D5229D">
        <w:rPr>
          <w:sz w:val="18"/>
          <w:szCs w:val="18"/>
          <w:lang w:val="en-GB"/>
        </w:rPr>
        <w:t>,</w:t>
      </w:r>
      <w:r w:rsidR="00717810">
        <w:rPr>
          <w:sz w:val="18"/>
          <w:szCs w:val="18"/>
          <w:lang w:val="en-GB"/>
        </w:rPr>
        <w:t xml:space="preserve"> </w:t>
      </w:r>
      <w:r>
        <w:rPr>
          <w:sz w:val="18"/>
          <w:szCs w:val="18"/>
          <w:lang w:val="en-GB"/>
        </w:rPr>
        <w:t xml:space="preserve">of which 405,000 m² is located in Germany, 149,000 m² in the Czech Republic, 245,000 m² in Spain, 206,000 m² in Slovakia, 97,000 m² in Romania and 40,000 m² in Latvia. </w:t>
      </w:r>
    </w:p>
    <w:p w14:paraId="7A3BC5A9" w14:textId="565CDA46" w:rsidR="00F76607" w:rsidRDefault="001863F0">
      <w:pPr>
        <w:pStyle w:val="NormalWeb"/>
        <w:spacing w:before="240" w:after="0"/>
        <w:ind w:firstLine="857"/>
        <w:rPr>
          <w:sz w:val="18"/>
          <w:szCs w:val="18"/>
          <w:lang w:val="en-GB"/>
        </w:rPr>
      </w:pPr>
      <w:r>
        <w:rPr>
          <w:sz w:val="18"/>
          <w:szCs w:val="18"/>
          <w:lang w:val="en-GB"/>
        </w:rPr>
        <w:t xml:space="preserve">The following charts contain a summary of the development potential of the Group’s secured land bank </w:t>
      </w:r>
      <w:r w:rsidRPr="00E3089A">
        <w:rPr>
          <w:sz w:val="18"/>
          <w:szCs w:val="18"/>
          <w:lang w:val="en-GB"/>
        </w:rPr>
        <w:t>as at 30 June 2017</w:t>
      </w:r>
      <w:r>
        <w:rPr>
          <w:sz w:val="18"/>
          <w:szCs w:val="18"/>
          <w:lang w:val="en-GB"/>
        </w:rPr>
        <w:t>. The assessment of the development potential is based on the development of similar projects.</w:t>
      </w:r>
    </w:p>
    <w:p w14:paraId="621AD0B4" w14:textId="77777777" w:rsidR="00F76607" w:rsidRDefault="001863F0">
      <w:pPr>
        <w:pStyle w:val="NormalWeb"/>
        <w:spacing w:before="240" w:after="0"/>
        <w:ind w:firstLine="857"/>
        <w:rPr>
          <w:b/>
          <w:sz w:val="18"/>
          <w:szCs w:val="18"/>
        </w:rPr>
      </w:pPr>
      <w:r>
        <w:rPr>
          <w:noProof/>
          <w:lang w:val="nl-BE" w:eastAsia="nl-BE"/>
        </w:rPr>
        <w:drawing>
          <wp:inline distT="0" distB="0" distL="0" distR="0" wp14:anchorId="6D95364E" wp14:editId="105149E5">
            <wp:extent cx="3215640" cy="776419"/>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6368" cy="781424"/>
                    </a:xfrm>
                    <a:prstGeom prst="rect">
                      <a:avLst/>
                    </a:prstGeom>
                    <a:noFill/>
                    <a:ln>
                      <a:noFill/>
                    </a:ln>
                  </pic:spPr>
                </pic:pic>
              </a:graphicData>
            </a:graphic>
          </wp:inline>
        </w:drawing>
      </w:r>
    </w:p>
    <w:p w14:paraId="39C565A1" w14:textId="77777777" w:rsidR="00F76607" w:rsidRDefault="001863F0">
      <w:pPr>
        <w:pStyle w:val="NormalWeb"/>
        <w:spacing w:before="240" w:after="0"/>
        <w:ind w:firstLine="857"/>
        <w:rPr>
          <w:b/>
          <w:sz w:val="18"/>
          <w:szCs w:val="18"/>
        </w:rPr>
      </w:pPr>
      <w:r>
        <w:rPr>
          <w:noProof/>
          <w:lang w:val="nl-BE" w:eastAsia="nl-BE"/>
        </w:rPr>
        <w:drawing>
          <wp:inline distT="0" distB="0" distL="0" distR="0" wp14:anchorId="198C9DE7" wp14:editId="429253E0">
            <wp:extent cx="3215640" cy="776419"/>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0952" cy="780116"/>
                    </a:xfrm>
                    <a:prstGeom prst="rect">
                      <a:avLst/>
                    </a:prstGeom>
                    <a:noFill/>
                    <a:ln>
                      <a:noFill/>
                    </a:ln>
                  </pic:spPr>
                </pic:pic>
              </a:graphicData>
            </a:graphic>
          </wp:inline>
        </w:drawing>
      </w:r>
    </w:p>
    <w:p w14:paraId="64D89BF7" w14:textId="77777777" w:rsidR="00F76607" w:rsidRDefault="001863F0">
      <w:pPr>
        <w:pStyle w:val="NormalWeb"/>
        <w:spacing w:before="240" w:after="0"/>
        <w:ind w:firstLine="857"/>
        <w:rPr>
          <w:b/>
          <w:sz w:val="18"/>
          <w:szCs w:val="18"/>
        </w:rPr>
      </w:pPr>
      <w:r>
        <w:rPr>
          <w:noProof/>
          <w:lang w:val="nl-BE" w:eastAsia="nl-BE"/>
        </w:rPr>
        <w:drawing>
          <wp:inline distT="0" distB="0" distL="0" distR="0" wp14:anchorId="02A8919E" wp14:editId="17E71AB1">
            <wp:extent cx="3190240" cy="7702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2885" cy="773339"/>
                    </a:xfrm>
                    <a:prstGeom prst="rect">
                      <a:avLst/>
                    </a:prstGeom>
                    <a:noFill/>
                    <a:ln>
                      <a:noFill/>
                    </a:ln>
                  </pic:spPr>
                </pic:pic>
              </a:graphicData>
            </a:graphic>
          </wp:inline>
        </w:drawing>
      </w:r>
    </w:p>
    <w:p w14:paraId="64E441B3" w14:textId="22E72CF3" w:rsidR="00F76607" w:rsidRDefault="0014652A">
      <w:pPr>
        <w:pStyle w:val="NormalWeb"/>
        <w:spacing w:before="240" w:after="0"/>
        <w:ind w:firstLine="857"/>
        <w:rPr>
          <w:sz w:val="18"/>
          <w:szCs w:val="18"/>
        </w:rPr>
      </w:pPr>
      <w:r w:rsidRPr="001453A8">
        <w:rPr>
          <w:sz w:val="18"/>
          <w:szCs w:val="18"/>
        </w:rPr>
        <w:t>A</w:t>
      </w:r>
      <w:r w:rsidR="00940375">
        <w:rPr>
          <w:sz w:val="18"/>
          <w:szCs w:val="18"/>
        </w:rPr>
        <w:t>s</w:t>
      </w:r>
      <w:r w:rsidRPr="001453A8">
        <w:rPr>
          <w:sz w:val="18"/>
          <w:szCs w:val="18"/>
        </w:rPr>
        <w:t xml:space="preserve"> at 30 June 2017 the secured land was located in (</w:t>
      </w:r>
      <w:proofErr w:type="spellStart"/>
      <w:r w:rsidRPr="001453A8">
        <w:rPr>
          <w:sz w:val="18"/>
          <w:szCs w:val="18"/>
        </w:rPr>
        <w:t>i</w:t>
      </w:r>
      <w:proofErr w:type="spellEnd"/>
      <w:r w:rsidRPr="001453A8">
        <w:rPr>
          <w:sz w:val="18"/>
          <w:szCs w:val="18"/>
        </w:rPr>
        <w:t>) Germany: 135,000 m² of land on which 72,000 m² can be potentially developed; in Slovakia: 419,000 m² of land on which 205,000 m² can be potentially developed; and finally (iii) Romania: 188,000 m² of land on which 87,000 m² can be potentially developed.</w:t>
      </w:r>
    </w:p>
    <w:p w14:paraId="23B94A3E" w14:textId="77777777" w:rsidR="00F76607" w:rsidRDefault="001863F0">
      <w:pPr>
        <w:pStyle w:val="NormalWeb"/>
        <w:spacing w:before="240" w:after="0"/>
        <w:ind w:firstLine="857"/>
        <w:rPr>
          <w:sz w:val="18"/>
          <w:szCs w:val="18"/>
        </w:rPr>
      </w:pPr>
      <w:r>
        <w:rPr>
          <w:sz w:val="18"/>
          <w:szCs w:val="18"/>
        </w:rPr>
        <w:t>The following table gives an overview of the Group’s own on balance sheet opportunities with clear rental income conversion (as at 30 June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946"/>
        <w:gridCol w:w="711"/>
        <w:gridCol w:w="1421"/>
        <w:gridCol w:w="717"/>
        <w:gridCol w:w="2101"/>
      </w:tblGrid>
      <w:tr w:rsidR="00F76607" w14:paraId="6A3FFF2D" w14:textId="77777777">
        <w:tc>
          <w:tcPr>
            <w:tcW w:w="0" w:type="auto"/>
            <w:shd w:val="clear" w:color="auto" w:fill="BFBFBF" w:themeFill="background1" w:themeFillShade="BF"/>
          </w:tcPr>
          <w:p w14:paraId="1661FAAD"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Under construction</w:t>
            </w:r>
          </w:p>
        </w:tc>
        <w:tc>
          <w:tcPr>
            <w:tcW w:w="0" w:type="auto"/>
            <w:shd w:val="clear" w:color="auto" w:fill="BFBFBF" w:themeFill="background1" w:themeFillShade="BF"/>
          </w:tcPr>
          <w:p w14:paraId="47DA83A2"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Germany</w:t>
            </w:r>
          </w:p>
        </w:tc>
        <w:tc>
          <w:tcPr>
            <w:tcW w:w="0" w:type="auto"/>
            <w:shd w:val="clear" w:color="auto" w:fill="BFBFBF" w:themeFill="background1" w:themeFillShade="BF"/>
          </w:tcPr>
          <w:p w14:paraId="24F8ADF4"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Spain</w:t>
            </w:r>
          </w:p>
        </w:tc>
        <w:tc>
          <w:tcPr>
            <w:tcW w:w="0" w:type="auto"/>
            <w:shd w:val="clear" w:color="auto" w:fill="BFBFBF" w:themeFill="background1" w:themeFillShade="BF"/>
          </w:tcPr>
          <w:p w14:paraId="733623C8"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Czech Republic</w:t>
            </w:r>
          </w:p>
        </w:tc>
        <w:tc>
          <w:tcPr>
            <w:tcW w:w="0" w:type="auto"/>
            <w:shd w:val="clear" w:color="auto" w:fill="BFBFBF" w:themeFill="background1" w:themeFillShade="BF"/>
          </w:tcPr>
          <w:p w14:paraId="7F07AE0F"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Latvia</w:t>
            </w:r>
          </w:p>
        </w:tc>
        <w:tc>
          <w:tcPr>
            <w:tcW w:w="0" w:type="auto"/>
            <w:shd w:val="clear" w:color="auto" w:fill="BFBFBF" w:themeFill="background1" w:themeFillShade="BF"/>
          </w:tcPr>
          <w:p w14:paraId="64AD5FC5"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Total / weighted average</w:t>
            </w:r>
          </w:p>
        </w:tc>
      </w:tr>
      <w:tr w:rsidR="00F76607" w14:paraId="00C09A33" w14:textId="77777777">
        <w:tc>
          <w:tcPr>
            <w:tcW w:w="0" w:type="auto"/>
          </w:tcPr>
          <w:p w14:paraId="342D4FCB"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Land area</w:t>
            </w:r>
          </w:p>
          <w:p w14:paraId="495AEE8B"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(in m²)</w:t>
            </w:r>
          </w:p>
        </w:tc>
        <w:tc>
          <w:tcPr>
            <w:tcW w:w="0" w:type="auto"/>
          </w:tcPr>
          <w:p w14:paraId="407E357E"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281,968</w:t>
            </w:r>
          </w:p>
        </w:tc>
        <w:tc>
          <w:tcPr>
            <w:tcW w:w="0" w:type="auto"/>
          </w:tcPr>
          <w:p w14:paraId="44D70B4C"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39,638</w:t>
            </w:r>
          </w:p>
        </w:tc>
        <w:tc>
          <w:tcPr>
            <w:tcW w:w="0" w:type="auto"/>
          </w:tcPr>
          <w:p w14:paraId="08D94B5D"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340,373</w:t>
            </w:r>
          </w:p>
        </w:tc>
        <w:tc>
          <w:tcPr>
            <w:tcW w:w="0" w:type="auto"/>
          </w:tcPr>
          <w:p w14:paraId="132CDFB7"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48,510</w:t>
            </w:r>
          </w:p>
        </w:tc>
        <w:tc>
          <w:tcPr>
            <w:tcW w:w="0" w:type="auto"/>
          </w:tcPr>
          <w:p w14:paraId="3B8F3A69"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710,488</w:t>
            </w:r>
          </w:p>
        </w:tc>
      </w:tr>
      <w:tr w:rsidR="00F76607" w14:paraId="32B2619C" w14:textId="77777777">
        <w:tc>
          <w:tcPr>
            <w:tcW w:w="0" w:type="auto"/>
          </w:tcPr>
          <w:p w14:paraId="77E85803"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Gross lettable area</w:t>
            </w:r>
          </w:p>
          <w:p w14:paraId="278561DB"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(in m²)</w:t>
            </w:r>
          </w:p>
        </w:tc>
        <w:tc>
          <w:tcPr>
            <w:tcW w:w="0" w:type="auto"/>
          </w:tcPr>
          <w:p w14:paraId="4307C9D4"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143,461</w:t>
            </w:r>
          </w:p>
        </w:tc>
        <w:tc>
          <w:tcPr>
            <w:tcW w:w="0" w:type="auto"/>
          </w:tcPr>
          <w:p w14:paraId="1CD6977E"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22,980</w:t>
            </w:r>
          </w:p>
        </w:tc>
        <w:tc>
          <w:tcPr>
            <w:tcW w:w="0" w:type="auto"/>
          </w:tcPr>
          <w:p w14:paraId="6F7E8F91"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130,025</w:t>
            </w:r>
          </w:p>
        </w:tc>
        <w:tc>
          <w:tcPr>
            <w:tcW w:w="0" w:type="auto"/>
          </w:tcPr>
          <w:p w14:paraId="6556A2DD"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20,152</w:t>
            </w:r>
          </w:p>
        </w:tc>
        <w:tc>
          <w:tcPr>
            <w:tcW w:w="0" w:type="auto"/>
          </w:tcPr>
          <w:p w14:paraId="47B2D56C"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316,618</w:t>
            </w:r>
          </w:p>
        </w:tc>
      </w:tr>
      <w:tr w:rsidR="00F76607" w14:paraId="2D4103F5" w14:textId="77777777">
        <w:tc>
          <w:tcPr>
            <w:tcW w:w="0" w:type="auto"/>
          </w:tcPr>
          <w:p w14:paraId="00575B31"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Pre-leased</w:t>
            </w:r>
          </w:p>
          <w:p w14:paraId="32521F26"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(in million €)</w:t>
            </w:r>
          </w:p>
        </w:tc>
        <w:tc>
          <w:tcPr>
            <w:tcW w:w="0" w:type="auto"/>
          </w:tcPr>
          <w:p w14:paraId="1381BF10"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4.9</w:t>
            </w:r>
          </w:p>
        </w:tc>
        <w:tc>
          <w:tcPr>
            <w:tcW w:w="0" w:type="auto"/>
          </w:tcPr>
          <w:p w14:paraId="738B8AE5"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w:t>
            </w:r>
          </w:p>
        </w:tc>
        <w:tc>
          <w:tcPr>
            <w:tcW w:w="0" w:type="auto"/>
          </w:tcPr>
          <w:p w14:paraId="4B5C7B56"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4.9</w:t>
            </w:r>
          </w:p>
        </w:tc>
        <w:tc>
          <w:tcPr>
            <w:tcW w:w="0" w:type="auto"/>
          </w:tcPr>
          <w:p w14:paraId="35F46DBB"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w:t>
            </w:r>
          </w:p>
        </w:tc>
        <w:tc>
          <w:tcPr>
            <w:tcW w:w="0" w:type="auto"/>
          </w:tcPr>
          <w:p w14:paraId="7D227074"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9.8</w:t>
            </w:r>
          </w:p>
        </w:tc>
      </w:tr>
      <w:tr w:rsidR="00F76607" w14:paraId="5CDF59CE" w14:textId="77777777">
        <w:tc>
          <w:tcPr>
            <w:tcW w:w="0" w:type="auto"/>
          </w:tcPr>
          <w:p w14:paraId="3241A48C"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Vacant potential</w:t>
            </w:r>
          </w:p>
          <w:p w14:paraId="1B5260D5"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(in million €)</w:t>
            </w:r>
          </w:p>
        </w:tc>
        <w:tc>
          <w:tcPr>
            <w:tcW w:w="0" w:type="auto"/>
          </w:tcPr>
          <w:p w14:paraId="42599A47"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2.2</w:t>
            </w:r>
          </w:p>
        </w:tc>
        <w:tc>
          <w:tcPr>
            <w:tcW w:w="0" w:type="auto"/>
          </w:tcPr>
          <w:p w14:paraId="028079E7"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1.3</w:t>
            </w:r>
          </w:p>
        </w:tc>
        <w:tc>
          <w:tcPr>
            <w:tcW w:w="0" w:type="auto"/>
          </w:tcPr>
          <w:p w14:paraId="15D139CF"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1.5</w:t>
            </w:r>
          </w:p>
        </w:tc>
        <w:tc>
          <w:tcPr>
            <w:tcW w:w="0" w:type="auto"/>
          </w:tcPr>
          <w:p w14:paraId="16A37818"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0.9</w:t>
            </w:r>
          </w:p>
        </w:tc>
        <w:tc>
          <w:tcPr>
            <w:tcW w:w="0" w:type="auto"/>
          </w:tcPr>
          <w:p w14:paraId="1842FC8D"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5.9</w:t>
            </w:r>
          </w:p>
        </w:tc>
      </w:tr>
      <w:tr w:rsidR="00F76607" w14:paraId="22620A40" w14:textId="77777777">
        <w:tc>
          <w:tcPr>
            <w:tcW w:w="0" w:type="auto"/>
          </w:tcPr>
          <w:p w14:paraId="7F851098"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Total potential</w:t>
            </w:r>
          </w:p>
          <w:p w14:paraId="2EDA927A"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lastRenderedPageBreak/>
              <w:t>(in million €)</w:t>
            </w:r>
          </w:p>
        </w:tc>
        <w:tc>
          <w:tcPr>
            <w:tcW w:w="0" w:type="auto"/>
          </w:tcPr>
          <w:p w14:paraId="12322485"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lastRenderedPageBreak/>
              <w:t>7.2</w:t>
            </w:r>
          </w:p>
        </w:tc>
        <w:tc>
          <w:tcPr>
            <w:tcW w:w="0" w:type="auto"/>
          </w:tcPr>
          <w:p w14:paraId="28AFBFC2"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1.3</w:t>
            </w:r>
          </w:p>
        </w:tc>
        <w:tc>
          <w:tcPr>
            <w:tcW w:w="0" w:type="auto"/>
          </w:tcPr>
          <w:p w14:paraId="795C4D37"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6.4</w:t>
            </w:r>
          </w:p>
        </w:tc>
        <w:tc>
          <w:tcPr>
            <w:tcW w:w="0" w:type="auto"/>
          </w:tcPr>
          <w:p w14:paraId="650B2BB8"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0.9</w:t>
            </w:r>
          </w:p>
        </w:tc>
        <w:tc>
          <w:tcPr>
            <w:tcW w:w="0" w:type="auto"/>
          </w:tcPr>
          <w:p w14:paraId="78990BAE"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15.8</w:t>
            </w:r>
          </w:p>
        </w:tc>
      </w:tr>
      <w:tr w:rsidR="00F76607" w14:paraId="1F2745CB" w14:textId="77777777">
        <w:tc>
          <w:tcPr>
            <w:tcW w:w="0" w:type="auto"/>
          </w:tcPr>
          <w:p w14:paraId="262FEC6E"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Pre-let</w:t>
            </w:r>
          </w:p>
        </w:tc>
        <w:tc>
          <w:tcPr>
            <w:tcW w:w="0" w:type="auto"/>
          </w:tcPr>
          <w:p w14:paraId="178DEDC3"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64%</w:t>
            </w:r>
          </w:p>
        </w:tc>
        <w:tc>
          <w:tcPr>
            <w:tcW w:w="0" w:type="auto"/>
          </w:tcPr>
          <w:p w14:paraId="3AE7155A"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w:t>
            </w:r>
          </w:p>
        </w:tc>
        <w:tc>
          <w:tcPr>
            <w:tcW w:w="0" w:type="auto"/>
          </w:tcPr>
          <w:p w14:paraId="4E2AEA6C"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77%</w:t>
            </w:r>
          </w:p>
        </w:tc>
        <w:tc>
          <w:tcPr>
            <w:tcW w:w="0" w:type="auto"/>
          </w:tcPr>
          <w:p w14:paraId="5F700B12" w14:textId="77777777" w:rsidR="00F76607" w:rsidRDefault="001863F0">
            <w:pPr>
              <w:jc w:val="right"/>
              <w:rPr>
                <w:rFonts w:ascii="Times New Roman" w:eastAsia="Times New Roman" w:hAnsi="Times New Roman" w:cs="Times New Roman"/>
                <w:sz w:val="18"/>
                <w:szCs w:val="18"/>
                <w:lang w:val="en-US"/>
              </w:rPr>
            </w:pPr>
            <w:proofErr w:type="spellStart"/>
            <w:r>
              <w:rPr>
                <w:rFonts w:ascii="Times New Roman" w:eastAsia="Times New Roman" w:hAnsi="Times New Roman" w:cs="Times New Roman"/>
                <w:sz w:val="18"/>
                <w:szCs w:val="18"/>
                <w:lang w:val="en-US"/>
              </w:rPr>
              <w:t>n.a</w:t>
            </w:r>
            <w:proofErr w:type="spellEnd"/>
            <w:r>
              <w:rPr>
                <w:rFonts w:ascii="Times New Roman" w:eastAsia="Times New Roman" w:hAnsi="Times New Roman" w:cs="Times New Roman"/>
                <w:sz w:val="18"/>
                <w:szCs w:val="18"/>
                <w:lang w:val="en-US"/>
              </w:rPr>
              <w:t>.</w:t>
            </w:r>
          </w:p>
        </w:tc>
        <w:tc>
          <w:tcPr>
            <w:tcW w:w="0" w:type="auto"/>
          </w:tcPr>
          <w:p w14:paraId="6865A992"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62%</w:t>
            </w:r>
          </w:p>
        </w:tc>
      </w:tr>
    </w:tbl>
    <w:p w14:paraId="40AD4AF9" w14:textId="77777777" w:rsidR="00F76607" w:rsidRDefault="00F7660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946"/>
        <w:gridCol w:w="801"/>
        <w:gridCol w:w="1421"/>
        <w:gridCol w:w="717"/>
        <w:gridCol w:w="917"/>
        <w:gridCol w:w="877"/>
        <w:gridCol w:w="936"/>
      </w:tblGrid>
      <w:tr w:rsidR="00F76607" w14:paraId="0707DE3C" w14:textId="77777777">
        <w:tc>
          <w:tcPr>
            <w:tcW w:w="0" w:type="auto"/>
            <w:shd w:val="clear" w:color="auto" w:fill="BFBFBF" w:themeFill="background1" w:themeFillShade="BF"/>
          </w:tcPr>
          <w:p w14:paraId="5321FE35"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Remaining potential</w:t>
            </w:r>
          </w:p>
        </w:tc>
        <w:tc>
          <w:tcPr>
            <w:tcW w:w="0" w:type="auto"/>
            <w:shd w:val="clear" w:color="auto" w:fill="BFBFBF" w:themeFill="background1" w:themeFillShade="BF"/>
          </w:tcPr>
          <w:p w14:paraId="5A222998"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Germany</w:t>
            </w:r>
          </w:p>
        </w:tc>
        <w:tc>
          <w:tcPr>
            <w:tcW w:w="0" w:type="auto"/>
            <w:shd w:val="clear" w:color="auto" w:fill="BFBFBF" w:themeFill="background1" w:themeFillShade="BF"/>
          </w:tcPr>
          <w:p w14:paraId="6BA28D19"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Spain</w:t>
            </w:r>
          </w:p>
        </w:tc>
        <w:tc>
          <w:tcPr>
            <w:tcW w:w="0" w:type="auto"/>
            <w:shd w:val="clear" w:color="auto" w:fill="BFBFBF" w:themeFill="background1" w:themeFillShade="BF"/>
          </w:tcPr>
          <w:p w14:paraId="560BF2F7"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Czech Republic</w:t>
            </w:r>
          </w:p>
        </w:tc>
        <w:tc>
          <w:tcPr>
            <w:tcW w:w="0" w:type="auto"/>
            <w:shd w:val="clear" w:color="auto" w:fill="BFBFBF" w:themeFill="background1" w:themeFillShade="BF"/>
          </w:tcPr>
          <w:p w14:paraId="2374C360"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Latvia</w:t>
            </w:r>
          </w:p>
        </w:tc>
        <w:tc>
          <w:tcPr>
            <w:tcW w:w="0" w:type="auto"/>
            <w:shd w:val="clear" w:color="auto" w:fill="BFBFBF" w:themeFill="background1" w:themeFillShade="BF"/>
          </w:tcPr>
          <w:p w14:paraId="517804F4" w14:textId="77777777" w:rsidR="00F76607" w:rsidRDefault="001863F0">
            <w:pPr>
              <w:jc w:val="center"/>
              <w:rPr>
                <w:b/>
                <w:color w:val="FFFFFF" w:themeColor="background1"/>
                <w:sz w:val="18"/>
                <w:szCs w:val="18"/>
              </w:rPr>
            </w:pPr>
            <w:r>
              <w:rPr>
                <w:rFonts w:ascii="Times New Roman" w:eastAsia="Times New Roman" w:hAnsi="Times New Roman" w:cs="Times New Roman"/>
                <w:b/>
                <w:color w:val="FFFFFF" w:themeColor="background1"/>
                <w:sz w:val="18"/>
                <w:szCs w:val="18"/>
                <w:lang w:val="en-US"/>
              </w:rPr>
              <w:t>Romania</w:t>
            </w:r>
          </w:p>
        </w:tc>
        <w:tc>
          <w:tcPr>
            <w:tcW w:w="0" w:type="auto"/>
            <w:shd w:val="clear" w:color="auto" w:fill="BFBFBF" w:themeFill="background1" w:themeFillShade="BF"/>
          </w:tcPr>
          <w:p w14:paraId="0462DEA2" w14:textId="77777777" w:rsidR="00F76607" w:rsidRDefault="001863F0">
            <w:pPr>
              <w:jc w:val="center"/>
              <w:rPr>
                <w:b/>
                <w:color w:val="FFFFFF" w:themeColor="background1"/>
                <w:sz w:val="18"/>
                <w:szCs w:val="18"/>
              </w:rPr>
            </w:pPr>
            <w:r>
              <w:rPr>
                <w:rFonts w:ascii="Times New Roman" w:eastAsia="Times New Roman" w:hAnsi="Times New Roman" w:cs="Times New Roman"/>
                <w:b/>
                <w:color w:val="FFFFFF" w:themeColor="background1"/>
                <w:sz w:val="18"/>
                <w:szCs w:val="18"/>
                <w:lang w:val="en-US"/>
              </w:rPr>
              <w:t>Slovakia</w:t>
            </w:r>
          </w:p>
        </w:tc>
        <w:tc>
          <w:tcPr>
            <w:tcW w:w="0" w:type="auto"/>
            <w:shd w:val="clear" w:color="auto" w:fill="BFBFBF" w:themeFill="background1" w:themeFillShade="BF"/>
          </w:tcPr>
          <w:p w14:paraId="6003A618"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Total</w:t>
            </w:r>
          </w:p>
        </w:tc>
      </w:tr>
      <w:tr w:rsidR="00F76607" w14:paraId="59305FA8" w14:textId="77777777">
        <w:tc>
          <w:tcPr>
            <w:tcW w:w="0" w:type="auto"/>
          </w:tcPr>
          <w:p w14:paraId="53E54C68"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Land area</w:t>
            </w:r>
          </w:p>
          <w:p w14:paraId="1EB11CDB"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(in m²)</w:t>
            </w:r>
          </w:p>
        </w:tc>
        <w:tc>
          <w:tcPr>
            <w:tcW w:w="0" w:type="auto"/>
          </w:tcPr>
          <w:p w14:paraId="0BACC6B1"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874,554</w:t>
            </w:r>
          </w:p>
        </w:tc>
        <w:tc>
          <w:tcPr>
            <w:tcW w:w="0" w:type="auto"/>
          </w:tcPr>
          <w:p w14:paraId="7E4F3290"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359,579</w:t>
            </w:r>
          </w:p>
        </w:tc>
        <w:tc>
          <w:tcPr>
            <w:tcW w:w="0" w:type="auto"/>
          </w:tcPr>
          <w:p w14:paraId="3F53BC58"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346,839</w:t>
            </w:r>
          </w:p>
        </w:tc>
        <w:tc>
          <w:tcPr>
            <w:tcW w:w="0" w:type="auto"/>
          </w:tcPr>
          <w:p w14:paraId="0A6D4387"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98,363</w:t>
            </w:r>
          </w:p>
        </w:tc>
        <w:tc>
          <w:tcPr>
            <w:tcW w:w="0" w:type="auto"/>
          </w:tcPr>
          <w:p w14:paraId="1CC4576E"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208,122</w:t>
            </w:r>
          </w:p>
        </w:tc>
        <w:tc>
          <w:tcPr>
            <w:tcW w:w="0" w:type="auto"/>
          </w:tcPr>
          <w:p w14:paraId="335AD215"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419,316</w:t>
            </w:r>
          </w:p>
        </w:tc>
        <w:tc>
          <w:tcPr>
            <w:tcW w:w="0" w:type="auto"/>
          </w:tcPr>
          <w:p w14:paraId="3E3A2F2B"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2,306,773</w:t>
            </w:r>
          </w:p>
        </w:tc>
      </w:tr>
      <w:tr w:rsidR="00F76607" w14:paraId="75164821" w14:textId="77777777">
        <w:tc>
          <w:tcPr>
            <w:tcW w:w="0" w:type="auto"/>
          </w:tcPr>
          <w:p w14:paraId="2FD2A479"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Gross lettable area</w:t>
            </w:r>
          </w:p>
          <w:p w14:paraId="3EFC73C6"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(in m²)</w:t>
            </w:r>
          </w:p>
        </w:tc>
        <w:tc>
          <w:tcPr>
            <w:tcW w:w="0" w:type="auto"/>
          </w:tcPr>
          <w:p w14:paraId="75F24725"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404,488</w:t>
            </w:r>
          </w:p>
        </w:tc>
        <w:tc>
          <w:tcPr>
            <w:tcW w:w="0" w:type="auto"/>
          </w:tcPr>
          <w:p w14:paraId="6AA05CEF"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245,718</w:t>
            </w:r>
          </w:p>
        </w:tc>
        <w:tc>
          <w:tcPr>
            <w:tcW w:w="0" w:type="auto"/>
          </w:tcPr>
          <w:p w14:paraId="251A3ED4"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149,021</w:t>
            </w:r>
          </w:p>
        </w:tc>
        <w:tc>
          <w:tcPr>
            <w:tcW w:w="0" w:type="auto"/>
          </w:tcPr>
          <w:p w14:paraId="7AE9041C"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40,320</w:t>
            </w:r>
          </w:p>
        </w:tc>
        <w:tc>
          <w:tcPr>
            <w:tcW w:w="0" w:type="auto"/>
          </w:tcPr>
          <w:p w14:paraId="584F8FBF"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97,326</w:t>
            </w:r>
          </w:p>
        </w:tc>
        <w:tc>
          <w:tcPr>
            <w:tcW w:w="0" w:type="auto"/>
          </w:tcPr>
          <w:p w14:paraId="7F4A69AD"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205,384</w:t>
            </w:r>
          </w:p>
        </w:tc>
        <w:tc>
          <w:tcPr>
            <w:tcW w:w="0" w:type="auto"/>
          </w:tcPr>
          <w:p w14:paraId="64C50323"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1,142,257</w:t>
            </w:r>
          </w:p>
        </w:tc>
      </w:tr>
    </w:tbl>
    <w:p w14:paraId="72DA01D6" w14:textId="7E2AAF63" w:rsidR="00F76607" w:rsidRDefault="008530BC">
      <w:pPr>
        <w:pStyle w:val="NormalWeb"/>
        <w:spacing w:before="240" w:after="0"/>
        <w:ind w:firstLine="857"/>
        <w:rPr>
          <w:sz w:val="18"/>
          <w:szCs w:val="18"/>
        </w:rPr>
      </w:pPr>
      <w:r>
        <w:rPr>
          <w:sz w:val="18"/>
          <w:szCs w:val="18"/>
        </w:rPr>
        <w:t>The following table gives an overview of the Group’s (excluding Estonia) and the Joint Venture’s</w:t>
      </w:r>
      <w:r w:rsidR="00DE1C28">
        <w:rPr>
          <w:sz w:val="18"/>
          <w:szCs w:val="18"/>
        </w:rPr>
        <w:t xml:space="preserve"> remaining potential in terms of annual rent per m²:</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946"/>
        <w:gridCol w:w="906"/>
        <w:gridCol w:w="1421"/>
        <w:gridCol w:w="906"/>
        <w:gridCol w:w="907"/>
        <w:gridCol w:w="906"/>
        <w:gridCol w:w="906"/>
      </w:tblGrid>
      <w:tr w:rsidR="00DE1C28" w14:paraId="0D0F43A8" w14:textId="77777777" w:rsidTr="006B106F">
        <w:tc>
          <w:tcPr>
            <w:tcW w:w="0" w:type="auto"/>
            <w:shd w:val="clear" w:color="auto" w:fill="BFBFBF" w:themeFill="background1" w:themeFillShade="BF"/>
          </w:tcPr>
          <w:p w14:paraId="33AA9905" w14:textId="45B28EF9" w:rsidR="00DE1C28" w:rsidRDefault="00DE1C28" w:rsidP="006B106F">
            <w:pPr>
              <w:jc w:val="center"/>
              <w:rPr>
                <w:rFonts w:ascii="Times New Roman" w:eastAsia="Times New Roman" w:hAnsi="Times New Roman" w:cs="Times New Roman"/>
                <w:b/>
                <w:color w:val="FFFFFF" w:themeColor="background1"/>
                <w:sz w:val="18"/>
                <w:szCs w:val="18"/>
                <w:lang w:val="en-US"/>
              </w:rPr>
            </w:pPr>
          </w:p>
        </w:tc>
        <w:tc>
          <w:tcPr>
            <w:tcW w:w="0" w:type="auto"/>
            <w:shd w:val="clear" w:color="auto" w:fill="BFBFBF" w:themeFill="background1" w:themeFillShade="BF"/>
          </w:tcPr>
          <w:p w14:paraId="32BD3507" w14:textId="77777777" w:rsidR="00DE1C28" w:rsidRDefault="00DE1C28" w:rsidP="006B106F">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Germany</w:t>
            </w:r>
          </w:p>
        </w:tc>
        <w:tc>
          <w:tcPr>
            <w:tcW w:w="0" w:type="auto"/>
            <w:shd w:val="clear" w:color="auto" w:fill="BFBFBF" w:themeFill="background1" w:themeFillShade="BF"/>
          </w:tcPr>
          <w:p w14:paraId="1FA809B6" w14:textId="77777777" w:rsidR="00DE1C28" w:rsidRDefault="00DE1C28" w:rsidP="006B106F">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Spain</w:t>
            </w:r>
          </w:p>
        </w:tc>
        <w:tc>
          <w:tcPr>
            <w:tcW w:w="0" w:type="auto"/>
            <w:shd w:val="clear" w:color="auto" w:fill="BFBFBF" w:themeFill="background1" w:themeFillShade="BF"/>
          </w:tcPr>
          <w:p w14:paraId="0C895F7D" w14:textId="77777777" w:rsidR="00DE1C28" w:rsidRDefault="00DE1C28" w:rsidP="006B106F">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Czech Republic</w:t>
            </w:r>
          </w:p>
        </w:tc>
        <w:tc>
          <w:tcPr>
            <w:tcW w:w="0" w:type="auto"/>
            <w:shd w:val="clear" w:color="auto" w:fill="BFBFBF" w:themeFill="background1" w:themeFillShade="BF"/>
          </w:tcPr>
          <w:p w14:paraId="0D21061F" w14:textId="77777777" w:rsidR="00DE1C28" w:rsidRDefault="00DE1C28" w:rsidP="006B106F">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Latvia</w:t>
            </w:r>
          </w:p>
        </w:tc>
        <w:tc>
          <w:tcPr>
            <w:tcW w:w="0" w:type="auto"/>
            <w:shd w:val="clear" w:color="auto" w:fill="BFBFBF" w:themeFill="background1" w:themeFillShade="BF"/>
          </w:tcPr>
          <w:p w14:paraId="46F48038" w14:textId="5F1AA26E" w:rsidR="00DE1C28" w:rsidRDefault="00DE1C28" w:rsidP="006B106F">
            <w:pPr>
              <w:jc w:val="center"/>
              <w:rPr>
                <w:b/>
                <w:color w:val="FFFFFF" w:themeColor="background1"/>
                <w:sz w:val="18"/>
                <w:szCs w:val="18"/>
              </w:rPr>
            </w:pPr>
            <w:r>
              <w:rPr>
                <w:rFonts w:ascii="Times New Roman" w:eastAsia="Times New Roman" w:hAnsi="Times New Roman" w:cs="Times New Roman"/>
                <w:b/>
                <w:color w:val="FFFFFF" w:themeColor="background1"/>
                <w:sz w:val="18"/>
                <w:szCs w:val="18"/>
                <w:lang w:val="en-US"/>
              </w:rPr>
              <w:t>Hungary</w:t>
            </w:r>
          </w:p>
        </w:tc>
        <w:tc>
          <w:tcPr>
            <w:tcW w:w="0" w:type="auto"/>
            <w:shd w:val="clear" w:color="auto" w:fill="BFBFBF" w:themeFill="background1" w:themeFillShade="BF"/>
          </w:tcPr>
          <w:p w14:paraId="2CE7BD96" w14:textId="3DFEA78B" w:rsidR="00DE1C28" w:rsidRDefault="00F214BB" w:rsidP="006B106F">
            <w:pPr>
              <w:jc w:val="center"/>
              <w:rPr>
                <w:b/>
                <w:color w:val="FFFFFF" w:themeColor="background1"/>
                <w:sz w:val="18"/>
                <w:szCs w:val="18"/>
              </w:rPr>
            </w:pPr>
            <w:r>
              <w:rPr>
                <w:b/>
                <w:color w:val="FFFFFF" w:themeColor="background1"/>
                <w:sz w:val="18"/>
                <w:szCs w:val="18"/>
              </w:rPr>
              <w:t>Romania</w:t>
            </w:r>
          </w:p>
        </w:tc>
        <w:tc>
          <w:tcPr>
            <w:tcW w:w="0" w:type="auto"/>
            <w:shd w:val="clear" w:color="auto" w:fill="BFBFBF" w:themeFill="background1" w:themeFillShade="BF"/>
          </w:tcPr>
          <w:p w14:paraId="5160E3C8" w14:textId="2CD1D63C" w:rsidR="00DE1C28" w:rsidRDefault="00F214BB" w:rsidP="006B106F">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Slovakia</w:t>
            </w:r>
          </w:p>
        </w:tc>
      </w:tr>
      <w:tr w:rsidR="00DE1C28" w14:paraId="356EDE73" w14:textId="77777777" w:rsidTr="006B106F">
        <w:tc>
          <w:tcPr>
            <w:tcW w:w="0" w:type="auto"/>
          </w:tcPr>
          <w:p w14:paraId="1DA328E6" w14:textId="78673798" w:rsidR="00DE1C28" w:rsidRDefault="00F214BB" w:rsidP="006B106F">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Annual rent / m² for warehouses</w:t>
            </w:r>
          </w:p>
          <w:p w14:paraId="1764C11F" w14:textId="096372C4" w:rsidR="00DE1C28" w:rsidRDefault="00F214BB" w:rsidP="006B106F">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(in €</w:t>
            </w:r>
            <w:r w:rsidR="00DE1C28">
              <w:rPr>
                <w:rFonts w:ascii="Times New Roman" w:eastAsia="Times New Roman" w:hAnsi="Times New Roman" w:cs="Times New Roman"/>
                <w:b/>
                <w:sz w:val="18"/>
                <w:szCs w:val="18"/>
                <w:lang w:val="en-US"/>
              </w:rPr>
              <w:t>)</w:t>
            </w:r>
          </w:p>
        </w:tc>
        <w:tc>
          <w:tcPr>
            <w:tcW w:w="0" w:type="auto"/>
          </w:tcPr>
          <w:p w14:paraId="0F517345" w14:textId="01D1140E" w:rsidR="00DE1C28" w:rsidRDefault="00F214BB" w:rsidP="006B106F">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3.50-5.00</w:t>
            </w:r>
          </w:p>
        </w:tc>
        <w:tc>
          <w:tcPr>
            <w:tcW w:w="0" w:type="auto"/>
          </w:tcPr>
          <w:p w14:paraId="42BFC99A" w14:textId="5D091A50" w:rsidR="00DE1C28" w:rsidRDefault="00F214BB" w:rsidP="006B106F">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3.50-4.75</w:t>
            </w:r>
          </w:p>
        </w:tc>
        <w:tc>
          <w:tcPr>
            <w:tcW w:w="0" w:type="auto"/>
          </w:tcPr>
          <w:p w14:paraId="52A5E0E0" w14:textId="56A54783" w:rsidR="00DE1C28" w:rsidRDefault="00F214BB" w:rsidP="006B106F">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3.75-4.25</w:t>
            </w:r>
          </w:p>
        </w:tc>
        <w:tc>
          <w:tcPr>
            <w:tcW w:w="0" w:type="auto"/>
          </w:tcPr>
          <w:p w14:paraId="40B0D99A" w14:textId="11789054" w:rsidR="00DE1C28" w:rsidRDefault="00F214BB" w:rsidP="006B106F">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3.75-4.25</w:t>
            </w:r>
          </w:p>
        </w:tc>
        <w:tc>
          <w:tcPr>
            <w:tcW w:w="0" w:type="auto"/>
          </w:tcPr>
          <w:p w14:paraId="5B98B5D2" w14:textId="77553935" w:rsidR="00DE1C28" w:rsidRDefault="00F214BB" w:rsidP="006B106F">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3.90-4.70</w:t>
            </w:r>
          </w:p>
        </w:tc>
        <w:tc>
          <w:tcPr>
            <w:tcW w:w="0" w:type="auto"/>
          </w:tcPr>
          <w:p w14:paraId="0C842111" w14:textId="5E2D77A3" w:rsidR="00DE1C28" w:rsidRDefault="00F214BB" w:rsidP="006B106F">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3.70-4.25</w:t>
            </w:r>
          </w:p>
        </w:tc>
        <w:tc>
          <w:tcPr>
            <w:tcW w:w="0" w:type="auto"/>
          </w:tcPr>
          <w:p w14:paraId="43F5529B" w14:textId="537E640D" w:rsidR="00DE1C28" w:rsidRDefault="00F214BB" w:rsidP="006B106F">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3.85-4.25</w:t>
            </w:r>
          </w:p>
        </w:tc>
      </w:tr>
      <w:tr w:rsidR="00DE1C28" w14:paraId="03002BC8" w14:textId="77777777" w:rsidTr="006B106F">
        <w:tc>
          <w:tcPr>
            <w:tcW w:w="0" w:type="auto"/>
          </w:tcPr>
          <w:p w14:paraId="7958A8F5" w14:textId="2F406F36" w:rsidR="00DE1C28" w:rsidRDefault="00F214BB" w:rsidP="006B106F">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Annual rent / m² for offices</w:t>
            </w:r>
          </w:p>
          <w:p w14:paraId="5956AE45" w14:textId="6A6DDE3D" w:rsidR="00DE1C28" w:rsidRDefault="00F214BB" w:rsidP="006B106F">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(in €</w:t>
            </w:r>
            <w:r w:rsidR="00DE1C28">
              <w:rPr>
                <w:rFonts w:ascii="Times New Roman" w:eastAsia="Times New Roman" w:hAnsi="Times New Roman" w:cs="Times New Roman"/>
                <w:b/>
                <w:sz w:val="18"/>
                <w:szCs w:val="18"/>
                <w:lang w:val="en-US"/>
              </w:rPr>
              <w:t>)</w:t>
            </w:r>
          </w:p>
        </w:tc>
        <w:tc>
          <w:tcPr>
            <w:tcW w:w="0" w:type="auto"/>
          </w:tcPr>
          <w:p w14:paraId="6D68833A" w14:textId="3206918B" w:rsidR="00DE1C28" w:rsidRDefault="00F214BB" w:rsidP="006B106F">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7.00-8.50</w:t>
            </w:r>
          </w:p>
        </w:tc>
        <w:tc>
          <w:tcPr>
            <w:tcW w:w="0" w:type="auto"/>
          </w:tcPr>
          <w:p w14:paraId="5D7F3311" w14:textId="38D8BAAA" w:rsidR="00DE1C28" w:rsidRDefault="00F214BB" w:rsidP="006B106F">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7.50-9.00</w:t>
            </w:r>
          </w:p>
        </w:tc>
        <w:tc>
          <w:tcPr>
            <w:tcW w:w="0" w:type="auto"/>
          </w:tcPr>
          <w:p w14:paraId="73D6FBB3" w14:textId="37DC1467" w:rsidR="00DE1C28" w:rsidRDefault="00F214BB" w:rsidP="006B106F">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7.50-8.50</w:t>
            </w:r>
          </w:p>
        </w:tc>
        <w:tc>
          <w:tcPr>
            <w:tcW w:w="0" w:type="auto"/>
          </w:tcPr>
          <w:p w14:paraId="1982EAC8" w14:textId="473159FE" w:rsidR="00DE1C28" w:rsidRDefault="00F214BB" w:rsidP="006B106F">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7.50-8.00</w:t>
            </w:r>
          </w:p>
        </w:tc>
        <w:tc>
          <w:tcPr>
            <w:tcW w:w="0" w:type="auto"/>
          </w:tcPr>
          <w:p w14:paraId="4E75ABBC" w14:textId="17D8E4C9" w:rsidR="00DE1C28" w:rsidRDefault="00F214BB" w:rsidP="006B106F">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7.00-8.00</w:t>
            </w:r>
          </w:p>
        </w:tc>
        <w:tc>
          <w:tcPr>
            <w:tcW w:w="0" w:type="auto"/>
          </w:tcPr>
          <w:p w14:paraId="134A242A" w14:textId="72D4AFFB" w:rsidR="00DE1C28" w:rsidRDefault="00F214BB" w:rsidP="006B106F">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7.50-8.50</w:t>
            </w:r>
          </w:p>
        </w:tc>
        <w:tc>
          <w:tcPr>
            <w:tcW w:w="0" w:type="auto"/>
          </w:tcPr>
          <w:p w14:paraId="1E5A2312" w14:textId="5F7868C8" w:rsidR="00DE1C28" w:rsidRDefault="00F214BB" w:rsidP="006B106F">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7.50-8.50</w:t>
            </w:r>
          </w:p>
        </w:tc>
      </w:tr>
    </w:tbl>
    <w:p w14:paraId="469759BB" w14:textId="77777777" w:rsidR="00DE1C28" w:rsidRDefault="00DE1C28">
      <w:pPr>
        <w:pStyle w:val="NormalWeb"/>
        <w:spacing w:before="240" w:after="0"/>
        <w:ind w:firstLine="857"/>
        <w:rPr>
          <w:sz w:val="18"/>
          <w:szCs w:val="18"/>
        </w:rPr>
      </w:pPr>
    </w:p>
    <w:p w14:paraId="308565A8" w14:textId="77777777" w:rsidR="00F76607" w:rsidRDefault="001863F0">
      <w:pPr>
        <w:pStyle w:val="VulcanIILevel2"/>
      </w:pPr>
      <w:r>
        <w:t>JV portfolio</w:t>
      </w:r>
    </w:p>
    <w:p w14:paraId="08999BB3" w14:textId="3D6848A6" w:rsidR="00F76607" w:rsidRDefault="001863F0">
      <w:pPr>
        <w:pStyle w:val="NormalWeb"/>
        <w:spacing w:before="240" w:after="0"/>
        <w:ind w:firstLine="857"/>
        <w:rPr>
          <w:sz w:val="18"/>
          <w:szCs w:val="18"/>
          <w:lang w:val="en-GB"/>
        </w:rPr>
      </w:pPr>
      <w:r w:rsidRPr="001453A8">
        <w:rPr>
          <w:sz w:val="18"/>
          <w:szCs w:val="18"/>
          <w:lang w:val="en-GB"/>
        </w:rPr>
        <w:t>As at 30 June 2017</w:t>
      </w:r>
      <w:r w:rsidR="00177BC4">
        <w:rPr>
          <w:sz w:val="18"/>
          <w:szCs w:val="18"/>
          <w:lang w:val="en-GB"/>
        </w:rPr>
        <w:t xml:space="preserve"> t</w:t>
      </w:r>
      <w:r>
        <w:rPr>
          <w:sz w:val="18"/>
          <w:szCs w:val="18"/>
          <w:lang w:val="en-GB"/>
        </w:rPr>
        <w:t>he Joint Venture had a remaining development land bank of 229,703 m²</w:t>
      </w:r>
      <w:r w:rsidR="00AE7C9B">
        <w:rPr>
          <w:sz w:val="18"/>
          <w:szCs w:val="18"/>
          <w:lang w:val="en-GB"/>
        </w:rPr>
        <w:t xml:space="preserve"> (fully owned)</w:t>
      </w:r>
      <w:r>
        <w:rPr>
          <w:sz w:val="18"/>
          <w:szCs w:val="18"/>
          <w:lang w:val="en-GB"/>
        </w:rPr>
        <w:t xml:space="preserve"> on which a total of 92,190 m² of new lettable space can be developed. </w:t>
      </w:r>
    </w:p>
    <w:p w14:paraId="07F6E850" w14:textId="50FB4D04" w:rsidR="00F76607" w:rsidRDefault="001863F0">
      <w:pPr>
        <w:pStyle w:val="NormalWeb"/>
        <w:spacing w:before="240" w:after="0"/>
        <w:ind w:firstLine="857"/>
        <w:rPr>
          <w:sz w:val="18"/>
          <w:szCs w:val="18"/>
          <w:lang w:val="en-GB"/>
        </w:rPr>
      </w:pPr>
      <w:r>
        <w:rPr>
          <w:sz w:val="18"/>
          <w:szCs w:val="18"/>
          <w:lang w:val="en-GB"/>
        </w:rPr>
        <w:t xml:space="preserve">The following chart contains a summary of the total development potential of the JV’s land bank </w:t>
      </w:r>
      <w:r w:rsidRPr="001453A8">
        <w:rPr>
          <w:sz w:val="18"/>
          <w:szCs w:val="18"/>
          <w:lang w:val="en-GB"/>
        </w:rPr>
        <w:t>as at 30 June 2017</w:t>
      </w:r>
      <w:r>
        <w:rPr>
          <w:sz w:val="18"/>
          <w:szCs w:val="18"/>
          <w:lang w:val="en-GB"/>
        </w:rPr>
        <w:t>. The assessment of the development potential is based on the development of similar projects.</w:t>
      </w:r>
    </w:p>
    <w:p w14:paraId="263B0714" w14:textId="77777777" w:rsidR="00F76607" w:rsidRDefault="001863F0">
      <w:pPr>
        <w:pStyle w:val="NormalWeb"/>
        <w:spacing w:before="240" w:after="0"/>
        <w:ind w:firstLine="857"/>
        <w:rPr>
          <w:b/>
          <w:sz w:val="18"/>
          <w:szCs w:val="18"/>
        </w:rPr>
      </w:pPr>
      <w:r>
        <w:rPr>
          <w:noProof/>
          <w:lang w:val="nl-BE" w:eastAsia="nl-BE"/>
        </w:rPr>
        <w:drawing>
          <wp:inline distT="0" distB="0" distL="0" distR="0" wp14:anchorId="17F7A5F0" wp14:editId="12A5A40F">
            <wp:extent cx="3215640" cy="646460"/>
            <wp:effectExtent l="0" t="0" r="381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6116" cy="648566"/>
                    </a:xfrm>
                    <a:prstGeom prst="rect">
                      <a:avLst/>
                    </a:prstGeom>
                    <a:noFill/>
                    <a:ln>
                      <a:noFill/>
                    </a:ln>
                  </pic:spPr>
                </pic:pic>
              </a:graphicData>
            </a:graphic>
          </wp:inline>
        </w:drawing>
      </w:r>
    </w:p>
    <w:p w14:paraId="418B3EB7" w14:textId="77777777" w:rsidR="00F76607" w:rsidRDefault="001863F0">
      <w:pPr>
        <w:pStyle w:val="NormalWeb"/>
        <w:spacing w:before="240" w:after="0"/>
        <w:ind w:firstLine="857"/>
        <w:rPr>
          <w:b/>
          <w:sz w:val="18"/>
          <w:szCs w:val="18"/>
        </w:rPr>
      </w:pPr>
      <w:r>
        <w:rPr>
          <w:noProof/>
          <w:lang w:val="nl-BE" w:eastAsia="nl-BE"/>
        </w:rPr>
        <w:drawing>
          <wp:inline distT="0" distB="0" distL="0" distR="0" wp14:anchorId="77938BF1" wp14:editId="726C9B1A">
            <wp:extent cx="3215640" cy="646460"/>
            <wp:effectExtent l="0" t="0" r="381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6355" cy="648614"/>
                    </a:xfrm>
                    <a:prstGeom prst="rect">
                      <a:avLst/>
                    </a:prstGeom>
                    <a:noFill/>
                    <a:ln>
                      <a:noFill/>
                    </a:ln>
                  </pic:spPr>
                </pic:pic>
              </a:graphicData>
            </a:graphic>
          </wp:inline>
        </w:drawing>
      </w:r>
    </w:p>
    <w:p w14:paraId="15F1D204" w14:textId="77777777" w:rsidR="00F76607" w:rsidRDefault="001863F0">
      <w:pPr>
        <w:pStyle w:val="NormalWeb"/>
        <w:spacing w:before="240" w:after="0"/>
        <w:ind w:firstLine="857"/>
        <w:rPr>
          <w:b/>
          <w:sz w:val="18"/>
          <w:szCs w:val="18"/>
          <w:lang w:val="en-GB"/>
        </w:rPr>
      </w:pPr>
      <w:r>
        <w:rPr>
          <w:noProof/>
          <w:lang w:val="nl-BE" w:eastAsia="nl-BE"/>
        </w:rPr>
        <w:drawing>
          <wp:inline distT="0" distB="0" distL="0" distR="0" wp14:anchorId="4B872CB4" wp14:editId="1BCAE3C3">
            <wp:extent cx="3241040" cy="65156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4446" cy="656272"/>
                    </a:xfrm>
                    <a:prstGeom prst="rect">
                      <a:avLst/>
                    </a:prstGeom>
                    <a:noFill/>
                    <a:ln>
                      <a:noFill/>
                    </a:ln>
                  </pic:spPr>
                </pic:pic>
              </a:graphicData>
            </a:graphic>
          </wp:inline>
        </w:drawing>
      </w:r>
    </w:p>
    <w:p w14:paraId="5C9BF2F2" w14:textId="77777777" w:rsidR="00F76607" w:rsidRDefault="001863F0">
      <w:pPr>
        <w:pStyle w:val="NormalWeb"/>
        <w:spacing w:before="240" w:after="0"/>
        <w:ind w:firstLine="857"/>
        <w:rPr>
          <w:sz w:val="18"/>
          <w:szCs w:val="18"/>
        </w:rPr>
      </w:pPr>
      <w:r>
        <w:rPr>
          <w:sz w:val="18"/>
          <w:szCs w:val="18"/>
        </w:rPr>
        <w:t>The following table gives an overview of the Joint Venture’s on balance sheet opportunities with clear rental income conversion (as at 30 June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946"/>
        <w:gridCol w:w="711"/>
        <w:gridCol w:w="1421"/>
        <w:gridCol w:w="717"/>
        <w:gridCol w:w="2101"/>
      </w:tblGrid>
      <w:tr w:rsidR="00F76607" w14:paraId="5DDB3D00" w14:textId="77777777">
        <w:tc>
          <w:tcPr>
            <w:tcW w:w="0" w:type="auto"/>
            <w:shd w:val="clear" w:color="auto" w:fill="BFBFBF" w:themeFill="background1" w:themeFillShade="BF"/>
          </w:tcPr>
          <w:p w14:paraId="65C418AF"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Under construction</w:t>
            </w:r>
          </w:p>
        </w:tc>
        <w:tc>
          <w:tcPr>
            <w:tcW w:w="0" w:type="auto"/>
            <w:shd w:val="clear" w:color="auto" w:fill="BFBFBF" w:themeFill="background1" w:themeFillShade="BF"/>
          </w:tcPr>
          <w:p w14:paraId="2EF3EB8F"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Germany</w:t>
            </w:r>
          </w:p>
        </w:tc>
        <w:tc>
          <w:tcPr>
            <w:tcW w:w="0" w:type="auto"/>
            <w:shd w:val="clear" w:color="auto" w:fill="BFBFBF" w:themeFill="background1" w:themeFillShade="BF"/>
          </w:tcPr>
          <w:p w14:paraId="5EA09BB3"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Spain</w:t>
            </w:r>
          </w:p>
        </w:tc>
        <w:tc>
          <w:tcPr>
            <w:tcW w:w="0" w:type="auto"/>
            <w:shd w:val="clear" w:color="auto" w:fill="BFBFBF" w:themeFill="background1" w:themeFillShade="BF"/>
          </w:tcPr>
          <w:p w14:paraId="5281F832"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Czech Republic</w:t>
            </w:r>
          </w:p>
        </w:tc>
        <w:tc>
          <w:tcPr>
            <w:tcW w:w="0" w:type="auto"/>
            <w:shd w:val="clear" w:color="auto" w:fill="BFBFBF" w:themeFill="background1" w:themeFillShade="BF"/>
          </w:tcPr>
          <w:p w14:paraId="5F1B6BA8"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Latvia</w:t>
            </w:r>
          </w:p>
        </w:tc>
        <w:tc>
          <w:tcPr>
            <w:tcW w:w="0" w:type="auto"/>
            <w:shd w:val="clear" w:color="auto" w:fill="BFBFBF" w:themeFill="background1" w:themeFillShade="BF"/>
          </w:tcPr>
          <w:p w14:paraId="39FDEF89"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Total / weighted average</w:t>
            </w:r>
          </w:p>
        </w:tc>
      </w:tr>
      <w:tr w:rsidR="00F76607" w14:paraId="402B03E4" w14:textId="77777777">
        <w:tc>
          <w:tcPr>
            <w:tcW w:w="0" w:type="auto"/>
          </w:tcPr>
          <w:p w14:paraId="3EC007DC"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Land area</w:t>
            </w:r>
          </w:p>
          <w:p w14:paraId="67FA5B1C"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(in m²)</w:t>
            </w:r>
          </w:p>
        </w:tc>
        <w:tc>
          <w:tcPr>
            <w:tcW w:w="0" w:type="auto"/>
          </w:tcPr>
          <w:p w14:paraId="0A86395C"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195,518</w:t>
            </w:r>
          </w:p>
        </w:tc>
        <w:tc>
          <w:tcPr>
            <w:tcW w:w="0" w:type="auto"/>
          </w:tcPr>
          <w:p w14:paraId="5A533F62"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38,279</w:t>
            </w:r>
          </w:p>
        </w:tc>
        <w:tc>
          <w:tcPr>
            <w:tcW w:w="0" w:type="auto"/>
          </w:tcPr>
          <w:p w14:paraId="46B37EF3"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26,639</w:t>
            </w:r>
          </w:p>
        </w:tc>
        <w:tc>
          <w:tcPr>
            <w:tcW w:w="0" w:type="auto"/>
          </w:tcPr>
          <w:p w14:paraId="6F19FCC7"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44,998</w:t>
            </w:r>
          </w:p>
        </w:tc>
        <w:tc>
          <w:tcPr>
            <w:tcW w:w="0" w:type="auto"/>
          </w:tcPr>
          <w:p w14:paraId="53034997"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305,435</w:t>
            </w:r>
          </w:p>
        </w:tc>
      </w:tr>
      <w:tr w:rsidR="00F76607" w14:paraId="5B545853" w14:textId="77777777">
        <w:tc>
          <w:tcPr>
            <w:tcW w:w="0" w:type="auto"/>
          </w:tcPr>
          <w:p w14:paraId="4D411A18"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Gross lettable area</w:t>
            </w:r>
          </w:p>
          <w:p w14:paraId="5592E382"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(in m²)</w:t>
            </w:r>
          </w:p>
        </w:tc>
        <w:tc>
          <w:tcPr>
            <w:tcW w:w="0" w:type="auto"/>
          </w:tcPr>
          <w:p w14:paraId="7F2ED56E"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156,398</w:t>
            </w:r>
          </w:p>
        </w:tc>
        <w:tc>
          <w:tcPr>
            <w:tcW w:w="0" w:type="auto"/>
          </w:tcPr>
          <w:p w14:paraId="42BEC9AF"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13,071</w:t>
            </w:r>
          </w:p>
        </w:tc>
        <w:tc>
          <w:tcPr>
            <w:tcW w:w="0" w:type="auto"/>
          </w:tcPr>
          <w:p w14:paraId="2C4C07A1"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12,212</w:t>
            </w:r>
          </w:p>
        </w:tc>
        <w:tc>
          <w:tcPr>
            <w:tcW w:w="0" w:type="auto"/>
          </w:tcPr>
          <w:p w14:paraId="7BCD8925"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18,162</w:t>
            </w:r>
          </w:p>
        </w:tc>
        <w:tc>
          <w:tcPr>
            <w:tcW w:w="0" w:type="auto"/>
          </w:tcPr>
          <w:p w14:paraId="17135298"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199,843</w:t>
            </w:r>
          </w:p>
        </w:tc>
      </w:tr>
      <w:tr w:rsidR="00F76607" w14:paraId="56F55766" w14:textId="77777777">
        <w:tc>
          <w:tcPr>
            <w:tcW w:w="0" w:type="auto"/>
          </w:tcPr>
          <w:p w14:paraId="4DCD5074"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Pre-leased</w:t>
            </w:r>
          </w:p>
          <w:p w14:paraId="589445FC"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(in million €)</w:t>
            </w:r>
          </w:p>
        </w:tc>
        <w:tc>
          <w:tcPr>
            <w:tcW w:w="0" w:type="auto"/>
          </w:tcPr>
          <w:p w14:paraId="4B4DB833"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8.0</w:t>
            </w:r>
          </w:p>
        </w:tc>
        <w:tc>
          <w:tcPr>
            <w:tcW w:w="0" w:type="auto"/>
          </w:tcPr>
          <w:p w14:paraId="7FA06CB1"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0.3</w:t>
            </w:r>
          </w:p>
        </w:tc>
        <w:tc>
          <w:tcPr>
            <w:tcW w:w="0" w:type="auto"/>
          </w:tcPr>
          <w:p w14:paraId="4876BF48"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0.4</w:t>
            </w:r>
          </w:p>
        </w:tc>
        <w:tc>
          <w:tcPr>
            <w:tcW w:w="0" w:type="auto"/>
          </w:tcPr>
          <w:p w14:paraId="0E950619"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0.6</w:t>
            </w:r>
          </w:p>
        </w:tc>
        <w:tc>
          <w:tcPr>
            <w:tcW w:w="0" w:type="auto"/>
          </w:tcPr>
          <w:p w14:paraId="0617B7DD"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9.4</w:t>
            </w:r>
          </w:p>
        </w:tc>
      </w:tr>
      <w:tr w:rsidR="00F76607" w14:paraId="74A8B916" w14:textId="77777777">
        <w:tc>
          <w:tcPr>
            <w:tcW w:w="0" w:type="auto"/>
          </w:tcPr>
          <w:p w14:paraId="1D26D426"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Vacant potential</w:t>
            </w:r>
          </w:p>
          <w:p w14:paraId="75A58573"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(in million €)</w:t>
            </w:r>
          </w:p>
        </w:tc>
        <w:tc>
          <w:tcPr>
            <w:tcW w:w="0" w:type="auto"/>
          </w:tcPr>
          <w:p w14:paraId="69FD9033"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0.2</w:t>
            </w:r>
          </w:p>
        </w:tc>
        <w:tc>
          <w:tcPr>
            <w:tcW w:w="0" w:type="auto"/>
          </w:tcPr>
          <w:p w14:paraId="3F91E572"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0.3</w:t>
            </w:r>
          </w:p>
        </w:tc>
        <w:tc>
          <w:tcPr>
            <w:tcW w:w="0" w:type="auto"/>
          </w:tcPr>
          <w:p w14:paraId="5B1C15FD"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0.5</w:t>
            </w:r>
          </w:p>
        </w:tc>
        <w:tc>
          <w:tcPr>
            <w:tcW w:w="0" w:type="auto"/>
          </w:tcPr>
          <w:p w14:paraId="5F846100"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w:t>
            </w:r>
          </w:p>
        </w:tc>
        <w:tc>
          <w:tcPr>
            <w:tcW w:w="0" w:type="auto"/>
          </w:tcPr>
          <w:p w14:paraId="748A31E3"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0.9</w:t>
            </w:r>
          </w:p>
        </w:tc>
      </w:tr>
      <w:tr w:rsidR="00F76607" w14:paraId="65AFE85B" w14:textId="77777777">
        <w:tc>
          <w:tcPr>
            <w:tcW w:w="0" w:type="auto"/>
          </w:tcPr>
          <w:p w14:paraId="07D1894A"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Total potential</w:t>
            </w:r>
          </w:p>
          <w:p w14:paraId="0C8C9EF2"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(in million €)</w:t>
            </w:r>
          </w:p>
        </w:tc>
        <w:tc>
          <w:tcPr>
            <w:tcW w:w="0" w:type="auto"/>
          </w:tcPr>
          <w:p w14:paraId="09BA7333"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8.2</w:t>
            </w:r>
          </w:p>
        </w:tc>
        <w:tc>
          <w:tcPr>
            <w:tcW w:w="0" w:type="auto"/>
          </w:tcPr>
          <w:p w14:paraId="50E2115E"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0.6</w:t>
            </w:r>
          </w:p>
        </w:tc>
        <w:tc>
          <w:tcPr>
            <w:tcW w:w="0" w:type="auto"/>
          </w:tcPr>
          <w:p w14:paraId="0BC11293"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0.9</w:t>
            </w:r>
          </w:p>
        </w:tc>
        <w:tc>
          <w:tcPr>
            <w:tcW w:w="0" w:type="auto"/>
          </w:tcPr>
          <w:p w14:paraId="08F25990"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0.6</w:t>
            </w:r>
          </w:p>
        </w:tc>
        <w:tc>
          <w:tcPr>
            <w:tcW w:w="0" w:type="auto"/>
          </w:tcPr>
          <w:p w14:paraId="546299B7"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10.3</w:t>
            </w:r>
          </w:p>
        </w:tc>
      </w:tr>
      <w:tr w:rsidR="00F76607" w14:paraId="45B301C1" w14:textId="77777777">
        <w:tc>
          <w:tcPr>
            <w:tcW w:w="0" w:type="auto"/>
          </w:tcPr>
          <w:p w14:paraId="2871D3F6"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Pre-let</w:t>
            </w:r>
          </w:p>
        </w:tc>
        <w:tc>
          <w:tcPr>
            <w:tcW w:w="0" w:type="auto"/>
          </w:tcPr>
          <w:p w14:paraId="31DD433C"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98%</w:t>
            </w:r>
          </w:p>
        </w:tc>
        <w:tc>
          <w:tcPr>
            <w:tcW w:w="0" w:type="auto"/>
          </w:tcPr>
          <w:p w14:paraId="1069177C"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58%</w:t>
            </w:r>
          </w:p>
        </w:tc>
        <w:tc>
          <w:tcPr>
            <w:tcW w:w="0" w:type="auto"/>
          </w:tcPr>
          <w:p w14:paraId="2AB6BCDA"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100%</w:t>
            </w:r>
          </w:p>
        </w:tc>
        <w:tc>
          <w:tcPr>
            <w:tcW w:w="0" w:type="auto"/>
          </w:tcPr>
          <w:p w14:paraId="3F77B1A4"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51%</w:t>
            </w:r>
          </w:p>
        </w:tc>
        <w:tc>
          <w:tcPr>
            <w:tcW w:w="0" w:type="auto"/>
          </w:tcPr>
          <w:p w14:paraId="6DE6AE20"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91%</w:t>
            </w:r>
          </w:p>
        </w:tc>
      </w:tr>
    </w:tbl>
    <w:p w14:paraId="7F5713F7" w14:textId="77777777" w:rsidR="00F76607" w:rsidRDefault="00F7660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946"/>
        <w:gridCol w:w="1421"/>
        <w:gridCol w:w="717"/>
        <w:gridCol w:w="877"/>
        <w:gridCol w:w="801"/>
      </w:tblGrid>
      <w:tr w:rsidR="00F76607" w14:paraId="2A6CC4B1" w14:textId="77777777">
        <w:tc>
          <w:tcPr>
            <w:tcW w:w="0" w:type="auto"/>
            <w:shd w:val="clear" w:color="auto" w:fill="BFBFBF" w:themeFill="background1" w:themeFillShade="BF"/>
          </w:tcPr>
          <w:p w14:paraId="4AA5D62D"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Remaining potential</w:t>
            </w:r>
          </w:p>
        </w:tc>
        <w:tc>
          <w:tcPr>
            <w:tcW w:w="0" w:type="auto"/>
            <w:shd w:val="clear" w:color="auto" w:fill="BFBFBF" w:themeFill="background1" w:themeFillShade="BF"/>
          </w:tcPr>
          <w:p w14:paraId="57166878"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Germany</w:t>
            </w:r>
          </w:p>
        </w:tc>
        <w:tc>
          <w:tcPr>
            <w:tcW w:w="0" w:type="auto"/>
            <w:shd w:val="clear" w:color="auto" w:fill="BFBFBF" w:themeFill="background1" w:themeFillShade="BF"/>
          </w:tcPr>
          <w:p w14:paraId="11B2A18F"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Czech Republic</w:t>
            </w:r>
          </w:p>
        </w:tc>
        <w:tc>
          <w:tcPr>
            <w:tcW w:w="0" w:type="auto"/>
            <w:shd w:val="clear" w:color="auto" w:fill="BFBFBF" w:themeFill="background1" w:themeFillShade="BF"/>
          </w:tcPr>
          <w:p w14:paraId="0CEC95E3"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Latvia</w:t>
            </w:r>
          </w:p>
        </w:tc>
        <w:tc>
          <w:tcPr>
            <w:tcW w:w="0" w:type="auto"/>
            <w:shd w:val="clear" w:color="auto" w:fill="BFBFBF" w:themeFill="background1" w:themeFillShade="BF"/>
          </w:tcPr>
          <w:p w14:paraId="6B3EDC03" w14:textId="77777777" w:rsidR="00F76607" w:rsidRDefault="001863F0">
            <w:pPr>
              <w:jc w:val="center"/>
              <w:rPr>
                <w:b/>
                <w:color w:val="FFFFFF" w:themeColor="background1"/>
                <w:sz w:val="18"/>
                <w:szCs w:val="18"/>
              </w:rPr>
            </w:pPr>
            <w:r>
              <w:rPr>
                <w:rFonts w:ascii="Times New Roman" w:eastAsia="Times New Roman" w:hAnsi="Times New Roman" w:cs="Times New Roman"/>
                <w:b/>
                <w:color w:val="FFFFFF" w:themeColor="background1"/>
                <w:sz w:val="18"/>
                <w:szCs w:val="18"/>
                <w:lang w:val="en-US"/>
              </w:rPr>
              <w:t>Slovakia</w:t>
            </w:r>
          </w:p>
        </w:tc>
        <w:tc>
          <w:tcPr>
            <w:tcW w:w="0" w:type="auto"/>
            <w:shd w:val="clear" w:color="auto" w:fill="BFBFBF" w:themeFill="background1" w:themeFillShade="BF"/>
          </w:tcPr>
          <w:p w14:paraId="658B41EB" w14:textId="77777777" w:rsidR="00F76607" w:rsidRDefault="001863F0">
            <w:pPr>
              <w:jc w:val="center"/>
              <w:rPr>
                <w:rFonts w:ascii="Times New Roman" w:eastAsia="Times New Roman" w:hAnsi="Times New Roman" w:cs="Times New Roman"/>
                <w:b/>
                <w:color w:val="FFFFFF" w:themeColor="background1"/>
                <w:sz w:val="18"/>
                <w:szCs w:val="18"/>
                <w:lang w:val="en-US"/>
              </w:rPr>
            </w:pPr>
            <w:r>
              <w:rPr>
                <w:rFonts w:ascii="Times New Roman" w:eastAsia="Times New Roman" w:hAnsi="Times New Roman" w:cs="Times New Roman"/>
                <w:b/>
                <w:color w:val="FFFFFF" w:themeColor="background1"/>
                <w:sz w:val="18"/>
                <w:szCs w:val="18"/>
                <w:lang w:val="en-US"/>
              </w:rPr>
              <w:t>Total</w:t>
            </w:r>
          </w:p>
        </w:tc>
      </w:tr>
      <w:tr w:rsidR="00F76607" w14:paraId="77052FBB" w14:textId="77777777">
        <w:tc>
          <w:tcPr>
            <w:tcW w:w="0" w:type="auto"/>
          </w:tcPr>
          <w:p w14:paraId="29C2787E"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Land area</w:t>
            </w:r>
          </w:p>
          <w:p w14:paraId="24954A79"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(in m²)</w:t>
            </w:r>
          </w:p>
        </w:tc>
        <w:tc>
          <w:tcPr>
            <w:tcW w:w="0" w:type="auto"/>
          </w:tcPr>
          <w:p w14:paraId="0E56CF7D"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79,579</w:t>
            </w:r>
          </w:p>
        </w:tc>
        <w:tc>
          <w:tcPr>
            <w:tcW w:w="0" w:type="auto"/>
          </w:tcPr>
          <w:p w14:paraId="3362A57C"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97,202</w:t>
            </w:r>
          </w:p>
        </w:tc>
        <w:tc>
          <w:tcPr>
            <w:tcW w:w="0" w:type="auto"/>
          </w:tcPr>
          <w:p w14:paraId="6A734CED"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29,353</w:t>
            </w:r>
          </w:p>
        </w:tc>
        <w:tc>
          <w:tcPr>
            <w:tcW w:w="0" w:type="auto"/>
          </w:tcPr>
          <w:p w14:paraId="645B19DB"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23,569</w:t>
            </w:r>
          </w:p>
        </w:tc>
        <w:tc>
          <w:tcPr>
            <w:tcW w:w="0" w:type="auto"/>
          </w:tcPr>
          <w:p w14:paraId="15FBC6C5"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229,703</w:t>
            </w:r>
          </w:p>
        </w:tc>
      </w:tr>
      <w:tr w:rsidR="00F76607" w14:paraId="09511B13" w14:textId="77777777">
        <w:tc>
          <w:tcPr>
            <w:tcW w:w="0" w:type="auto"/>
          </w:tcPr>
          <w:p w14:paraId="1D0513AB"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Gross lettable area</w:t>
            </w:r>
          </w:p>
          <w:p w14:paraId="66D04EFA" w14:textId="77777777" w:rsidR="00F76607" w:rsidRDefault="001863F0">
            <w:pP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lastRenderedPageBreak/>
              <w:t>(in m²)</w:t>
            </w:r>
          </w:p>
        </w:tc>
        <w:tc>
          <w:tcPr>
            <w:tcW w:w="0" w:type="auto"/>
          </w:tcPr>
          <w:p w14:paraId="6072AE13"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lastRenderedPageBreak/>
              <w:t>31,488</w:t>
            </w:r>
          </w:p>
        </w:tc>
        <w:tc>
          <w:tcPr>
            <w:tcW w:w="0" w:type="auto"/>
          </w:tcPr>
          <w:p w14:paraId="2A8D0644"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38,823</w:t>
            </w:r>
          </w:p>
        </w:tc>
        <w:tc>
          <w:tcPr>
            <w:tcW w:w="0" w:type="auto"/>
          </w:tcPr>
          <w:p w14:paraId="7F361FBD"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12,000</w:t>
            </w:r>
          </w:p>
        </w:tc>
        <w:tc>
          <w:tcPr>
            <w:tcW w:w="0" w:type="auto"/>
          </w:tcPr>
          <w:p w14:paraId="5A6C88F9"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9,880</w:t>
            </w:r>
          </w:p>
        </w:tc>
        <w:tc>
          <w:tcPr>
            <w:tcW w:w="0" w:type="auto"/>
          </w:tcPr>
          <w:p w14:paraId="10CFA747" w14:textId="77777777" w:rsidR="00F76607" w:rsidRDefault="001863F0">
            <w:pPr>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92,191</w:t>
            </w:r>
          </w:p>
        </w:tc>
      </w:tr>
    </w:tbl>
    <w:p w14:paraId="078857EF" w14:textId="77777777" w:rsidR="00F76607" w:rsidRDefault="00F76607">
      <w:pPr>
        <w:pStyle w:val="NormalWeb"/>
        <w:spacing w:before="240" w:after="0"/>
        <w:ind w:firstLine="857"/>
        <w:rPr>
          <w:b/>
          <w:sz w:val="18"/>
          <w:szCs w:val="18"/>
          <w:lang w:val="en-GB"/>
        </w:rPr>
      </w:pPr>
    </w:p>
    <w:p w14:paraId="14A22FDD" w14:textId="77777777" w:rsidR="00F76607" w:rsidRDefault="001863F0">
      <w:pPr>
        <w:pStyle w:val="VulcanIILevel1"/>
        <w:rPr>
          <w:lang w:val="en-GB"/>
        </w:rPr>
      </w:pPr>
      <w:r>
        <w:rPr>
          <w:lang w:val="en-GB"/>
        </w:rPr>
        <w:t>Property valuation techniques and related quantitative information</w:t>
      </w:r>
    </w:p>
    <w:p w14:paraId="2D12E211" w14:textId="77777777" w:rsidR="00F76607" w:rsidRDefault="001863F0">
      <w:pPr>
        <w:pStyle w:val="VulcanIILevel2"/>
      </w:pPr>
      <w:r>
        <w:t>Valuation process</w:t>
      </w:r>
    </w:p>
    <w:p w14:paraId="4877632B" w14:textId="77777777" w:rsidR="00F76607" w:rsidRDefault="001863F0">
      <w:pPr>
        <w:pStyle w:val="VulcanIIbody"/>
        <w:rPr>
          <w:lang w:val="en-GB"/>
        </w:rPr>
      </w:pPr>
      <w:r>
        <w:rPr>
          <w:lang w:val="en-GB"/>
        </w:rPr>
        <w:t>The Group’s own investment properties and the Joint Venture’s investment properties were valued at 30 June 2017 by Jones Lang LaSalle. The valuations were prepared in accordance with the RICS Valuation - Professional Standards (incorporating the International Valuation Standards) Global edition January 2014. The basis of valuation is the Market Value of the property, as at the date of valuation, defined by the RICS as: “</w:t>
      </w:r>
      <w:r>
        <w:rPr>
          <w:i/>
          <w:lang w:val="en-GB"/>
        </w:rPr>
        <w:t>The estimated amount for which an asset or liability should exchange on the valuation date between a willing buyer and a willing seller in an arm’s length transaction after proper marketing and where the parties had each acted knowledgeably, prudently and without compulsion</w:t>
      </w:r>
      <w:r>
        <w:rPr>
          <w:lang w:val="en-GB"/>
        </w:rPr>
        <w:t>.”</w:t>
      </w:r>
    </w:p>
    <w:p w14:paraId="27243CEB" w14:textId="44A195D7" w:rsidR="00F76607" w:rsidRDefault="001863F0">
      <w:pPr>
        <w:pStyle w:val="VulcanIIbody"/>
        <w:rPr>
          <w:lang w:val="en-GB"/>
        </w:rPr>
      </w:pPr>
      <w:r>
        <w:rPr>
          <w:lang w:val="en-GB"/>
        </w:rPr>
        <w:t>The valuation process used by Jones Lang LaSalle</w:t>
      </w:r>
      <w:r w:rsidR="001453A8">
        <w:rPr>
          <w:lang w:val="en-GB"/>
        </w:rPr>
        <w:t xml:space="preserve">. the </w:t>
      </w:r>
      <w:r w:rsidR="00AF7864">
        <w:rPr>
          <w:lang w:val="en-GB"/>
        </w:rPr>
        <w:t>D</w:t>
      </w:r>
      <w:r>
        <w:rPr>
          <w:lang w:val="en-GB"/>
        </w:rPr>
        <w:t xml:space="preserve">iscounted </w:t>
      </w:r>
      <w:r w:rsidR="00AF7864">
        <w:rPr>
          <w:lang w:val="en-GB"/>
        </w:rPr>
        <w:t>C</w:t>
      </w:r>
      <w:r>
        <w:rPr>
          <w:lang w:val="en-GB"/>
        </w:rPr>
        <w:t xml:space="preserve">ash </w:t>
      </w:r>
      <w:r w:rsidR="00AF7864">
        <w:rPr>
          <w:lang w:val="en-GB"/>
        </w:rPr>
        <w:t>F</w:t>
      </w:r>
      <w:r>
        <w:rPr>
          <w:lang w:val="en-GB"/>
        </w:rPr>
        <w:t xml:space="preserve">low (“DCF”) </w:t>
      </w:r>
      <w:r w:rsidR="001453A8">
        <w:rPr>
          <w:lang w:val="en-GB"/>
        </w:rPr>
        <w:t>v</w:t>
      </w:r>
      <w:r>
        <w:rPr>
          <w:lang w:val="en-GB"/>
        </w:rPr>
        <w:t xml:space="preserve">aluation </w:t>
      </w:r>
      <w:r w:rsidR="001453A8">
        <w:rPr>
          <w:lang w:val="en-GB"/>
        </w:rPr>
        <w:t>a</w:t>
      </w:r>
      <w:r>
        <w:rPr>
          <w:lang w:val="en-GB"/>
        </w:rPr>
        <w:t xml:space="preserve">pproach except for the Spanish property portfolio which was valued using the </w:t>
      </w:r>
      <w:r w:rsidR="00AF7864">
        <w:rPr>
          <w:lang w:val="en-GB"/>
        </w:rPr>
        <w:t>N</w:t>
      </w:r>
      <w:r>
        <w:rPr>
          <w:lang w:val="en-GB"/>
        </w:rPr>
        <w:t xml:space="preserve">et </w:t>
      </w:r>
      <w:r w:rsidR="00AF7864">
        <w:rPr>
          <w:lang w:val="en-GB"/>
        </w:rPr>
        <w:t>P</w:t>
      </w:r>
      <w:r>
        <w:rPr>
          <w:lang w:val="en-GB"/>
        </w:rPr>
        <w:t xml:space="preserve">resent </w:t>
      </w:r>
      <w:r w:rsidR="00AF7864">
        <w:rPr>
          <w:lang w:val="en-GB"/>
        </w:rPr>
        <w:t>V</w:t>
      </w:r>
      <w:r>
        <w:rPr>
          <w:lang w:val="en-GB"/>
        </w:rPr>
        <w:t xml:space="preserve">alue (“NPV”) </w:t>
      </w:r>
      <w:r w:rsidR="001453A8">
        <w:rPr>
          <w:lang w:val="en-GB"/>
        </w:rPr>
        <w:t>v</w:t>
      </w:r>
      <w:r>
        <w:rPr>
          <w:lang w:val="en-GB"/>
        </w:rPr>
        <w:t xml:space="preserve">aluation and </w:t>
      </w:r>
      <w:r w:rsidR="001453A8">
        <w:rPr>
          <w:lang w:val="en-GB"/>
        </w:rPr>
        <w:t>i</w:t>
      </w:r>
      <w:r>
        <w:rPr>
          <w:lang w:val="en-GB"/>
        </w:rPr>
        <w:t xml:space="preserve">nitial </w:t>
      </w:r>
      <w:r w:rsidR="001453A8">
        <w:rPr>
          <w:lang w:val="en-GB"/>
        </w:rPr>
        <w:t>y</w:t>
      </w:r>
      <w:r>
        <w:rPr>
          <w:lang w:val="en-GB"/>
        </w:rPr>
        <w:t xml:space="preserve">ield </w:t>
      </w:r>
      <w:r w:rsidR="001453A8">
        <w:rPr>
          <w:lang w:val="en-GB"/>
        </w:rPr>
        <w:t>a</w:t>
      </w:r>
      <w:r>
        <w:rPr>
          <w:lang w:val="en-GB"/>
        </w:rPr>
        <w:t>pproach.</w:t>
      </w:r>
    </w:p>
    <w:p w14:paraId="3441C41C" w14:textId="1D4EBC4B" w:rsidR="00F76607" w:rsidRDefault="001453A8">
      <w:pPr>
        <w:pStyle w:val="VulcanIIbody"/>
        <w:rPr>
          <w:lang w:val="en-GB"/>
        </w:rPr>
      </w:pPr>
      <w:r>
        <w:rPr>
          <w:lang w:val="en-GB"/>
        </w:rPr>
        <w:t xml:space="preserve">The </w:t>
      </w:r>
      <w:r w:rsidR="00AF7864">
        <w:rPr>
          <w:lang w:val="en-GB"/>
        </w:rPr>
        <w:t>NPV</w:t>
      </w:r>
      <w:r w:rsidR="001863F0">
        <w:rPr>
          <w:lang w:val="en-GB"/>
        </w:rPr>
        <w:t xml:space="preserve"> </w:t>
      </w:r>
      <w:r>
        <w:rPr>
          <w:lang w:val="en-GB"/>
        </w:rPr>
        <w:t>a</w:t>
      </w:r>
      <w:r w:rsidR="001863F0">
        <w:rPr>
          <w:lang w:val="en-GB"/>
        </w:rPr>
        <w:t xml:space="preserve">pproach was utilized for the Mango building in VGP Park Mango (Barcelona). The NPV approach is similar to the DCF approach in that it calculates the present value by discounting future cash flows with a certain rate. The </w:t>
      </w:r>
      <w:r>
        <w:rPr>
          <w:lang w:val="en-GB"/>
        </w:rPr>
        <w:t>i</w:t>
      </w:r>
      <w:r w:rsidR="001863F0">
        <w:rPr>
          <w:lang w:val="en-GB"/>
        </w:rPr>
        <w:t xml:space="preserve">nternal </w:t>
      </w:r>
      <w:r>
        <w:rPr>
          <w:lang w:val="en-GB"/>
        </w:rPr>
        <w:t>r</w:t>
      </w:r>
      <w:r w:rsidR="001863F0">
        <w:rPr>
          <w:lang w:val="en-GB"/>
        </w:rPr>
        <w:t xml:space="preserve">ate of </w:t>
      </w:r>
      <w:r>
        <w:rPr>
          <w:lang w:val="en-GB"/>
        </w:rPr>
        <w:t>r</w:t>
      </w:r>
      <w:r w:rsidR="001863F0">
        <w:rPr>
          <w:lang w:val="en-GB"/>
        </w:rPr>
        <w:t>eturn</w:t>
      </w:r>
      <w:r>
        <w:rPr>
          <w:lang w:val="en-GB"/>
        </w:rPr>
        <w:t xml:space="preserve"> (i.e., </w:t>
      </w:r>
      <w:r w:rsidRPr="001453A8">
        <w:rPr>
          <w:lang w:val="en-GB"/>
        </w:rPr>
        <w:t>annualized effective compounded return rate or rate of return that sets the net present value of all cash flows (both positive and negative) from the investment equal to zero</w:t>
      </w:r>
      <w:r>
        <w:rPr>
          <w:lang w:val="en-GB"/>
        </w:rPr>
        <w:t>)</w:t>
      </w:r>
      <w:r w:rsidR="001863F0">
        <w:rPr>
          <w:lang w:val="en-GB"/>
        </w:rPr>
        <w:t xml:space="preserve"> is calculated so that the sum of discounted positive and negative cash flows is equal to zero. When calculating the value of the Mango building the value of the property was estimated at the end of a 30-year lease.</w:t>
      </w:r>
    </w:p>
    <w:p w14:paraId="5A0D3D9D" w14:textId="36AC825A" w:rsidR="00F76607" w:rsidRDefault="001453A8">
      <w:pPr>
        <w:pStyle w:val="VulcanIIbody"/>
        <w:rPr>
          <w:lang w:val="en-GB"/>
        </w:rPr>
      </w:pPr>
      <w:r>
        <w:rPr>
          <w:lang w:val="en-GB"/>
        </w:rPr>
        <w:t>The i</w:t>
      </w:r>
      <w:r w:rsidR="001863F0">
        <w:rPr>
          <w:lang w:val="en-GB"/>
        </w:rPr>
        <w:t xml:space="preserve">nitial </w:t>
      </w:r>
      <w:r>
        <w:rPr>
          <w:lang w:val="en-GB"/>
        </w:rPr>
        <w:t>y</w:t>
      </w:r>
      <w:r w:rsidR="001863F0">
        <w:rPr>
          <w:lang w:val="en-GB"/>
        </w:rPr>
        <w:t xml:space="preserve">ield </w:t>
      </w:r>
      <w:r>
        <w:rPr>
          <w:lang w:val="en-GB"/>
        </w:rPr>
        <w:t>a</w:t>
      </w:r>
      <w:r w:rsidR="001863F0">
        <w:rPr>
          <w:lang w:val="en-GB"/>
        </w:rPr>
        <w:t>pproach was utilized for the building under construction in VGP Park San Fer</w:t>
      </w:r>
      <w:r>
        <w:rPr>
          <w:lang w:val="en-GB"/>
        </w:rPr>
        <w:t>nando de Henares (Madrid). The i</w:t>
      </w:r>
      <w:r w:rsidR="001863F0">
        <w:rPr>
          <w:lang w:val="en-GB"/>
        </w:rPr>
        <w:t xml:space="preserve">nitial </w:t>
      </w:r>
      <w:r>
        <w:rPr>
          <w:lang w:val="en-GB"/>
        </w:rPr>
        <w:t>y</w:t>
      </w:r>
      <w:r w:rsidR="001863F0">
        <w:rPr>
          <w:lang w:val="en-GB"/>
        </w:rPr>
        <w:t xml:space="preserve">ield </w:t>
      </w:r>
      <w:r>
        <w:rPr>
          <w:lang w:val="en-GB"/>
        </w:rPr>
        <w:t>a</w:t>
      </w:r>
      <w:r w:rsidR="001863F0">
        <w:rPr>
          <w:lang w:val="en-GB"/>
        </w:rPr>
        <w:t xml:space="preserve">pproach calculates the </w:t>
      </w:r>
      <w:r>
        <w:rPr>
          <w:lang w:val="en-GB"/>
        </w:rPr>
        <w:t>g</w:t>
      </w:r>
      <w:r w:rsidR="001863F0">
        <w:rPr>
          <w:lang w:val="en-GB"/>
        </w:rPr>
        <w:t xml:space="preserve">ross </w:t>
      </w:r>
      <w:r>
        <w:rPr>
          <w:lang w:val="en-GB"/>
        </w:rPr>
        <w:t>m</w:t>
      </w:r>
      <w:r w:rsidR="001863F0">
        <w:rPr>
          <w:lang w:val="en-GB"/>
        </w:rPr>
        <w:t xml:space="preserve">arket </w:t>
      </w:r>
      <w:r>
        <w:rPr>
          <w:lang w:val="en-GB"/>
        </w:rPr>
        <w:t>v</w:t>
      </w:r>
      <w:r w:rsidR="001863F0">
        <w:rPr>
          <w:lang w:val="en-GB"/>
        </w:rPr>
        <w:t>alue by a</w:t>
      </w:r>
      <w:r>
        <w:rPr>
          <w:lang w:val="en-GB"/>
        </w:rPr>
        <w:t>pplying a capitalisation rate (i</w:t>
      </w:r>
      <w:r w:rsidR="001863F0">
        <w:rPr>
          <w:lang w:val="en-GB"/>
        </w:rPr>
        <w:t xml:space="preserve">nitial </w:t>
      </w:r>
      <w:r>
        <w:rPr>
          <w:lang w:val="en-GB"/>
        </w:rPr>
        <w:t>y</w:t>
      </w:r>
      <w:r w:rsidR="001863F0">
        <w:rPr>
          <w:lang w:val="en-GB"/>
        </w:rPr>
        <w:t>ield) to the net rental income as of the valuation date, and capitalising the income into perpetuity. When calculating the value of the property it is assumed that the building is completed as of the valuation date and subject to a 10-year lease, with the remaining construction costs deducted from the Market Value.</w:t>
      </w:r>
    </w:p>
    <w:p w14:paraId="490188E6" w14:textId="77777777" w:rsidR="00F76607" w:rsidRDefault="001863F0">
      <w:pPr>
        <w:pStyle w:val="VulcanIILevel2"/>
      </w:pPr>
      <w:r>
        <w:t xml:space="preserve">Quantitative information about fair value measurements using unobservable inputs </w:t>
      </w:r>
    </w:p>
    <w:p w14:paraId="5AEDC9BA" w14:textId="77777777" w:rsidR="00F76607" w:rsidRDefault="001863F0">
      <w:pPr>
        <w:pStyle w:val="VulcanIIbody"/>
        <w:rPr>
          <w:lang w:val="en-GB"/>
        </w:rPr>
      </w:pPr>
      <w:r>
        <w:rPr>
          <w:lang w:val="en-GB"/>
        </w:rPr>
        <w:t>The quantitative information in the following tables is taken from the different reports produced by the independent real estate experts. The figures provide the range of values and the weighted average of the assumptions used in the determination of the fair value of investment properties. In these tables, following abbreviations have the following meanings:</w:t>
      </w:r>
    </w:p>
    <w:p w14:paraId="6F60CD2B" w14:textId="77777777" w:rsidR="00F76607" w:rsidRDefault="001863F0">
      <w:pPr>
        <w:pStyle w:val="VulcanIIbullet"/>
        <w:rPr>
          <w:lang w:val="en-GB"/>
        </w:rPr>
      </w:pPr>
      <w:r>
        <w:rPr>
          <w:lang w:val="en-GB"/>
        </w:rPr>
        <w:tab/>
        <w:t>IP=</w:t>
      </w:r>
      <w:r>
        <w:rPr>
          <w:lang w:val="en-GB"/>
        </w:rPr>
        <w:tab/>
        <w:t>completed investment property</w:t>
      </w:r>
    </w:p>
    <w:p w14:paraId="6FABDA56" w14:textId="77777777" w:rsidR="00F76607" w:rsidRDefault="001863F0">
      <w:pPr>
        <w:pStyle w:val="VulcanIIbullet"/>
        <w:rPr>
          <w:lang w:val="en-GB"/>
        </w:rPr>
      </w:pPr>
      <w:r>
        <w:rPr>
          <w:lang w:val="en-GB"/>
        </w:rPr>
        <w:tab/>
        <w:t>IPUC=</w:t>
      </w:r>
      <w:r>
        <w:rPr>
          <w:lang w:val="en-GB"/>
        </w:rPr>
        <w:tab/>
        <w:t>investment property under construction</w:t>
      </w:r>
    </w:p>
    <w:p w14:paraId="2EE40EDA" w14:textId="77777777" w:rsidR="00F76607" w:rsidRDefault="001863F0">
      <w:pPr>
        <w:pStyle w:val="VulcanIIbullet"/>
        <w:rPr>
          <w:lang w:val="en-GB"/>
        </w:rPr>
      </w:pPr>
      <w:r>
        <w:rPr>
          <w:lang w:val="en-GB"/>
        </w:rPr>
        <w:tab/>
        <w:t>DL=</w:t>
      </w:r>
      <w:r>
        <w:rPr>
          <w:lang w:val="en-GB"/>
        </w:rPr>
        <w:tab/>
        <w:t>development land</w:t>
      </w:r>
    </w:p>
    <w:p w14:paraId="7E1A938A" w14:textId="77777777" w:rsidR="00F76607" w:rsidRDefault="001863F0">
      <w:pPr>
        <w:pStyle w:val="VulcanIIbody"/>
        <w:rPr>
          <w:lang w:val="en-GB"/>
        </w:rPr>
      </w:pPr>
      <w:r>
        <w:rPr>
          <w:lang w:val="en-GB"/>
        </w:rPr>
        <w:t>For the Group’s own portfolio (as at 30 June 2017):</w:t>
      </w:r>
    </w:p>
    <w:p w14:paraId="5C9B06DF" w14:textId="77777777" w:rsidR="00F76607" w:rsidRDefault="00F76607">
      <w:pPr>
        <w:pStyle w:val="VulcanIIbody"/>
        <w:rPr>
          <w:lang w:val="en-GB"/>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535"/>
        <w:gridCol w:w="800"/>
        <w:gridCol w:w="1566"/>
        <w:gridCol w:w="1745"/>
        <w:gridCol w:w="2298"/>
        <w:gridCol w:w="1300"/>
      </w:tblGrid>
      <w:tr w:rsidR="00F76607" w14:paraId="31AF2890" w14:textId="77777777">
        <w:trPr>
          <w:trHeight w:val="500"/>
        </w:trPr>
        <w:tc>
          <w:tcPr>
            <w:tcW w:w="0" w:type="auto"/>
            <w:shd w:val="clear" w:color="auto" w:fill="A6A6A6" w:themeFill="background1" w:themeFillShade="A6"/>
            <w:noWrap/>
            <w:vAlign w:val="bottom"/>
            <w:hideMark/>
          </w:tcPr>
          <w:p w14:paraId="42638F06" w14:textId="77777777" w:rsidR="00F76607" w:rsidRDefault="001863F0">
            <w:pPr>
              <w:jc w:val="center"/>
              <w:rPr>
                <w:b/>
                <w:color w:val="FFFFFF" w:themeColor="background1"/>
                <w:sz w:val="18"/>
                <w:szCs w:val="18"/>
              </w:rPr>
            </w:pPr>
            <w:r>
              <w:rPr>
                <w:b/>
                <w:color w:val="FFFFFF" w:themeColor="background1"/>
                <w:sz w:val="18"/>
                <w:szCs w:val="18"/>
              </w:rPr>
              <w:t>Region</w:t>
            </w:r>
          </w:p>
        </w:tc>
        <w:tc>
          <w:tcPr>
            <w:tcW w:w="0" w:type="auto"/>
            <w:shd w:val="clear" w:color="auto" w:fill="A6A6A6" w:themeFill="background1" w:themeFillShade="A6"/>
            <w:noWrap/>
            <w:vAlign w:val="bottom"/>
            <w:hideMark/>
          </w:tcPr>
          <w:p w14:paraId="0072B63F" w14:textId="77777777" w:rsidR="00F76607" w:rsidRDefault="001863F0">
            <w:pPr>
              <w:jc w:val="center"/>
              <w:rPr>
                <w:b/>
                <w:color w:val="FFFFFF" w:themeColor="background1"/>
                <w:sz w:val="18"/>
                <w:szCs w:val="18"/>
              </w:rPr>
            </w:pPr>
            <w:r>
              <w:rPr>
                <w:b/>
                <w:color w:val="FFFFFF" w:themeColor="background1"/>
                <w:sz w:val="18"/>
                <w:szCs w:val="18"/>
              </w:rPr>
              <w:t>Segment</w:t>
            </w:r>
          </w:p>
        </w:tc>
        <w:tc>
          <w:tcPr>
            <w:tcW w:w="0" w:type="auto"/>
            <w:shd w:val="clear" w:color="auto" w:fill="A6A6A6" w:themeFill="background1" w:themeFillShade="A6"/>
            <w:vAlign w:val="bottom"/>
            <w:hideMark/>
          </w:tcPr>
          <w:p w14:paraId="4BC632ED" w14:textId="77777777" w:rsidR="00F76607" w:rsidRDefault="001863F0">
            <w:pPr>
              <w:jc w:val="center"/>
              <w:rPr>
                <w:b/>
                <w:color w:val="FFFFFF" w:themeColor="background1"/>
                <w:sz w:val="18"/>
                <w:szCs w:val="18"/>
              </w:rPr>
            </w:pPr>
            <w:r>
              <w:rPr>
                <w:b/>
                <w:color w:val="FFFFFF" w:themeColor="background1"/>
                <w:sz w:val="18"/>
                <w:szCs w:val="18"/>
              </w:rPr>
              <w:t xml:space="preserve">Fair value </w:t>
            </w:r>
          </w:p>
          <w:p w14:paraId="0D9C961A" w14:textId="77777777" w:rsidR="00F76607" w:rsidRDefault="001863F0">
            <w:pPr>
              <w:jc w:val="center"/>
              <w:rPr>
                <w:b/>
                <w:color w:val="FFFFFF" w:themeColor="background1"/>
                <w:sz w:val="18"/>
                <w:szCs w:val="18"/>
              </w:rPr>
            </w:pPr>
            <w:r>
              <w:rPr>
                <w:b/>
                <w:color w:val="FFFFFF" w:themeColor="background1"/>
                <w:sz w:val="18"/>
                <w:szCs w:val="18"/>
              </w:rPr>
              <w:t>30 Jun-17</w:t>
            </w:r>
          </w:p>
          <w:p w14:paraId="4B3726E1" w14:textId="1C81A215" w:rsidR="00F76607" w:rsidRDefault="001863F0">
            <w:pPr>
              <w:jc w:val="center"/>
              <w:rPr>
                <w:b/>
                <w:color w:val="FFFFFF" w:themeColor="background1"/>
                <w:sz w:val="18"/>
                <w:szCs w:val="18"/>
              </w:rPr>
            </w:pPr>
            <w:r>
              <w:rPr>
                <w:b/>
                <w:color w:val="FFFFFF" w:themeColor="background1"/>
                <w:sz w:val="18"/>
                <w:szCs w:val="18"/>
              </w:rPr>
              <w:t>(in thousands</w:t>
            </w:r>
            <w:r w:rsidR="00C2417B">
              <w:rPr>
                <w:b/>
                <w:color w:val="FFFFFF" w:themeColor="background1"/>
                <w:sz w:val="18"/>
                <w:szCs w:val="18"/>
              </w:rPr>
              <w:t xml:space="preserve"> of</w:t>
            </w:r>
            <w:r>
              <w:rPr>
                <w:b/>
                <w:color w:val="FFFFFF" w:themeColor="background1"/>
                <w:sz w:val="18"/>
                <w:szCs w:val="18"/>
              </w:rPr>
              <w:t xml:space="preserve"> €)</w:t>
            </w:r>
          </w:p>
        </w:tc>
        <w:tc>
          <w:tcPr>
            <w:tcW w:w="0" w:type="auto"/>
            <w:shd w:val="clear" w:color="auto" w:fill="A6A6A6" w:themeFill="background1" w:themeFillShade="A6"/>
            <w:noWrap/>
            <w:vAlign w:val="bottom"/>
            <w:hideMark/>
          </w:tcPr>
          <w:p w14:paraId="1DDB71DD" w14:textId="77777777" w:rsidR="00F76607" w:rsidRDefault="001863F0">
            <w:pPr>
              <w:jc w:val="center"/>
              <w:rPr>
                <w:b/>
                <w:color w:val="FFFFFF" w:themeColor="background1"/>
                <w:sz w:val="18"/>
                <w:szCs w:val="18"/>
              </w:rPr>
            </w:pPr>
            <w:r>
              <w:rPr>
                <w:b/>
                <w:color w:val="FFFFFF" w:themeColor="background1"/>
                <w:sz w:val="18"/>
                <w:szCs w:val="18"/>
              </w:rPr>
              <w:t>Valuation technique</w:t>
            </w:r>
          </w:p>
        </w:tc>
        <w:tc>
          <w:tcPr>
            <w:tcW w:w="0" w:type="auto"/>
            <w:shd w:val="clear" w:color="auto" w:fill="A6A6A6" w:themeFill="background1" w:themeFillShade="A6"/>
            <w:noWrap/>
            <w:vAlign w:val="bottom"/>
            <w:hideMark/>
          </w:tcPr>
          <w:p w14:paraId="06ABE2E3" w14:textId="77777777" w:rsidR="00F76607" w:rsidRDefault="001863F0">
            <w:pPr>
              <w:jc w:val="center"/>
              <w:rPr>
                <w:b/>
                <w:color w:val="FFFFFF" w:themeColor="background1"/>
                <w:sz w:val="18"/>
                <w:szCs w:val="18"/>
              </w:rPr>
            </w:pPr>
            <w:r>
              <w:rPr>
                <w:b/>
                <w:color w:val="FFFFFF" w:themeColor="background1"/>
                <w:sz w:val="18"/>
                <w:szCs w:val="18"/>
              </w:rPr>
              <w:t>Level 3</w:t>
            </w:r>
          </w:p>
          <w:p w14:paraId="0B2BC967" w14:textId="77777777" w:rsidR="00F76607" w:rsidRDefault="001863F0">
            <w:pPr>
              <w:jc w:val="center"/>
              <w:rPr>
                <w:b/>
                <w:color w:val="FFFFFF" w:themeColor="background1"/>
                <w:sz w:val="18"/>
                <w:szCs w:val="18"/>
              </w:rPr>
            </w:pPr>
            <w:r>
              <w:rPr>
                <w:b/>
                <w:color w:val="FFFFFF" w:themeColor="background1"/>
                <w:sz w:val="18"/>
                <w:szCs w:val="18"/>
              </w:rPr>
              <w:t>Unobservable inputs</w:t>
            </w:r>
          </w:p>
        </w:tc>
        <w:tc>
          <w:tcPr>
            <w:tcW w:w="0" w:type="auto"/>
            <w:shd w:val="clear" w:color="auto" w:fill="A6A6A6" w:themeFill="background1" w:themeFillShade="A6"/>
            <w:noWrap/>
            <w:vAlign w:val="bottom"/>
            <w:hideMark/>
          </w:tcPr>
          <w:p w14:paraId="29DA2AF8" w14:textId="77777777" w:rsidR="00F76607" w:rsidRDefault="001863F0">
            <w:pPr>
              <w:jc w:val="center"/>
              <w:rPr>
                <w:b/>
                <w:color w:val="FFFFFF" w:themeColor="background1"/>
                <w:sz w:val="18"/>
                <w:szCs w:val="18"/>
              </w:rPr>
            </w:pPr>
            <w:r>
              <w:rPr>
                <w:b/>
                <w:color w:val="FFFFFF" w:themeColor="background1"/>
                <w:sz w:val="18"/>
                <w:szCs w:val="18"/>
              </w:rPr>
              <w:t>Range</w:t>
            </w:r>
          </w:p>
        </w:tc>
      </w:tr>
      <w:tr w:rsidR="00F76607" w14:paraId="5264E13B" w14:textId="77777777">
        <w:trPr>
          <w:trHeight w:val="250"/>
        </w:trPr>
        <w:tc>
          <w:tcPr>
            <w:tcW w:w="0" w:type="auto"/>
            <w:shd w:val="clear" w:color="auto" w:fill="FFFFFF" w:themeFill="background1"/>
            <w:noWrap/>
            <w:vAlign w:val="center"/>
          </w:tcPr>
          <w:p w14:paraId="27B3E632" w14:textId="77777777" w:rsidR="00F76607" w:rsidRDefault="001863F0">
            <w:pPr>
              <w:rPr>
                <w:b/>
                <w:sz w:val="18"/>
                <w:szCs w:val="18"/>
              </w:rPr>
            </w:pPr>
            <w:r>
              <w:rPr>
                <w:b/>
                <w:sz w:val="18"/>
                <w:szCs w:val="18"/>
              </w:rPr>
              <w:t>Czech Republic</w:t>
            </w:r>
          </w:p>
        </w:tc>
        <w:tc>
          <w:tcPr>
            <w:tcW w:w="0" w:type="auto"/>
            <w:shd w:val="clear" w:color="auto" w:fill="FFFFFF" w:themeFill="background1"/>
            <w:noWrap/>
            <w:vAlign w:val="center"/>
          </w:tcPr>
          <w:p w14:paraId="3B92C363" w14:textId="77777777" w:rsidR="00F76607" w:rsidRDefault="001863F0">
            <w:pPr>
              <w:jc w:val="right"/>
              <w:rPr>
                <w:sz w:val="18"/>
                <w:szCs w:val="18"/>
              </w:rPr>
            </w:pPr>
            <w:r>
              <w:rPr>
                <w:sz w:val="18"/>
                <w:szCs w:val="18"/>
              </w:rPr>
              <w:t>IP </w:t>
            </w:r>
          </w:p>
        </w:tc>
        <w:tc>
          <w:tcPr>
            <w:tcW w:w="0" w:type="auto"/>
            <w:shd w:val="clear" w:color="auto" w:fill="FFFFFF" w:themeFill="background1"/>
            <w:noWrap/>
            <w:vAlign w:val="center"/>
          </w:tcPr>
          <w:p w14:paraId="085E81CA" w14:textId="77777777" w:rsidR="00F76607" w:rsidRDefault="001863F0">
            <w:pPr>
              <w:jc w:val="right"/>
              <w:rPr>
                <w:sz w:val="18"/>
                <w:szCs w:val="18"/>
              </w:rPr>
            </w:pPr>
            <w:r>
              <w:rPr>
                <w:sz w:val="18"/>
                <w:szCs w:val="18"/>
              </w:rPr>
              <w:t>12,000 </w:t>
            </w:r>
          </w:p>
        </w:tc>
        <w:tc>
          <w:tcPr>
            <w:tcW w:w="0" w:type="auto"/>
            <w:shd w:val="clear" w:color="auto" w:fill="FFFFFF" w:themeFill="background1"/>
            <w:noWrap/>
            <w:vAlign w:val="center"/>
          </w:tcPr>
          <w:p w14:paraId="2CA5C72D" w14:textId="77777777" w:rsidR="00F76607" w:rsidRDefault="001863F0">
            <w:pPr>
              <w:jc w:val="right"/>
              <w:rPr>
                <w:sz w:val="18"/>
                <w:szCs w:val="18"/>
              </w:rPr>
            </w:pPr>
            <w:r>
              <w:rPr>
                <w:sz w:val="18"/>
                <w:szCs w:val="18"/>
              </w:rPr>
              <w:t>Discounted cash flow </w:t>
            </w:r>
          </w:p>
        </w:tc>
        <w:tc>
          <w:tcPr>
            <w:tcW w:w="0" w:type="auto"/>
            <w:shd w:val="clear" w:color="auto" w:fill="FFFFFF" w:themeFill="background1"/>
            <w:noWrap/>
            <w:vAlign w:val="center"/>
          </w:tcPr>
          <w:p w14:paraId="6ED6C3F0" w14:textId="77777777" w:rsidR="00F76607" w:rsidRDefault="001863F0">
            <w:pPr>
              <w:jc w:val="right"/>
              <w:rPr>
                <w:sz w:val="18"/>
                <w:szCs w:val="18"/>
              </w:rPr>
            </w:pPr>
            <w:r>
              <w:rPr>
                <w:sz w:val="18"/>
                <w:szCs w:val="18"/>
              </w:rPr>
              <w:t>Annual rent per m²</w:t>
            </w:r>
          </w:p>
        </w:tc>
        <w:tc>
          <w:tcPr>
            <w:tcW w:w="0" w:type="auto"/>
            <w:shd w:val="clear" w:color="auto" w:fill="FFFFFF" w:themeFill="background1"/>
            <w:noWrap/>
            <w:vAlign w:val="center"/>
          </w:tcPr>
          <w:p w14:paraId="4027D00A" w14:textId="77777777" w:rsidR="00F76607" w:rsidRDefault="001863F0">
            <w:pPr>
              <w:jc w:val="right"/>
              <w:rPr>
                <w:sz w:val="18"/>
                <w:szCs w:val="18"/>
              </w:rPr>
            </w:pPr>
            <w:r>
              <w:rPr>
                <w:sz w:val="18"/>
                <w:szCs w:val="18"/>
              </w:rPr>
              <w:t>55-84</w:t>
            </w:r>
          </w:p>
        </w:tc>
      </w:tr>
      <w:tr w:rsidR="00F76607" w14:paraId="118B8C0B" w14:textId="77777777">
        <w:trPr>
          <w:trHeight w:val="250"/>
        </w:trPr>
        <w:tc>
          <w:tcPr>
            <w:tcW w:w="0" w:type="auto"/>
            <w:shd w:val="clear" w:color="auto" w:fill="FFFFFF" w:themeFill="background1"/>
            <w:noWrap/>
            <w:vAlign w:val="center"/>
          </w:tcPr>
          <w:p w14:paraId="032166DC"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3373B1E8" w14:textId="77777777" w:rsidR="00F76607" w:rsidRDefault="00F76607">
            <w:pPr>
              <w:jc w:val="right"/>
              <w:rPr>
                <w:sz w:val="18"/>
                <w:szCs w:val="18"/>
              </w:rPr>
            </w:pPr>
          </w:p>
        </w:tc>
        <w:tc>
          <w:tcPr>
            <w:tcW w:w="0" w:type="auto"/>
            <w:shd w:val="clear" w:color="auto" w:fill="FFFFFF" w:themeFill="background1"/>
            <w:noWrap/>
            <w:vAlign w:val="center"/>
          </w:tcPr>
          <w:p w14:paraId="787CDCA9" w14:textId="77777777" w:rsidR="00F76607" w:rsidRDefault="00F76607">
            <w:pPr>
              <w:jc w:val="right"/>
              <w:rPr>
                <w:sz w:val="18"/>
                <w:szCs w:val="18"/>
              </w:rPr>
            </w:pPr>
          </w:p>
        </w:tc>
        <w:tc>
          <w:tcPr>
            <w:tcW w:w="0" w:type="auto"/>
            <w:shd w:val="clear" w:color="auto" w:fill="FFFFFF" w:themeFill="background1"/>
            <w:noWrap/>
            <w:vAlign w:val="center"/>
          </w:tcPr>
          <w:p w14:paraId="692A25E5" w14:textId="77777777" w:rsidR="00F76607" w:rsidRDefault="00F76607">
            <w:pPr>
              <w:jc w:val="right"/>
              <w:rPr>
                <w:sz w:val="18"/>
                <w:szCs w:val="18"/>
              </w:rPr>
            </w:pPr>
          </w:p>
        </w:tc>
        <w:tc>
          <w:tcPr>
            <w:tcW w:w="0" w:type="auto"/>
            <w:shd w:val="clear" w:color="auto" w:fill="FFFFFF" w:themeFill="background1"/>
            <w:noWrap/>
            <w:vAlign w:val="center"/>
          </w:tcPr>
          <w:p w14:paraId="10FCAE9E" w14:textId="77777777" w:rsidR="00F76607" w:rsidRDefault="001863F0">
            <w:pPr>
              <w:jc w:val="right"/>
              <w:rPr>
                <w:sz w:val="18"/>
                <w:szCs w:val="18"/>
              </w:rPr>
            </w:pPr>
            <w:r>
              <w:rPr>
                <w:sz w:val="18"/>
                <w:szCs w:val="18"/>
              </w:rPr>
              <w:t>Discount rate</w:t>
            </w:r>
          </w:p>
        </w:tc>
        <w:tc>
          <w:tcPr>
            <w:tcW w:w="0" w:type="auto"/>
            <w:shd w:val="clear" w:color="auto" w:fill="FFFFFF" w:themeFill="background1"/>
            <w:noWrap/>
            <w:vAlign w:val="center"/>
          </w:tcPr>
          <w:p w14:paraId="48C39081" w14:textId="77777777" w:rsidR="00F76607" w:rsidRDefault="001863F0">
            <w:pPr>
              <w:jc w:val="right"/>
              <w:rPr>
                <w:sz w:val="18"/>
                <w:szCs w:val="18"/>
              </w:rPr>
            </w:pPr>
            <w:r>
              <w:rPr>
                <w:sz w:val="18"/>
                <w:szCs w:val="18"/>
              </w:rPr>
              <w:t>6.50%-6.65%</w:t>
            </w:r>
          </w:p>
        </w:tc>
      </w:tr>
      <w:tr w:rsidR="00F76607" w14:paraId="35615A7C" w14:textId="77777777">
        <w:trPr>
          <w:trHeight w:val="250"/>
        </w:trPr>
        <w:tc>
          <w:tcPr>
            <w:tcW w:w="0" w:type="auto"/>
            <w:shd w:val="clear" w:color="auto" w:fill="FFFFFF" w:themeFill="background1"/>
            <w:noWrap/>
            <w:vAlign w:val="center"/>
          </w:tcPr>
          <w:p w14:paraId="31883A0B"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52278CBD"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524F1935"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F86EB55"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35FEF6FE" w14:textId="77777777" w:rsidR="00F76607" w:rsidRDefault="001863F0">
            <w:pPr>
              <w:jc w:val="right"/>
              <w:rPr>
                <w:sz w:val="18"/>
                <w:szCs w:val="18"/>
              </w:rPr>
            </w:pPr>
            <w:r>
              <w:rPr>
                <w:sz w:val="18"/>
                <w:szCs w:val="18"/>
              </w:rPr>
              <w:t xml:space="preserve">Exit yield </w:t>
            </w:r>
          </w:p>
        </w:tc>
        <w:tc>
          <w:tcPr>
            <w:tcW w:w="0" w:type="auto"/>
            <w:shd w:val="clear" w:color="auto" w:fill="FFFFFF" w:themeFill="background1"/>
            <w:noWrap/>
            <w:vAlign w:val="center"/>
          </w:tcPr>
          <w:p w14:paraId="11564352" w14:textId="77777777" w:rsidR="00F76607" w:rsidRDefault="001863F0">
            <w:pPr>
              <w:jc w:val="right"/>
              <w:rPr>
                <w:sz w:val="18"/>
                <w:szCs w:val="18"/>
              </w:rPr>
            </w:pPr>
            <w:r>
              <w:rPr>
                <w:sz w:val="18"/>
                <w:szCs w:val="18"/>
              </w:rPr>
              <w:t>6.25%</w:t>
            </w:r>
          </w:p>
        </w:tc>
      </w:tr>
      <w:tr w:rsidR="00F76607" w14:paraId="2002239B" w14:textId="77777777">
        <w:trPr>
          <w:trHeight w:val="250"/>
        </w:trPr>
        <w:tc>
          <w:tcPr>
            <w:tcW w:w="0" w:type="auto"/>
            <w:shd w:val="clear" w:color="auto" w:fill="FFFFFF" w:themeFill="background1"/>
            <w:noWrap/>
            <w:vAlign w:val="center"/>
          </w:tcPr>
          <w:p w14:paraId="72D91BA3"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0E063F31"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0B301C3"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E5749D8"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45B89931" w14:textId="77777777" w:rsidR="00F76607" w:rsidRDefault="001863F0">
            <w:pPr>
              <w:jc w:val="right"/>
              <w:rPr>
                <w:sz w:val="18"/>
                <w:szCs w:val="18"/>
              </w:rPr>
            </w:pPr>
            <w:r>
              <w:rPr>
                <w:sz w:val="18"/>
                <w:szCs w:val="18"/>
              </w:rPr>
              <w:t>Weighted average yield*</w:t>
            </w:r>
          </w:p>
        </w:tc>
        <w:tc>
          <w:tcPr>
            <w:tcW w:w="0" w:type="auto"/>
            <w:shd w:val="clear" w:color="auto" w:fill="FFFFFF" w:themeFill="background1"/>
            <w:noWrap/>
            <w:vAlign w:val="center"/>
          </w:tcPr>
          <w:p w14:paraId="55D9CFB5" w14:textId="77777777" w:rsidR="00F76607" w:rsidRDefault="001863F0">
            <w:pPr>
              <w:jc w:val="right"/>
              <w:rPr>
                <w:sz w:val="18"/>
                <w:szCs w:val="18"/>
              </w:rPr>
            </w:pPr>
            <w:r>
              <w:rPr>
                <w:sz w:val="18"/>
                <w:szCs w:val="18"/>
              </w:rPr>
              <w:t>6.71%</w:t>
            </w:r>
          </w:p>
        </w:tc>
      </w:tr>
      <w:tr w:rsidR="00F76607" w14:paraId="08CE18FF" w14:textId="77777777">
        <w:trPr>
          <w:trHeight w:val="250"/>
        </w:trPr>
        <w:tc>
          <w:tcPr>
            <w:tcW w:w="0" w:type="auto"/>
            <w:shd w:val="clear" w:color="auto" w:fill="FFFFFF" w:themeFill="background1"/>
            <w:noWrap/>
            <w:vAlign w:val="center"/>
          </w:tcPr>
          <w:p w14:paraId="0D1CA46A"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1EDC255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E91423C"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5A6EA84"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0F7F8107" w14:textId="1C8BA141" w:rsidR="00F76607" w:rsidRDefault="001863F0">
            <w:pPr>
              <w:jc w:val="right"/>
              <w:rPr>
                <w:sz w:val="18"/>
                <w:szCs w:val="18"/>
              </w:rPr>
            </w:pPr>
            <w:r>
              <w:rPr>
                <w:sz w:val="18"/>
                <w:szCs w:val="18"/>
              </w:rPr>
              <w:t>Cost to completion (in</w:t>
            </w:r>
            <w:r w:rsidR="00C2417B">
              <w:rPr>
                <w:sz w:val="18"/>
                <w:szCs w:val="18"/>
              </w:rPr>
              <w:t xml:space="preserve"> €</w:t>
            </w:r>
            <w:r>
              <w:rPr>
                <w:sz w:val="18"/>
                <w:szCs w:val="18"/>
              </w:rPr>
              <w:t xml:space="preserve"> '000)</w:t>
            </w:r>
          </w:p>
        </w:tc>
        <w:tc>
          <w:tcPr>
            <w:tcW w:w="0" w:type="auto"/>
            <w:shd w:val="clear" w:color="auto" w:fill="FFFFFF" w:themeFill="background1"/>
            <w:noWrap/>
            <w:vAlign w:val="center"/>
          </w:tcPr>
          <w:p w14:paraId="2985B06D" w14:textId="77777777" w:rsidR="00F76607" w:rsidRDefault="001863F0">
            <w:pPr>
              <w:jc w:val="right"/>
              <w:rPr>
                <w:sz w:val="18"/>
                <w:szCs w:val="18"/>
              </w:rPr>
            </w:pPr>
            <w:r>
              <w:rPr>
                <w:sz w:val="18"/>
                <w:szCs w:val="18"/>
              </w:rPr>
              <w:t xml:space="preserve"> - </w:t>
            </w:r>
          </w:p>
        </w:tc>
      </w:tr>
      <w:tr w:rsidR="00F76607" w14:paraId="1F483A35" w14:textId="77777777">
        <w:trPr>
          <w:trHeight w:val="250"/>
        </w:trPr>
        <w:tc>
          <w:tcPr>
            <w:tcW w:w="0" w:type="auto"/>
            <w:shd w:val="clear" w:color="auto" w:fill="FFFFFF" w:themeFill="background1"/>
            <w:noWrap/>
            <w:vAlign w:val="center"/>
          </w:tcPr>
          <w:p w14:paraId="65A1A87B" w14:textId="77777777" w:rsidR="00F76607" w:rsidRDefault="00F76607">
            <w:pPr>
              <w:rPr>
                <w:b/>
                <w:sz w:val="18"/>
                <w:szCs w:val="18"/>
              </w:rPr>
            </w:pPr>
          </w:p>
        </w:tc>
        <w:tc>
          <w:tcPr>
            <w:tcW w:w="0" w:type="auto"/>
            <w:shd w:val="clear" w:color="auto" w:fill="FFFFFF" w:themeFill="background1"/>
            <w:noWrap/>
            <w:vAlign w:val="center"/>
          </w:tcPr>
          <w:p w14:paraId="05C95938" w14:textId="77777777" w:rsidR="00F76607" w:rsidRDefault="001863F0">
            <w:pPr>
              <w:jc w:val="right"/>
              <w:rPr>
                <w:sz w:val="18"/>
                <w:szCs w:val="18"/>
              </w:rPr>
            </w:pPr>
            <w:r>
              <w:rPr>
                <w:sz w:val="18"/>
                <w:szCs w:val="18"/>
              </w:rPr>
              <w:t>IPUC</w:t>
            </w:r>
          </w:p>
        </w:tc>
        <w:tc>
          <w:tcPr>
            <w:tcW w:w="0" w:type="auto"/>
            <w:shd w:val="clear" w:color="auto" w:fill="FFFFFF" w:themeFill="background1"/>
            <w:noWrap/>
            <w:vAlign w:val="center"/>
          </w:tcPr>
          <w:p w14:paraId="1870675A" w14:textId="77777777" w:rsidR="00F76607" w:rsidRDefault="001863F0">
            <w:pPr>
              <w:jc w:val="right"/>
              <w:rPr>
                <w:sz w:val="18"/>
                <w:szCs w:val="18"/>
              </w:rPr>
            </w:pPr>
            <w:r>
              <w:rPr>
                <w:sz w:val="18"/>
                <w:szCs w:val="18"/>
              </w:rPr>
              <w:t>69,730</w:t>
            </w:r>
          </w:p>
        </w:tc>
        <w:tc>
          <w:tcPr>
            <w:tcW w:w="0" w:type="auto"/>
            <w:shd w:val="clear" w:color="auto" w:fill="FFFFFF" w:themeFill="background1"/>
            <w:noWrap/>
            <w:vAlign w:val="center"/>
          </w:tcPr>
          <w:p w14:paraId="2B39AF67" w14:textId="77777777" w:rsidR="00F76607" w:rsidRDefault="001863F0">
            <w:pPr>
              <w:jc w:val="right"/>
              <w:rPr>
                <w:sz w:val="18"/>
                <w:szCs w:val="18"/>
              </w:rPr>
            </w:pPr>
            <w:r>
              <w:rPr>
                <w:sz w:val="18"/>
                <w:szCs w:val="18"/>
              </w:rPr>
              <w:t>Discounted cash flow</w:t>
            </w:r>
          </w:p>
        </w:tc>
        <w:tc>
          <w:tcPr>
            <w:tcW w:w="0" w:type="auto"/>
            <w:shd w:val="clear" w:color="auto" w:fill="FFFFFF" w:themeFill="background1"/>
            <w:noWrap/>
            <w:vAlign w:val="center"/>
            <w:hideMark/>
          </w:tcPr>
          <w:p w14:paraId="5F0AD5BD" w14:textId="77777777" w:rsidR="00F76607" w:rsidRDefault="001863F0">
            <w:pPr>
              <w:jc w:val="right"/>
              <w:rPr>
                <w:sz w:val="18"/>
                <w:szCs w:val="18"/>
              </w:rPr>
            </w:pPr>
            <w:r>
              <w:rPr>
                <w:sz w:val="18"/>
                <w:szCs w:val="18"/>
              </w:rPr>
              <w:t xml:space="preserve">Annual rent per m² </w:t>
            </w:r>
          </w:p>
        </w:tc>
        <w:tc>
          <w:tcPr>
            <w:tcW w:w="0" w:type="auto"/>
            <w:shd w:val="clear" w:color="auto" w:fill="FFFFFF" w:themeFill="background1"/>
            <w:noWrap/>
            <w:vAlign w:val="center"/>
          </w:tcPr>
          <w:p w14:paraId="3DB68CE6" w14:textId="77777777" w:rsidR="00F76607" w:rsidRDefault="001863F0">
            <w:pPr>
              <w:jc w:val="right"/>
              <w:rPr>
                <w:sz w:val="18"/>
                <w:szCs w:val="18"/>
              </w:rPr>
            </w:pPr>
            <w:r>
              <w:rPr>
                <w:sz w:val="18"/>
                <w:szCs w:val="18"/>
              </w:rPr>
              <w:t>34-96</w:t>
            </w:r>
          </w:p>
        </w:tc>
      </w:tr>
      <w:tr w:rsidR="00F76607" w14:paraId="33D9736A" w14:textId="77777777">
        <w:trPr>
          <w:trHeight w:val="250"/>
        </w:trPr>
        <w:tc>
          <w:tcPr>
            <w:tcW w:w="0" w:type="auto"/>
            <w:shd w:val="clear" w:color="auto" w:fill="FFFFFF" w:themeFill="background1"/>
            <w:noWrap/>
            <w:vAlign w:val="center"/>
            <w:hideMark/>
          </w:tcPr>
          <w:p w14:paraId="30EDD740" w14:textId="77777777" w:rsidR="00F76607" w:rsidRDefault="001863F0">
            <w:pPr>
              <w:rPr>
                <w:b/>
                <w:sz w:val="18"/>
                <w:szCs w:val="18"/>
              </w:rPr>
            </w:pPr>
            <w:r>
              <w:rPr>
                <w:b/>
                <w:sz w:val="18"/>
                <w:szCs w:val="18"/>
              </w:rPr>
              <w:t> </w:t>
            </w:r>
          </w:p>
        </w:tc>
        <w:tc>
          <w:tcPr>
            <w:tcW w:w="0" w:type="auto"/>
            <w:shd w:val="clear" w:color="auto" w:fill="FFFFFF" w:themeFill="background1"/>
            <w:noWrap/>
            <w:vAlign w:val="center"/>
            <w:hideMark/>
          </w:tcPr>
          <w:p w14:paraId="2F677D7B"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045993F"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7914DD40"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078D883" w14:textId="77777777" w:rsidR="00F76607" w:rsidRDefault="001863F0">
            <w:pPr>
              <w:jc w:val="right"/>
              <w:rPr>
                <w:sz w:val="18"/>
                <w:szCs w:val="18"/>
              </w:rPr>
            </w:pPr>
            <w:r>
              <w:rPr>
                <w:sz w:val="18"/>
                <w:szCs w:val="18"/>
              </w:rPr>
              <w:t>Discount rate</w:t>
            </w:r>
          </w:p>
        </w:tc>
        <w:tc>
          <w:tcPr>
            <w:tcW w:w="0" w:type="auto"/>
            <w:shd w:val="clear" w:color="auto" w:fill="FFFFFF" w:themeFill="background1"/>
            <w:noWrap/>
            <w:vAlign w:val="center"/>
          </w:tcPr>
          <w:p w14:paraId="2716E199" w14:textId="77777777" w:rsidR="00F76607" w:rsidRDefault="001863F0">
            <w:pPr>
              <w:jc w:val="right"/>
              <w:rPr>
                <w:sz w:val="18"/>
                <w:szCs w:val="18"/>
              </w:rPr>
            </w:pPr>
            <w:r>
              <w:rPr>
                <w:sz w:val="18"/>
                <w:szCs w:val="18"/>
              </w:rPr>
              <w:t>6.25%-10.00%</w:t>
            </w:r>
          </w:p>
        </w:tc>
      </w:tr>
      <w:tr w:rsidR="00F76607" w14:paraId="2DC1E898" w14:textId="77777777">
        <w:trPr>
          <w:trHeight w:val="250"/>
        </w:trPr>
        <w:tc>
          <w:tcPr>
            <w:tcW w:w="0" w:type="auto"/>
            <w:shd w:val="clear" w:color="auto" w:fill="FFFFFF" w:themeFill="background1"/>
            <w:noWrap/>
            <w:vAlign w:val="center"/>
          </w:tcPr>
          <w:p w14:paraId="382D7244"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42855C7E"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13A13AF"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C11E61B"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55B5893A" w14:textId="77777777" w:rsidR="00F76607" w:rsidRDefault="001863F0">
            <w:pPr>
              <w:jc w:val="right"/>
              <w:rPr>
                <w:sz w:val="18"/>
                <w:szCs w:val="18"/>
              </w:rPr>
            </w:pPr>
            <w:r>
              <w:rPr>
                <w:sz w:val="18"/>
                <w:szCs w:val="18"/>
              </w:rPr>
              <w:t xml:space="preserve">Exit yield </w:t>
            </w:r>
          </w:p>
        </w:tc>
        <w:tc>
          <w:tcPr>
            <w:tcW w:w="0" w:type="auto"/>
            <w:shd w:val="clear" w:color="auto" w:fill="FFFFFF" w:themeFill="background1"/>
            <w:noWrap/>
            <w:vAlign w:val="center"/>
          </w:tcPr>
          <w:p w14:paraId="305E53CF" w14:textId="77777777" w:rsidR="00F76607" w:rsidRDefault="001863F0">
            <w:pPr>
              <w:jc w:val="right"/>
              <w:rPr>
                <w:sz w:val="18"/>
                <w:szCs w:val="18"/>
              </w:rPr>
            </w:pPr>
            <w:r>
              <w:rPr>
                <w:sz w:val="18"/>
                <w:szCs w:val="18"/>
              </w:rPr>
              <w:t>6.00%-6.50%</w:t>
            </w:r>
          </w:p>
        </w:tc>
      </w:tr>
      <w:tr w:rsidR="00F76607" w14:paraId="532B79B2" w14:textId="77777777">
        <w:trPr>
          <w:trHeight w:val="250"/>
        </w:trPr>
        <w:tc>
          <w:tcPr>
            <w:tcW w:w="0" w:type="auto"/>
            <w:shd w:val="clear" w:color="auto" w:fill="FFFFFF" w:themeFill="background1"/>
            <w:noWrap/>
            <w:vAlign w:val="center"/>
          </w:tcPr>
          <w:p w14:paraId="0304D222"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6AFE1DB1"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1C60A1D"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57EB9DA"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9ACA654" w14:textId="77777777" w:rsidR="00F76607" w:rsidRDefault="001863F0">
            <w:pPr>
              <w:jc w:val="right"/>
              <w:rPr>
                <w:sz w:val="18"/>
                <w:szCs w:val="18"/>
              </w:rPr>
            </w:pPr>
            <w:r>
              <w:rPr>
                <w:sz w:val="18"/>
                <w:szCs w:val="18"/>
              </w:rPr>
              <w:t>Weighted average yield</w:t>
            </w:r>
          </w:p>
        </w:tc>
        <w:tc>
          <w:tcPr>
            <w:tcW w:w="0" w:type="auto"/>
            <w:shd w:val="clear" w:color="auto" w:fill="FFFFFF" w:themeFill="background1"/>
            <w:noWrap/>
            <w:vAlign w:val="center"/>
          </w:tcPr>
          <w:p w14:paraId="2F75BEF5" w14:textId="77777777" w:rsidR="00F76607" w:rsidRDefault="001863F0">
            <w:pPr>
              <w:jc w:val="right"/>
              <w:rPr>
                <w:sz w:val="18"/>
                <w:szCs w:val="18"/>
              </w:rPr>
            </w:pPr>
            <w:r>
              <w:rPr>
                <w:sz w:val="18"/>
                <w:szCs w:val="18"/>
              </w:rPr>
              <w:t>6.66%</w:t>
            </w:r>
          </w:p>
        </w:tc>
      </w:tr>
      <w:tr w:rsidR="00F76607" w14:paraId="71CB45D1" w14:textId="77777777">
        <w:trPr>
          <w:trHeight w:val="250"/>
        </w:trPr>
        <w:tc>
          <w:tcPr>
            <w:tcW w:w="0" w:type="auto"/>
            <w:shd w:val="clear" w:color="auto" w:fill="FFFFFF" w:themeFill="background1"/>
            <w:noWrap/>
            <w:vAlign w:val="center"/>
            <w:hideMark/>
          </w:tcPr>
          <w:p w14:paraId="45E88073" w14:textId="77777777" w:rsidR="00F76607" w:rsidRDefault="001863F0">
            <w:pPr>
              <w:rPr>
                <w:b/>
                <w:sz w:val="18"/>
                <w:szCs w:val="18"/>
              </w:rPr>
            </w:pPr>
            <w:r>
              <w:rPr>
                <w:b/>
                <w:sz w:val="18"/>
                <w:szCs w:val="18"/>
              </w:rPr>
              <w:t> </w:t>
            </w:r>
          </w:p>
        </w:tc>
        <w:tc>
          <w:tcPr>
            <w:tcW w:w="0" w:type="auto"/>
            <w:shd w:val="clear" w:color="auto" w:fill="FFFFFF" w:themeFill="background1"/>
            <w:noWrap/>
            <w:vAlign w:val="center"/>
            <w:hideMark/>
          </w:tcPr>
          <w:p w14:paraId="03948D01"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4F20EF1"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05341A82"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3AE99085" w14:textId="7A4CF1FC" w:rsidR="00F76607" w:rsidRDefault="001863F0">
            <w:pPr>
              <w:jc w:val="right"/>
              <w:rPr>
                <w:sz w:val="18"/>
                <w:szCs w:val="18"/>
              </w:rPr>
            </w:pPr>
            <w:r>
              <w:rPr>
                <w:sz w:val="18"/>
                <w:szCs w:val="18"/>
              </w:rPr>
              <w:t>Cost to completion (in</w:t>
            </w:r>
            <w:r w:rsidR="00C2417B">
              <w:rPr>
                <w:sz w:val="18"/>
                <w:szCs w:val="18"/>
              </w:rPr>
              <w:t xml:space="preserve"> €</w:t>
            </w:r>
            <w:r>
              <w:rPr>
                <w:sz w:val="18"/>
                <w:szCs w:val="18"/>
              </w:rPr>
              <w:t xml:space="preserve"> '000)</w:t>
            </w:r>
          </w:p>
        </w:tc>
        <w:tc>
          <w:tcPr>
            <w:tcW w:w="0" w:type="auto"/>
            <w:shd w:val="clear" w:color="auto" w:fill="FFFFFF" w:themeFill="background1"/>
            <w:noWrap/>
            <w:vAlign w:val="center"/>
          </w:tcPr>
          <w:p w14:paraId="2D5A0700" w14:textId="77777777" w:rsidR="00F76607" w:rsidRDefault="001863F0">
            <w:pPr>
              <w:jc w:val="right"/>
              <w:rPr>
                <w:sz w:val="18"/>
                <w:szCs w:val="18"/>
              </w:rPr>
            </w:pPr>
            <w:r>
              <w:rPr>
                <w:sz w:val="18"/>
                <w:szCs w:val="18"/>
              </w:rPr>
              <w:t>34,975</w:t>
            </w:r>
          </w:p>
        </w:tc>
      </w:tr>
      <w:tr w:rsidR="00F76607" w14:paraId="717CC648" w14:textId="77777777">
        <w:trPr>
          <w:trHeight w:val="250"/>
        </w:trPr>
        <w:tc>
          <w:tcPr>
            <w:tcW w:w="0" w:type="auto"/>
            <w:shd w:val="clear" w:color="auto" w:fill="FFFFFF" w:themeFill="background1"/>
            <w:noWrap/>
            <w:vAlign w:val="center"/>
          </w:tcPr>
          <w:p w14:paraId="1E425352"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718335F2" w14:textId="77777777" w:rsidR="00F76607" w:rsidRDefault="001863F0">
            <w:pPr>
              <w:jc w:val="right"/>
              <w:rPr>
                <w:sz w:val="18"/>
                <w:szCs w:val="18"/>
              </w:rPr>
            </w:pPr>
            <w:r>
              <w:rPr>
                <w:sz w:val="18"/>
                <w:szCs w:val="18"/>
              </w:rPr>
              <w:t>DL</w:t>
            </w:r>
          </w:p>
        </w:tc>
        <w:tc>
          <w:tcPr>
            <w:tcW w:w="0" w:type="auto"/>
            <w:shd w:val="clear" w:color="auto" w:fill="FFFFFF" w:themeFill="background1"/>
            <w:noWrap/>
            <w:vAlign w:val="center"/>
          </w:tcPr>
          <w:p w14:paraId="51B977DA" w14:textId="77777777" w:rsidR="00F76607" w:rsidRDefault="001863F0">
            <w:pPr>
              <w:jc w:val="right"/>
              <w:rPr>
                <w:sz w:val="18"/>
                <w:szCs w:val="18"/>
              </w:rPr>
            </w:pPr>
            <w:r>
              <w:rPr>
                <w:sz w:val="18"/>
                <w:szCs w:val="18"/>
              </w:rPr>
              <w:t>16,920</w:t>
            </w:r>
          </w:p>
        </w:tc>
        <w:tc>
          <w:tcPr>
            <w:tcW w:w="0" w:type="auto"/>
            <w:shd w:val="clear" w:color="auto" w:fill="FFFFFF" w:themeFill="background1"/>
            <w:noWrap/>
            <w:vAlign w:val="center"/>
          </w:tcPr>
          <w:p w14:paraId="5337D89C" w14:textId="77777777" w:rsidR="00F76607" w:rsidRDefault="001863F0">
            <w:pPr>
              <w:jc w:val="right"/>
              <w:rPr>
                <w:sz w:val="18"/>
                <w:szCs w:val="18"/>
              </w:rPr>
            </w:pPr>
            <w:r>
              <w:rPr>
                <w:sz w:val="18"/>
                <w:szCs w:val="18"/>
              </w:rPr>
              <w:t>Sales comparison</w:t>
            </w:r>
          </w:p>
        </w:tc>
        <w:tc>
          <w:tcPr>
            <w:tcW w:w="0" w:type="auto"/>
            <w:shd w:val="clear" w:color="auto" w:fill="FFFFFF" w:themeFill="background1"/>
            <w:noWrap/>
            <w:vAlign w:val="center"/>
          </w:tcPr>
          <w:p w14:paraId="207DC086" w14:textId="77777777" w:rsidR="00F76607" w:rsidRDefault="001863F0">
            <w:pPr>
              <w:jc w:val="right"/>
              <w:rPr>
                <w:sz w:val="18"/>
                <w:szCs w:val="18"/>
              </w:rPr>
            </w:pPr>
            <w:r>
              <w:rPr>
                <w:sz w:val="18"/>
                <w:szCs w:val="18"/>
              </w:rPr>
              <w:t>Price per m²</w:t>
            </w:r>
          </w:p>
        </w:tc>
        <w:tc>
          <w:tcPr>
            <w:tcW w:w="0" w:type="auto"/>
            <w:shd w:val="clear" w:color="auto" w:fill="FFFFFF" w:themeFill="background1"/>
            <w:noWrap/>
            <w:vAlign w:val="center"/>
          </w:tcPr>
          <w:p w14:paraId="134FA515" w14:textId="7A53A250" w:rsidR="00F76607" w:rsidRDefault="00FF2ECC">
            <w:pPr>
              <w:jc w:val="right"/>
              <w:rPr>
                <w:sz w:val="18"/>
                <w:szCs w:val="18"/>
              </w:rPr>
            </w:pPr>
            <w:r>
              <w:rPr>
                <w:sz w:val="18"/>
                <w:szCs w:val="18"/>
              </w:rPr>
              <w:t xml:space="preserve"> </w:t>
            </w:r>
            <w:r w:rsidR="001863F0">
              <w:rPr>
                <w:sz w:val="18"/>
                <w:szCs w:val="18"/>
              </w:rPr>
              <w:t>-</w:t>
            </w:r>
          </w:p>
        </w:tc>
      </w:tr>
      <w:tr w:rsidR="00F76607" w14:paraId="66F04698" w14:textId="77777777">
        <w:trPr>
          <w:trHeight w:val="250"/>
        </w:trPr>
        <w:tc>
          <w:tcPr>
            <w:tcW w:w="0" w:type="auto"/>
            <w:shd w:val="clear" w:color="auto" w:fill="FFFFFF" w:themeFill="background1"/>
            <w:noWrap/>
            <w:vAlign w:val="center"/>
          </w:tcPr>
          <w:p w14:paraId="5ACFA613"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6B2312B9"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B922BA8"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1A1ADF6"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629B9FB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74B184F" w14:textId="77777777" w:rsidR="00F76607" w:rsidRDefault="001863F0">
            <w:pPr>
              <w:jc w:val="right"/>
              <w:rPr>
                <w:sz w:val="18"/>
                <w:szCs w:val="18"/>
              </w:rPr>
            </w:pPr>
            <w:r>
              <w:rPr>
                <w:sz w:val="18"/>
                <w:szCs w:val="18"/>
              </w:rPr>
              <w:t> </w:t>
            </w:r>
          </w:p>
        </w:tc>
      </w:tr>
      <w:tr w:rsidR="00F76607" w14:paraId="64BE0C36" w14:textId="77777777">
        <w:trPr>
          <w:trHeight w:val="250"/>
        </w:trPr>
        <w:tc>
          <w:tcPr>
            <w:tcW w:w="0" w:type="auto"/>
            <w:shd w:val="clear" w:color="auto" w:fill="FFFFFF" w:themeFill="background1"/>
            <w:noWrap/>
            <w:vAlign w:val="center"/>
          </w:tcPr>
          <w:p w14:paraId="2AD12264" w14:textId="77777777" w:rsidR="00F76607" w:rsidRDefault="001863F0">
            <w:pPr>
              <w:rPr>
                <w:b/>
                <w:sz w:val="18"/>
                <w:szCs w:val="18"/>
              </w:rPr>
            </w:pPr>
            <w:r>
              <w:rPr>
                <w:b/>
                <w:sz w:val="18"/>
                <w:szCs w:val="18"/>
              </w:rPr>
              <w:t>Germany</w:t>
            </w:r>
          </w:p>
        </w:tc>
        <w:tc>
          <w:tcPr>
            <w:tcW w:w="0" w:type="auto"/>
            <w:shd w:val="clear" w:color="auto" w:fill="FFFFFF" w:themeFill="background1"/>
            <w:noWrap/>
            <w:vAlign w:val="center"/>
          </w:tcPr>
          <w:p w14:paraId="342122C2" w14:textId="77777777" w:rsidR="00F76607" w:rsidRDefault="001863F0">
            <w:pPr>
              <w:jc w:val="right"/>
              <w:rPr>
                <w:sz w:val="18"/>
                <w:szCs w:val="18"/>
              </w:rPr>
            </w:pPr>
            <w:r>
              <w:rPr>
                <w:sz w:val="18"/>
                <w:szCs w:val="18"/>
              </w:rPr>
              <w:t>IPUC</w:t>
            </w:r>
          </w:p>
        </w:tc>
        <w:tc>
          <w:tcPr>
            <w:tcW w:w="0" w:type="auto"/>
            <w:shd w:val="clear" w:color="auto" w:fill="FFFFFF" w:themeFill="background1"/>
            <w:noWrap/>
            <w:vAlign w:val="center"/>
          </w:tcPr>
          <w:p w14:paraId="763F2A70" w14:textId="77777777" w:rsidR="00F76607" w:rsidRDefault="001863F0">
            <w:pPr>
              <w:jc w:val="right"/>
              <w:rPr>
                <w:sz w:val="18"/>
                <w:szCs w:val="18"/>
              </w:rPr>
            </w:pPr>
            <w:r>
              <w:rPr>
                <w:sz w:val="18"/>
                <w:szCs w:val="18"/>
              </w:rPr>
              <w:t>95,690</w:t>
            </w:r>
          </w:p>
        </w:tc>
        <w:tc>
          <w:tcPr>
            <w:tcW w:w="0" w:type="auto"/>
            <w:shd w:val="clear" w:color="auto" w:fill="FFFFFF" w:themeFill="background1"/>
            <w:noWrap/>
            <w:vAlign w:val="center"/>
          </w:tcPr>
          <w:p w14:paraId="704C1334" w14:textId="77777777" w:rsidR="00F76607" w:rsidRDefault="001863F0">
            <w:pPr>
              <w:jc w:val="right"/>
              <w:rPr>
                <w:sz w:val="18"/>
                <w:szCs w:val="18"/>
              </w:rPr>
            </w:pPr>
            <w:r>
              <w:rPr>
                <w:sz w:val="18"/>
                <w:szCs w:val="18"/>
              </w:rPr>
              <w:t>Discounted cash flow</w:t>
            </w:r>
          </w:p>
        </w:tc>
        <w:tc>
          <w:tcPr>
            <w:tcW w:w="0" w:type="auto"/>
            <w:shd w:val="clear" w:color="auto" w:fill="FFFFFF" w:themeFill="background1"/>
            <w:noWrap/>
            <w:vAlign w:val="center"/>
          </w:tcPr>
          <w:p w14:paraId="3189B04C" w14:textId="77777777" w:rsidR="00F76607" w:rsidRDefault="001863F0">
            <w:pPr>
              <w:jc w:val="right"/>
              <w:rPr>
                <w:sz w:val="18"/>
                <w:szCs w:val="18"/>
              </w:rPr>
            </w:pPr>
            <w:r>
              <w:rPr>
                <w:sz w:val="18"/>
                <w:szCs w:val="18"/>
              </w:rPr>
              <w:t xml:space="preserve">Annual rent per m² </w:t>
            </w:r>
          </w:p>
        </w:tc>
        <w:tc>
          <w:tcPr>
            <w:tcW w:w="0" w:type="auto"/>
            <w:shd w:val="clear" w:color="auto" w:fill="FFFFFF" w:themeFill="background1"/>
            <w:noWrap/>
            <w:vAlign w:val="center"/>
          </w:tcPr>
          <w:p w14:paraId="0A3D1793" w14:textId="77777777" w:rsidR="00F76607" w:rsidRDefault="001863F0">
            <w:pPr>
              <w:jc w:val="right"/>
              <w:rPr>
                <w:sz w:val="18"/>
                <w:szCs w:val="18"/>
              </w:rPr>
            </w:pPr>
            <w:r>
              <w:rPr>
                <w:sz w:val="18"/>
                <w:szCs w:val="18"/>
              </w:rPr>
              <w:t>45-60</w:t>
            </w:r>
          </w:p>
        </w:tc>
      </w:tr>
      <w:tr w:rsidR="00F76607" w14:paraId="702E94FC" w14:textId="77777777">
        <w:trPr>
          <w:trHeight w:val="250"/>
        </w:trPr>
        <w:tc>
          <w:tcPr>
            <w:tcW w:w="0" w:type="auto"/>
            <w:shd w:val="clear" w:color="auto" w:fill="FFFFFF" w:themeFill="background1"/>
            <w:noWrap/>
            <w:vAlign w:val="center"/>
            <w:hideMark/>
          </w:tcPr>
          <w:p w14:paraId="69E75B17" w14:textId="77777777" w:rsidR="00F76607" w:rsidRDefault="001863F0">
            <w:pPr>
              <w:rPr>
                <w:b/>
                <w:sz w:val="18"/>
                <w:szCs w:val="18"/>
              </w:rPr>
            </w:pPr>
            <w:r>
              <w:rPr>
                <w:b/>
                <w:sz w:val="18"/>
                <w:szCs w:val="18"/>
              </w:rPr>
              <w:t> </w:t>
            </w:r>
          </w:p>
        </w:tc>
        <w:tc>
          <w:tcPr>
            <w:tcW w:w="0" w:type="auto"/>
            <w:shd w:val="clear" w:color="auto" w:fill="FFFFFF" w:themeFill="background1"/>
            <w:noWrap/>
            <w:vAlign w:val="center"/>
            <w:hideMark/>
          </w:tcPr>
          <w:p w14:paraId="6B9E7BA3"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9FA06D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47E52BDD"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3DD09B3F" w14:textId="77777777" w:rsidR="00F76607" w:rsidRDefault="001863F0">
            <w:pPr>
              <w:jc w:val="right"/>
              <w:rPr>
                <w:sz w:val="18"/>
                <w:szCs w:val="18"/>
              </w:rPr>
            </w:pPr>
            <w:r>
              <w:rPr>
                <w:sz w:val="18"/>
                <w:szCs w:val="18"/>
              </w:rPr>
              <w:t>Discount rate</w:t>
            </w:r>
          </w:p>
        </w:tc>
        <w:tc>
          <w:tcPr>
            <w:tcW w:w="0" w:type="auto"/>
            <w:shd w:val="clear" w:color="auto" w:fill="FFFFFF" w:themeFill="background1"/>
            <w:noWrap/>
            <w:vAlign w:val="center"/>
          </w:tcPr>
          <w:p w14:paraId="06E09130" w14:textId="77777777" w:rsidR="00F76607" w:rsidRDefault="001863F0">
            <w:pPr>
              <w:jc w:val="right"/>
              <w:rPr>
                <w:sz w:val="18"/>
                <w:szCs w:val="18"/>
              </w:rPr>
            </w:pPr>
            <w:r>
              <w:rPr>
                <w:sz w:val="18"/>
                <w:szCs w:val="18"/>
              </w:rPr>
              <w:t>5.90%-8.00%</w:t>
            </w:r>
          </w:p>
        </w:tc>
      </w:tr>
      <w:tr w:rsidR="00F76607" w14:paraId="29B2505B" w14:textId="77777777">
        <w:trPr>
          <w:trHeight w:val="250"/>
        </w:trPr>
        <w:tc>
          <w:tcPr>
            <w:tcW w:w="0" w:type="auto"/>
            <w:shd w:val="clear" w:color="auto" w:fill="FFFFFF" w:themeFill="background1"/>
            <w:noWrap/>
            <w:vAlign w:val="center"/>
          </w:tcPr>
          <w:p w14:paraId="46166A61"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64FBD531"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C2E9D5B"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3577CC2"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E59EA02" w14:textId="77777777" w:rsidR="00F76607" w:rsidRDefault="001863F0">
            <w:pPr>
              <w:jc w:val="right"/>
              <w:rPr>
                <w:sz w:val="18"/>
                <w:szCs w:val="18"/>
              </w:rPr>
            </w:pPr>
            <w:r>
              <w:rPr>
                <w:sz w:val="18"/>
                <w:szCs w:val="18"/>
              </w:rPr>
              <w:t xml:space="preserve">Exit yield </w:t>
            </w:r>
          </w:p>
        </w:tc>
        <w:tc>
          <w:tcPr>
            <w:tcW w:w="0" w:type="auto"/>
            <w:shd w:val="clear" w:color="auto" w:fill="FFFFFF" w:themeFill="background1"/>
            <w:noWrap/>
            <w:vAlign w:val="center"/>
          </w:tcPr>
          <w:p w14:paraId="7A7305CC" w14:textId="77777777" w:rsidR="00F76607" w:rsidRDefault="001863F0">
            <w:pPr>
              <w:jc w:val="right"/>
              <w:rPr>
                <w:sz w:val="18"/>
                <w:szCs w:val="18"/>
              </w:rPr>
            </w:pPr>
            <w:r>
              <w:rPr>
                <w:sz w:val="18"/>
                <w:szCs w:val="18"/>
              </w:rPr>
              <w:t>5.15%-5.30%</w:t>
            </w:r>
          </w:p>
        </w:tc>
      </w:tr>
      <w:tr w:rsidR="00F76607" w14:paraId="152FEDF0" w14:textId="77777777">
        <w:trPr>
          <w:trHeight w:val="250"/>
        </w:trPr>
        <w:tc>
          <w:tcPr>
            <w:tcW w:w="0" w:type="auto"/>
            <w:shd w:val="clear" w:color="auto" w:fill="FFFFFF" w:themeFill="background1"/>
            <w:noWrap/>
            <w:vAlign w:val="center"/>
          </w:tcPr>
          <w:p w14:paraId="38C1869B"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7355B016"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9513CA5"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C905B22"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49051559" w14:textId="77777777" w:rsidR="00F76607" w:rsidRDefault="001863F0">
            <w:pPr>
              <w:jc w:val="right"/>
              <w:rPr>
                <w:sz w:val="18"/>
                <w:szCs w:val="18"/>
              </w:rPr>
            </w:pPr>
            <w:r>
              <w:rPr>
                <w:sz w:val="18"/>
                <w:szCs w:val="18"/>
              </w:rPr>
              <w:t>Weighted average yield</w:t>
            </w:r>
          </w:p>
        </w:tc>
        <w:tc>
          <w:tcPr>
            <w:tcW w:w="0" w:type="auto"/>
            <w:shd w:val="clear" w:color="auto" w:fill="FFFFFF" w:themeFill="background1"/>
            <w:noWrap/>
            <w:vAlign w:val="center"/>
          </w:tcPr>
          <w:p w14:paraId="6310C3AF" w14:textId="77777777" w:rsidR="00F76607" w:rsidRDefault="001863F0">
            <w:pPr>
              <w:jc w:val="right"/>
              <w:rPr>
                <w:sz w:val="18"/>
                <w:szCs w:val="18"/>
              </w:rPr>
            </w:pPr>
            <w:r>
              <w:rPr>
                <w:sz w:val="18"/>
                <w:szCs w:val="18"/>
              </w:rPr>
              <w:t>5.78%</w:t>
            </w:r>
          </w:p>
        </w:tc>
      </w:tr>
      <w:tr w:rsidR="00F76607" w14:paraId="33A2B145" w14:textId="77777777">
        <w:trPr>
          <w:trHeight w:val="250"/>
        </w:trPr>
        <w:tc>
          <w:tcPr>
            <w:tcW w:w="0" w:type="auto"/>
            <w:shd w:val="clear" w:color="auto" w:fill="FFFFFF" w:themeFill="background1"/>
            <w:noWrap/>
            <w:vAlign w:val="center"/>
          </w:tcPr>
          <w:p w14:paraId="6AC7D019" w14:textId="77777777" w:rsidR="00F76607" w:rsidRDefault="001863F0">
            <w:pPr>
              <w:rPr>
                <w:b/>
                <w:sz w:val="18"/>
                <w:szCs w:val="18"/>
              </w:rPr>
            </w:pPr>
            <w:r>
              <w:rPr>
                <w:b/>
                <w:sz w:val="18"/>
                <w:szCs w:val="18"/>
              </w:rPr>
              <w:lastRenderedPageBreak/>
              <w:t> </w:t>
            </w:r>
          </w:p>
        </w:tc>
        <w:tc>
          <w:tcPr>
            <w:tcW w:w="0" w:type="auto"/>
            <w:shd w:val="clear" w:color="auto" w:fill="FFFFFF" w:themeFill="background1"/>
            <w:noWrap/>
            <w:vAlign w:val="center"/>
          </w:tcPr>
          <w:p w14:paraId="0E874CF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7A05933"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5D8ADF94"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33B019E4" w14:textId="5AF18C79" w:rsidR="00F76607" w:rsidRDefault="001863F0">
            <w:pPr>
              <w:jc w:val="right"/>
              <w:rPr>
                <w:sz w:val="18"/>
                <w:szCs w:val="18"/>
              </w:rPr>
            </w:pPr>
            <w:r>
              <w:rPr>
                <w:sz w:val="18"/>
                <w:szCs w:val="18"/>
              </w:rPr>
              <w:t>Cost to completion (in</w:t>
            </w:r>
            <w:r w:rsidR="00C2417B">
              <w:rPr>
                <w:sz w:val="18"/>
                <w:szCs w:val="18"/>
              </w:rPr>
              <w:t xml:space="preserve"> €</w:t>
            </w:r>
            <w:r>
              <w:rPr>
                <w:sz w:val="18"/>
                <w:szCs w:val="18"/>
              </w:rPr>
              <w:t xml:space="preserve"> '000)</w:t>
            </w:r>
          </w:p>
        </w:tc>
        <w:tc>
          <w:tcPr>
            <w:tcW w:w="0" w:type="auto"/>
            <w:shd w:val="clear" w:color="auto" w:fill="FFFFFF" w:themeFill="background1"/>
            <w:noWrap/>
            <w:vAlign w:val="center"/>
          </w:tcPr>
          <w:p w14:paraId="05DE139A" w14:textId="77777777" w:rsidR="00F76607" w:rsidRDefault="001863F0">
            <w:pPr>
              <w:jc w:val="right"/>
              <w:rPr>
                <w:sz w:val="18"/>
                <w:szCs w:val="18"/>
              </w:rPr>
            </w:pPr>
            <w:r>
              <w:rPr>
                <w:sz w:val="18"/>
                <w:szCs w:val="18"/>
              </w:rPr>
              <w:t>21,108</w:t>
            </w:r>
          </w:p>
        </w:tc>
      </w:tr>
      <w:tr w:rsidR="00F76607" w14:paraId="706F7B57" w14:textId="77777777">
        <w:trPr>
          <w:trHeight w:val="250"/>
        </w:trPr>
        <w:tc>
          <w:tcPr>
            <w:tcW w:w="0" w:type="auto"/>
            <w:shd w:val="clear" w:color="auto" w:fill="FFFFFF" w:themeFill="background1"/>
            <w:noWrap/>
            <w:vAlign w:val="center"/>
          </w:tcPr>
          <w:p w14:paraId="037771FF"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185CF385" w14:textId="77777777" w:rsidR="00F76607" w:rsidRDefault="001863F0">
            <w:pPr>
              <w:jc w:val="right"/>
              <w:rPr>
                <w:sz w:val="18"/>
                <w:szCs w:val="18"/>
              </w:rPr>
            </w:pPr>
            <w:r>
              <w:rPr>
                <w:sz w:val="18"/>
                <w:szCs w:val="18"/>
              </w:rPr>
              <w:t>DL</w:t>
            </w:r>
          </w:p>
        </w:tc>
        <w:tc>
          <w:tcPr>
            <w:tcW w:w="0" w:type="auto"/>
            <w:shd w:val="clear" w:color="auto" w:fill="FFFFFF" w:themeFill="background1"/>
            <w:noWrap/>
            <w:vAlign w:val="center"/>
          </w:tcPr>
          <w:p w14:paraId="40F6EB6A" w14:textId="77777777" w:rsidR="00F76607" w:rsidRDefault="001863F0">
            <w:pPr>
              <w:jc w:val="right"/>
              <w:rPr>
                <w:sz w:val="18"/>
                <w:szCs w:val="18"/>
              </w:rPr>
            </w:pPr>
            <w:r>
              <w:rPr>
                <w:sz w:val="18"/>
                <w:szCs w:val="18"/>
              </w:rPr>
              <w:t>51,934</w:t>
            </w:r>
          </w:p>
        </w:tc>
        <w:tc>
          <w:tcPr>
            <w:tcW w:w="0" w:type="auto"/>
            <w:shd w:val="clear" w:color="auto" w:fill="FFFFFF" w:themeFill="background1"/>
            <w:noWrap/>
            <w:vAlign w:val="center"/>
          </w:tcPr>
          <w:p w14:paraId="5BB220E4" w14:textId="77777777" w:rsidR="00F76607" w:rsidRDefault="001863F0">
            <w:pPr>
              <w:jc w:val="right"/>
              <w:rPr>
                <w:sz w:val="18"/>
                <w:szCs w:val="18"/>
              </w:rPr>
            </w:pPr>
            <w:r>
              <w:rPr>
                <w:sz w:val="18"/>
                <w:szCs w:val="18"/>
              </w:rPr>
              <w:t>Sales comparison</w:t>
            </w:r>
          </w:p>
        </w:tc>
        <w:tc>
          <w:tcPr>
            <w:tcW w:w="0" w:type="auto"/>
            <w:shd w:val="clear" w:color="auto" w:fill="FFFFFF" w:themeFill="background1"/>
            <w:noWrap/>
            <w:vAlign w:val="center"/>
            <w:hideMark/>
          </w:tcPr>
          <w:p w14:paraId="5BA4AD6F" w14:textId="77777777" w:rsidR="00F76607" w:rsidRDefault="001863F0">
            <w:pPr>
              <w:jc w:val="right"/>
              <w:rPr>
                <w:sz w:val="18"/>
                <w:szCs w:val="18"/>
              </w:rPr>
            </w:pPr>
            <w:r>
              <w:rPr>
                <w:sz w:val="18"/>
                <w:szCs w:val="18"/>
              </w:rPr>
              <w:t>Price per m²</w:t>
            </w:r>
          </w:p>
        </w:tc>
        <w:tc>
          <w:tcPr>
            <w:tcW w:w="0" w:type="auto"/>
            <w:shd w:val="clear" w:color="auto" w:fill="FFFFFF" w:themeFill="background1"/>
            <w:noWrap/>
            <w:vAlign w:val="center"/>
          </w:tcPr>
          <w:p w14:paraId="579E56A9" w14:textId="501CE789" w:rsidR="00F76607" w:rsidRDefault="00FF2ECC">
            <w:pPr>
              <w:jc w:val="right"/>
              <w:rPr>
                <w:sz w:val="18"/>
                <w:szCs w:val="18"/>
              </w:rPr>
            </w:pPr>
            <w:r>
              <w:rPr>
                <w:sz w:val="18"/>
                <w:szCs w:val="18"/>
              </w:rPr>
              <w:t xml:space="preserve"> </w:t>
            </w:r>
            <w:r w:rsidR="001863F0">
              <w:rPr>
                <w:sz w:val="18"/>
                <w:szCs w:val="18"/>
              </w:rPr>
              <w:t>-</w:t>
            </w:r>
          </w:p>
        </w:tc>
      </w:tr>
      <w:tr w:rsidR="00F76607" w14:paraId="085CD213" w14:textId="77777777">
        <w:trPr>
          <w:trHeight w:val="250"/>
        </w:trPr>
        <w:tc>
          <w:tcPr>
            <w:tcW w:w="0" w:type="auto"/>
            <w:shd w:val="clear" w:color="auto" w:fill="FFFFFF" w:themeFill="background1"/>
            <w:noWrap/>
            <w:vAlign w:val="center"/>
          </w:tcPr>
          <w:p w14:paraId="7FDBB2A9"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2A61F98D"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BAF6F51"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44E28C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257F3688"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C5BC9E3" w14:textId="77777777" w:rsidR="00F76607" w:rsidRDefault="001863F0">
            <w:pPr>
              <w:jc w:val="right"/>
              <w:rPr>
                <w:sz w:val="18"/>
                <w:szCs w:val="18"/>
              </w:rPr>
            </w:pPr>
            <w:r>
              <w:rPr>
                <w:sz w:val="18"/>
                <w:szCs w:val="18"/>
              </w:rPr>
              <w:t> </w:t>
            </w:r>
          </w:p>
        </w:tc>
      </w:tr>
      <w:tr w:rsidR="00F76607" w14:paraId="6F3F5FDC" w14:textId="77777777">
        <w:trPr>
          <w:trHeight w:val="250"/>
        </w:trPr>
        <w:tc>
          <w:tcPr>
            <w:tcW w:w="0" w:type="auto"/>
            <w:shd w:val="clear" w:color="auto" w:fill="FFFFFF" w:themeFill="background1"/>
            <w:noWrap/>
            <w:vAlign w:val="center"/>
            <w:hideMark/>
          </w:tcPr>
          <w:p w14:paraId="6BF3D6C0" w14:textId="77777777" w:rsidR="00F76607" w:rsidRDefault="001863F0">
            <w:pPr>
              <w:rPr>
                <w:b/>
                <w:sz w:val="18"/>
                <w:szCs w:val="18"/>
              </w:rPr>
            </w:pPr>
            <w:r>
              <w:rPr>
                <w:b/>
                <w:sz w:val="18"/>
                <w:szCs w:val="18"/>
              </w:rPr>
              <w:t>Spain</w:t>
            </w:r>
          </w:p>
        </w:tc>
        <w:tc>
          <w:tcPr>
            <w:tcW w:w="0" w:type="auto"/>
            <w:shd w:val="clear" w:color="auto" w:fill="FFFFFF" w:themeFill="background1"/>
            <w:noWrap/>
            <w:vAlign w:val="center"/>
            <w:hideMark/>
          </w:tcPr>
          <w:p w14:paraId="04827844" w14:textId="77777777" w:rsidR="00F76607" w:rsidRDefault="001863F0">
            <w:pPr>
              <w:jc w:val="right"/>
              <w:rPr>
                <w:sz w:val="18"/>
                <w:szCs w:val="18"/>
              </w:rPr>
            </w:pPr>
            <w:r>
              <w:rPr>
                <w:sz w:val="18"/>
                <w:szCs w:val="18"/>
              </w:rPr>
              <w:t>IP</w:t>
            </w:r>
          </w:p>
        </w:tc>
        <w:tc>
          <w:tcPr>
            <w:tcW w:w="0" w:type="auto"/>
            <w:shd w:val="clear" w:color="auto" w:fill="FFFFFF" w:themeFill="background1"/>
            <w:noWrap/>
            <w:vAlign w:val="center"/>
          </w:tcPr>
          <w:p w14:paraId="1C4C8D91" w14:textId="77777777" w:rsidR="00F76607" w:rsidRDefault="001863F0">
            <w:pPr>
              <w:jc w:val="right"/>
              <w:rPr>
                <w:sz w:val="18"/>
                <w:szCs w:val="18"/>
              </w:rPr>
            </w:pPr>
            <w:r>
              <w:rPr>
                <w:sz w:val="18"/>
                <w:szCs w:val="18"/>
              </w:rPr>
              <w:t>126,240</w:t>
            </w:r>
          </w:p>
        </w:tc>
        <w:tc>
          <w:tcPr>
            <w:tcW w:w="0" w:type="auto"/>
            <w:shd w:val="clear" w:color="auto" w:fill="FFFFFF" w:themeFill="background1"/>
            <w:noWrap/>
            <w:vAlign w:val="center"/>
            <w:hideMark/>
          </w:tcPr>
          <w:p w14:paraId="3FDFA461" w14:textId="77777777" w:rsidR="00F76607" w:rsidRDefault="001863F0">
            <w:pPr>
              <w:jc w:val="right"/>
              <w:rPr>
                <w:sz w:val="18"/>
                <w:szCs w:val="18"/>
              </w:rPr>
            </w:pPr>
            <w:r>
              <w:rPr>
                <w:sz w:val="18"/>
                <w:szCs w:val="18"/>
              </w:rPr>
              <w:t>Net Present Value</w:t>
            </w:r>
          </w:p>
        </w:tc>
        <w:tc>
          <w:tcPr>
            <w:tcW w:w="0" w:type="auto"/>
            <w:shd w:val="clear" w:color="auto" w:fill="FFFFFF" w:themeFill="background1"/>
            <w:noWrap/>
            <w:vAlign w:val="center"/>
          </w:tcPr>
          <w:p w14:paraId="01B1F9A1" w14:textId="77777777" w:rsidR="00F76607" w:rsidRDefault="001863F0">
            <w:pPr>
              <w:jc w:val="right"/>
              <w:rPr>
                <w:sz w:val="18"/>
                <w:szCs w:val="18"/>
              </w:rPr>
            </w:pPr>
            <w:r>
              <w:rPr>
                <w:sz w:val="18"/>
                <w:szCs w:val="18"/>
              </w:rPr>
              <w:t xml:space="preserve">Annual rent per m² </w:t>
            </w:r>
          </w:p>
        </w:tc>
        <w:tc>
          <w:tcPr>
            <w:tcW w:w="0" w:type="auto"/>
            <w:shd w:val="clear" w:color="auto" w:fill="FFFFFF" w:themeFill="background1"/>
            <w:noWrap/>
            <w:vAlign w:val="center"/>
          </w:tcPr>
          <w:p w14:paraId="23C2478B" w14:textId="77777777" w:rsidR="00F76607" w:rsidRDefault="001863F0">
            <w:pPr>
              <w:jc w:val="right"/>
              <w:rPr>
                <w:sz w:val="18"/>
                <w:szCs w:val="18"/>
              </w:rPr>
            </w:pPr>
            <w:r>
              <w:rPr>
                <w:sz w:val="18"/>
                <w:szCs w:val="18"/>
              </w:rPr>
              <w:t>41</w:t>
            </w:r>
          </w:p>
        </w:tc>
      </w:tr>
      <w:tr w:rsidR="00F76607" w14:paraId="3BD95258" w14:textId="77777777">
        <w:trPr>
          <w:trHeight w:val="250"/>
        </w:trPr>
        <w:tc>
          <w:tcPr>
            <w:tcW w:w="0" w:type="auto"/>
            <w:shd w:val="clear" w:color="auto" w:fill="FFFFFF" w:themeFill="background1"/>
            <w:noWrap/>
            <w:vAlign w:val="center"/>
          </w:tcPr>
          <w:p w14:paraId="6D4D6CE3" w14:textId="77777777" w:rsidR="00F76607" w:rsidRDefault="00F76607">
            <w:pPr>
              <w:rPr>
                <w:b/>
                <w:sz w:val="18"/>
                <w:szCs w:val="18"/>
              </w:rPr>
            </w:pPr>
          </w:p>
        </w:tc>
        <w:tc>
          <w:tcPr>
            <w:tcW w:w="0" w:type="auto"/>
            <w:shd w:val="clear" w:color="auto" w:fill="FFFFFF" w:themeFill="background1"/>
            <w:noWrap/>
            <w:vAlign w:val="center"/>
          </w:tcPr>
          <w:p w14:paraId="4E5724F1"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03121B9"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7E76675"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35295D0" w14:textId="77777777" w:rsidR="00F76607" w:rsidRDefault="001863F0">
            <w:pPr>
              <w:jc w:val="right"/>
              <w:rPr>
                <w:sz w:val="18"/>
                <w:szCs w:val="18"/>
              </w:rPr>
            </w:pPr>
            <w:r>
              <w:rPr>
                <w:sz w:val="18"/>
                <w:szCs w:val="18"/>
              </w:rPr>
              <w:t>IRR</w:t>
            </w:r>
          </w:p>
        </w:tc>
        <w:tc>
          <w:tcPr>
            <w:tcW w:w="0" w:type="auto"/>
            <w:shd w:val="clear" w:color="auto" w:fill="FFFFFF" w:themeFill="background1"/>
            <w:noWrap/>
            <w:vAlign w:val="center"/>
          </w:tcPr>
          <w:p w14:paraId="1249FF71" w14:textId="77777777" w:rsidR="00F76607" w:rsidRDefault="001863F0">
            <w:pPr>
              <w:jc w:val="right"/>
              <w:rPr>
                <w:sz w:val="18"/>
                <w:szCs w:val="18"/>
              </w:rPr>
            </w:pPr>
            <w:r>
              <w:rPr>
                <w:sz w:val="18"/>
                <w:szCs w:val="18"/>
              </w:rPr>
              <w:t>5.50%</w:t>
            </w:r>
          </w:p>
        </w:tc>
      </w:tr>
      <w:tr w:rsidR="00F76607" w14:paraId="75AB1C27" w14:textId="77777777">
        <w:trPr>
          <w:trHeight w:val="250"/>
        </w:trPr>
        <w:tc>
          <w:tcPr>
            <w:tcW w:w="0" w:type="auto"/>
            <w:shd w:val="clear" w:color="auto" w:fill="FFFFFF" w:themeFill="background1"/>
            <w:noWrap/>
            <w:vAlign w:val="center"/>
          </w:tcPr>
          <w:p w14:paraId="1B38BE9B" w14:textId="77777777" w:rsidR="00F76607" w:rsidRDefault="00F76607">
            <w:pPr>
              <w:rPr>
                <w:b/>
                <w:sz w:val="18"/>
                <w:szCs w:val="18"/>
              </w:rPr>
            </w:pPr>
          </w:p>
        </w:tc>
        <w:tc>
          <w:tcPr>
            <w:tcW w:w="0" w:type="auto"/>
            <w:shd w:val="clear" w:color="auto" w:fill="FFFFFF" w:themeFill="background1"/>
            <w:noWrap/>
            <w:vAlign w:val="center"/>
          </w:tcPr>
          <w:p w14:paraId="6AF50278"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546C9E58"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6036D68"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C892E03" w14:textId="77777777" w:rsidR="00F76607" w:rsidRDefault="001863F0">
            <w:pPr>
              <w:jc w:val="right"/>
              <w:rPr>
                <w:sz w:val="18"/>
                <w:szCs w:val="18"/>
              </w:rPr>
            </w:pPr>
            <w:r>
              <w:rPr>
                <w:sz w:val="18"/>
                <w:szCs w:val="18"/>
              </w:rPr>
              <w:t>Weighted average yield</w:t>
            </w:r>
          </w:p>
        </w:tc>
        <w:tc>
          <w:tcPr>
            <w:tcW w:w="0" w:type="auto"/>
            <w:shd w:val="clear" w:color="auto" w:fill="FFFFFF" w:themeFill="background1"/>
            <w:noWrap/>
            <w:vAlign w:val="center"/>
          </w:tcPr>
          <w:p w14:paraId="25B6ECE7" w14:textId="77777777" w:rsidR="00F76607" w:rsidRDefault="001863F0">
            <w:pPr>
              <w:jc w:val="right"/>
              <w:rPr>
                <w:sz w:val="18"/>
                <w:szCs w:val="18"/>
              </w:rPr>
            </w:pPr>
            <w:r>
              <w:rPr>
                <w:sz w:val="18"/>
                <w:szCs w:val="18"/>
              </w:rPr>
              <w:t>6.14%</w:t>
            </w:r>
          </w:p>
        </w:tc>
      </w:tr>
      <w:tr w:rsidR="00F76607" w14:paraId="3510C673" w14:textId="77777777">
        <w:trPr>
          <w:trHeight w:val="250"/>
        </w:trPr>
        <w:tc>
          <w:tcPr>
            <w:tcW w:w="0" w:type="auto"/>
            <w:shd w:val="clear" w:color="auto" w:fill="FFFFFF" w:themeFill="background1"/>
            <w:noWrap/>
            <w:vAlign w:val="center"/>
          </w:tcPr>
          <w:p w14:paraId="4063F3E3" w14:textId="77777777" w:rsidR="00F76607" w:rsidRDefault="00F76607">
            <w:pPr>
              <w:rPr>
                <w:b/>
                <w:sz w:val="18"/>
                <w:szCs w:val="18"/>
              </w:rPr>
            </w:pPr>
          </w:p>
        </w:tc>
        <w:tc>
          <w:tcPr>
            <w:tcW w:w="0" w:type="auto"/>
            <w:shd w:val="clear" w:color="auto" w:fill="FFFFFF" w:themeFill="background1"/>
            <w:noWrap/>
            <w:vAlign w:val="center"/>
          </w:tcPr>
          <w:p w14:paraId="55901EB6"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4F6FE64"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28A06BC"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4315447" w14:textId="03B71C9E" w:rsidR="00F76607" w:rsidRDefault="001863F0">
            <w:pPr>
              <w:jc w:val="right"/>
              <w:rPr>
                <w:sz w:val="18"/>
                <w:szCs w:val="18"/>
              </w:rPr>
            </w:pPr>
            <w:r>
              <w:rPr>
                <w:sz w:val="18"/>
                <w:szCs w:val="18"/>
              </w:rPr>
              <w:t>Cost to completion (in</w:t>
            </w:r>
            <w:r w:rsidR="00C2417B">
              <w:rPr>
                <w:sz w:val="18"/>
                <w:szCs w:val="18"/>
              </w:rPr>
              <w:t xml:space="preserve"> €</w:t>
            </w:r>
            <w:r>
              <w:rPr>
                <w:sz w:val="18"/>
                <w:szCs w:val="18"/>
              </w:rPr>
              <w:t xml:space="preserve"> '000)</w:t>
            </w:r>
          </w:p>
        </w:tc>
        <w:tc>
          <w:tcPr>
            <w:tcW w:w="0" w:type="auto"/>
            <w:shd w:val="clear" w:color="auto" w:fill="FFFFFF" w:themeFill="background1"/>
            <w:noWrap/>
            <w:vAlign w:val="center"/>
          </w:tcPr>
          <w:p w14:paraId="537B1CE8" w14:textId="77777777" w:rsidR="00F76607" w:rsidRDefault="001863F0">
            <w:pPr>
              <w:jc w:val="right"/>
              <w:rPr>
                <w:sz w:val="18"/>
                <w:szCs w:val="18"/>
              </w:rPr>
            </w:pPr>
            <w:r>
              <w:rPr>
                <w:sz w:val="18"/>
                <w:szCs w:val="18"/>
              </w:rPr>
              <w:t xml:space="preserve"> - </w:t>
            </w:r>
          </w:p>
        </w:tc>
      </w:tr>
      <w:tr w:rsidR="00F76607" w14:paraId="0B3039B8" w14:textId="77777777">
        <w:trPr>
          <w:trHeight w:val="250"/>
        </w:trPr>
        <w:tc>
          <w:tcPr>
            <w:tcW w:w="0" w:type="auto"/>
            <w:shd w:val="clear" w:color="auto" w:fill="FFFFFF" w:themeFill="background1"/>
            <w:noWrap/>
            <w:vAlign w:val="center"/>
          </w:tcPr>
          <w:p w14:paraId="5F99FF45" w14:textId="77777777" w:rsidR="00F76607" w:rsidRDefault="00F76607">
            <w:pPr>
              <w:rPr>
                <w:b/>
                <w:sz w:val="18"/>
                <w:szCs w:val="18"/>
              </w:rPr>
            </w:pPr>
          </w:p>
        </w:tc>
        <w:tc>
          <w:tcPr>
            <w:tcW w:w="0" w:type="auto"/>
            <w:shd w:val="clear" w:color="auto" w:fill="FFFFFF" w:themeFill="background1"/>
            <w:noWrap/>
            <w:vAlign w:val="center"/>
          </w:tcPr>
          <w:p w14:paraId="31E2DD93" w14:textId="77777777" w:rsidR="00F76607" w:rsidRDefault="001863F0">
            <w:pPr>
              <w:jc w:val="right"/>
              <w:rPr>
                <w:sz w:val="18"/>
                <w:szCs w:val="18"/>
              </w:rPr>
            </w:pPr>
            <w:r>
              <w:rPr>
                <w:sz w:val="18"/>
                <w:szCs w:val="18"/>
              </w:rPr>
              <w:t>IPUC</w:t>
            </w:r>
          </w:p>
        </w:tc>
        <w:tc>
          <w:tcPr>
            <w:tcW w:w="0" w:type="auto"/>
            <w:shd w:val="clear" w:color="auto" w:fill="FFFFFF" w:themeFill="background1"/>
            <w:noWrap/>
            <w:vAlign w:val="center"/>
          </w:tcPr>
          <w:p w14:paraId="675B0C45" w14:textId="77777777" w:rsidR="00F76607" w:rsidRDefault="001863F0">
            <w:pPr>
              <w:jc w:val="right"/>
              <w:rPr>
                <w:sz w:val="18"/>
                <w:szCs w:val="18"/>
              </w:rPr>
            </w:pPr>
            <w:r>
              <w:rPr>
                <w:sz w:val="18"/>
                <w:szCs w:val="18"/>
              </w:rPr>
              <w:t>14,050</w:t>
            </w:r>
          </w:p>
        </w:tc>
        <w:tc>
          <w:tcPr>
            <w:tcW w:w="0" w:type="auto"/>
            <w:shd w:val="clear" w:color="auto" w:fill="FFFFFF" w:themeFill="background1"/>
            <w:noWrap/>
            <w:vAlign w:val="center"/>
          </w:tcPr>
          <w:p w14:paraId="2AF291ED" w14:textId="77777777" w:rsidR="00F76607" w:rsidRDefault="001863F0">
            <w:pPr>
              <w:jc w:val="right"/>
              <w:rPr>
                <w:sz w:val="18"/>
                <w:szCs w:val="18"/>
              </w:rPr>
            </w:pPr>
            <w:r>
              <w:rPr>
                <w:sz w:val="18"/>
                <w:szCs w:val="18"/>
              </w:rPr>
              <w:t>Initial Yield</w:t>
            </w:r>
          </w:p>
        </w:tc>
        <w:tc>
          <w:tcPr>
            <w:tcW w:w="0" w:type="auto"/>
            <w:shd w:val="clear" w:color="auto" w:fill="FFFFFF" w:themeFill="background1"/>
            <w:noWrap/>
            <w:vAlign w:val="center"/>
          </w:tcPr>
          <w:p w14:paraId="36D5094A" w14:textId="77777777" w:rsidR="00F76607" w:rsidRDefault="001863F0">
            <w:pPr>
              <w:jc w:val="right"/>
              <w:rPr>
                <w:sz w:val="18"/>
                <w:szCs w:val="18"/>
              </w:rPr>
            </w:pPr>
            <w:r>
              <w:rPr>
                <w:sz w:val="18"/>
                <w:szCs w:val="18"/>
              </w:rPr>
              <w:t xml:space="preserve">Annual rent per m² </w:t>
            </w:r>
          </w:p>
        </w:tc>
        <w:tc>
          <w:tcPr>
            <w:tcW w:w="0" w:type="auto"/>
            <w:shd w:val="clear" w:color="auto" w:fill="FFFFFF" w:themeFill="background1"/>
            <w:noWrap/>
            <w:vAlign w:val="center"/>
          </w:tcPr>
          <w:p w14:paraId="25D22DB5" w14:textId="77777777" w:rsidR="00F76607" w:rsidRDefault="001863F0">
            <w:pPr>
              <w:jc w:val="right"/>
              <w:rPr>
                <w:sz w:val="18"/>
                <w:szCs w:val="18"/>
              </w:rPr>
            </w:pPr>
            <w:r>
              <w:rPr>
                <w:sz w:val="18"/>
                <w:szCs w:val="18"/>
              </w:rPr>
              <w:t>56</w:t>
            </w:r>
          </w:p>
        </w:tc>
      </w:tr>
      <w:tr w:rsidR="00F76607" w14:paraId="7A155924" w14:textId="77777777">
        <w:trPr>
          <w:trHeight w:val="250"/>
        </w:trPr>
        <w:tc>
          <w:tcPr>
            <w:tcW w:w="0" w:type="auto"/>
            <w:shd w:val="clear" w:color="auto" w:fill="FFFFFF" w:themeFill="background1"/>
            <w:noWrap/>
            <w:vAlign w:val="center"/>
          </w:tcPr>
          <w:p w14:paraId="54230DD3" w14:textId="77777777" w:rsidR="00F76607" w:rsidRDefault="00F76607">
            <w:pPr>
              <w:rPr>
                <w:b/>
                <w:sz w:val="18"/>
                <w:szCs w:val="18"/>
              </w:rPr>
            </w:pPr>
          </w:p>
        </w:tc>
        <w:tc>
          <w:tcPr>
            <w:tcW w:w="0" w:type="auto"/>
            <w:shd w:val="clear" w:color="auto" w:fill="FFFFFF" w:themeFill="background1"/>
            <w:noWrap/>
            <w:vAlign w:val="center"/>
          </w:tcPr>
          <w:p w14:paraId="5FD64A84"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AF59540"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A6B9648"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C7146CA" w14:textId="77777777" w:rsidR="00F76607" w:rsidRDefault="001863F0">
            <w:pPr>
              <w:jc w:val="right"/>
              <w:rPr>
                <w:sz w:val="18"/>
                <w:szCs w:val="18"/>
              </w:rPr>
            </w:pPr>
            <w:r>
              <w:rPr>
                <w:sz w:val="18"/>
                <w:szCs w:val="18"/>
              </w:rPr>
              <w:t xml:space="preserve">Initial yield </w:t>
            </w:r>
          </w:p>
        </w:tc>
        <w:tc>
          <w:tcPr>
            <w:tcW w:w="0" w:type="auto"/>
            <w:shd w:val="clear" w:color="auto" w:fill="FFFFFF" w:themeFill="background1"/>
            <w:noWrap/>
            <w:vAlign w:val="center"/>
          </w:tcPr>
          <w:p w14:paraId="70B565F5" w14:textId="77777777" w:rsidR="00F76607" w:rsidRDefault="001863F0">
            <w:pPr>
              <w:jc w:val="right"/>
              <w:rPr>
                <w:sz w:val="18"/>
                <w:szCs w:val="18"/>
              </w:rPr>
            </w:pPr>
            <w:r>
              <w:rPr>
                <w:sz w:val="18"/>
                <w:szCs w:val="18"/>
              </w:rPr>
              <w:t>5.50%</w:t>
            </w:r>
          </w:p>
        </w:tc>
      </w:tr>
      <w:tr w:rsidR="00F76607" w14:paraId="5F9B126C" w14:textId="77777777">
        <w:trPr>
          <w:trHeight w:val="250"/>
        </w:trPr>
        <w:tc>
          <w:tcPr>
            <w:tcW w:w="0" w:type="auto"/>
            <w:shd w:val="clear" w:color="auto" w:fill="FFFFFF" w:themeFill="background1"/>
            <w:noWrap/>
            <w:vAlign w:val="center"/>
          </w:tcPr>
          <w:p w14:paraId="2009C513" w14:textId="77777777" w:rsidR="00F76607" w:rsidRDefault="00F76607">
            <w:pPr>
              <w:rPr>
                <w:b/>
                <w:sz w:val="18"/>
                <w:szCs w:val="18"/>
              </w:rPr>
            </w:pPr>
          </w:p>
        </w:tc>
        <w:tc>
          <w:tcPr>
            <w:tcW w:w="0" w:type="auto"/>
            <w:shd w:val="clear" w:color="auto" w:fill="FFFFFF" w:themeFill="background1"/>
            <w:noWrap/>
            <w:vAlign w:val="center"/>
          </w:tcPr>
          <w:p w14:paraId="31DA1B48"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7556789"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271A618"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CFDD0D2" w14:textId="77777777" w:rsidR="00F76607" w:rsidRDefault="001863F0">
            <w:pPr>
              <w:jc w:val="right"/>
              <w:rPr>
                <w:sz w:val="18"/>
                <w:szCs w:val="18"/>
              </w:rPr>
            </w:pPr>
            <w:r>
              <w:rPr>
                <w:sz w:val="18"/>
                <w:szCs w:val="18"/>
              </w:rPr>
              <w:t>Weighted average yield</w:t>
            </w:r>
          </w:p>
        </w:tc>
        <w:tc>
          <w:tcPr>
            <w:tcW w:w="0" w:type="auto"/>
            <w:shd w:val="clear" w:color="auto" w:fill="FFFFFF" w:themeFill="background1"/>
            <w:noWrap/>
            <w:vAlign w:val="center"/>
          </w:tcPr>
          <w:p w14:paraId="5040C38F" w14:textId="77777777" w:rsidR="00F76607" w:rsidRDefault="001863F0">
            <w:pPr>
              <w:jc w:val="right"/>
              <w:rPr>
                <w:sz w:val="18"/>
                <w:szCs w:val="18"/>
              </w:rPr>
            </w:pPr>
            <w:r>
              <w:rPr>
                <w:sz w:val="18"/>
                <w:szCs w:val="18"/>
              </w:rPr>
              <w:t>5.68%</w:t>
            </w:r>
          </w:p>
        </w:tc>
      </w:tr>
      <w:tr w:rsidR="00F76607" w14:paraId="6E127588" w14:textId="77777777">
        <w:trPr>
          <w:trHeight w:val="250"/>
        </w:trPr>
        <w:tc>
          <w:tcPr>
            <w:tcW w:w="0" w:type="auto"/>
            <w:shd w:val="clear" w:color="auto" w:fill="FFFFFF" w:themeFill="background1"/>
            <w:noWrap/>
            <w:vAlign w:val="center"/>
          </w:tcPr>
          <w:p w14:paraId="5B1EB264" w14:textId="77777777" w:rsidR="00F76607" w:rsidRDefault="00F76607">
            <w:pPr>
              <w:rPr>
                <w:b/>
                <w:sz w:val="18"/>
                <w:szCs w:val="18"/>
              </w:rPr>
            </w:pPr>
          </w:p>
        </w:tc>
        <w:tc>
          <w:tcPr>
            <w:tcW w:w="0" w:type="auto"/>
            <w:shd w:val="clear" w:color="auto" w:fill="FFFFFF" w:themeFill="background1"/>
            <w:noWrap/>
            <w:vAlign w:val="center"/>
          </w:tcPr>
          <w:p w14:paraId="43AE9B84"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C90F41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FF0E7B9"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57F6AE73" w14:textId="4A2CBFDD" w:rsidR="00F76607" w:rsidRDefault="001863F0">
            <w:pPr>
              <w:jc w:val="right"/>
              <w:rPr>
                <w:sz w:val="18"/>
                <w:szCs w:val="18"/>
              </w:rPr>
            </w:pPr>
            <w:r>
              <w:rPr>
                <w:sz w:val="18"/>
                <w:szCs w:val="18"/>
              </w:rPr>
              <w:t>Cost to completion (in</w:t>
            </w:r>
            <w:r w:rsidR="00C2417B">
              <w:rPr>
                <w:sz w:val="18"/>
                <w:szCs w:val="18"/>
              </w:rPr>
              <w:t xml:space="preserve"> €</w:t>
            </w:r>
            <w:r>
              <w:rPr>
                <w:sz w:val="18"/>
                <w:szCs w:val="18"/>
              </w:rPr>
              <w:t xml:space="preserve"> '000)</w:t>
            </w:r>
          </w:p>
        </w:tc>
        <w:tc>
          <w:tcPr>
            <w:tcW w:w="0" w:type="auto"/>
            <w:shd w:val="clear" w:color="auto" w:fill="FFFFFF" w:themeFill="background1"/>
            <w:noWrap/>
            <w:vAlign w:val="center"/>
          </w:tcPr>
          <w:p w14:paraId="2D8F5090" w14:textId="77777777" w:rsidR="00F76607" w:rsidRDefault="001863F0">
            <w:pPr>
              <w:jc w:val="right"/>
              <w:rPr>
                <w:sz w:val="18"/>
                <w:szCs w:val="18"/>
              </w:rPr>
            </w:pPr>
            <w:r>
              <w:rPr>
                <w:sz w:val="18"/>
                <w:szCs w:val="18"/>
              </w:rPr>
              <w:t>8,464</w:t>
            </w:r>
          </w:p>
        </w:tc>
      </w:tr>
      <w:tr w:rsidR="00F76607" w14:paraId="793E246D" w14:textId="77777777">
        <w:trPr>
          <w:trHeight w:val="250"/>
        </w:trPr>
        <w:tc>
          <w:tcPr>
            <w:tcW w:w="0" w:type="auto"/>
            <w:shd w:val="clear" w:color="auto" w:fill="FFFFFF" w:themeFill="background1"/>
            <w:noWrap/>
            <w:vAlign w:val="center"/>
          </w:tcPr>
          <w:p w14:paraId="5533DEB6" w14:textId="77777777" w:rsidR="00F76607" w:rsidRDefault="00F76607">
            <w:pPr>
              <w:rPr>
                <w:b/>
                <w:sz w:val="18"/>
                <w:szCs w:val="18"/>
              </w:rPr>
            </w:pPr>
          </w:p>
        </w:tc>
        <w:tc>
          <w:tcPr>
            <w:tcW w:w="0" w:type="auto"/>
            <w:shd w:val="clear" w:color="auto" w:fill="FFFFFF" w:themeFill="background1"/>
            <w:noWrap/>
            <w:vAlign w:val="center"/>
          </w:tcPr>
          <w:p w14:paraId="41F3D325" w14:textId="77777777" w:rsidR="00F76607" w:rsidRDefault="001863F0">
            <w:pPr>
              <w:jc w:val="right"/>
              <w:rPr>
                <w:sz w:val="18"/>
                <w:szCs w:val="18"/>
              </w:rPr>
            </w:pPr>
            <w:r>
              <w:rPr>
                <w:sz w:val="18"/>
                <w:szCs w:val="18"/>
              </w:rPr>
              <w:t>DL</w:t>
            </w:r>
          </w:p>
        </w:tc>
        <w:tc>
          <w:tcPr>
            <w:tcW w:w="0" w:type="auto"/>
            <w:shd w:val="clear" w:color="auto" w:fill="FFFFFF" w:themeFill="background1"/>
            <w:noWrap/>
            <w:vAlign w:val="center"/>
          </w:tcPr>
          <w:p w14:paraId="41F802EA" w14:textId="77777777" w:rsidR="00F76607" w:rsidRDefault="001863F0">
            <w:pPr>
              <w:jc w:val="right"/>
              <w:rPr>
                <w:sz w:val="18"/>
                <w:szCs w:val="18"/>
              </w:rPr>
            </w:pPr>
            <w:r>
              <w:rPr>
                <w:sz w:val="18"/>
                <w:szCs w:val="18"/>
              </w:rPr>
              <w:t>65,236</w:t>
            </w:r>
          </w:p>
        </w:tc>
        <w:tc>
          <w:tcPr>
            <w:tcW w:w="0" w:type="auto"/>
            <w:shd w:val="clear" w:color="auto" w:fill="FFFFFF" w:themeFill="background1"/>
            <w:noWrap/>
            <w:vAlign w:val="center"/>
          </w:tcPr>
          <w:p w14:paraId="6294A7FE" w14:textId="77777777" w:rsidR="00F76607" w:rsidRDefault="001863F0">
            <w:pPr>
              <w:jc w:val="right"/>
              <w:rPr>
                <w:sz w:val="18"/>
                <w:szCs w:val="18"/>
              </w:rPr>
            </w:pPr>
            <w:r>
              <w:rPr>
                <w:sz w:val="18"/>
                <w:szCs w:val="18"/>
              </w:rPr>
              <w:t>Sales comparison</w:t>
            </w:r>
          </w:p>
        </w:tc>
        <w:tc>
          <w:tcPr>
            <w:tcW w:w="0" w:type="auto"/>
            <w:shd w:val="clear" w:color="auto" w:fill="FFFFFF" w:themeFill="background1"/>
            <w:noWrap/>
            <w:vAlign w:val="center"/>
          </w:tcPr>
          <w:p w14:paraId="7BFDA512" w14:textId="77777777" w:rsidR="00F76607" w:rsidRDefault="001863F0">
            <w:pPr>
              <w:jc w:val="right"/>
              <w:rPr>
                <w:sz w:val="18"/>
                <w:szCs w:val="18"/>
              </w:rPr>
            </w:pPr>
            <w:r>
              <w:rPr>
                <w:sz w:val="18"/>
                <w:szCs w:val="18"/>
              </w:rPr>
              <w:t>Price per m²</w:t>
            </w:r>
          </w:p>
        </w:tc>
        <w:tc>
          <w:tcPr>
            <w:tcW w:w="0" w:type="auto"/>
            <w:shd w:val="clear" w:color="auto" w:fill="FFFFFF" w:themeFill="background1"/>
            <w:noWrap/>
            <w:vAlign w:val="center"/>
          </w:tcPr>
          <w:p w14:paraId="4CB28FA9" w14:textId="77777777" w:rsidR="00F76607" w:rsidRDefault="00F76607">
            <w:pPr>
              <w:spacing w:line="276" w:lineRule="auto"/>
              <w:jc w:val="right"/>
              <w:rPr>
                <w:sz w:val="18"/>
                <w:szCs w:val="18"/>
              </w:rPr>
            </w:pPr>
          </w:p>
        </w:tc>
      </w:tr>
      <w:tr w:rsidR="00F76607" w14:paraId="2E35AFD6" w14:textId="77777777">
        <w:trPr>
          <w:trHeight w:val="250"/>
        </w:trPr>
        <w:tc>
          <w:tcPr>
            <w:tcW w:w="0" w:type="auto"/>
            <w:shd w:val="clear" w:color="auto" w:fill="FFFFFF" w:themeFill="background1"/>
            <w:noWrap/>
            <w:vAlign w:val="center"/>
          </w:tcPr>
          <w:p w14:paraId="6008683A"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3D935203"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57BE07DE"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040B421"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D4B1FB8"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60CA57F" w14:textId="77777777" w:rsidR="00F76607" w:rsidRDefault="001863F0">
            <w:pPr>
              <w:jc w:val="right"/>
              <w:rPr>
                <w:sz w:val="18"/>
                <w:szCs w:val="18"/>
              </w:rPr>
            </w:pPr>
            <w:r>
              <w:rPr>
                <w:sz w:val="18"/>
                <w:szCs w:val="18"/>
              </w:rPr>
              <w:t> </w:t>
            </w:r>
          </w:p>
        </w:tc>
      </w:tr>
      <w:tr w:rsidR="00F76607" w14:paraId="43BDD4FA" w14:textId="77777777">
        <w:trPr>
          <w:trHeight w:val="250"/>
        </w:trPr>
        <w:tc>
          <w:tcPr>
            <w:tcW w:w="0" w:type="auto"/>
            <w:shd w:val="clear" w:color="auto" w:fill="FFFFFF" w:themeFill="background1"/>
            <w:noWrap/>
            <w:vAlign w:val="center"/>
            <w:hideMark/>
          </w:tcPr>
          <w:p w14:paraId="5CA76F25" w14:textId="77777777" w:rsidR="00F76607" w:rsidRDefault="001863F0">
            <w:pPr>
              <w:rPr>
                <w:b/>
                <w:sz w:val="18"/>
                <w:szCs w:val="18"/>
              </w:rPr>
            </w:pPr>
            <w:r>
              <w:rPr>
                <w:b/>
                <w:sz w:val="18"/>
                <w:szCs w:val="18"/>
              </w:rPr>
              <w:t>Other countries**</w:t>
            </w:r>
          </w:p>
        </w:tc>
        <w:tc>
          <w:tcPr>
            <w:tcW w:w="0" w:type="auto"/>
            <w:shd w:val="clear" w:color="auto" w:fill="FFFFFF" w:themeFill="background1"/>
            <w:noWrap/>
            <w:vAlign w:val="center"/>
          </w:tcPr>
          <w:p w14:paraId="1E5FC672" w14:textId="77777777" w:rsidR="00F76607" w:rsidRDefault="001863F0">
            <w:pPr>
              <w:jc w:val="right"/>
              <w:rPr>
                <w:sz w:val="18"/>
                <w:szCs w:val="18"/>
              </w:rPr>
            </w:pPr>
            <w:r>
              <w:rPr>
                <w:sz w:val="18"/>
                <w:szCs w:val="18"/>
              </w:rPr>
              <w:t>IP</w:t>
            </w:r>
          </w:p>
        </w:tc>
        <w:tc>
          <w:tcPr>
            <w:tcW w:w="0" w:type="auto"/>
            <w:shd w:val="clear" w:color="auto" w:fill="FFFFFF" w:themeFill="background1"/>
            <w:noWrap/>
            <w:vAlign w:val="center"/>
          </w:tcPr>
          <w:p w14:paraId="5B4CBB62" w14:textId="77777777" w:rsidR="00F76607" w:rsidRDefault="001863F0">
            <w:pPr>
              <w:jc w:val="right"/>
              <w:rPr>
                <w:sz w:val="18"/>
                <w:szCs w:val="18"/>
              </w:rPr>
            </w:pPr>
            <w:r>
              <w:rPr>
                <w:sz w:val="18"/>
                <w:szCs w:val="18"/>
              </w:rPr>
              <w:t>83,202</w:t>
            </w:r>
          </w:p>
        </w:tc>
        <w:tc>
          <w:tcPr>
            <w:tcW w:w="0" w:type="auto"/>
            <w:shd w:val="clear" w:color="auto" w:fill="FFFFFF" w:themeFill="background1"/>
            <w:noWrap/>
            <w:vAlign w:val="center"/>
          </w:tcPr>
          <w:p w14:paraId="29BD92BE" w14:textId="77777777" w:rsidR="00F76607" w:rsidRDefault="001863F0">
            <w:pPr>
              <w:jc w:val="right"/>
              <w:rPr>
                <w:sz w:val="18"/>
                <w:szCs w:val="18"/>
              </w:rPr>
            </w:pPr>
            <w:r>
              <w:rPr>
                <w:sz w:val="18"/>
                <w:szCs w:val="18"/>
              </w:rPr>
              <w:t>Discounted cash flow</w:t>
            </w:r>
          </w:p>
        </w:tc>
        <w:tc>
          <w:tcPr>
            <w:tcW w:w="0" w:type="auto"/>
            <w:shd w:val="clear" w:color="auto" w:fill="FFFFFF" w:themeFill="background1"/>
            <w:noWrap/>
            <w:vAlign w:val="center"/>
          </w:tcPr>
          <w:p w14:paraId="68B34B54" w14:textId="77777777" w:rsidR="00F76607" w:rsidRDefault="001863F0">
            <w:pPr>
              <w:jc w:val="right"/>
              <w:rPr>
                <w:sz w:val="18"/>
                <w:szCs w:val="18"/>
              </w:rPr>
            </w:pPr>
            <w:r>
              <w:rPr>
                <w:sz w:val="18"/>
                <w:szCs w:val="18"/>
              </w:rPr>
              <w:t xml:space="preserve">Annual rent per m² </w:t>
            </w:r>
          </w:p>
        </w:tc>
        <w:tc>
          <w:tcPr>
            <w:tcW w:w="0" w:type="auto"/>
            <w:shd w:val="clear" w:color="auto" w:fill="FFFFFF" w:themeFill="background1"/>
            <w:noWrap/>
            <w:vAlign w:val="center"/>
          </w:tcPr>
          <w:p w14:paraId="415DBA38" w14:textId="77777777" w:rsidR="00F76607" w:rsidRDefault="001863F0">
            <w:pPr>
              <w:jc w:val="right"/>
              <w:rPr>
                <w:sz w:val="18"/>
                <w:szCs w:val="18"/>
              </w:rPr>
            </w:pPr>
            <w:r>
              <w:rPr>
                <w:sz w:val="18"/>
                <w:szCs w:val="18"/>
              </w:rPr>
              <w:t>41-62</w:t>
            </w:r>
          </w:p>
        </w:tc>
      </w:tr>
      <w:tr w:rsidR="00F76607" w14:paraId="5E31BD15" w14:textId="77777777">
        <w:trPr>
          <w:trHeight w:val="250"/>
        </w:trPr>
        <w:tc>
          <w:tcPr>
            <w:tcW w:w="0" w:type="auto"/>
            <w:shd w:val="clear" w:color="auto" w:fill="FFFFFF" w:themeFill="background1"/>
            <w:noWrap/>
            <w:vAlign w:val="center"/>
          </w:tcPr>
          <w:p w14:paraId="64A06478"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783B2DC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1581180"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AA405AE"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17AEE88" w14:textId="77777777" w:rsidR="00F76607" w:rsidRDefault="001863F0">
            <w:pPr>
              <w:jc w:val="right"/>
              <w:rPr>
                <w:sz w:val="18"/>
                <w:szCs w:val="18"/>
              </w:rPr>
            </w:pPr>
            <w:r>
              <w:rPr>
                <w:sz w:val="18"/>
                <w:szCs w:val="18"/>
              </w:rPr>
              <w:t>Discount rate</w:t>
            </w:r>
          </w:p>
        </w:tc>
        <w:tc>
          <w:tcPr>
            <w:tcW w:w="0" w:type="auto"/>
            <w:shd w:val="clear" w:color="auto" w:fill="FFFFFF" w:themeFill="background1"/>
            <w:noWrap/>
            <w:vAlign w:val="center"/>
          </w:tcPr>
          <w:p w14:paraId="641D96DE" w14:textId="77777777" w:rsidR="00F76607" w:rsidRDefault="001863F0">
            <w:pPr>
              <w:jc w:val="right"/>
              <w:rPr>
                <w:sz w:val="18"/>
                <w:szCs w:val="18"/>
              </w:rPr>
            </w:pPr>
            <w:r>
              <w:rPr>
                <w:sz w:val="18"/>
                <w:szCs w:val="18"/>
              </w:rPr>
              <w:t>9.50%</w:t>
            </w:r>
          </w:p>
        </w:tc>
      </w:tr>
      <w:tr w:rsidR="00F76607" w14:paraId="29EB8D1D" w14:textId="77777777">
        <w:trPr>
          <w:trHeight w:val="250"/>
        </w:trPr>
        <w:tc>
          <w:tcPr>
            <w:tcW w:w="0" w:type="auto"/>
            <w:shd w:val="clear" w:color="auto" w:fill="FFFFFF" w:themeFill="background1"/>
            <w:noWrap/>
            <w:vAlign w:val="center"/>
          </w:tcPr>
          <w:p w14:paraId="352FAC4A"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00F16EAD"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92F8384"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ED54049"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61013F4" w14:textId="77777777" w:rsidR="00F76607" w:rsidRDefault="001863F0">
            <w:pPr>
              <w:jc w:val="right"/>
              <w:rPr>
                <w:sz w:val="18"/>
                <w:szCs w:val="18"/>
              </w:rPr>
            </w:pPr>
            <w:r>
              <w:rPr>
                <w:sz w:val="18"/>
                <w:szCs w:val="18"/>
              </w:rPr>
              <w:t xml:space="preserve">Exit yield </w:t>
            </w:r>
          </w:p>
        </w:tc>
        <w:tc>
          <w:tcPr>
            <w:tcW w:w="0" w:type="auto"/>
            <w:shd w:val="clear" w:color="auto" w:fill="FFFFFF" w:themeFill="background1"/>
            <w:noWrap/>
            <w:vAlign w:val="center"/>
          </w:tcPr>
          <w:p w14:paraId="01DA2C8B" w14:textId="77777777" w:rsidR="00F76607" w:rsidRDefault="001863F0">
            <w:pPr>
              <w:jc w:val="right"/>
              <w:rPr>
                <w:sz w:val="18"/>
                <w:szCs w:val="18"/>
              </w:rPr>
            </w:pPr>
            <w:r>
              <w:rPr>
                <w:sz w:val="18"/>
                <w:szCs w:val="18"/>
              </w:rPr>
              <w:t>9.00%</w:t>
            </w:r>
          </w:p>
        </w:tc>
      </w:tr>
      <w:tr w:rsidR="00F76607" w14:paraId="0CD06AE3" w14:textId="77777777">
        <w:trPr>
          <w:trHeight w:val="250"/>
        </w:trPr>
        <w:tc>
          <w:tcPr>
            <w:tcW w:w="0" w:type="auto"/>
            <w:shd w:val="clear" w:color="auto" w:fill="FFFFFF" w:themeFill="background1"/>
            <w:noWrap/>
            <w:vAlign w:val="center"/>
          </w:tcPr>
          <w:p w14:paraId="4C91695A"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01838E0C"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EED0880"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566BDB6F"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2CE1ADD" w14:textId="77777777" w:rsidR="00F76607" w:rsidRDefault="001863F0">
            <w:pPr>
              <w:jc w:val="right"/>
              <w:rPr>
                <w:sz w:val="18"/>
                <w:szCs w:val="18"/>
              </w:rPr>
            </w:pPr>
            <w:r>
              <w:rPr>
                <w:sz w:val="18"/>
                <w:szCs w:val="18"/>
              </w:rPr>
              <w:t>Weighted average yield</w:t>
            </w:r>
          </w:p>
        </w:tc>
        <w:tc>
          <w:tcPr>
            <w:tcW w:w="0" w:type="auto"/>
            <w:shd w:val="clear" w:color="auto" w:fill="FFFFFF" w:themeFill="background1"/>
            <w:noWrap/>
            <w:vAlign w:val="center"/>
          </w:tcPr>
          <w:p w14:paraId="37E950E0" w14:textId="77777777" w:rsidR="00F76607" w:rsidRDefault="001863F0">
            <w:pPr>
              <w:jc w:val="right"/>
              <w:rPr>
                <w:sz w:val="18"/>
                <w:szCs w:val="18"/>
              </w:rPr>
            </w:pPr>
            <w:r>
              <w:rPr>
                <w:sz w:val="18"/>
                <w:szCs w:val="18"/>
              </w:rPr>
              <w:t>8.94% / 7.75%</w:t>
            </w:r>
          </w:p>
        </w:tc>
      </w:tr>
      <w:tr w:rsidR="00F76607" w14:paraId="5965C04D" w14:textId="77777777">
        <w:trPr>
          <w:trHeight w:val="250"/>
        </w:trPr>
        <w:tc>
          <w:tcPr>
            <w:tcW w:w="0" w:type="auto"/>
            <w:shd w:val="clear" w:color="auto" w:fill="FFFFFF" w:themeFill="background1"/>
            <w:noWrap/>
            <w:vAlign w:val="center"/>
          </w:tcPr>
          <w:p w14:paraId="32A131D9"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6D023230"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84C4BE9"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208CF7B"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570C9778" w14:textId="5841EC40" w:rsidR="00F76607" w:rsidRDefault="001863F0">
            <w:pPr>
              <w:jc w:val="right"/>
              <w:rPr>
                <w:sz w:val="18"/>
                <w:szCs w:val="18"/>
              </w:rPr>
            </w:pPr>
            <w:r>
              <w:rPr>
                <w:sz w:val="18"/>
                <w:szCs w:val="18"/>
              </w:rPr>
              <w:t>Cost to completion (in</w:t>
            </w:r>
            <w:r w:rsidR="00C2417B">
              <w:rPr>
                <w:sz w:val="18"/>
                <w:szCs w:val="18"/>
              </w:rPr>
              <w:t xml:space="preserve"> €</w:t>
            </w:r>
            <w:r>
              <w:rPr>
                <w:sz w:val="18"/>
                <w:szCs w:val="18"/>
              </w:rPr>
              <w:t xml:space="preserve"> '000)</w:t>
            </w:r>
          </w:p>
        </w:tc>
        <w:tc>
          <w:tcPr>
            <w:tcW w:w="0" w:type="auto"/>
            <w:shd w:val="clear" w:color="auto" w:fill="FFFFFF" w:themeFill="background1"/>
            <w:noWrap/>
            <w:vAlign w:val="center"/>
          </w:tcPr>
          <w:p w14:paraId="191BC51E" w14:textId="77777777" w:rsidR="00F76607" w:rsidRDefault="001863F0">
            <w:pPr>
              <w:jc w:val="right"/>
              <w:rPr>
                <w:sz w:val="18"/>
                <w:szCs w:val="18"/>
              </w:rPr>
            </w:pPr>
            <w:r>
              <w:rPr>
                <w:sz w:val="18"/>
                <w:szCs w:val="18"/>
              </w:rPr>
              <w:t>980</w:t>
            </w:r>
          </w:p>
        </w:tc>
      </w:tr>
      <w:tr w:rsidR="00F76607" w14:paraId="21112270" w14:textId="77777777">
        <w:trPr>
          <w:trHeight w:val="250"/>
        </w:trPr>
        <w:tc>
          <w:tcPr>
            <w:tcW w:w="0" w:type="auto"/>
            <w:shd w:val="clear" w:color="auto" w:fill="FFFFFF" w:themeFill="background1"/>
            <w:noWrap/>
            <w:vAlign w:val="center"/>
          </w:tcPr>
          <w:p w14:paraId="2F8F30DA" w14:textId="77777777" w:rsidR="00F76607" w:rsidRDefault="00F76607">
            <w:pPr>
              <w:rPr>
                <w:b/>
                <w:sz w:val="18"/>
                <w:szCs w:val="18"/>
              </w:rPr>
            </w:pPr>
          </w:p>
        </w:tc>
        <w:tc>
          <w:tcPr>
            <w:tcW w:w="0" w:type="auto"/>
            <w:shd w:val="clear" w:color="auto" w:fill="FFFFFF" w:themeFill="background1"/>
            <w:noWrap/>
            <w:vAlign w:val="center"/>
          </w:tcPr>
          <w:p w14:paraId="2351DDBC" w14:textId="77777777" w:rsidR="00F76607" w:rsidRDefault="001863F0">
            <w:pPr>
              <w:jc w:val="right"/>
              <w:rPr>
                <w:sz w:val="18"/>
                <w:szCs w:val="18"/>
              </w:rPr>
            </w:pPr>
            <w:r>
              <w:rPr>
                <w:sz w:val="18"/>
                <w:szCs w:val="18"/>
              </w:rPr>
              <w:t>IPUC</w:t>
            </w:r>
          </w:p>
        </w:tc>
        <w:tc>
          <w:tcPr>
            <w:tcW w:w="0" w:type="auto"/>
            <w:shd w:val="clear" w:color="auto" w:fill="FFFFFF" w:themeFill="background1"/>
            <w:noWrap/>
            <w:vAlign w:val="center"/>
          </w:tcPr>
          <w:p w14:paraId="16B4342A" w14:textId="77777777" w:rsidR="00F76607" w:rsidRDefault="001863F0">
            <w:pPr>
              <w:jc w:val="right"/>
              <w:rPr>
                <w:sz w:val="18"/>
                <w:szCs w:val="18"/>
              </w:rPr>
            </w:pPr>
            <w:r>
              <w:rPr>
                <w:sz w:val="18"/>
                <w:szCs w:val="18"/>
              </w:rPr>
              <w:t>11,233</w:t>
            </w:r>
          </w:p>
        </w:tc>
        <w:tc>
          <w:tcPr>
            <w:tcW w:w="0" w:type="auto"/>
            <w:shd w:val="clear" w:color="auto" w:fill="FFFFFF" w:themeFill="background1"/>
            <w:noWrap/>
            <w:vAlign w:val="center"/>
          </w:tcPr>
          <w:p w14:paraId="1A41F1F2" w14:textId="77777777" w:rsidR="00F76607" w:rsidRDefault="001863F0">
            <w:pPr>
              <w:jc w:val="right"/>
              <w:rPr>
                <w:sz w:val="18"/>
                <w:szCs w:val="18"/>
              </w:rPr>
            </w:pPr>
            <w:r>
              <w:rPr>
                <w:sz w:val="18"/>
                <w:szCs w:val="18"/>
              </w:rPr>
              <w:t>Discounted cash flow</w:t>
            </w:r>
          </w:p>
        </w:tc>
        <w:tc>
          <w:tcPr>
            <w:tcW w:w="0" w:type="auto"/>
            <w:shd w:val="clear" w:color="auto" w:fill="FFFFFF" w:themeFill="background1"/>
            <w:noWrap/>
            <w:vAlign w:val="center"/>
          </w:tcPr>
          <w:p w14:paraId="6EEB9DB7" w14:textId="77777777" w:rsidR="00F76607" w:rsidRDefault="001863F0">
            <w:pPr>
              <w:jc w:val="right"/>
              <w:rPr>
                <w:sz w:val="18"/>
                <w:szCs w:val="18"/>
              </w:rPr>
            </w:pPr>
            <w:r>
              <w:rPr>
                <w:sz w:val="18"/>
                <w:szCs w:val="18"/>
              </w:rPr>
              <w:t xml:space="preserve">Annual rent per m² </w:t>
            </w:r>
          </w:p>
        </w:tc>
        <w:tc>
          <w:tcPr>
            <w:tcW w:w="0" w:type="auto"/>
            <w:shd w:val="clear" w:color="auto" w:fill="FFFFFF" w:themeFill="background1"/>
            <w:noWrap/>
            <w:vAlign w:val="center"/>
          </w:tcPr>
          <w:p w14:paraId="600E5649" w14:textId="77777777" w:rsidR="00F76607" w:rsidRDefault="001863F0">
            <w:pPr>
              <w:jc w:val="right"/>
              <w:rPr>
                <w:sz w:val="18"/>
                <w:szCs w:val="18"/>
              </w:rPr>
            </w:pPr>
            <w:r>
              <w:rPr>
                <w:sz w:val="18"/>
                <w:szCs w:val="18"/>
              </w:rPr>
              <w:t>50 / 46</w:t>
            </w:r>
          </w:p>
        </w:tc>
      </w:tr>
      <w:tr w:rsidR="00F76607" w14:paraId="337FBC3C" w14:textId="77777777">
        <w:trPr>
          <w:trHeight w:val="250"/>
        </w:trPr>
        <w:tc>
          <w:tcPr>
            <w:tcW w:w="0" w:type="auto"/>
            <w:shd w:val="clear" w:color="auto" w:fill="FFFFFF" w:themeFill="background1"/>
            <w:noWrap/>
            <w:vAlign w:val="center"/>
          </w:tcPr>
          <w:p w14:paraId="2962D617"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4FBBFB0F"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99B4BF5"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55BDEA3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1CF35B1" w14:textId="77777777" w:rsidR="00F76607" w:rsidRDefault="001863F0">
            <w:pPr>
              <w:jc w:val="right"/>
              <w:rPr>
                <w:sz w:val="18"/>
                <w:szCs w:val="18"/>
              </w:rPr>
            </w:pPr>
            <w:r>
              <w:rPr>
                <w:sz w:val="18"/>
                <w:szCs w:val="18"/>
              </w:rPr>
              <w:t>Discount rate</w:t>
            </w:r>
          </w:p>
        </w:tc>
        <w:tc>
          <w:tcPr>
            <w:tcW w:w="0" w:type="auto"/>
            <w:shd w:val="clear" w:color="auto" w:fill="FFFFFF" w:themeFill="background1"/>
            <w:noWrap/>
            <w:vAlign w:val="center"/>
          </w:tcPr>
          <w:p w14:paraId="354BAEDA" w14:textId="77777777" w:rsidR="00F76607" w:rsidRDefault="001863F0">
            <w:pPr>
              <w:jc w:val="right"/>
              <w:rPr>
                <w:sz w:val="18"/>
                <w:szCs w:val="18"/>
              </w:rPr>
            </w:pPr>
            <w:r>
              <w:rPr>
                <w:sz w:val="18"/>
                <w:szCs w:val="18"/>
              </w:rPr>
              <w:t>10.00%</w:t>
            </w:r>
          </w:p>
        </w:tc>
      </w:tr>
      <w:tr w:rsidR="00F76607" w14:paraId="12E384CF" w14:textId="77777777">
        <w:trPr>
          <w:trHeight w:val="250"/>
        </w:trPr>
        <w:tc>
          <w:tcPr>
            <w:tcW w:w="0" w:type="auto"/>
            <w:shd w:val="clear" w:color="auto" w:fill="FFFFFF" w:themeFill="background1"/>
            <w:noWrap/>
            <w:vAlign w:val="center"/>
          </w:tcPr>
          <w:p w14:paraId="466517DF"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2F51AA31"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AFAEE05"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78A15F3"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778E6EA" w14:textId="77777777" w:rsidR="00F76607" w:rsidRDefault="001863F0">
            <w:pPr>
              <w:jc w:val="right"/>
              <w:rPr>
                <w:sz w:val="18"/>
                <w:szCs w:val="18"/>
              </w:rPr>
            </w:pPr>
            <w:r>
              <w:rPr>
                <w:sz w:val="18"/>
                <w:szCs w:val="18"/>
              </w:rPr>
              <w:t xml:space="preserve">Exit yield </w:t>
            </w:r>
          </w:p>
        </w:tc>
        <w:tc>
          <w:tcPr>
            <w:tcW w:w="0" w:type="auto"/>
            <w:shd w:val="clear" w:color="auto" w:fill="FFFFFF" w:themeFill="background1"/>
            <w:noWrap/>
            <w:vAlign w:val="center"/>
          </w:tcPr>
          <w:p w14:paraId="043F7E78" w14:textId="77777777" w:rsidR="00F76607" w:rsidRDefault="001863F0">
            <w:pPr>
              <w:jc w:val="right"/>
              <w:rPr>
                <w:sz w:val="18"/>
                <w:szCs w:val="18"/>
              </w:rPr>
            </w:pPr>
            <w:r>
              <w:rPr>
                <w:sz w:val="18"/>
                <w:szCs w:val="18"/>
              </w:rPr>
              <w:t>8.25%</w:t>
            </w:r>
          </w:p>
        </w:tc>
      </w:tr>
      <w:tr w:rsidR="00F76607" w14:paraId="03DB99A1" w14:textId="77777777">
        <w:trPr>
          <w:trHeight w:val="250"/>
        </w:trPr>
        <w:tc>
          <w:tcPr>
            <w:tcW w:w="0" w:type="auto"/>
            <w:shd w:val="clear" w:color="auto" w:fill="FFFFFF" w:themeFill="background1"/>
            <w:noWrap/>
            <w:vAlign w:val="center"/>
          </w:tcPr>
          <w:p w14:paraId="3D6AAA0E"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400A9F0C"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2845F88"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5B51CBE2"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C077118" w14:textId="77777777" w:rsidR="00F76607" w:rsidRDefault="001863F0">
            <w:pPr>
              <w:jc w:val="right"/>
              <w:rPr>
                <w:sz w:val="18"/>
                <w:szCs w:val="18"/>
              </w:rPr>
            </w:pPr>
            <w:r>
              <w:rPr>
                <w:sz w:val="18"/>
                <w:szCs w:val="18"/>
              </w:rPr>
              <w:t>Weighted average yield</w:t>
            </w:r>
          </w:p>
        </w:tc>
        <w:tc>
          <w:tcPr>
            <w:tcW w:w="0" w:type="auto"/>
            <w:shd w:val="clear" w:color="auto" w:fill="FFFFFF" w:themeFill="background1"/>
            <w:noWrap/>
            <w:vAlign w:val="center"/>
          </w:tcPr>
          <w:p w14:paraId="748A974F" w14:textId="77777777" w:rsidR="00F76607" w:rsidRDefault="001863F0">
            <w:pPr>
              <w:jc w:val="right"/>
              <w:rPr>
                <w:sz w:val="18"/>
                <w:szCs w:val="18"/>
              </w:rPr>
            </w:pPr>
            <w:r>
              <w:rPr>
                <w:sz w:val="18"/>
                <w:szCs w:val="18"/>
              </w:rPr>
              <w:t>7.75% / 10.03%</w:t>
            </w:r>
          </w:p>
        </w:tc>
      </w:tr>
      <w:tr w:rsidR="00F76607" w14:paraId="6499F36C" w14:textId="77777777">
        <w:trPr>
          <w:trHeight w:val="250"/>
        </w:trPr>
        <w:tc>
          <w:tcPr>
            <w:tcW w:w="0" w:type="auto"/>
            <w:shd w:val="clear" w:color="auto" w:fill="FFFFFF" w:themeFill="background1"/>
            <w:noWrap/>
            <w:vAlign w:val="center"/>
          </w:tcPr>
          <w:p w14:paraId="1AA16692"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3CE8A18B"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38A154E"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36039F0"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D9B758B" w14:textId="4D82068B" w:rsidR="00F76607" w:rsidRDefault="001863F0">
            <w:pPr>
              <w:jc w:val="right"/>
              <w:rPr>
                <w:sz w:val="18"/>
                <w:szCs w:val="18"/>
              </w:rPr>
            </w:pPr>
            <w:r>
              <w:rPr>
                <w:sz w:val="18"/>
                <w:szCs w:val="18"/>
              </w:rPr>
              <w:t>Cost to completion (in</w:t>
            </w:r>
            <w:r w:rsidR="00C2417B">
              <w:rPr>
                <w:sz w:val="18"/>
                <w:szCs w:val="18"/>
              </w:rPr>
              <w:t xml:space="preserve"> €</w:t>
            </w:r>
            <w:r>
              <w:rPr>
                <w:sz w:val="18"/>
                <w:szCs w:val="18"/>
              </w:rPr>
              <w:t xml:space="preserve"> '000)</w:t>
            </w:r>
          </w:p>
        </w:tc>
        <w:tc>
          <w:tcPr>
            <w:tcW w:w="0" w:type="auto"/>
            <w:shd w:val="clear" w:color="auto" w:fill="FFFFFF" w:themeFill="background1"/>
            <w:noWrap/>
            <w:vAlign w:val="center"/>
          </w:tcPr>
          <w:p w14:paraId="0FF928AB" w14:textId="77777777" w:rsidR="00F76607" w:rsidRDefault="001863F0">
            <w:pPr>
              <w:jc w:val="right"/>
              <w:rPr>
                <w:sz w:val="18"/>
                <w:szCs w:val="18"/>
              </w:rPr>
            </w:pPr>
            <w:r>
              <w:rPr>
                <w:sz w:val="18"/>
                <w:szCs w:val="18"/>
              </w:rPr>
              <w:t>5,400</w:t>
            </w:r>
          </w:p>
        </w:tc>
      </w:tr>
      <w:tr w:rsidR="00F76607" w14:paraId="18EB0466" w14:textId="77777777">
        <w:trPr>
          <w:trHeight w:val="250"/>
        </w:trPr>
        <w:tc>
          <w:tcPr>
            <w:tcW w:w="0" w:type="auto"/>
            <w:shd w:val="clear" w:color="auto" w:fill="FFFFFF" w:themeFill="background1"/>
            <w:noWrap/>
            <w:vAlign w:val="center"/>
          </w:tcPr>
          <w:p w14:paraId="011C6522"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3960763C" w14:textId="77777777" w:rsidR="00F76607" w:rsidRDefault="001863F0">
            <w:pPr>
              <w:jc w:val="right"/>
              <w:rPr>
                <w:sz w:val="18"/>
                <w:szCs w:val="18"/>
              </w:rPr>
            </w:pPr>
            <w:r>
              <w:rPr>
                <w:sz w:val="18"/>
                <w:szCs w:val="18"/>
              </w:rPr>
              <w:t>DL</w:t>
            </w:r>
          </w:p>
        </w:tc>
        <w:tc>
          <w:tcPr>
            <w:tcW w:w="0" w:type="auto"/>
            <w:shd w:val="clear" w:color="auto" w:fill="FFFFFF" w:themeFill="background1"/>
            <w:noWrap/>
            <w:vAlign w:val="center"/>
          </w:tcPr>
          <w:p w14:paraId="44A4AE12" w14:textId="77777777" w:rsidR="00F76607" w:rsidRDefault="001863F0">
            <w:pPr>
              <w:jc w:val="right"/>
              <w:rPr>
                <w:sz w:val="18"/>
                <w:szCs w:val="18"/>
              </w:rPr>
            </w:pPr>
            <w:r>
              <w:rPr>
                <w:sz w:val="18"/>
                <w:szCs w:val="18"/>
              </w:rPr>
              <w:t>4,086</w:t>
            </w:r>
          </w:p>
        </w:tc>
        <w:tc>
          <w:tcPr>
            <w:tcW w:w="0" w:type="auto"/>
            <w:shd w:val="clear" w:color="auto" w:fill="FFFFFF" w:themeFill="background1"/>
            <w:noWrap/>
            <w:vAlign w:val="center"/>
          </w:tcPr>
          <w:p w14:paraId="7CB6B869" w14:textId="77777777" w:rsidR="00F76607" w:rsidRDefault="001863F0">
            <w:pPr>
              <w:jc w:val="right"/>
              <w:rPr>
                <w:sz w:val="18"/>
                <w:szCs w:val="18"/>
              </w:rPr>
            </w:pPr>
            <w:r>
              <w:rPr>
                <w:sz w:val="18"/>
                <w:szCs w:val="18"/>
              </w:rPr>
              <w:t>Sales comparison</w:t>
            </w:r>
          </w:p>
        </w:tc>
        <w:tc>
          <w:tcPr>
            <w:tcW w:w="0" w:type="auto"/>
            <w:shd w:val="clear" w:color="auto" w:fill="FFFFFF" w:themeFill="background1"/>
            <w:noWrap/>
            <w:vAlign w:val="center"/>
          </w:tcPr>
          <w:p w14:paraId="08CD861D" w14:textId="77777777" w:rsidR="00F76607" w:rsidRDefault="001863F0">
            <w:pPr>
              <w:jc w:val="right"/>
              <w:rPr>
                <w:sz w:val="18"/>
                <w:szCs w:val="18"/>
              </w:rPr>
            </w:pPr>
            <w:r>
              <w:rPr>
                <w:sz w:val="18"/>
                <w:szCs w:val="18"/>
              </w:rPr>
              <w:t>Price per m²</w:t>
            </w:r>
          </w:p>
        </w:tc>
        <w:tc>
          <w:tcPr>
            <w:tcW w:w="0" w:type="auto"/>
            <w:shd w:val="clear" w:color="auto" w:fill="FFFFFF" w:themeFill="background1"/>
            <w:noWrap/>
            <w:vAlign w:val="center"/>
          </w:tcPr>
          <w:p w14:paraId="4F9EC4A6" w14:textId="041169E1" w:rsidR="00F76607" w:rsidRDefault="00FF2ECC">
            <w:pPr>
              <w:jc w:val="right"/>
              <w:rPr>
                <w:sz w:val="18"/>
                <w:szCs w:val="18"/>
              </w:rPr>
            </w:pPr>
            <w:r>
              <w:rPr>
                <w:sz w:val="18"/>
                <w:szCs w:val="18"/>
              </w:rPr>
              <w:t xml:space="preserve"> </w:t>
            </w:r>
            <w:r w:rsidR="001863F0">
              <w:rPr>
                <w:sz w:val="18"/>
                <w:szCs w:val="18"/>
              </w:rPr>
              <w:t>-</w:t>
            </w:r>
          </w:p>
        </w:tc>
      </w:tr>
      <w:tr w:rsidR="00F76607" w14:paraId="79659F78" w14:textId="77777777">
        <w:trPr>
          <w:trHeight w:val="250"/>
        </w:trPr>
        <w:tc>
          <w:tcPr>
            <w:tcW w:w="0" w:type="auto"/>
            <w:shd w:val="clear" w:color="auto" w:fill="FFFFFF" w:themeFill="background1"/>
            <w:noWrap/>
            <w:vAlign w:val="center"/>
          </w:tcPr>
          <w:p w14:paraId="0B148CB5"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2E66B274"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4D8D68C"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DAB7A7E"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6873879"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C8E47CE" w14:textId="77777777" w:rsidR="00F76607" w:rsidRDefault="001863F0">
            <w:pPr>
              <w:jc w:val="right"/>
              <w:rPr>
                <w:sz w:val="18"/>
                <w:szCs w:val="18"/>
              </w:rPr>
            </w:pPr>
            <w:r>
              <w:rPr>
                <w:sz w:val="18"/>
                <w:szCs w:val="18"/>
              </w:rPr>
              <w:t> </w:t>
            </w:r>
          </w:p>
        </w:tc>
      </w:tr>
      <w:tr w:rsidR="00F76607" w14:paraId="34ADBB49" w14:textId="77777777">
        <w:trPr>
          <w:trHeight w:val="250"/>
        </w:trPr>
        <w:tc>
          <w:tcPr>
            <w:tcW w:w="0" w:type="auto"/>
            <w:shd w:val="clear" w:color="auto" w:fill="FFFFFF" w:themeFill="background1"/>
            <w:noWrap/>
            <w:vAlign w:val="center"/>
          </w:tcPr>
          <w:p w14:paraId="4AA3C5B0" w14:textId="77777777" w:rsidR="00F76607" w:rsidRDefault="001863F0">
            <w:pPr>
              <w:rPr>
                <w:b/>
                <w:sz w:val="18"/>
                <w:szCs w:val="18"/>
              </w:rPr>
            </w:pPr>
            <w:r>
              <w:rPr>
                <w:b/>
                <w:sz w:val="18"/>
                <w:szCs w:val="18"/>
              </w:rPr>
              <w:t>Total</w:t>
            </w:r>
          </w:p>
        </w:tc>
        <w:tc>
          <w:tcPr>
            <w:tcW w:w="0" w:type="auto"/>
            <w:shd w:val="clear" w:color="auto" w:fill="FFFFFF" w:themeFill="background1"/>
            <w:noWrap/>
            <w:vAlign w:val="center"/>
          </w:tcPr>
          <w:p w14:paraId="07E3DDF6"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BC6E4DB" w14:textId="77777777" w:rsidR="00F76607" w:rsidRDefault="001863F0">
            <w:pPr>
              <w:jc w:val="right"/>
              <w:rPr>
                <w:b/>
                <w:sz w:val="18"/>
                <w:szCs w:val="18"/>
              </w:rPr>
            </w:pPr>
            <w:r>
              <w:rPr>
                <w:b/>
                <w:sz w:val="18"/>
                <w:szCs w:val="18"/>
              </w:rPr>
              <w:t>550,321</w:t>
            </w:r>
          </w:p>
        </w:tc>
        <w:tc>
          <w:tcPr>
            <w:tcW w:w="0" w:type="auto"/>
            <w:shd w:val="clear" w:color="auto" w:fill="FFFFFF" w:themeFill="background1"/>
            <w:noWrap/>
            <w:vAlign w:val="center"/>
          </w:tcPr>
          <w:p w14:paraId="28469222"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660DD65"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D1A4AA0" w14:textId="77777777" w:rsidR="00F76607" w:rsidRDefault="001863F0">
            <w:pPr>
              <w:jc w:val="right"/>
              <w:rPr>
                <w:sz w:val="18"/>
                <w:szCs w:val="18"/>
              </w:rPr>
            </w:pPr>
            <w:r>
              <w:rPr>
                <w:sz w:val="18"/>
                <w:szCs w:val="18"/>
              </w:rPr>
              <w:t> </w:t>
            </w:r>
          </w:p>
        </w:tc>
      </w:tr>
    </w:tbl>
    <w:p w14:paraId="07F6AD39" w14:textId="77777777" w:rsidR="00F76607" w:rsidRDefault="001863F0">
      <w:pPr>
        <w:pStyle w:val="VulcanIIbody"/>
        <w:rPr>
          <w:sz w:val="14"/>
          <w:szCs w:val="14"/>
          <w:lang w:val="en-GB"/>
        </w:rPr>
      </w:pPr>
      <w:r>
        <w:rPr>
          <w:sz w:val="14"/>
          <w:szCs w:val="14"/>
          <w:lang w:val="en-GB"/>
        </w:rPr>
        <w:t>* Weighted average yield calculated as estimated rental value (sum of contracted rent and estimated rental value for vacant area) divided by the sum of market value of the portfolio and remaining construction costs per country.</w:t>
      </w:r>
    </w:p>
    <w:p w14:paraId="1D60250C" w14:textId="3E2E6F84" w:rsidR="00F76607" w:rsidRDefault="001863F0">
      <w:pPr>
        <w:pStyle w:val="VulcanIIbody"/>
        <w:rPr>
          <w:sz w:val="14"/>
          <w:szCs w:val="14"/>
          <w:lang w:val="en-GB"/>
        </w:rPr>
      </w:pPr>
      <w:r>
        <w:rPr>
          <w:sz w:val="14"/>
          <w:szCs w:val="14"/>
          <w:lang w:val="en-GB"/>
        </w:rPr>
        <w:t xml:space="preserve">** Includes Estonia (assets held for </w:t>
      </w:r>
      <w:r w:rsidR="00C2417B">
        <w:rPr>
          <w:sz w:val="14"/>
          <w:szCs w:val="14"/>
          <w:lang w:val="en-GB"/>
        </w:rPr>
        <w:t>sale as at 30 June 2017</w:t>
      </w:r>
      <w:r>
        <w:rPr>
          <w:sz w:val="14"/>
          <w:szCs w:val="14"/>
          <w:lang w:val="en-GB"/>
        </w:rPr>
        <w:t>).</w:t>
      </w:r>
    </w:p>
    <w:p w14:paraId="0C79FFD3" w14:textId="77777777" w:rsidR="00F76607" w:rsidRDefault="001863F0">
      <w:pPr>
        <w:pStyle w:val="VulcanIIbody"/>
        <w:rPr>
          <w:lang w:val="en-GB"/>
        </w:rPr>
      </w:pPr>
      <w:r>
        <w:rPr>
          <w:lang w:val="en-GB"/>
        </w:rPr>
        <w:t>For the Joint Venture’s portfolio (as at 30 June 2017):</w:t>
      </w:r>
    </w:p>
    <w:p w14:paraId="3F57F98D" w14:textId="77777777" w:rsidR="00F76607" w:rsidRDefault="00F76607">
      <w:pPr>
        <w:pStyle w:val="VulcanIIbody"/>
        <w:rPr>
          <w:lang w:val="en-GB"/>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345"/>
        <w:gridCol w:w="800"/>
        <w:gridCol w:w="1566"/>
        <w:gridCol w:w="1745"/>
        <w:gridCol w:w="2298"/>
        <w:gridCol w:w="1130"/>
      </w:tblGrid>
      <w:tr w:rsidR="00F76607" w14:paraId="7BE76BE3" w14:textId="77777777">
        <w:trPr>
          <w:trHeight w:val="500"/>
        </w:trPr>
        <w:tc>
          <w:tcPr>
            <w:tcW w:w="0" w:type="auto"/>
            <w:shd w:val="clear" w:color="auto" w:fill="A6A6A6" w:themeFill="background1" w:themeFillShade="A6"/>
            <w:noWrap/>
            <w:vAlign w:val="bottom"/>
            <w:hideMark/>
          </w:tcPr>
          <w:p w14:paraId="2D0D5D08" w14:textId="77777777" w:rsidR="00F76607" w:rsidRDefault="001863F0">
            <w:pPr>
              <w:jc w:val="center"/>
              <w:rPr>
                <w:b/>
                <w:color w:val="FFFFFF" w:themeColor="background1"/>
                <w:sz w:val="18"/>
                <w:szCs w:val="18"/>
              </w:rPr>
            </w:pPr>
            <w:r>
              <w:rPr>
                <w:b/>
                <w:color w:val="FFFFFF" w:themeColor="background1"/>
                <w:sz w:val="18"/>
                <w:szCs w:val="18"/>
              </w:rPr>
              <w:t>Region</w:t>
            </w:r>
          </w:p>
        </w:tc>
        <w:tc>
          <w:tcPr>
            <w:tcW w:w="0" w:type="auto"/>
            <w:shd w:val="clear" w:color="auto" w:fill="A6A6A6" w:themeFill="background1" w:themeFillShade="A6"/>
            <w:noWrap/>
            <w:vAlign w:val="bottom"/>
            <w:hideMark/>
          </w:tcPr>
          <w:p w14:paraId="74B6C855" w14:textId="77777777" w:rsidR="00F76607" w:rsidRDefault="001863F0">
            <w:pPr>
              <w:jc w:val="center"/>
              <w:rPr>
                <w:b/>
                <w:color w:val="FFFFFF" w:themeColor="background1"/>
                <w:sz w:val="18"/>
                <w:szCs w:val="18"/>
              </w:rPr>
            </w:pPr>
            <w:r>
              <w:rPr>
                <w:b/>
                <w:color w:val="FFFFFF" w:themeColor="background1"/>
                <w:sz w:val="18"/>
                <w:szCs w:val="18"/>
              </w:rPr>
              <w:t>Segment</w:t>
            </w:r>
          </w:p>
        </w:tc>
        <w:tc>
          <w:tcPr>
            <w:tcW w:w="0" w:type="auto"/>
            <w:shd w:val="clear" w:color="auto" w:fill="A6A6A6" w:themeFill="background1" w:themeFillShade="A6"/>
            <w:vAlign w:val="bottom"/>
            <w:hideMark/>
          </w:tcPr>
          <w:p w14:paraId="23304936" w14:textId="77777777" w:rsidR="00F76607" w:rsidRDefault="001863F0">
            <w:pPr>
              <w:jc w:val="center"/>
              <w:rPr>
                <w:b/>
                <w:color w:val="FFFFFF" w:themeColor="background1"/>
                <w:sz w:val="18"/>
                <w:szCs w:val="18"/>
              </w:rPr>
            </w:pPr>
            <w:r>
              <w:rPr>
                <w:b/>
                <w:color w:val="FFFFFF" w:themeColor="background1"/>
                <w:sz w:val="18"/>
                <w:szCs w:val="18"/>
              </w:rPr>
              <w:t xml:space="preserve">Fair value </w:t>
            </w:r>
          </w:p>
          <w:p w14:paraId="0E75587D" w14:textId="77777777" w:rsidR="00F76607" w:rsidRDefault="001863F0">
            <w:pPr>
              <w:jc w:val="center"/>
              <w:rPr>
                <w:b/>
                <w:color w:val="FFFFFF" w:themeColor="background1"/>
                <w:sz w:val="18"/>
                <w:szCs w:val="18"/>
              </w:rPr>
            </w:pPr>
            <w:r>
              <w:rPr>
                <w:b/>
                <w:color w:val="FFFFFF" w:themeColor="background1"/>
                <w:sz w:val="18"/>
                <w:szCs w:val="18"/>
              </w:rPr>
              <w:t>30 Jun-17</w:t>
            </w:r>
          </w:p>
          <w:p w14:paraId="46D06BE8" w14:textId="67B1336A" w:rsidR="00F76607" w:rsidRDefault="001863F0">
            <w:pPr>
              <w:jc w:val="center"/>
              <w:rPr>
                <w:b/>
                <w:color w:val="FFFFFF" w:themeColor="background1"/>
                <w:sz w:val="18"/>
                <w:szCs w:val="18"/>
              </w:rPr>
            </w:pPr>
            <w:r>
              <w:rPr>
                <w:b/>
                <w:color w:val="FFFFFF" w:themeColor="background1"/>
                <w:sz w:val="18"/>
                <w:szCs w:val="18"/>
              </w:rPr>
              <w:t>(in thousands</w:t>
            </w:r>
            <w:r w:rsidR="00C2417B">
              <w:rPr>
                <w:b/>
                <w:color w:val="FFFFFF" w:themeColor="background1"/>
                <w:sz w:val="18"/>
                <w:szCs w:val="18"/>
              </w:rPr>
              <w:t xml:space="preserve"> of</w:t>
            </w:r>
            <w:r>
              <w:rPr>
                <w:b/>
                <w:color w:val="FFFFFF" w:themeColor="background1"/>
                <w:sz w:val="18"/>
                <w:szCs w:val="18"/>
              </w:rPr>
              <w:t xml:space="preserve"> €)</w:t>
            </w:r>
          </w:p>
        </w:tc>
        <w:tc>
          <w:tcPr>
            <w:tcW w:w="0" w:type="auto"/>
            <w:shd w:val="clear" w:color="auto" w:fill="A6A6A6" w:themeFill="background1" w:themeFillShade="A6"/>
            <w:noWrap/>
            <w:vAlign w:val="bottom"/>
            <w:hideMark/>
          </w:tcPr>
          <w:p w14:paraId="44C87B79" w14:textId="77777777" w:rsidR="00F76607" w:rsidRDefault="001863F0">
            <w:pPr>
              <w:jc w:val="center"/>
              <w:rPr>
                <w:b/>
                <w:color w:val="FFFFFF" w:themeColor="background1"/>
                <w:sz w:val="18"/>
                <w:szCs w:val="18"/>
              </w:rPr>
            </w:pPr>
            <w:r>
              <w:rPr>
                <w:b/>
                <w:color w:val="FFFFFF" w:themeColor="background1"/>
                <w:sz w:val="18"/>
                <w:szCs w:val="18"/>
              </w:rPr>
              <w:t>Valuation technique</w:t>
            </w:r>
          </w:p>
        </w:tc>
        <w:tc>
          <w:tcPr>
            <w:tcW w:w="0" w:type="auto"/>
            <w:shd w:val="clear" w:color="auto" w:fill="A6A6A6" w:themeFill="background1" w:themeFillShade="A6"/>
            <w:noWrap/>
            <w:vAlign w:val="bottom"/>
            <w:hideMark/>
          </w:tcPr>
          <w:p w14:paraId="5A35A2C7" w14:textId="77777777" w:rsidR="00F76607" w:rsidRDefault="001863F0">
            <w:pPr>
              <w:jc w:val="center"/>
              <w:rPr>
                <w:b/>
                <w:color w:val="FFFFFF" w:themeColor="background1"/>
                <w:sz w:val="18"/>
                <w:szCs w:val="18"/>
              </w:rPr>
            </w:pPr>
            <w:r>
              <w:rPr>
                <w:b/>
                <w:color w:val="FFFFFF" w:themeColor="background1"/>
                <w:sz w:val="18"/>
                <w:szCs w:val="18"/>
              </w:rPr>
              <w:t>Level 3</w:t>
            </w:r>
          </w:p>
          <w:p w14:paraId="56B2939E" w14:textId="77777777" w:rsidR="00F76607" w:rsidRDefault="001863F0">
            <w:pPr>
              <w:jc w:val="center"/>
              <w:rPr>
                <w:b/>
                <w:color w:val="FFFFFF" w:themeColor="background1"/>
                <w:sz w:val="18"/>
                <w:szCs w:val="18"/>
              </w:rPr>
            </w:pPr>
            <w:r>
              <w:rPr>
                <w:b/>
                <w:color w:val="FFFFFF" w:themeColor="background1"/>
                <w:sz w:val="18"/>
                <w:szCs w:val="18"/>
              </w:rPr>
              <w:t>Unobservable inputs</w:t>
            </w:r>
          </w:p>
        </w:tc>
        <w:tc>
          <w:tcPr>
            <w:tcW w:w="0" w:type="auto"/>
            <w:shd w:val="clear" w:color="auto" w:fill="A6A6A6" w:themeFill="background1" w:themeFillShade="A6"/>
            <w:noWrap/>
            <w:vAlign w:val="bottom"/>
            <w:hideMark/>
          </w:tcPr>
          <w:p w14:paraId="1BD600BF" w14:textId="77777777" w:rsidR="00F76607" w:rsidRDefault="001863F0">
            <w:pPr>
              <w:jc w:val="center"/>
              <w:rPr>
                <w:b/>
                <w:color w:val="FFFFFF" w:themeColor="background1"/>
                <w:sz w:val="18"/>
                <w:szCs w:val="18"/>
              </w:rPr>
            </w:pPr>
            <w:r>
              <w:rPr>
                <w:b/>
                <w:color w:val="FFFFFF" w:themeColor="background1"/>
                <w:sz w:val="18"/>
                <w:szCs w:val="18"/>
              </w:rPr>
              <w:t>Range</w:t>
            </w:r>
          </w:p>
        </w:tc>
      </w:tr>
      <w:tr w:rsidR="00F76607" w14:paraId="0B9D8B02" w14:textId="77777777">
        <w:trPr>
          <w:trHeight w:val="250"/>
        </w:trPr>
        <w:tc>
          <w:tcPr>
            <w:tcW w:w="0" w:type="auto"/>
            <w:shd w:val="clear" w:color="auto" w:fill="FFFFFF" w:themeFill="background1"/>
            <w:noWrap/>
            <w:vAlign w:val="center"/>
          </w:tcPr>
          <w:p w14:paraId="7822CEC2" w14:textId="77777777" w:rsidR="00F76607" w:rsidRDefault="001863F0">
            <w:pPr>
              <w:rPr>
                <w:b/>
                <w:sz w:val="18"/>
                <w:szCs w:val="18"/>
              </w:rPr>
            </w:pPr>
            <w:r>
              <w:rPr>
                <w:b/>
                <w:sz w:val="18"/>
                <w:szCs w:val="18"/>
              </w:rPr>
              <w:t>Czech Republic</w:t>
            </w:r>
          </w:p>
        </w:tc>
        <w:tc>
          <w:tcPr>
            <w:tcW w:w="0" w:type="auto"/>
            <w:shd w:val="clear" w:color="auto" w:fill="FFFFFF" w:themeFill="background1"/>
            <w:noWrap/>
            <w:vAlign w:val="center"/>
          </w:tcPr>
          <w:p w14:paraId="6A62ECDF" w14:textId="77777777" w:rsidR="00F76607" w:rsidRDefault="001863F0">
            <w:pPr>
              <w:jc w:val="right"/>
              <w:rPr>
                <w:sz w:val="18"/>
                <w:szCs w:val="18"/>
              </w:rPr>
            </w:pPr>
            <w:r>
              <w:rPr>
                <w:sz w:val="18"/>
                <w:szCs w:val="18"/>
              </w:rPr>
              <w:t>IP </w:t>
            </w:r>
          </w:p>
        </w:tc>
        <w:tc>
          <w:tcPr>
            <w:tcW w:w="0" w:type="auto"/>
            <w:shd w:val="clear" w:color="auto" w:fill="FFFFFF" w:themeFill="background1"/>
            <w:noWrap/>
            <w:vAlign w:val="center"/>
          </w:tcPr>
          <w:p w14:paraId="702625B6" w14:textId="77777777" w:rsidR="00F76607" w:rsidRDefault="001863F0">
            <w:pPr>
              <w:jc w:val="right"/>
              <w:rPr>
                <w:sz w:val="18"/>
                <w:szCs w:val="18"/>
              </w:rPr>
            </w:pPr>
            <w:r>
              <w:rPr>
                <w:sz w:val="18"/>
                <w:szCs w:val="18"/>
              </w:rPr>
              <w:t>146,700 </w:t>
            </w:r>
          </w:p>
        </w:tc>
        <w:tc>
          <w:tcPr>
            <w:tcW w:w="0" w:type="auto"/>
            <w:shd w:val="clear" w:color="auto" w:fill="FFFFFF" w:themeFill="background1"/>
            <w:noWrap/>
            <w:vAlign w:val="center"/>
          </w:tcPr>
          <w:p w14:paraId="0281BD3E" w14:textId="77777777" w:rsidR="00F76607" w:rsidRDefault="001863F0">
            <w:pPr>
              <w:jc w:val="right"/>
              <w:rPr>
                <w:sz w:val="18"/>
                <w:szCs w:val="18"/>
              </w:rPr>
            </w:pPr>
            <w:r>
              <w:rPr>
                <w:sz w:val="18"/>
                <w:szCs w:val="18"/>
              </w:rPr>
              <w:t>Discounted cash flow </w:t>
            </w:r>
          </w:p>
        </w:tc>
        <w:tc>
          <w:tcPr>
            <w:tcW w:w="0" w:type="auto"/>
            <w:shd w:val="clear" w:color="auto" w:fill="FFFFFF" w:themeFill="background1"/>
            <w:noWrap/>
            <w:vAlign w:val="center"/>
          </w:tcPr>
          <w:p w14:paraId="4645AC65" w14:textId="77777777" w:rsidR="00F76607" w:rsidRDefault="001863F0">
            <w:pPr>
              <w:jc w:val="right"/>
              <w:rPr>
                <w:sz w:val="18"/>
                <w:szCs w:val="18"/>
              </w:rPr>
            </w:pPr>
            <w:r>
              <w:rPr>
                <w:sz w:val="18"/>
                <w:szCs w:val="18"/>
              </w:rPr>
              <w:t>Annual rent per m²</w:t>
            </w:r>
          </w:p>
        </w:tc>
        <w:tc>
          <w:tcPr>
            <w:tcW w:w="0" w:type="auto"/>
            <w:shd w:val="clear" w:color="auto" w:fill="FFFFFF" w:themeFill="background1"/>
            <w:noWrap/>
            <w:vAlign w:val="center"/>
          </w:tcPr>
          <w:p w14:paraId="79F3735C" w14:textId="77777777" w:rsidR="00F76607" w:rsidRDefault="001863F0">
            <w:pPr>
              <w:jc w:val="right"/>
              <w:rPr>
                <w:sz w:val="18"/>
                <w:szCs w:val="18"/>
              </w:rPr>
            </w:pPr>
            <w:r>
              <w:rPr>
                <w:sz w:val="18"/>
                <w:szCs w:val="18"/>
              </w:rPr>
              <w:t>44-68</w:t>
            </w:r>
          </w:p>
        </w:tc>
      </w:tr>
      <w:tr w:rsidR="00F76607" w14:paraId="47FC0A92" w14:textId="77777777">
        <w:trPr>
          <w:trHeight w:val="250"/>
        </w:trPr>
        <w:tc>
          <w:tcPr>
            <w:tcW w:w="0" w:type="auto"/>
            <w:shd w:val="clear" w:color="auto" w:fill="FFFFFF" w:themeFill="background1"/>
            <w:noWrap/>
            <w:vAlign w:val="center"/>
          </w:tcPr>
          <w:p w14:paraId="35EA857F"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011034B4" w14:textId="77777777" w:rsidR="00F76607" w:rsidRDefault="00F76607">
            <w:pPr>
              <w:jc w:val="right"/>
              <w:rPr>
                <w:sz w:val="18"/>
                <w:szCs w:val="18"/>
              </w:rPr>
            </w:pPr>
          </w:p>
        </w:tc>
        <w:tc>
          <w:tcPr>
            <w:tcW w:w="0" w:type="auto"/>
            <w:shd w:val="clear" w:color="auto" w:fill="FFFFFF" w:themeFill="background1"/>
            <w:noWrap/>
            <w:vAlign w:val="center"/>
          </w:tcPr>
          <w:p w14:paraId="65C28F84" w14:textId="77777777" w:rsidR="00F76607" w:rsidRDefault="00F76607">
            <w:pPr>
              <w:jc w:val="right"/>
              <w:rPr>
                <w:sz w:val="18"/>
                <w:szCs w:val="18"/>
              </w:rPr>
            </w:pPr>
          </w:p>
        </w:tc>
        <w:tc>
          <w:tcPr>
            <w:tcW w:w="0" w:type="auto"/>
            <w:shd w:val="clear" w:color="auto" w:fill="FFFFFF" w:themeFill="background1"/>
            <w:noWrap/>
            <w:vAlign w:val="center"/>
          </w:tcPr>
          <w:p w14:paraId="7408A8A5" w14:textId="77777777" w:rsidR="00F76607" w:rsidRDefault="00F76607">
            <w:pPr>
              <w:jc w:val="right"/>
              <w:rPr>
                <w:sz w:val="18"/>
                <w:szCs w:val="18"/>
              </w:rPr>
            </w:pPr>
          </w:p>
        </w:tc>
        <w:tc>
          <w:tcPr>
            <w:tcW w:w="0" w:type="auto"/>
            <w:shd w:val="clear" w:color="auto" w:fill="FFFFFF" w:themeFill="background1"/>
            <w:noWrap/>
            <w:vAlign w:val="center"/>
          </w:tcPr>
          <w:p w14:paraId="0B3ACA9D" w14:textId="77777777" w:rsidR="00F76607" w:rsidRDefault="001863F0">
            <w:pPr>
              <w:jc w:val="right"/>
              <w:rPr>
                <w:sz w:val="18"/>
                <w:szCs w:val="18"/>
              </w:rPr>
            </w:pPr>
            <w:r>
              <w:rPr>
                <w:sz w:val="18"/>
                <w:szCs w:val="18"/>
              </w:rPr>
              <w:t>Discount rate</w:t>
            </w:r>
          </w:p>
        </w:tc>
        <w:tc>
          <w:tcPr>
            <w:tcW w:w="0" w:type="auto"/>
            <w:shd w:val="clear" w:color="auto" w:fill="FFFFFF" w:themeFill="background1"/>
            <w:noWrap/>
            <w:vAlign w:val="center"/>
          </w:tcPr>
          <w:p w14:paraId="697BA87F" w14:textId="77777777" w:rsidR="00F76607" w:rsidRDefault="001863F0">
            <w:pPr>
              <w:jc w:val="right"/>
              <w:rPr>
                <w:sz w:val="18"/>
                <w:szCs w:val="18"/>
              </w:rPr>
            </w:pPr>
            <w:r>
              <w:rPr>
                <w:sz w:val="18"/>
                <w:szCs w:val="18"/>
              </w:rPr>
              <w:t>6.25%-7.75%</w:t>
            </w:r>
          </w:p>
        </w:tc>
      </w:tr>
      <w:tr w:rsidR="00F76607" w14:paraId="11715A77" w14:textId="77777777">
        <w:trPr>
          <w:trHeight w:val="250"/>
        </w:trPr>
        <w:tc>
          <w:tcPr>
            <w:tcW w:w="0" w:type="auto"/>
            <w:shd w:val="clear" w:color="auto" w:fill="FFFFFF" w:themeFill="background1"/>
            <w:noWrap/>
            <w:vAlign w:val="center"/>
          </w:tcPr>
          <w:p w14:paraId="2B2E553D"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2B88C29A"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89E65B0"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FAFDF50"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0916D9C1" w14:textId="77777777" w:rsidR="00F76607" w:rsidRDefault="001863F0">
            <w:pPr>
              <w:jc w:val="right"/>
              <w:rPr>
                <w:sz w:val="18"/>
                <w:szCs w:val="18"/>
              </w:rPr>
            </w:pPr>
            <w:r>
              <w:rPr>
                <w:sz w:val="18"/>
                <w:szCs w:val="18"/>
              </w:rPr>
              <w:t xml:space="preserve">Exit yield </w:t>
            </w:r>
          </w:p>
        </w:tc>
        <w:tc>
          <w:tcPr>
            <w:tcW w:w="0" w:type="auto"/>
            <w:shd w:val="clear" w:color="auto" w:fill="FFFFFF" w:themeFill="background1"/>
            <w:noWrap/>
            <w:vAlign w:val="center"/>
          </w:tcPr>
          <w:p w14:paraId="4CAC84D9" w14:textId="77777777" w:rsidR="00F76607" w:rsidRDefault="001863F0">
            <w:pPr>
              <w:jc w:val="right"/>
              <w:rPr>
                <w:sz w:val="18"/>
                <w:szCs w:val="18"/>
              </w:rPr>
            </w:pPr>
            <w:r>
              <w:rPr>
                <w:sz w:val="18"/>
                <w:szCs w:val="18"/>
              </w:rPr>
              <w:t>6.00%-6.25%</w:t>
            </w:r>
          </w:p>
        </w:tc>
      </w:tr>
      <w:tr w:rsidR="00F76607" w14:paraId="21230944" w14:textId="77777777">
        <w:trPr>
          <w:trHeight w:val="250"/>
        </w:trPr>
        <w:tc>
          <w:tcPr>
            <w:tcW w:w="0" w:type="auto"/>
            <w:shd w:val="clear" w:color="auto" w:fill="FFFFFF" w:themeFill="background1"/>
            <w:noWrap/>
            <w:vAlign w:val="center"/>
          </w:tcPr>
          <w:p w14:paraId="44A854B5"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08C6768E"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0BECE0C"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2F37F7E"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026EFC83" w14:textId="77777777" w:rsidR="00F76607" w:rsidRDefault="001863F0">
            <w:pPr>
              <w:jc w:val="right"/>
              <w:rPr>
                <w:sz w:val="18"/>
                <w:szCs w:val="18"/>
              </w:rPr>
            </w:pPr>
            <w:r>
              <w:rPr>
                <w:sz w:val="18"/>
                <w:szCs w:val="18"/>
              </w:rPr>
              <w:t>Weighted average yield*</w:t>
            </w:r>
          </w:p>
        </w:tc>
        <w:tc>
          <w:tcPr>
            <w:tcW w:w="0" w:type="auto"/>
            <w:shd w:val="clear" w:color="auto" w:fill="FFFFFF" w:themeFill="background1"/>
            <w:noWrap/>
            <w:vAlign w:val="center"/>
          </w:tcPr>
          <w:p w14:paraId="76D9EB41" w14:textId="77777777" w:rsidR="00F76607" w:rsidRDefault="001863F0">
            <w:pPr>
              <w:jc w:val="right"/>
              <w:rPr>
                <w:sz w:val="18"/>
                <w:szCs w:val="18"/>
              </w:rPr>
            </w:pPr>
            <w:r>
              <w:rPr>
                <w:sz w:val="18"/>
                <w:szCs w:val="18"/>
              </w:rPr>
              <w:t>6.26%</w:t>
            </w:r>
          </w:p>
        </w:tc>
      </w:tr>
      <w:tr w:rsidR="00F76607" w14:paraId="5A7E3C65" w14:textId="77777777">
        <w:trPr>
          <w:trHeight w:val="250"/>
        </w:trPr>
        <w:tc>
          <w:tcPr>
            <w:tcW w:w="0" w:type="auto"/>
            <w:shd w:val="clear" w:color="auto" w:fill="FFFFFF" w:themeFill="background1"/>
            <w:noWrap/>
            <w:vAlign w:val="center"/>
          </w:tcPr>
          <w:p w14:paraId="5827286E"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7146DCAC"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68CB516"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F0BD78C"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2458E56F" w14:textId="4585DBB7" w:rsidR="00F76607" w:rsidRDefault="001863F0">
            <w:pPr>
              <w:jc w:val="right"/>
              <w:rPr>
                <w:sz w:val="18"/>
                <w:szCs w:val="18"/>
              </w:rPr>
            </w:pPr>
            <w:r>
              <w:rPr>
                <w:sz w:val="18"/>
                <w:szCs w:val="18"/>
              </w:rPr>
              <w:t>Cost to completion (in</w:t>
            </w:r>
            <w:r w:rsidR="00C2417B">
              <w:rPr>
                <w:sz w:val="18"/>
                <w:szCs w:val="18"/>
              </w:rPr>
              <w:t xml:space="preserve"> €</w:t>
            </w:r>
            <w:r>
              <w:rPr>
                <w:sz w:val="18"/>
                <w:szCs w:val="18"/>
              </w:rPr>
              <w:t xml:space="preserve"> '000)</w:t>
            </w:r>
          </w:p>
        </w:tc>
        <w:tc>
          <w:tcPr>
            <w:tcW w:w="0" w:type="auto"/>
            <w:shd w:val="clear" w:color="auto" w:fill="FFFFFF" w:themeFill="background1"/>
            <w:noWrap/>
            <w:vAlign w:val="center"/>
          </w:tcPr>
          <w:p w14:paraId="0166A96C" w14:textId="77777777" w:rsidR="00F76607" w:rsidRDefault="001863F0">
            <w:pPr>
              <w:jc w:val="right"/>
              <w:rPr>
                <w:sz w:val="18"/>
                <w:szCs w:val="18"/>
              </w:rPr>
            </w:pPr>
            <w:r>
              <w:rPr>
                <w:sz w:val="18"/>
                <w:szCs w:val="18"/>
              </w:rPr>
              <w:t>769,000</w:t>
            </w:r>
          </w:p>
        </w:tc>
      </w:tr>
      <w:tr w:rsidR="00F76607" w14:paraId="2C92A086" w14:textId="77777777">
        <w:trPr>
          <w:trHeight w:val="250"/>
        </w:trPr>
        <w:tc>
          <w:tcPr>
            <w:tcW w:w="0" w:type="auto"/>
            <w:shd w:val="clear" w:color="auto" w:fill="FFFFFF" w:themeFill="background1"/>
            <w:noWrap/>
            <w:vAlign w:val="center"/>
          </w:tcPr>
          <w:p w14:paraId="37DFD652" w14:textId="77777777" w:rsidR="00F76607" w:rsidRDefault="00F76607">
            <w:pPr>
              <w:rPr>
                <w:b/>
                <w:sz w:val="18"/>
                <w:szCs w:val="18"/>
              </w:rPr>
            </w:pPr>
          </w:p>
        </w:tc>
        <w:tc>
          <w:tcPr>
            <w:tcW w:w="0" w:type="auto"/>
            <w:shd w:val="clear" w:color="auto" w:fill="FFFFFF" w:themeFill="background1"/>
            <w:noWrap/>
            <w:vAlign w:val="center"/>
          </w:tcPr>
          <w:p w14:paraId="212DCEC0" w14:textId="77777777" w:rsidR="00F76607" w:rsidRDefault="001863F0">
            <w:pPr>
              <w:jc w:val="right"/>
              <w:rPr>
                <w:sz w:val="18"/>
                <w:szCs w:val="18"/>
              </w:rPr>
            </w:pPr>
            <w:r>
              <w:rPr>
                <w:sz w:val="18"/>
                <w:szCs w:val="18"/>
              </w:rPr>
              <w:t>IPUC</w:t>
            </w:r>
          </w:p>
        </w:tc>
        <w:tc>
          <w:tcPr>
            <w:tcW w:w="0" w:type="auto"/>
            <w:shd w:val="clear" w:color="auto" w:fill="FFFFFF" w:themeFill="background1"/>
            <w:noWrap/>
            <w:vAlign w:val="center"/>
          </w:tcPr>
          <w:p w14:paraId="75614FBF" w14:textId="77777777" w:rsidR="00F76607" w:rsidRDefault="001863F0">
            <w:pPr>
              <w:jc w:val="right"/>
              <w:rPr>
                <w:sz w:val="18"/>
                <w:szCs w:val="18"/>
              </w:rPr>
            </w:pPr>
            <w:r>
              <w:rPr>
                <w:sz w:val="18"/>
                <w:szCs w:val="18"/>
              </w:rPr>
              <w:t>5,600</w:t>
            </w:r>
          </w:p>
        </w:tc>
        <w:tc>
          <w:tcPr>
            <w:tcW w:w="0" w:type="auto"/>
            <w:shd w:val="clear" w:color="auto" w:fill="FFFFFF" w:themeFill="background1"/>
            <w:noWrap/>
            <w:vAlign w:val="center"/>
          </w:tcPr>
          <w:p w14:paraId="313D54D7" w14:textId="77777777" w:rsidR="00F76607" w:rsidRDefault="001863F0">
            <w:pPr>
              <w:jc w:val="right"/>
              <w:rPr>
                <w:sz w:val="18"/>
                <w:szCs w:val="18"/>
              </w:rPr>
            </w:pPr>
            <w:r>
              <w:rPr>
                <w:sz w:val="18"/>
                <w:szCs w:val="18"/>
              </w:rPr>
              <w:t>Discounted cash flow</w:t>
            </w:r>
          </w:p>
        </w:tc>
        <w:tc>
          <w:tcPr>
            <w:tcW w:w="0" w:type="auto"/>
            <w:shd w:val="clear" w:color="auto" w:fill="FFFFFF" w:themeFill="background1"/>
            <w:noWrap/>
            <w:vAlign w:val="center"/>
            <w:hideMark/>
          </w:tcPr>
          <w:p w14:paraId="18EC78BA" w14:textId="77777777" w:rsidR="00F76607" w:rsidRDefault="001863F0">
            <w:pPr>
              <w:jc w:val="right"/>
              <w:rPr>
                <w:sz w:val="18"/>
                <w:szCs w:val="18"/>
              </w:rPr>
            </w:pPr>
            <w:r>
              <w:rPr>
                <w:sz w:val="18"/>
                <w:szCs w:val="18"/>
              </w:rPr>
              <w:t xml:space="preserve">Annual rent per m² </w:t>
            </w:r>
          </w:p>
        </w:tc>
        <w:tc>
          <w:tcPr>
            <w:tcW w:w="0" w:type="auto"/>
            <w:shd w:val="clear" w:color="auto" w:fill="FFFFFF" w:themeFill="background1"/>
            <w:noWrap/>
            <w:vAlign w:val="center"/>
          </w:tcPr>
          <w:p w14:paraId="42E02906" w14:textId="77777777" w:rsidR="00F76607" w:rsidRDefault="001863F0">
            <w:pPr>
              <w:jc w:val="right"/>
              <w:rPr>
                <w:sz w:val="18"/>
                <w:szCs w:val="18"/>
              </w:rPr>
            </w:pPr>
            <w:r>
              <w:rPr>
                <w:sz w:val="18"/>
                <w:szCs w:val="18"/>
              </w:rPr>
              <w:t>47</w:t>
            </w:r>
          </w:p>
        </w:tc>
      </w:tr>
      <w:tr w:rsidR="00F76607" w14:paraId="7AB7BA6D" w14:textId="77777777">
        <w:trPr>
          <w:trHeight w:val="250"/>
        </w:trPr>
        <w:tc>
          <w:tcPr>
            <w:tcW w:w="0" w:type="auto"/>
            <w:shd w:val="clear" w:color="auto" w:fill="FFFFFF" w:themeFill="background1"/>
            <w:noWrap/>
            <w:vAlign w:val="center"/>
            <w:hideMark/>
          </w:tcPr>
          <w:p w14:paraId="10250A40" w14:textId="77777777" w:rsidR="00F76607" w:rsidRDefault="001863F0">
            <w:pPr>
              <w:rPr>
                <w:b/>
                <w:sz w:val="18"/>
                <w:szCs w:val="18"/>
              </w:rPr>
            </w:pPr>
            <w:r>
              <w:rPr>
                <w:b/>
                <w:sz w:val="18"/>
                <w:szCs w:val="18"/>
              </w:rPr>
              <w:t> </w:t>
            </w:r>
          </w:p>
        </w:tc>
        <w:tc>
          <w:tcPr>
            <w:tcW w:w="0" w:type="auto"/>
            <w:shd w:val="clear" w:color="auto" w:fill="FFFFFF" w:themeFill="background1"/>
            <w:noWrap/>
            <w:vAlign w:val="center"/>
            <w:hideMark/>
          </w:tcPr>
          <w:p w14:paraId="7806FD5B"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F329088"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11DF90A5"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8BCB83F" w14:textId="77777777" w:rsidR="00F76607" w:rsidRDefault="001863F0">
            <w:pPr>
              <w:jc w:val="right"/>
              <w:rPr>
                <w:sz w:val="18"/>
                <w:szCs w:val="18"/>
              </w:rPr>
            </w:pPr>
            <w:r>
              <w:rPr>
                <w:sz w:val="18"/>
                <w:szCs w:val="18"/>
              </w:rPr>
              <w:t>Discount rate</w:t>
            </w:r>
          </w:p>
        </w:tc>
        <w:tc>
          <w:tcPr>
            <w:tcW w:w="0" w:type="auto"/>
            <w:shd w:val="clear" w:color="auto" w:fill="FFFFFF" w:themeFill="background1"/>
            <w:noWrap/>
            <w:vAlign w:val="center"/>
          </w:tcPr>
          <w:p w14:paraId="0AF52C78" w14:textId="77777777" w:rsidR="00F76607" w:rsidRDefault="001863F0">
            <w:pPr>
              <w:jc w:val="right"/>
              <w:rPr>
                <w:sz w:val="18"/>
                <w:szCs w:val="18"/>
              </w:rPr>
            </w:pPr>
            <w:r>
              <w:rPr>
                <w:sz w:val="18"/>
                <w:szCs w:val="18"/>
              </w:rPr>
              <w:t>7.75%</w:t>
            </w:r>
          </w:p>
        </w:tc>
      </w:tr>
      <w:tr w:rsidR="00F76607" w14:paraId="6E605764" w14:textId="77777777">
        <w:trPr>
          <w:trHeight w:val="250"/>
        </w:trPr>
        <w:tc>
          <w:tcPr>
            <w:tcW w:w="0" w:type="auto"/>
            <w:shd w:val="clear" w:color="auto" w:fill="FFFFFF" w:themeFill="background1"/>
            <w:noWrap/>
            <w:vAlign w:val="center"/>
          </w:tcPr>
          <w:p w14:paraId="7577E8B2"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1426F3AC"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55EBC7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E70F6CD"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EB8DA96" w14:textId="77777777" w:rsidR="00F76607" w:rsidRDefault="001863F0">
            <w:pPr>
              <w:jc w:val="right"/>
              <w:rPr>
                <w:sz w:val="18"/>
                <w:szCs w:val="18"/>
              </w:rPr>
            </w:pPr>
            <w:r>
              <w:rPr>
                <w:sz w:val="18"/>
                <w:szCs w:val="18"/>
              </w:rPr>
              <w:t xml:space="preserve">Exit yield </w:t>
            </w:r>
          </w:p>
        </w:tc>
        <w:tc>
          <w:tcPr>
            <w:tcW w:w="0" w:type="auto"/>
            <w:shd w:val="clear" w:color="auto" w:fill="FFFFFF" w:themeFill="background1"/>
            <w:noWrap/>
            <w:vAlign w:val="center"/>
          </w:tcPr>
          <w:p w14:paraId="34A6643D" w14:textId="77777777" w:rsidR="00F76607" w:rsidRDefault="001863F0">
            <w:pPr>
              <w:jc w:val="right"/>
              <w:rPr>
                <w:sz w:val="18"/>
                <w:szCs w:val="18"/>
              </w:rPr>
            </w:pPr>
            <w:r>
              <w:rPr>
                <w:sz w:val="18"/>
                <w:szCs w:val="18"/>
              </w:rPr>
              <w:t>6.25%</w:t>
            </w:r>
          </w:p>
        </w:tc>
      </w:tr>
      <w:tr w:rsidR="00F76607" w14:paraId="46F8DE93" w14:textId="77777777">
        <w:trPr>
          <w:trHeight w:val="250"/>
        </w:trPr>
        <w:tc>
          <w:tcPr>
            <w:tcW w:w="0" w:type="auto"/>
            <w:shd w:val="clear" w:color="auto" w:fill="FFFFFF" w:themeFill="background1"/>
            <w:noWrap/>
            <w:vAlign w:val="center"/>
          </w:tcPr>
          <w:p w14:paraId="0105925D"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4DCCB72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19B23F1"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7BEB282"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9D31CE3" w14:textId="77777777" w:rsidR="00F76607" w:rsidRDefault="001863F0">
            <w:pPr>
              <w:jc w:val="right"/>
              <w:rPr>
                <w:sz w:val="18"/>
                <w:szCs w:val="18"/>
              </w:rPr>
            </w:pPr>
            <w:r>
              <w:rPr>
                <w:sz w:val="18"/>
                <w:szCs w:val="18"/>
              </w:rPr>
              <w:t>Weighted average yield</w:t>
            </w:r>
          </w:p>
        </w:tc>
        <w:tc>
          <w:tcPr>
            <w:tcW w:w="0" w:type="auto"/>
            <w:shd w:val="clear" w:color="auto" w:fill="FFFFFF" w:themeFill="background1"/>
            <w:noWrap/>
            <w:vAlign w:val="center"/>
          </w:tcPr>
          <w:p w14:paraId="63080D73" w14:textId="77777777" w:rsidR="00F76607" w:rsidRDefault="001863F0">
            <w:pPr>
              <w:jc w:val="right"/>
              <w:rPr>
                <w:sz w:val="18"/>
                <w:szCs w:val="18"/>
              </w:rPr>
            </w:pPr>
            <w:r>
              <w:rPr>
                <w:sz w:val="18"/>
                <w:szCs w:val="18"/>
              </w:rPr>
              <w:t>6.79%</w:t>
            </w:r>
          </w:p>
        </w:tc>
      </w:tr>
      <w:tr w:rsidR="00F76607" w14:paraId="0526C2FE" w14:textId="77777777">
        <w:trPr>
          <w:trHeight w:val="250"/>
        </w:trPr>
        <w:tc>
          <w:tcPr>
            <w:tcW w:w="0" w:type="auto"/>
            <w:shd w:val="clear" w:color="auto" w:fill="FFFFFF" w:themeFill="background1"/>
            <w:noWrap/>
            <w:vAlign w:val="center"/>
            <w:hideMark/>
          </w:tcPr>
          <w:p w14:paraId="547F9986" w14:textId="77777777" w:rsidR="00F76607" w:rsidRDefault="001863F0">
            <w:pPr>
              <w:rPr>
                <w:b/>
                <w:sz w:val="18"/>
                <w:szCs w:val="18"/>
              </w:rPr>
            </w:pPr>
            <w:r>
              <w:rPr>
                <w:b/>
                <w:sz w:val="18"/>
                <w:szCs w:val="18"/>
              </w:rPr>
              <w:t> </w:t>
            </w:r>
          </w:p>
        </w:tc>
        <w:tc>
          <w:tcPr>
            <w:tcW w:w="0" w:type="auto"/>
            <w:shd w:val="clear" w:color="auto" w:fill="FFFFFF" w:themeFill="background1"/>
            <w:noWrap/>
            <w:vAlign w:val="center"/>
            <w:hideMark/>
          </w:tcPr>
          <w:p w14:paraId="3E3187A4"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D2D6FE1"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2329C14A"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13E8F05A" w14:textId="6DA2A578" w:rsidR="00F76607" w:rsidRDefault="001863F0">
            <w:pPr>
              <w:jc w:val="right"/>
              <w:rPr>
                <w:sz w:val="18"/>
                <w:szCs w:val="18"/>
              </w:rPr>
            </w:pPr>
            <w:r>
              <w:rPr>
                <w:sz w:val="18"/>
                <w:szCs w:val="18"/>
              </w:rPr>
              <w:t>Cost to completion (in</w:t>
            </w:r>
            <w:r w:rsidR="00C2417B">
              <w:rPr>
                <w:sz w:val="18"/>
                <w:szCs w:val="18"/>
              </w:rPr>
              <w:t xml:space="preserve"> €</w:t>
            </w:r>
            <w:r>
              <w:rPr>
                <w:sz w:val="18"/>
                <w:szCs w:val="18"/>
              </w:rPr>
              <w:t xml:space="preserve"> '000)</w:t>
            </w:r>
          </w:p>
        </w:tc>
        <w:tc>
          <w:tcPr>
            <w:tcW w:w="0" w:type="auto"/>
            <w:shd w:val="clear" w:color="auto" w:fill="FFFFFF" w:themeFill="background1"/>
            <w:noWrap/>
            <w:vAlign w:val="center"/>
          </w:tcPr>
          <w:p w14:paraId="6A597693" w14:textId="77777777" w:rsidR="00F76607" w:rsidRDefault="001863F0">
            <w:pPr>
              <w:jc w:val="right"/>
              <w:rPr>
                <w:sz w:val="18"/>
                <w:szCs w:val="18"/>
              </w:rPr>
            </w:pPr>
            <w:r>
              <w:rPr>
                <w:sz w:val="18"/>
                <w:szCs w:val="18"/>
              </w:rPr>
              <w:t>3,400</w:t>
            </w:r>
          </w:p>
        </w:tc>
      </w:tr>
      <w:tr w:rsidR="00F76607" w14:paraId="77CA6620" w14:textId="77777777">
        <w:trPr>
          <w:trHeight w:val="250"/>
        </w:trPr>
        <w:tc>
          <w:tcPr>
            <w:tcW w:w="0" w:type="auto"/>
            <w:shd w:val="clear" w:color="auto" w:fill="FFFFFF" w:themeFill="background1"/>
            <w:noWrap/>
            <w:vAlign w:val="center"/>
          </w:tcPr>
          <w:p w14:paraId="3B1338BB"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6B742916" w14:textId="77777777" w:rsidR="00F76607" w:rsidRDefault="001863F0">
            <w:pPr>
              <w:jc w:val="right"/>
              <w:rPr>
                <w:sz w:val="18"/>
                <w:szCs w:val="18"/>
              </w:rPr>
            </w:pPr>
            <w:r>
              <w:rPr>
                <w:sz w:val="18"/>
                <w:szCs w:val="18"/>
              </w:rPr>
              <w:t>DL</w:t>
            </w:r>
          </w:p>
        </w:tc>
        <w:tc>
          <w:tcPr>
            <w:tcW w:w="0" w:type="auto"/>
            <w:shd w:val="clear" w:color="auto" w:fill="FFFFFF" w:themeFill="background1"/>
            <w:noWrap/>
            <w:vAlign w:val="center"/>
          </w:tcPr>
          <w:p w14:paraId="625911F3" w14:textId="77777777" w:rsidR="00F76607" w:rsidRDefault="001863F0">
            <w:pPr>
              <w:jc w:val="right"/>
              <w:rPr>
                <w:sz w:val="18"/>
                <w:szCs w:val="18"/>
              </w:rPr>
            </w:pPr>
            <w:r>
              <w:rPr>
                <w:sz w:val="18"/>
                <w:szCs w:val="18"/>
              </w:rPr>
              <w:t>3,200</w:t>
            </w:r>
          </w:p>
        </w:tc>
        <w:tc>
          <w:tcPr>
            <w:tcW w:w="0" w:type="auto"/>
            <w:shd w:val="clear" w:color="auto" w:fill="FFFFFF" w:themeFill="background1"/>
            <w:noWrap/>
            <w:vAlign w:val="center"/>
          </w:tcPr>
          <w:p w14:paraId="0E1272EB" w14:textId="77777777" w:rsidR="00F76607" w:rsidRDefault="001863F0">
            <w:pPr>
              <w:jc w:val="right"/>
              <w:rPr>
                <w:sz w:val="18"/>
                <w:szCs w:val="18"/>
              </w:rPr>
            </w:pPr>
            <w:r>
              <w:rPr>
                <w:sz w:val="18"/>
                <w:szCs w:val="18"/>
              </w:rPr>
              <w:t>Sales comparison</w:t>
            </w:r>
          </w:p>
        </w:tc>
        <w:tc>
          <w:tcPr>
            <w:tcW w:w="0" w:type="auto"/>
            <w:shd w:val="clear" w:color="auto" w:fill="FFFFFF" w:themeFill="background1"/>
            <w:noWrap/>
            <w:vAlign w:val="center"/>
          </w:tcPr>
          <w:p w14:paraId="74CF5A77" w14:textId="77777777" w:rsidR="00F76607" w:rsidRDefault="001863F0">
            <w:pPr>
              <w:jc w:val="right"/>
              <w:rPr>
                <w:sz w:val="18"/>
                <w:szCs w:val="18"/>
              </w:rPr>
            </w:pPr>
            <w:r>
              <w:rPr>
                <w:sz w:val="18"/>
                <w:szCs w:val="18"/>
              </w:rPr>
              <w:t>Price per m²</w:t>
            </w:r>
          </w:p>
        </w:tc>
        <w:tc>
          <w:tcPr>
            <w:tcW w:w="0" w:type="auto"/>
            <w:shd w:val="clear" w:color="auto" w:fill="FFFFFF" w:themeFill="background1"/>
            <w:noWrap/>
            <w:vAlign w:val="center"/>
          </w:tcPr>
          <w:p w14:paraId="51CE70CE" w14:textId="4043F3D4" w:rsidR="00F76607" w:rsidRDefault="00FF2ECC">
            <w:pPr>
              <w:jc w:val="right"/>
              <w:rPr>
                <w:sz w:val="18"/>
                <w:szCs w:val="18"/>
              </w:rPr>
            </w:pPr>
            <w:r>
              <w:rPr>
                <w:sz w:val="18"/>
                <w:szCs w:val="18"/>
              </w:rPr>
              <w:t xml:space="preserve"> </w:t>
            </w:r>
            <w:r w:rsidR="001863F0">
              <w:rPr>
                <w:sz w:val="18"/>
                <w:szCs w:val="18"/>
              </w:rPr>
              <w:t>-</w:t>
            </w:r>
          </w:p>
        </w:tc>
      </w:tr>
      <w:tr w:rsidR="00F76607" w14:paraId="37432F36" w14:textId="77777777">
        <w:trPr>
          <w:trHeight w:val="250"/>
        </w:trPr>
        <w:tc>
          <w:tcPr>
            <w:tcW w:w="0" w:type="auto"/>
            <w:shd w:val="clear" w:color="auto" w:fill="FFFFFF" w:themeFill="background1"/>
            <w:noWrap/>
            <w:vAlign w:val="center"/>
          </w:tcPr>
          <w:p w14:paraId="2ABCCAEB"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27C1656D"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15CC816"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F74C464"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5D9F0658"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8C34BE4" w14:textId="77777777" w:rsidR="00F76607" w:rsidRDefault="001863F0">
            <w:pPr>
              <w:jc w:val="right"/>
              <w:rPr>
                <w:sz w:val="18"/>
                <w:szCs w:val="18"/>
              </w:rPr>
            </w:pPr>
            <w:r>
              <w:rPr>
                <w:sz w:val="18"/>
                <w:szCs w:val="18"/>
              </w:rPr>
              <w:t> </w:t>
            </w:r>
          </w:p>
        </w:tc>
      </w:tr>
      <w:tr w:rsidR="00F76607" w14:paraId="511F176D" w14:textId="77777777">
        <w:trPr>
          <w:trHeight w:val="250"/>
        </w:trPr>
        <w:tc>
          <w:tcPr>
            <w:tcW w:w="0" w:type="auto"/>
            <w:shd w:val="clear" w:color="auto" w:fill="FFFFFF" w:themeFill="background1"/>
            <w:noWrap/>
            <w:vAlign w:val="center"/>
          </w:tcPr>
          <w:p w14:paraId="27770C1A" w14:textId="77777777" w:rsidR="00F76607" w:rsidRDefault="001863F0">
            <w:pPr>
              <w:rPr>
                <w:b/>
                <w:sz w:val="18"/>
                <w:szCs w:val="18"/>
              </w:rPr>
            </w:pPr>
            <w:r>
              <w:rPr>
                <w:b/>
                <w:sz w:val="18"/>
                <w:szCs w:val="18"/>
              </w:rPr>
              <w:t>Germany</w:t>
            </w:r>
          </w:p>
        </w:tc>
        <w:tc>
          <w:tcPr>
            <w:tcW w:w="0" w:type="auto"/>
            <w:shd w:val="clear" w:color="auto" w:fill="FFFFFF" w:themeFill="background1"/>
            <w:noWrap/>
            <w:vAlign w:val="center"/>
          </w:tcPr>
          <w:p w14:paraId="1D1800FD" w14:textId="77777777" w:rsidR="00F76607" w:rsidRDefault="001863F0">
            <w:pPr>
              <w:jc w:val="right"/>
              <w:rPr>
                <w:sz w:val="18"/>
                <w:szCs w:val="18"/>
              </w:rPr>
            </w:pPr>
            <w:r>
              <w:rPr>
                <w:sz w:val="18"/>
                <w:szCs w:val="18"/>
              </w:rPr>
              <w:t xml:space="preserve">IP </w:t>
            </w:r>
          </w:p>
        </w:tc>
        <w:tc>
          <w:tcPr>
            <w:tcW w:w="0" w:type="auto"/>
            <w:shd w:val="clear" w:color="auto" w:fill="FFFFFF" w:themeFill="background1"/>
            <w:noWrap/>
            <w:vAlign w:val="center"/>
          </w:tcPr>
          <w:p w14:paraId="3CEA9E96" w14:textId="77777777" w:rsidR="00F76607" w:rsidRDefault="001863F0">
            <w:pPr>
              <w:jc w:val="right"/>
              <w:rPr>
                <w:sz w:val="18"/>
                <w:szCs w:val="18"/>
              </w:rPr>
            </w:pPr>
            <w:r>
              <w:rPr>
                <w:sz w:val="18"/>
                <w:szCs w:val="18"/>
              </w:rPr>
              <w:t>476,900</w:t>
            </w:r>
          </w:p>
        </w:tc>
        <w:tc>
          <w:tcPr>
            <w:tcW w:w="0" w:type="auto"/>
            <w:shd w:val="clear" w:color="auto" w:fill="FFFFFF" w:themeFill="background1"/>
            <w:noWrap/>
            <w:vAlign w:val="center"/>
          </w:tcPr>
          <w:p w14:paraId="0FD2AE92" w14:textId="77777777" w:rsidR="00F76607" w:rsidRDefault="001863F0">
            <w:pPr>
              <w:jc w:val="right"/>
              <w:rPr>
                <w:sz w:val="18"/>
                <w:szCs w:val="18"/>
              </w:rPr>
            </w:pPr>
            <w:r>
              <w:rPr>
                <w:sz w:val="18"/>
                <w:szCs w:val="18"/>
              </w:rPr>
              <w:t>Discounted cash flow</w:t>
            </w:r>
          </w:p>
        </w:tc>
        <w:tc>
          <w:tcPr>
            <w:tcW w:w="0" w:type="auto"/>
            <w:shd w:val="clear" w:color="auto" w:fill="FFFFFF" w:themeFill="background1"/>
            <w:noWrap/>
            <w:vAlign w:val="center"/>
          </w:tcPr>
          <w:p w14:paraId="207FD4DB" w14:textId="77777777" w:rsidR="00F76607" w:rsidRDefault="001863F0">
            <w:pPr>
              <w:jc w:val="right"/>
              <w:rPr>
                <w:sz w:val="18"/>
                <w:szCs w:val="18"/>
              </w:rPr>
            </w:pPr>
            <w:r>
              <w:rPr>
                <w:sz w:val="18"/>
                <w:szCs w:val="18"/>
              </w:rPr>
              <w:t>Annual rent per m²</w:t>
            </w:r>
          </w:p>
        </w:tc>
        <w:tc>
          <w:tcPr>
            <w:tcW w:w="0" w:type="auto"/>
            <w:shd w:val="clear" w:color="auto" w:fill="FFFFFF" w:themeFill="background1"/>
            <w:noWrap/>
            <w:vAlign w:val="center"/>
          </w:tcPr>
          <w:p w14:paraId="6315A9C7" w14:textId="77777777" w:rsidR="00F76607" w:rsidRDefault="001863F0">
            <w:pPr>
              <w:jc w:val="right"/>
              <w:rPr>
                <w:sz w:val="18"/>
                <w:szCs w:val="18"/>
              </w:rPr>
            </w:pPr>
            <w:r>
              <w:rPr>
                <w:sz w:val="18"/>
                <w:szCs w:val="18"/>
              </w:rPr>
              <w:t>33-86</w:t>
            </w:r>
          </w:p>
        </w:tc>
      </w:tr>
      <w:tr w:rsidR="00F76607" w14:paraId="2A341A80" w14:textId="77777777">
        <w:trPr>
          <w:trHeight w:val="250"/>
        </w:trPr>
        <w:tc>
          <w:tcPr>
            <w:tcW w:w="0" w:type="auto"/>
            <w:shd w:val="clear" w:color="auto" w:fill="FFFFFF" w:themeFill="background1"/>
            <w:noWrap/>
            <w:vAlign w:val="center"/>
          </w:tcPr>
          <w:p w14:paraId="30D28C29" w14:textId="77777777" w:rsidR="00F76607" w:rsidRDefault="00F76607">
            <w:pPr>
              <w:rPr>
                <w:b/>
                <w:sz w:val="18"/>
                <w:szCs w:val="18"/>
              </w:rPr>
            </w:pPr>
          </w:p>
        </w:tc>
        <w:tc>
          <w:tcPr>
            <w:tcW w:w="0" w:type="auto"/>
            <w:shd w:val="clear" w:color="auto" w:fill="FFFFFF" w:themeFill="background1"/>
            <w:noWrap/>
            <w:vAlign w:val="center"/>
          </w:tcPr>
          <w:p w14:paraId="1857D963" w14:textId="77777777" w:rsidR="00F76607" w:rsidRDefault="00F76607">
            <w:pPr>
              <w:jc w:val="right"/>
              <w:rPr>
                <w:sz w:val="18"/>
                <w:szCs w:val="18"/>
              </w:rPr>
            </w:pPr>
          </w:p>
        </w:tc>
        <w:tc>
          <w:tcPr>
            <w:tcW w:w="0" w:type="auto"/>
            <w:shd w:val="clear" w:color="auto" w:fill="FFFFFF" w:themeFill="background1"/>
            <w:noWrap/>
            <w:vAlign w:val="center"/>
          </w:tcPr>
          <w:p w14:paraId="7D3B724B" w14:textId="77777777" w:rsidR="00F76607" w:rsidRDefault="00F76607">
            <w:pPr>
              <w:jc w:val="right"/>
              <w:rPr>
                <w:sz w:val="18"/>
                <w:szCs w:val="18"/>
              </w:rPr>
            </w:pPr>
          </w:p>
        </w:tc>
        <w:tc>
          <w:tcPr>
            <w:tcW w:w="0" w:type="auto"/>
            <w:shd w:val="clear" w:color="auto" w:fill="FFFFFF" w:themeFill="background1"/>
            <w:noWrap/>
            <w:vAlign w:val="center"/>
          </w:tcPr>
          <w:p w14:paraId="6C9CA473" w14:textId="77777777" w:rsidR="00F76607" w:rsidRDefault="00F76607">
            <w:pPr>
              <w:jc w:val="right"/>
              <w:rPr>
                <w:sz w:val="18"/>
                <w:szCs w:val="18"/>
              </w:rPr>
            </w:pPr>
          </w:p>
        </w:tc>
        <w:tc>
          <w:tcPr>
            <w:tcW w:w="0" w:type="auto"/>
            <w:shd w:val="clear" w:color="auto" w:fill="FFFFFF" w:themeFill="background1"/>
            <w:noWrap/>
            <w:vAlign w:val="center"/>
          </w:tcPr>
          <w:p w14:paraId="505DBDB2" w14:textId="77777777" w:rsidR="00F76607" w:rsidRDefault="001863F0">
            <w:pPr>
              <w:jc w:val="right"/>
              <w:rPr>
                <w:sz w:val="18"/>
                <w:szCs w:val="18"/>
              </w:rPr>
            </w:pPr>
            <w:r>
              <w:rPr>
                <w:sz w:val="18"/>
                <w:szCs w:val="18"/>
              </w:rPr>
              <w:t>Discount rate</w:t>
            </w:r>
          </w:p>
        </w:tc>
        <w:tc>
          <w:tcPr>
            <w:tcW w:w="0" w:type="auto"/>
            <w:shd w:val="clear" w:color="auto" w:fill="FFFFFF" w:themeFill="background1"/>
            <w:noWrap/>
            <w:vAlign w:val="center"/>
          </w:tcPr>
          <w:p w14:paraId="3743417D" w14:textId="77777777" w:rsidR="00F76607" w:rsidRDefault="001863F0">
            <w:pPr>
              <w:jc w:val="right"/>
              <w:rPr>
                <w:sz w:val="18"/>
                <w:szCs w:val="18"/>
              </w:rPr>
            </w:pPr>
            <w:r>
              <w:rPr>
                <w:sz w:val="18"/>
                <w:szCs w:val="18"/>
              </w:rPr>
              <w:t>6.15%-7.15%</w:t>
            </w:r>
          </w:p>
        </w:tc>
      </w:tr>
      <w:tr w:rsidR="00F76607" w14:paraId="5950EC08" w14:textId="77777777">
        <w:trPr>
          <w:trHeight w:val="250"/>
        </w:trPr>
        <w:tc>
          <w:tcPr>
            <w:tcW w:w="0" w:type="auto"/>
            <w:shd w:val="clear" w:color="auto" w:fill="FFFFFF" w:themeFill="background1"/>
            <w:noWrap/>
            <w:vAlign w:val="center"/>
          </w:tcPr>
          <w:p w14:paraId="2BE95BEB" w14:textId="77777777" w:rsidR="00F76607" w:rsidRDefault="00F76607">
            <w:pPr>
              <w:rPr>
                <w:b/>
                <w:sz w:val="18"/>
                <w:szCs w:val="18"/>
              </w:rPr>
            </w:pPr>
          </w:p>
        </w:tc>
        <w:tc>
          <w:tcPr>
            <w:tcW w:w="0" w:type="auto"/>
            <w:shd w:val="clear" w:color="auto" w:fill="FFFFFF" w:themeFill="background1"/>
            <w:noWrap/>
            <w:vAlign w:val="center"/>
          </w:tcPr>
          <w:p w14:paraId="327821C9" w14:textId="77777777" w:rsidR="00F76607" w:rsidRDefault="00F76607">
            <w:pPr>
              <w:jc w:val="right"/>
              <w:rPr>
                <w:sz w:val="18"/>
                <w:szCs w:val="18"/>
              </w:rPr>
            </w:pPr>
          </w:p>
        </w:tc>
        <w:tc>
          <w:tcPr>
            <w:tcW w:w="0" w:type="auto"/>
            <w:shd w:val="clear" w:color="auto" w:fill="FFFFFF" w:themeFill="background1"/>
            <w:noWrap/>
            <w:vAlign w:val="center"/>
          </w:tcPr>
          <w:p w14:paraId="45B4E693" w14:textId="77777777" w:rsidR="00F76607" w:rsidRDefault="00F76607">
            <w:pPr>
              <w:jc w:val="right"/>
              <w:rPr>
                <w:sz w:val="18"/>
                <w:szCs w:val="18"/>
              </w:rPr>
            </w:pPr>
          </w:p>
        </w:tc>
        <w:tc>
          <w:tcPr>
            <w:tcW w:w="0" w:type="auto"/>
            <w:shd w:val="clear" w:color="auto" w:fill="FFFFFF" w:themeFill="background1"/>
            <w:noWrap/>
            <w:vAlign w:val="center"/>
          </w:tcPr>
          <w:p w14:paraId="47FE64FA" w14:textId="77777777" w:rsidR="00F76607" w:rsidRDefault="00F76607">
            <w:pPr>
              <w:jc w:val="right"/>
              <w:rPr>
                <w:sz w:val="18"/>
                <w:szCs w:val="18"/>
              </w:rPr>
            </w:pPr>
          </w:p>
        </w:tc>
        <w:tc>
          <w:tcPr>
            <w:tcW w:w="0" w:type="auto"/>
            <w:shd w:val="clear" w:color="auto" w:fill="FFFFFF" w:themeFill="background1"/>
            <w:noWrap/>
            <w:vAlign w:val="center"/>
          </w:tcPr>
          <w:p w14:paraId="0574A0EB" w14:textId="77777777" w:rsidR="00F76607" w:rsidRDefault="001863F0">
            <w:pPr>
              <w:jc w:val="right"/>
              <w:rPr>
                <w:sz w:val="18"/>
                <w:szCs w:val="18"/>
              </w:rPr>
            </w:pPr>
            <w:r>
              <w:rPr>
                <w:sz w:val="18"/>
                <w:szCs w:val="18"/>
              </w:rPr>
              <w:t>Exit yield</w:t>
            </w:r>
          </w:p>
        </w:tc>
        <w:tc>
          <w:tcPr>
            <w:tcW w:w="0" w:type="auto"/>
            <w:shd w:val="clear" w:color="auto" w:fill="FFFFFF" w:themeFill="background1"/>
            <w:noWrap/>
            <w:vAlign w:val="center"/>
          </w:tcPr>
          <w:p w14:paraId="664DFF88" w14:textId="77777777" w:rsidR="00F76607" w:rsidRDefault="001863F0">
            <w:pPr>
              <w:jc w:val="right"/>
              <w:rPr>
                <w:sz w:val="18"/>
                <w:szCs w:val="18"/>
              </w:rPr>
            </w:pPr>
            <w:r>
              <w:rPr>
                <w:sz w:val="18"/>
                <w:szCs w:val="18"/>
              </w:rPr>
              <w:t>5.15%-6.15%</w:t>
            </w:r>
          </w:p>
        </w:tc>
      </w:tr>
      <w:tr w:rsidR="00F76607" w14:paraId="4BEC236D" w14:textId="77777777">
        <w:trPr>
          <w:trHeight w:val="250"/>
        </w:trPr>
        <w:tc>
          <w:tcPr>
            <w:tcW w:w="0" w:type="auto"/>
            <w:shd w:val="clear" w:color="auto" w:fill="FFFFFF" w:themeFill="background1"/>
            <w:noWrap/>
            <w:vAlign w:val="center"/>
          </w:tcPr>
          <w:p w14:paraId="107BD0C4" w14:textId="77777777" w:rsidR="00F76607" w:rsidRDefault="00F76607">
            <w:pPr>
              <w:rPr>
                <w:b/>
                <w:sz w:val="18"/>
                <w:szCs w:val="18"/>
              </w:rPr>
            </w:pPr>
          </w:p>
        </w:tc>
        <w:tc>
          <w:tcPr>
            <w:tcW w:w="0" w:type="auto"/>
            <w:shd w:val="clear" w:color="auto" w:fill="FFFFFF" w:themeFill="background1"/>
            <w:noWrap/>
            <w:vAlign w:val="center"/>
          </w:tcPr>
          <w:p w14:paraId="7904AB38" w14:textId="77777777" w:rsidR="00F76607" w:rsidRDefault="00F76607">
            <w:pPr>
              <w:jc w:val="right"/>
              <w:rPr>
                <w:sz w:val="18"/>
                <w:szCs w:val="18"/>
              </w:rPr>
            </w:pPr>
          </w:p>
        </w:tc>
        <w:tc>
          <w:tcPr>
            <w:tcW w:w="0" w:type="auto"/>
            <w:shd w:val="clear" w:color="auto" w:fill="FFFFFF" w:themeFill="background1"/>
            <w:noWrap/>
            <w:vAlign w:val="center"/>
          </w:tcPr>
          <w:p w14:paraId="43297024" w14:textId="77777777" w:rsidR="00F76607" w:rsidRDefault="00F76607">
            <w:pPr>
              <w:jc w:val="right"/>
              <w:rPr>
                <w:sz w:val="18"/>
                <w:szCs w:val="18"/>
              </w:rPr>
            </w:pPr>
          </w:p>
        </w:tc>
        <w:tc>
          <w:tcPr>
            <w:tcW w:w="0" w:type="auto"/>
            <w:shd w:val="clear" w:color="auto" w:fill="FFFFFF" w:themeFill="background1"/>
            <w:noWrap/>
            <w:vAlign w:val="center"/>
          </w:tcPr>
          <w:p w14:paraId="27BFE507" w14:textId="77777777" w:rsidR="00F76607" w:rsidRDefault="00F76607">
            <w:pPr>
              <w:jc w:val="right"/>
              <w:rPr>
                <w:sz w:val="18"/>
                <w:szCs w:val="18"/>
              </w:rPr>
            </w:pPr>
          </w:p>
        </w:tc>
        <w:tc>
          <w:tcPr>
            <w:tcW w:w="0" w:type="auto"/>
            <w:shd w:val="clear" w:color="auto" w:fill="FFFFFF" w:themeFill="background1"/>
            <w:noWrap/>
            <w:vAlign w:val="center"/>
          </w:tcPr>
          <w:p w14:paraId="07C2101E" w14:textId="77777777" w:rsidR="00F76607" w:rsidRDefault="001863F0">
            <w:pPr>
              <w:jc w:val="right"/>
              <w:rPr>
                <w:sz w:val="18"/>
                <w:szCs w:val="18"/>
              </w:rPr>
            </w:pPr>
            <w:r>
              <w:rPr>
                <w:sz w:val="18"/>
                <w:szCs w:val="18"/>
              </w:rPr>
              <w:t>Weighted average yield</w:t>
            </w:r>
          </w:p>
        </w:tc>
        <w:tc>
          <w:tcPr>
            <w:tcW w:w="0" w:type="auto"/>
            <w:shd w:val="clear" w:color="auto" w:fill="FFFFFF" w:themeFill="background1"/>
            <w:noWrap/>
            <w:vAlign w:val="center"/>
          </w:tcPr>
          <w:p w14:paraId="3AF108D2" w14:textId="77777777" w:rsidR="00F76607" w:rsidRDefault="001863F0">
            <w:pPr>
              <w:jc w:val="right"/>
              <w:rPr>
                <w:sz w:val="18"/>
                <w:szCs w:val="18"/>
              </w:rPr>
            </w:pPr>
            <w:r>
              <w:rPr>
                <w:sz w:val="18"/>
                <w:szCs w:val="18"/>
              </w:rPr>
              <w:t>5.51%</w:t>
            </w:r>
          </w:p>
        </w:tc>
      </w:tr>
      <w:tr w:rsidR="00F76607" w14:paraId="7C337569" w14:textId="77777777">
        <w:trPr>
          <w:trHeight w:val="250"/>
        </w:trPr>
        <w:tc>
          <w:tcPr>
            <w:tcW w:w="0" w:type="auto"/>
            <w:shd w:val="clear" w:color="auto" w:fill="FFFFFF" w:themeFill="background1"/>
            <w:noWrap/>
            <w:vAlign w:val="center"/>
          </w:tcPr>
          <w:p w14:paraId="3D17DCD9" w14:textId="77777777" w:rsidR="00F76607" w:rsidRDefault="00F76607">
            <w:pPr>
              <w:rPr>
                <w:b/>
                <w:sz w:val="18"/>
                <w:szCs w:val="18"/>
              </w:rPr>
            </w:pPr>
          </w:p>
        </w:tc>
        <w:tc>
          <w:tcPr>
            <w:tcW w:w="0" w:type="auto"/>
            <w:shd w:val="clear" w:color="auto" w:fill="FFFFFF" w:themeFill="background1"/>
            <w:noWrap/>
            <w:vAlign w:val="center"/>
          </w:tcPr>
          <w:p w14:paraId="578038E9" w14:textId="77777777" w:rsidR="00F76607" w:rsidRDefault="00F76607">
            <w:pPr>
              <w:jc w:val="right"/>
              <w:rPr>
                <w:sz w:val="18"/>
                <w:szCs w:val="18"/>
              </w:rPr>
            </w:pPr>
          </w:p>
        </w:tc>
        <w:tc>
          <w:tcPr>
            <w:tcW w:w="0" w:type="auto"/>
            <w:shd w:val="clear" w:color="auto" w:fill="FFFFFF" w:themeFill="background1"/>
            <w:noWrap/>
            <w:vAlign w:val="center"/>
          </w:tcPr>
          <w:p w14:paraId="6D1438CE" w14:textId="77777777" w:rsidR="00F76607" w:rsidRDefault="00F76607">
            <w:pPr>
              <w:jc w:val="right"/>
              <w:rPr>
                <w:sz w:val="18"/>
                <w:szCs w:val="18"/>
              </w:rPr>
            </w:pPr>
          </w:p>
        </w:tc>
        <w:tc>
          <w:tcPr>
            <w:tcW w:w="0" w:type="auto"/>
            <w:shd w:val="clear" w:color="auto" w:fill="FFFFFF" w:themeFill="background1"/>
            <w:noWrap/>
            <w:vAlign w:val="center"/>
          </w:tcPr>
          <w:p w14:paraId="3BD421D6" w14:textId="77777777" w:rsidR="00F76607" w:rsidRDefault="00F76607">
            <w:pPr>
              <w:jc w:val="right"/>
              <w:rPr>
                <w:sz w:val="18"/>
                <w:szCs w:val="18"/>
              </w:rPr>
            </w:pPr>
          </w:p>
        </w:tc>
        <w:tc>
          <w:tcPr>
            <w:tcW w:w="0" w:type="auto"/>
            <w:shd w:val="clear" w:color="auto" w:fill="FFFFFF" w:themeFill="background1"/>
            <w:noWrap/>
            <w:vAlign w:val="center"/>
          </w:tcPr>
          <w:p w14:paraId="5422D0E7" w14:textId="02C5C6B7" w:rsidR="00F76607" w:rsidRDefault="001863F0">
            <w:pPr>
              <w:jc w:val="right"/>
              <w:rPr>
                <w:sz w:val="18"/>
                <w:szCs w:val="18"/>
              </w:rPr>
            </w:pPr>
            <w:r>
              <w:rPr>
                <w:sz w:val="18"/>
                <w:szCs w:val="18"/>
              </w:rPr>
              <w:t>Cost to completion (in</w:t>
            </w:r>
            <w:r w:rsidR="00C2417B">
              <w:rPr>
                <w:sz w:val="18"/>
                <w:szCs w:val="18"/>
              </w:rPr>
              <w:t xml:space="preserve"> €</w:t>
            </w:r>
            <w:r>
              <w:rPr>
                <w:sz w:val="18"/>
                <w:szCs w:val="18"/>
              </w:rPr>
              <w:t xml:space="preserve"> '000)</w:t>
            </w:r>
          </w:p>
        </w:tc>
        <w:tc>
          <w:tcPr>
            <w:tcW w:w="0" w:type="auto"/>
            <w:shd w:val="clear" w:color="auto" w:fill="FFFFFF" w:themeFill="background1"/>
            <w:noWrap/>
            <w:vAlign w:val="center"/>
          </w:tcPr>
          <w:p w14:paraId="56B516AB" w14:textId="77777777" w:rsidR="00F76607" w:rsidRDefault="001863F0">
            <w:pPr>
              <w:jc w:val="right"/>
              <w:rPr>
                <w:sz w:val="18"/>
                <w:szCs w:val="18"/>
              </w:rPr>
            </w:pPr>
            <w:r>
              <w:rPr>
                <w:sz w:val="18"/>
                <w:szCs w:val="18"/>
              </w:rPr>
              <w:t>0.900</w:t>
            </w:r>
          </w:p>
        </w:tc>
      </w:tr>
      <w:tr w:rsidR="00F76607" w14:paraId="1389F3A3" w14:textId="77777777">
        <w:trPr>
          <w:trHeight w:val="250"/>
        </w:trPr>
        <w:tc>
          <w:tcPr>
            <w:tcW w:w="0" w:type="auto"/>
            <w:shd w:val="clear" w:color="auto" w:fill="FFFFFF" w:themeFill="background1"/>
            <w:noWrap/>
            <w:vAlign w:val="center"/>
          </w:tcPr>
          <w:p w14:paraId="5D2C2E6F" w14:textId="77777777" w:rsidR="00F76607" w:rsidRDefault="00F76607">
            <w:pPr>
              <w:rPr>
                <w:b/>
                <w:sz w:val="18"/>
                <w:szCs w:val="18"/>
              </w:rPr>
            </w:pPr>
          </w:p>
        </w:tc>
        <w:tc>
          <w:tcPr>
            <w:tcW w:w="0" w:type="auto"/>
            <w:shd w:val="clear" w:color="auto" w:fill="FFFFFF" w:themeFill="background1"/>
            <w:noWrap/>
            <w:vAlign w:val="center"/>
          </w:tcPr>
          <w:p w14:paraId="02FE4ABE" w14:textId="77777777" w:rsidR="00F76607" w:rsidRDefault="00F76607">
            <w:pPr>
              <w:jc w:val="right"/>
              <w:rPr>
                <w:sz w:val="18"/>
                <w:szCs w:val="18"/>
              </w:rPr>
            </w:pPr>
          </w:p>
        </w:tc>
        <w:tc>
          <w:tcPr>
            <w:tcW w:w="0" w:type="auto"/>
            <w:shd w:val="clear" w:color="auto" w:fill="FFFFFF" w:themeFill="background1"/>
            <w:noWrap/>
            <w:vAlign w:val="center"/>
          </w:tcPr>
          <w:p w14:paraId="70861C82" w14:textId="77777777" w:rsidR="00F76607" w:rsidRDefault="00F76607">
            <w:pPr>
              <w:jc w:val="right"/>
              <w:rPr>
                <w:sz w:val="18"/>
                <w:szCs w:val="18"/>
              </w:rPr>
            </w:pPr>
          </w:p>
        </w:tc>
        <w:tc>
          <w:tcPr>
            <w:tcW w:w="0" w:type="auto"/>
            <w:shd w:val="clear" w:color="auto" w:fill="FFFFFF" w:themeFill="background1"/>
            <w:noWrap/>
            <w:vAlign w:val="center"/>
          </w:tcPr>
          <w:p w14:paraId="64009DFD" w14:textId="77777777" w:rsidR="00F76607" w:rsidRDefault="00F76607">
            <w:pPr>
              <w:jc w:val="right"/>
              <w:rPr>
                <w:sz w:val="18"/>
                <w:szCs w:val="18"/>
              </w:rPr>
            </w:pPr>
          </w:p>
        </w:tc>
        <w:tc>
          <w:tcPr>
            <w:tcW w:w="0" w:type="auto"/>
            <w:shd w:val="clear" w:color="auto" w:fill="FFFFFF" w:themeFill="background1"/>
            <w:noWrap/>
            <w:vAlign w:val="center"/>
          </w:tcPr>
          <w:p w14:paraId="06B9DFEF" w14:textId="77777777" w:rsidR="00F76607" w:rsidRDefault="00F76607">
            <w:pPr>
              <w:jc w:val="right"/>
              <w:rPr>
                <w:sz w:val="18"/>
                <w:szCs w:val="18"/>
              </w:rPr>
            </w:pPr>
          </w:p>
        </w:tc>
        <w:tc>
          <w:tcPr>
            <w:tcW w:w="0" w:type="auto"/>
            <w:shd w:val="clear" w:color="auto" w:fill="FFFFFF" w:themeFill="background1"/>
            <w:noWrap/>
            <w:vAlign w:val="center"/>
          </w:tcPr>
          <w:p w14:paraId="23D09251" w14:textId="77777777" w:rsidR="00F76607" w:rsidRDefault="00F76607">
            <w:pPr>
              <w:jc w:val="right"/>
              <w:rPr>
                <w:sz w:val="18"/>
                <w:szCs w:val="18"/>
              </w:rPr>
            </w:pPr>
          </w:p>
        </w:tc>
      </w:tr>
      <w:tr w:rsidR="00F76607" w14:paraId="470E689C" w14:textId="77777777">
        <w:trPr>
          <w:trHeight w:val="250"/>
        </w:trPr>
        <w:tc>
          <w:tcPr>
            <w:tcW w:w="0" w:type="auto"/>
            <w:shd w:val="clear" w:color="auto" w:fill="FFFFFF" w:themeFill="background1"/>
            <w:noWrap/>
            <w:vAlign w:val="center"/>
          </w:tcPr>
          <w:p w14:paraId="2E546F42" w14:textId="77777777" w:rsidR="00F76607" w:rsidRDefault="00F76607">
            <w:pPr>
              <w:rPr>
                <w:b/>
                <w:sz w:val="18"/>
                <w:szCs w:val="18"/>
              </w:rPr>
            </w:pPr>
          </w:p>
        </w:tc>
        <w:tc>
          <w:tcPr>
            <w:tcW w:w="0" w:type="auto"/>
            <w:shd w:val="clear" w:color="auto" w:fill="FFFFFF" w:themeFill="background1"/>
            <w:noWrap/>
            <w:vAlign w:val="center"/>
          </w:tcPr>
          <w:p w14:paraId="783D15E8" w14:textId="77777777" w:rsidR="00F76607" w:rsidRDefault="001863F0">
            <w:pPr>
              <w:jc w:val="right"/>
              <w:rPr>
                <w:sz w:val="18"/>
                <w:szCs w:val="18"/>
              </w:rPr>
            </w:pPr>
            <w:r>
              <w:rPr>
                <w:sz w:val="18"/>
                <w:szCs w:val="18"/>
              </w:rPr>
              <w:t>IPUC</w:t>
            </w:r>
          </w:p>
        </w:tc>
        <w:tc>
          <w:tcPr>
            <w:tcW w:w="0" w:type="auto"/>
            <w:shd w:val="clear" w:color="auto" w:fill="FFFFFF" w:themeFill="background1"/>
            <w:noWrap/>
            <w:vAlign w:val="center"/>
          </w:tcPr>
          <w:p w14:paraId="5A7E6ACD" w14:textId="77777777" w:rsidR="00F76607" w:rsidRDefault="001863F0">
            <w:pPr>
              <w:jc w:val="right"/>
              <w:rPr>
                <w:sz w:val="18"/>
                <w:szCs w:val="18"/>
              </w:rPr>
            </w:pPr>
            <w:r>
              <w:rPr>
                <w:sz w:val="18"/>
                <w:szCs w:val="18"/>
              </w:rPr>
              <w:t>101,600</w:t>
            </w:r>
          </w:p>
        </w:tc>
        <w:tc>
          <w:tcPr>
            <w:tcW w:w="0" w:type="auto"/>
            <w:shd w:val="clear" w:color="auto" w:fill="FFFFFF" w:themeFill="background1"/>
            <w:noWrap/>
            <w:vAlign w:val="center"/>
          </w:tcPr>
          <w:p w14:paraId="3ED42EB0" w14:textId="77777777" w:rsidR="00F76607" w:rsidRDefault="001863F0">
            <w:pPr>
              <w:jc w:val="right"/>
              <w:rPr>
                <w:sz w:val="18"/>
                <w:szCs w:val="18"/>
              </w:rPr>
            </w:pPr>
            <w:r>
              <w:rPr>
                <w:sz w:val="18"/>
                <w:szCs w:val="18"/>
              </w:rPr>
              <w:t>Discounted cash flow</w:t>
            </w:r>
          </w:p>
        </w:tc>
        <w:tc>
          <w:tcPr>
            <w:tcW w:w="0" w:type="auto"/>
            <w:shd w:val="clear" w:color="auto" w:fill="FFFFFF" w:themeFill="background1"/>
            <w:noWrap/>
            <w:vAlign w:val="center"/>
          </w:tcPr>
          <w:p w14:paraId="6D0FE536" w14:textId="77777777" w:rsidR="00F76607" w:rsidRDefault="001863F0">
            <w:pPr>
              <w:jc w:val="right"/>
              <w:rPr>
                <w:sz w:val="18"/>
                <w:szCs w:val="18"/>
              </w:rPr>
            </w:pPr>
            <w:r>
              <w:rPr>
                <w:sz w:val="18"/>
                <w:szCs w:val="18"/>
              </w:rPr>
              <w:t>Annual rent per m²</w:t>
            </w:r>
          </w:p>
        </w:tc>
        <w:tc>
          <w:tcPr>
            <w:tcW w:w="0" w:type="auto"/>
            <w:shd w:val="clear" w:color="auto" w:fill="FFFFFF" w:themeFill="background1"/>
            <w:noWrap/>
            <w:vAlign w:val="center"/>
          </w:tcPr>
          <w:p w14:paraId="15D92934" w14:textId="77777777" w:rsidR="00F76607" w:rsidRDefault="001863F0">
            <w:pPr>
              <w:jc w:val="right"/>
              <w:rPr>
                <w:sz w:val="18"/>
                <w:szCs w:val="18"/>
              </w:rPr>
            </w:pPr>
            <w:r>
              <w:rPr>
                <w:sz w:val="18"/>
                <w:szCs w:val="18"/>
              </w:rPr>
              <w:t>52-53</w:t>
            </w:r>
          </w:p>
        </w:tc>
      </w:tr>
      <w:tr w:rsidR="00F76607" w14:paraId="62119EBB" w14:textId="77777777">
        <w:trPr>
          <w:trHeight w:val="250"/>
        </w:trPr>
        <w:tc>
          <w:tcPr>
            <w:tcW w:w="0" w:type="auto"/>
            <w:shd w:val="clear" w:color="auto" w:fill="FFFFFF" w:themeFill="background1"/>
            <w:noWrap/>
            <w:vAlign w:val="center"/>
            <w:hideMark/>
          </w:tcPr>
          <w:p w14:paraId="0ED015C5" w14:textId="77777777" w:rsidR="00F76607" w:rsidRDefault="001863F0">
            <w:pPr>
              <w:rPr>
                <w:b/>
                <w:sz w:val="18"/>
                <w:szCs w:val="18"/>
              </w:rPr>
            </w:pPr>
            <w:r>
              <w:rPr>
                <w:b/>
                <w:sz w:val="18"/>
                <w:szCs w:val="18"/>
              </w:rPr>
              <w:t> </w:t>
            </w:r>
          </w:p>
        </w:tc>
        <w:tc>
          <w:tcPr>
            <w:tcW w:w="0" w:type="auto"/>
            <w:shd w:val="clear" w:color="auto" w:fill="FFFFFF" w:themeFill="background1"/>
            <w:noWrap/>
            <w:vAlign w:val="center"/>
            <w:hideMark/>
          </w:tcPr>
          <w:p w14:paraId="5FDFEC06"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C6E8AA2"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27C92446"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6A81467A" w14:textId="77777777" w:rsidR="00F76607" w:rsidRDefault="001863F0">
            <w:pPr>
              <w:jc w:val="right"/>
              <w:rPr>
                <w:sz w:val="18"/>
                <w:szCs w:val="18"/>
              </w:rPr>
            </w:pPr>
            <w:r>
              <w:rPr>
                <w:sz w:val="18"/>
                <w:szCs w:val="18"/>
              </w:rPr>
              <w:t>Discount rate</w:t>
            </w:r>
          </w:p>
        </w:tc>
        <w:tc>
          <w:tcPr>
            <w:tcW w:w="0" w:type="auto"/>
            <w:shd w:val="clear" w:color="auto" w:fill="FFFFFF" w:themeFill="background1"/>
            <w:noWrap/>
            <w:vAlign w:val="center"/>
          </w:tcPr>
          <w:p w14:paraId="7C79A73C" w14:textId="77777777" w:rsidR="00F76607" w:rsidRDefault="001863F0">
            <w:pPr>
              <w:jc w:val="right"/>
              <w:rPr>
                <w:sz w:val="18"/>
                <w:szCs w:val="18"/>
              </w:rPr>
            </w:pPr>
            <w:r>
              <w:rPr>
                <w:sz w:val="18"/>
                <w:szCs w:val="18"/>
              </w:rPr>
              <w:t>5.90%-7.50%</w:t>
            </w:r>
          </w:p>
        </w:tc>
      </w:tr>
      <w:tr w:rsidR="00F76607" w14:paraId="14E2BA59" w14:textId="77777777">
        <w:trPr>
          <w:trHeight w:val="250"/>
        </w:trPr>
        <w:tc>
          <w:tcPr>
            <w:tcW w:w="0" w:type="auto"/>
            <w:shd w:val="clear" w:color="auto" w:fill="FFFFFF" w:themeFill="background1"/>
            <w:noWrap/>
            <w:vAlign w:val="center"/>
          </w:tcPr>
          <w:p w14:paraId="5903688A" w14:textId="77777777" w:rsidR="00F76607" w:rsidRDefault="001863F0">
            <w:pPr>
              <w:rPr>
                <w:b/>
                <w:sz w:val="18"/>
                <w:szCs w:val="18"/>
              </w:rPr>
            </w:pPr>
            <w:r>
              <w:rPr>
                <w:b/>
                <w:sz w:val="18"/>
                <w:szCs w:val="18"/>
              </w:rPr>
              <w:lastRenderedPageBreak/>
              <w:t> </w:t>
            </w:r>
          </w:p>
        </w:tc>
        <w:tc>
          <w:tcPr>
            <w:tcW w:w="0" w:type="auto"/>
            <w:shd w:val="clear" w:color="auto" w:fill="FFFFFF" w:themeFill="background1"/>
            <w:noWrap/>
            <w:vAlign w:val="center"/>
          </w:tcPr>
          <w:p w14:paraId="72CE529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043709A"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643A6A0"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C5C2A81" w14:textId="77777777" w:rsidR="00F76607" w:rsidRDefault="001863F0">
            <w:pPr>
              <w:jc w:val="right"/>
              <w:rPr>
                <w:sz w:val="18"/>
                <w:szCs w:val="18"/>
              </w:rPr>
            </w:pPr>
            <w:r>
              <w:rPr>
                <w:sz w:val="18"/>
                <w:szCs w:val="18"/>
              </w:rPr>
              <w:t xml:space="preserve">Exit yield </w:t>
            </w:r>
          </w:p>
        </w:tc>
        <w:tc>
          <w:tcPr>
            <w:tcW w:w="0" w:type="auto"/>
            <w:shd w:val="clear" w:color="auto" w:fill="FFFFFF" w:themeFill="background1"/>
            <w:noWrap/>
            <w:vAlign w:val="center"/>
          </w:tcPr>
          <w:p w14:paraId="06D783AA" w14:textId="77777777" w:rsidR="00F76607" w:rsidRDefault="001863F0">
            <w:pPr>
              <w:jc w:val="right"/>
              <w:rPr>
                <w:sz w:val="18"/>
                <w:szCs w:val="18"/>
              </w:rPr>
            </w:pPr>
            <w:r>
              <w:rPr>
                <w:sz w:val="18"/>
                <w:szCs w:val="18"/>
              </w:rPr>
              <w:t>5.15%-5.30%</w:t>
            </w:r>
          </w:p>
        </w:tc>
      </w:tr>
      <w:tr w:rsidR="00F76607" w14:paraId="1103A07B" w14:textId="77777777">
        <w:trPr>
          <w:trHeight w:val="250"/>
        </w:trPr>
        <w:tc>
          <w:tcPr>
            <w:tcW w:w="0" w:type="auto"/>
            <w:shd w:val="clear" w:color="auto" w:fill="FFFFFF" w:themeFill="background1"/>
            <w:noWrap/>
            <w:vAlign w:val="center"/>
          </w:tcPr>
          <w:p w14:paraId="5913948A"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5F36526A"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2049602"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4FB9AFA"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037530E8" w14:textId="77777777" w:rsidR="00F76607" w:rsidRDefault="001863F0">
            <w:pPr>
              <w:jc w:val="right"/>
              <w:rPr>
                <w:sz w:val="18"/>
                <w:szCs w:val="18"/>
              </w:rPr>
            </w:pPr>
            <w:r>
              <w:rPr>
                <w:sz w:val="18"/>
                <w:szCs w:val="18"/>
              </w:rPr>
              <w:t>Weighted average yield</w:t>
            </w:r>
          </w:p>
        </w:tc>
        <w:tc>
          <w:tcPr>
            <w:tcW w:w="0" w:type="auto"/>
            <w:shd w:val="clear" w:color="auto" w:fill="FFFFFF" w:themeFill="background1"/>
            <w:noWrap/>
            <w:vAlign w:val="center"/>
          </w:tcPr>
          <w:p w14:paraId="41E1DDB8" w14:textId="77777777" w:rsidR="00F76607" w:rsidRDefault="001863F0">
            <w:pPr>
              <w:jc w:val="right"/>
              <w:rPr>
                <w:sz w:val="18"/>
                <w:szCs w:val="18"/>
              </w:rPr>
            </w:pPr>
            <w:r>
              <w:rPr>
                <w:sz w:val="18"/>
                <w:szCs w:val="18"/>
              </w:rPr>
              <w:t>5.62%</w:t>
            </w:r>
          </w:p>
        </w:tc>
      </w:tr>
      <w:tr w:rsidR="00F76607" w14:paraId="4BC73CBA" w14:textId="77777777">
        <w:trPr>
          <w:trHeight w:val="250"/>
        </w:trPr>
        <w:tc>
          <w:tcPr>
            <w:tcW w:w="0" w:type="auto"/>
            <w:shd w:val="clear" w:color="auto" w:fill="FFFFFF" w:themeFill="background1"/>
            <w:noWrap/>
            <w:vAlign w:val="center"/>
          </w:tcPr>
          <w:p w14:paraId="533050D8"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7F9A573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5F10D6A2"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406F638"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3A20955D" w14:textId="4D4AC0E8" w:rsidR="00F76607" w:rsidRDefault="001863F0">
            <w:pPr>
              <w:jc w:val="right"/>
              <w:rPr>
                <w:sz w:val="18"/>
                <w:szCs w:val="18"/>
              </w:rPr>
            </w:pPr>
            <w:r>
              <w:rPr>
                <w:sz w:val="18"/>
                <w:szCs w:val="18"/>
              </w:rPr>
              <w:t>Cost to completion (in</w:t>
            </w:r>
            <w:r w:rsidR="00C2417B">
              <w:rPr>
                <w:sz w:val="18"/>
                <w:szCs w:val="18"/>
              </w:rPr>
              <w:t xml:space="preserve"> €</w:t>
            </w:r>
            <w:r>
              <w:rPr>
                <w:sz w:val="18"/>
                <w:szCs w:val="18"/>
              </w:rPr>
              <w:t xml:space="preserve"> '000)</w:t>
            </w:r>
          </w:p>
        </w:tc>
        <w:tc>
          <w:tcPr>
            <w:tcW w:w="0" w:type="auto"/>
            <w:shd w:val="clear" w:color="auto" w:fill="FFFFFF" w:themeFill="background1"/>
            <w:noWrap/>
            <w:vAlign w:val="center"/>
          </w:tcPr>
          <w:p w14:paraId="0F0EF485" w14:textId="77777777" w:rsidR="00F76607" w:rsidRDefault="001863F0">
            <w:pPr>
              <w:jc w:val="right"/>
              <w:rPr>
                <w:sz w:val="18"/>
                <w:szCs w:val="18"/>
              </w:rPr>
            </w:pPr>
            <w:r>
              <w:rPr>
                <w:sz w:val="18"/>
                <w:szCs w:val="18"/>
              </w:rPr>
              <w:t>38,300</w:t>
            </w:r>
          </w:p>
        </w:tc>
      </w:tr>
      <w:tr w:rsidR="00F76607" w14:paraId="5A76A425" w14:textId="77777777">
        <w:trPr>
          <w:trHeight w:val="250"/>
        </w:trPr>
        <w:tc>
          <w:tcPr>
            <w:tcW w:w="0" w:type="auto"/>
            <w:shd w:val="clear" w:color="auto" w:fill="FFFFFF" w:themeFill="background1"/>
            <w:noWrap/>
            <w:vAlign w:val="center"/>
          </w:tcPr>
          <w:p w14:paraId="35717E11"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5DFE2B7D" w14:textId="77777777" w:rsidR="00F76607" w:rsidRDefault="001863F0">
            <w:pPr>
              <w:jc w:val="right"/>
              <w:rPr>
                <w:sz w:val="18"/>
                <w:szCs w:val="18"/>
              </w:rPr>
            </w:pPr>
            <w:r>
              <w:rPr>
                <w:sz w:val="18"/>
                <w:szCs w:val="18"/>
              </w:rPr>
              <w:t>DL</w:t>
            </w:r>
          </w:p>
        </w:tc>
        <w:tc>
          <w:tcPr>
            <w:tcW w:w="0" w:type="auto"/>
            <w:shd w:val="clear" w:color="auto" w:fill="FFFFFF" w:themeFill="background1"/>
            <w:noWrap/>
            <w:vAlign w:val="center"/>
          </w:tcPr>
          <w:p w14:paraId="7AD74807" w14:textId="77777777" w:rsidR="00F76607" w:rsidRDefault="001863F0">
            <w:pPr>
              <w:jc w:val="right"/>
              <w:rPr>
                <w:sz w:val="18"/>
                <w:szCs w:val="18"/>
              </w:rPr>
            </w:pPr>
            <w:r>
              <w:rPr>
                <w:sz w:val="18"/>
                <w:szCs w:val="18"/>
              </w:rPr>
              <w:t>6,700</w:t>
            </w:r>
          </w:p>
        </w:tc>
        <w:tc>
          <w:tcPr>
            <w:tcW w:w="0" w:type="auto"/>
            <w:shd w:val="clear" w:color="auto" w:fill="FFFFFF" w:themeFill="background1"/>
            <w:noWrap/>
            <w:vAlign w:val="center"/>
          </w:tcPr>
          <w:p w14:paraId="2FF32AC8" w14:textId="77777777" w:rsidR="00F76607" w:rsidRDefault="001863F0">
            <w:pPr>
              <w:jc w:val="right"/>
              <w:rPr>
                <w:sz w:val="18"/>
                <w:szCs w:val="18"/>
              </w:rPr>
            </w:pPr>
            <w:r>
              <w:rPr>
                <w:sz w:val="18"/>
                <w:szCs w:val="18"/>
              </w:rPr>
              <w:t>Sales comparison</w:t>
            </w:r>
          </w:p>
        </w:tc>
        <w:tc>
          <w:tcPr>
            <w:tcW w:w="0" w:type="auto"/>
            <w:shd w:val="clear" w:color="auto" w:fill="FFFFFF" w:themeFill="background1"/>
            <w:noWrap/>
            <w:vAlign w:val="center"/>
            <w:hideMark/>
          </w:tcPr>
          <w:p w14:paraId="1EBD0669" w14:textId="77777777" w:rsidR="00F76607" w:rsidRDefault="001863F0">
            <w:pPr>
              <w:jc w:val="right"/>
              <w:rPr>
                <w:sz w:val="18"/>
                <w:szCs w:val="18"/>
              </w:rPr>
            </w:pPr>
            <w:r>
              <w:rPr>
                <w:sz w:val="18"/>
                <w:szCs w:val="18"/>
              </w:rPr>
              <w:t>Price per m²</w:t>
            </w:r>
          </w:p>
        </w:tc>
        <w:tc>
          <w:tcPr>
            <w:tcW w:w="0" w:type="auto"/>
            <w:shd w:val="clear" w:color="auto" w:fill="FFFFFF" w:themeFill="background1"/>
            <w:noWrap/>
            <w:vAlign w:val="center"/>
          </w:tcPr>
          <w:p w14:paraId="54ABB61F" w14:textId="0522250C" w:rsidR="00F76607" w:rsidRDefault="00FF2ECC">
            <w:pPr>
              <w:jc w:val="right"/>
              <w:rPr>
                <w:sz w:val="18"/>
                <w:szCs w:val="18"/>
              </w:rPr>
            </w:pPr>
            <w:r>
              <w:rPr>
                <w:sz w:val="18"/>
                <w:szCs w:val="18"/>
              </w:rPr>
              <w:t xml:space="preserve"> </w:t>
            </w:r>
            <w:r w:rsidR="001863F0">
              <w:rPr>
                <w:sz w:val="18"/>
                <w:szCs w:val="18"/>
              </w:rPr>
              <w:t>-</w:t>
            </w:r>
          </w:p>
        </w:tc>
      </w:tr>
      <w:tr w:rsidR="00F76607" w14:paraId="26E79550" w14:textId="77777777">
        <w:trPr>
          <w:trHeight w:val="250"/>
        </w:trPr>
        <w:tc>
          <w:tcPr>
            <w:tcW w:w="0" w:type="auto"/>
            <w:shd w:val="clear" w:color="auto" w:fill="FFFFFF" w:themeFill="background1"/>
            <w:noWrap/>
            <w:vAlign w:val="center"/>
          </w:tcPr>
          <w:p w14:paraId="1483F3F7"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2532FA03"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FAE102B"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3AF1B9C"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hideMark/>
          </w:tcPr>
          <w:p w14:paraId="2FC30F48"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92E0E4D" w14:textId="77777777" w:rsidR="00F76607" w:rsidRDefault="001863F0">
            <w:pPr>
              <w:jc w:val="right"/>
              <w:rPr>
                <w:sz w:val="18"/>
                <w:szCs w:val="18"/>
              </w:rPr>
            </w:pPr>
            <w:r>
              <w:rPr>
                <w:sz w:val="18"/>
                <w:szCs w:val="18"/>
              </w:rPr>
              <w:t> </w:t>
            </w:r>
          </w:p>
        </w:tc>
      </w:tr>
      <w:tr w:rsidR="00F76607" w14:paraId="4CFD423F" w14:textId="77777777">
        <w:trPr>
          <w:trHeight w:val="250"/>
        </w:trPr>
        <w:tc>
          <w:tcPr>
            <w:tcW w:w="0" w:type="auto"/>
            <w:shd w:val="clear" w:color="auto" w:fill="FFFFFF" w:themeFill="background1"/>
            <w:noWrap/>
            <w:vAlign w:val="center"/>
            <w:hideMark/>
          </w:tcPr>
          <w:p w14:paraId="1D57E2C6" w14:textId="77777777" w:rsidR="00F76607" w:rsidRDefault="001863F0">
            <w:pPr>
              <w:rPr>
                <w:b/>
                <w:sz w:val="18"/>
                <w:szCs w:val="18"/>
              </w:rPr>
            </w:pPr>
            <w:r>
              <w:rPr>
                <w:b/>
                <w:sz w:val="18"/>
                <w:szCs w:val="18"/>
              </w:rPr>
              <w:t>Hungary</w:t>
            </w:r>
          </w:p>
        </w:tc>
        <w:tc>
          <w:tcPr>
            <w:tcW w:w="0" w:type="auto"/>
            <w:shd w:val="clear" w:color="auto" w:fill="FFFFFF" w:themeFill="background1"/>
            <w:noWrap/>
            <w:vAlign w:val="center"/>
            <w:hideMark/>
          </w:tcPr>
          <w:p w14:paraId="4FA38F0F" w14:textId="77777777" w:rsidR="00F76607" w:rsidRDefault="001863F0">
            <w:pPr>
              <w:jc w:val="right"/>
              <w:rPr>
                <w:sz w:val="18"/>
                <w:szCs w:val="18"/>
              </w:rPr>
            </w:pPr>
            <w:r>
              <w:rPr>
                <w:sz w:val="18"/>
                <w:szCs w:val="18"/>
              </w:rPr>
              <w:t>IP</w:t>
            </w:r>
          </w:p>
        </w:tc>
        <w:tc>
          <w:tcPr>
            <w:tcW w:w="0" w:type="auto"/>
            <w:shd w:val="clear" w:color="auto" w:fill="FFFFFF" w:themeFill="background1"/>
            <w:noWrap/>
            <w:vAlign w:val="center"/>
          </w:tcPr>
          <w:p w14:paraId="50B41714" w14:textId="77777777" w:rsidR="00F76607" w:rsidRDefault="001863F0">
            <w:pPr>
              <w:jc w:val="right"/>
              <w:rPr>
                <w:sz w:val="18"/>
                <w:szCs w:val="18"/>
              </w:rPr>
            </w:pPr>
            <w:r>
              <w:rPr>
                <w:sz w:val="18"/>
                <w:szCs w:val="18"/>
              </w:rPr>
              <w:t>44,300</w:t>
            </w:r>
          </w:p>
        </w:tc>
        <w:tc>
          <w:tcPr>
            <w:tcW w:w="0" w:type="auto"/>
            <w:shd w:val="clear" w:color="auto" w:fill="FFFFFF" w:themeFill="background1"/>
            <w:noWrap/>
            <w:vAlign w:val="center"/>
            <w:hideMark/>
          </w:tcPr>
          <w:p w14:paraId="27E631EF" w14:textId="77777777" w:rsidR="00F76607" w:rsidRDefault="001863F0">
            <w:pPr>
              <w:jc w:val="right"/>
              <w:rPr>
                <w:sz w:val="18"/>
                <w:szCs w:val="18"/>
              </w:rPr>
            </w:pPr>
            <w:r>
              <w:rPr>
                <w:sz w:val="18"/>
                <w:szCs w:val="18"/>
              </w:rPr>
              <w:t>Discounted cash flow</w:t>
            </w:r>
          </w:p>
        </w:tc>
        <w:tc>
          <w:tcPr>
            <w:tcW w:w="0" w:type="auto"/>
            <w:shd w:val="clear" w:color="auto" w:fill="FFFFFF" w:themeFill="background1"/>
            <w:noWrap/>
            <w:vAlign w:val="center"/>
          </w:tcPr>
          <w:p w14:paraId="4516653B" w14:textId="77777777" w:rsidR="00F76607" w:rsidRDefault="001863F0">
            <w:pPr>
              <w:jc w:val="right"/>
              <w:rPr>
                <w:sz w:val="18"/>
                <w:szCs w:val="18"/>
              </w:rPr>
            </w:pPr>
            <w:r>
              <w:rPr>
                <w:sz w:val="18"/>
                <w:szCs w:val="18"/>
              </w:rPr>
              <w:t xml:space="preserve">Annual rent per m² </w:t>
            </w:r>
          </w:p>
        </w:tc>
        <w:tc>
          <w:tcPr>
            <w:tcW w:w="0" w:type="auto"/>
            <w:shd w:val="clear" w:color="auto" w:fill="FFFFFF" w:themeFill="background1"/>
            <w:noWrap/>
            <w:vAlign w:val="center"/>
          </w:tcPr>
          <w:p w14:paraId="0736663F" w14:textId="77777777" w:rsidR="00F76607" w:rsidRDefault="001863F0">
            <w:pPr>
              <w:jc w:val="right"/>
              <w:rPr>
                <w:sz w:val="18"/>
                <w:szCs w:val="18"/>
              </w:rPr>
            </w:pPr>
            <w:r>
              <w:rPr>
                <w:sz w:val="18"/>
                <w:szCs w:val="18"/>
              </w:rPr>
              <w:t>45-60</w:t>
            </w:r>
          </w:p>
        </w:tc>
      </w:tr>
      <w:tr w:rsidR="00F76607" w14:paraId="09BB35BC" w14:textId="77777777">
        <w:trPr>
          <w:trHeight w:val="250"/>
        </w:trPr>
        <w:tc>
          <w:tcPr>
            <w:tcW w:w="0" w:type="auto"/>
            <w:shd w:val="clear" w:color="auto" w:fill="FFFFFF" w:themeFill="background1"/>
            <w:noWrap/>
            <w:vAlign w:val="center"/>
          </w:tcPr>
          <w:p w14:paraId="2AE3500B" w14:textId="77777777" w:rsidR="00F76607" w:rsidRDefault="00F76607">
            <w:pPr>
              <w:rPr>
                <w:b/>
                <w:sz w:val="18"/>
                <w:szCs w:val="18"/>
              </w:rPr>
            </w:pPr>
          </w:p>
        </w:tc>
        <w:tc>
          <w:tcPr>
            <w:tcW w:w="0" w:type="auto"/>
            <w:shd w:val="clear" w:color="auto" w:fill="FFFFFF" w:themeFill="background1"/>
            <w:noWrap/>
            <w:vAlign w:val="center"/>
          </w:tcPr>
          <w:p w14:paraId="6D8271B6"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0514A6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9A031DB"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1A54944" w14:textId="77777777" w:rsidR="00F76607" w:rsidRDefault="001863F0">
            <w:pPr>
              <w:jc w:val="right"/>
              <w:rPr>
                <w:sz w:val="18"/>
                <w:szCs w:val="18"/>
              </w:rPr>
            </w:pPr>
            <w:r>
              <w:rPr>
                <w:sz w:val="18"/>
                <w:szCs w:val="18"/>
              </w:rPr>
              <w:t>Discount rate</w:t>
            </w:r>
          </w:p>
        </w:tc>
        <w:tc>
          <w:tcPr>
            <w:tcW w:w="0" w:type="auto"/>
            <w:shd w:val="clear" w:color="auto" w:fill="FFFFFF" w:themeFill="background1"/>
            <w:noWrap/>
            <w:vAlign w:val="center"/>
          </w:tcPr>
          <w:p w14:paraId="1CF8A413" w14:textId="77777777" w:rsidR="00F76607" w:rsidRDefault="001863F0">
            <w:pPr>
              <w:jc w:val="right"/>
              <w:rPr>
                <w:sz w:val="18"/>
                <w:szCs w:val="18"/>
              </w:rPr>
            </w:pPr>
            <w:r>
              <w:rPr>
                <w:sz w:val="18"/>
                <w:szCs w:val="18"/>
              </w:rPr>
              <w:t>8.00%</w:t>
            </w:r>
          </w:p>
        </w:tc>
      </w:tr>
      <w:tr w:rsidR="00F76607" w14:paraId="3FC94663" w14:textId="77777777">
        <w:trPr>
          <w:trHeight w:val="250"/>
        </w:trPr>
        <w:tc>
          <w:tcPr>
            <w:tcW w:w="0" w:type="auto"/>
            <w:shd w:val="clear" w:color="auto" w:fill="FFFFFF" w:themeFill="background1"/>
            <w:noWrap/>
            <w:vAlign w:val="center"/>
          </w:tcPr>
          <w:p w14:paraId="6E09360D" w14:textId="77777777" w:rsidR="00F76607" w:rsidRDefault="00F76607">
            <w:pPr>
              <w:rPr>
                <w:b/>
                <w:sz w:val="18"/>
                <w:szCs w:val="18"/>
              </w:rPr>
            </w:pPr>
          </w:p>
        </w:tc>
        <w:tc>
          <w:tcPr>
            <w:tcW w:w="0" w:type="auto"/>
            <w:shd w:val="clear" w:color="auto" w:fill="FFFFFF" w:themeFill="background1"/>
            <w:noWrap/>
            <w:vAlign w:val="center"/>
          </w:tcPr>
          <w:p w14:paraId="726B78DF" w14:textId="77777777" w:rsidR="00F76607" w:rsidRDefault="00F76607">
            <w:pPr>
              <w:jc w:val="right"/>
              <w:rPr>
                <w:sz w:val="18"/>
                <w:szCs w:val="18"/>
              </w:rPr>
            </w:pPr>
          </w:p>
        </w:tc>
        <w:tc>
          <w:tcPr>
            <w:tcW w:w="0" w:type="auto"/>
            <w:shd w:val="clear" w:color="auto" w:fill="FFFFFF" w:themeFill="background1"/>
            <w:noWrap/>
            <w:vAlign w:val="center"/>
          </w:tcPr>
          <w:p w14:paraId="2008EF6F" w14:textId="77777777" w:rsidR="00F76607" w:rsidRDefault="00F76607">
            <w:pPr>
              <w:jc w:val="right"/>
              <w:rPr>
                <w:sz w:val="18"/>
                <w:szCs w:val="18"/>
              </w:rPr>
            </w:pPr>
          </w:p>
        </w:tc>
        <w:tc>
          <w:tcPr>
            <w:tcW w:w="0" w:type="auto"/>
            <w:shd w:val="clear" w:color="auto" w:fill="FFFFFF" w:themeFill="background1"/>
            <w:noWrap/>
            <w:vAlign w:val="center"/>
          </w:tcPr>
          <w:p w14:paraId="11D648DF" w14:textId="77777777" w:rsidR="00F76607" w:rsidRDefault="00F76607">
            <w:pPr>
              <w:jc w:val="right"/>
              <w:rPr>
                <w:sz w:val="18"/>
                <w:szCs w:val="18"/>
              </w:rPr>
            </w:pPr>
          </w:p>
        </w:tc>
        <w:tc>
          <w:tcPr>
            <w:tcW w:w="0" w:type="auto"/>
            <w:shd w:val="clear" w:color="auto" w:fill="FFFFFF" w:themeFill="background1"/>
            <w:noWrap/>
            <w:vAlign w:val="center"/>
          </w:tcPr>
          <w:p w14:paraId="64B65ACB" w14:textId="77777777" w:rsidR="00F76607" w:rsidRDefault="001863F0">
            <w:pPr>
              <w:jc w:val="right"/>
              <w:rPr>
                <w:sz w:val="18"/>
                <w:szCs w:val="18"/>
              </w:rPr>
            </w:pPr>
            <w:r>
              <w:rPr>
                <w:sz w:val="18"/>
                <w:szCs w:val="18"/>
              </w:rPr>
              <w:t>Exit yield</w:t>
            </w:r>
          </w:p>
        </w:tc>
        <w:tc>
          <w:tcPr>
            <w:tcW w:w="0" w:type="auto"/>
            <w:shd w:val="clear" w:color="auto" w:fill="FFFFFF" w:themeFill="background1"/>
            <w:noWrap/>
            <w:vAlign w:val="center"/>
          </w:tcPr>
          <w:p w14:paraId="42C5F809" w14:textId="77777777" w:rsidR="00F76607" w:rsidRDefault="001863F0">
            <w:pPr>
              <w:jc w:val="right"/>
              <w:rPr>
                <w:sz w:val="18"/>
                <w:szCs w:val="18"/>
              </w:rPr>
            </w:pPr>
            <w:r>
              <w:rPr>
                <w:sz w:val="18"/>
                <w:szCs w:val="18"/>
              </w:rPr>
              <w:t>7.75%</w:t>
            </w:r>
          </w:p>
        </w:tc>
      </w:tr>
      <w:tr w:rsidR="00F76607" w14:paraId="4811BCC0" w14:textId="77777777">
        <w:trPr>
          <w:trHeight w:val="250"/>
        </w:trPr>
        <w:tc>
          <w:tcPr>
            <w:tcW w:w="0" w:type="auto"/>
            <w:shd w:val="clear" w:color="auto" w:fill="FFFFFF" w:themeFill="background1"/>
            <w:noWrap/>
            <w:vAlign w:val="center"/>
          </w:tcPr>
          <w:p w14:paraId="279E2AFE" w14:textId="77777777" w:rsidR="00F76607" w:rsidRDefault="00F76607">
            <w:pPr>
              <w:rPr>
                <w:b/>
                <w:sz w:val="18"/>
                <w:szCs w:val="18"/>
              </w:rPr>
            </w:pPr>
          </w:p>
        </w:tc>
        <w:tc>
          <w:tcPr>
            <w:tcW w:w="0" w:type="auto"/>
            <w:shd w:val="clear" w:color="auto" w:fill="FFFFFF" w:themeFill="background1"/>
            <w:noWrap/>
            <w:vAlign w:val="center"/>
          </w:tcPr>
          <w:p w14:paraId="79E422BE"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015D660"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0CDE463"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5BF76B2" w14:textId="77777777" w:rsidR="00F76607" w:rsidRDefault="001863F0">
            <w:pPr>
              <w:jc w:val="right"/>
              <w:rPr>
                <w:sz w:val="18"/>
                <w:szCs w:val="18"/>
              </w:rPr>
            </w:pPr>
            <w:r>
              <w:rPr>
                <w:sz w:val="18"/>
                <w:szCs w:val="18"/>
              </w:rPr>
              <w:t>Weighted average yield</w:t>
            </w:r>
          </w:p>
        </w:tc>
        <w:tc>
          <w:tcPr>
            <w:tcW w:w="0" w:type="auto"/>
            <w:shd w:val="clear" w:color="auto" w:fill="FFFFFF" w:themeFill="background1"/>
            <w:noWrap/>
            <w:vAlign w:val="center"/>
          </w:tcPr>
          <w:p w14:paraId="6D393E23" w14:textId="77777777" w:rsidR="00F76607" w:rsidRDefault="001863F0">
            <w:pPr>
              <w:jc w:val="right"/>
              <w:rPr>
                <w:sz w:val="18"/>
                <w:szCs w:val="18"/>
              </w:rPr>
            </w:pPr>
            <w:r>
              <w:rPr>
                <w:sz w:val="18"/>
                <w:szCs w:val="18"/>
              </w:rPr>
              <w:t>7.64%</w:t>
            </w:r>
          </w:p>
        </w:tc>
      </w:tr>
      <w:tr w:rsidR="00F76607" w14:paraId="656B47FB" w14:textId="77777777">
        <w:trPr>
          <w:trHeight w:val="250"/>
        </w:trPr>
        <w:tc>
          <w:tcPr>
            <w:tcW w:w="0" w:type="auto"/>
            <w:shd w:val="clear" w:color="auto" w:fill="FFFFFF" w:themeFill="background1"/>
            <w:noWrap/>
            <w:vAlign w:val="center"/>
          </w:tcPr>
          <w:p w14:paraId="6B82EB49" w14:textId="77777777" w:rsidR="00F76607" w:rsidRDefault="00F76607">
            <w:pPr>
              <w:rPr>
                <w:b/>
                <w:sz w:val="18"/>
                <w:szCs w:val="18"/>
              </w:rPr>
            </w:pPr>
          </w:p>
        </w:tc>
        <w:tc>
          <w:tcPr>
            <w:tcW w:w="0" w:type="auto"/>
            <w:shd w:val="clear" w:color="auto" w:fill="FFFFFF" w:themeFill="background1"/>
            <w:noWrap/>
            <w:vAlign w:val="center"/>
          </w:tcPr>
          <w:p w14:paraId="1889520C"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71D5A04"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C134C7A"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B69DC48" w14:textId="31EADE68" w:rsidR="00F76607" w:rsidRDefault="001863F0">
            <w:pPr>
              <w:jc w:val="right"/>
              <w:rPr>
                <w:sz w:val="18"/>
                <w:szCs w:val="18"/>
              </w:rPr>
            </w:pPr>
            <w:r>
              <w:rPr>
                <w:sz w:val="18"/>
                <w:szCs w:val="18"/>
              </w:rPr>
              <w:t>Cost to completion (in</w:t>
            </w:r>
            <w:r w:rsidR="00C2417B">
              <w:rPr>
                <w:sz w:val="18"/>
                <w:szCs w:val="18"/>
              </w:rPr>
              <w:t xml:space="preserve"> €</w:t>
            </w:r>
            <w:r>
              <w:rPr>
                <w:sz w:val="18"/>
                <w:szCs w:val="18"/>
              </w:rPr>
              <w:t xml:space="preserve"> '000)</w:t>
            </w:r>
          </w:p>
        </w:tc>
        <w:tc>
          <w:tcPr>
            <w:tcW w:w="0" w:type="auto"/>
            <w:shd w:val="clear" w:color="auto" w:fill="FFFFFF" w:themeFill="background1"/>
            <w:noWrap/>
            <w:vAlign w:val="center"/>
          </w:tcPr>
          <w:p w14:paraId="673488A6" w14:textId="77777777" w:rsidR="00F76607" w:rsidRDefault="001863F0">
            <w:pPr>
              <w:jc w:val="right"/>
              <w:rPr>
                <w:sz w:val="18"/>
                <w:szCs w:val="18"/>
              </w:rPr>
            </w:pPr>
            <w:r>
              <w:rPr>
                <w:sz w:val="18"/>
                <w:szCs w:val="18"/>
              </w:rPr>
              <w:t xml:space="preserve">2,300 </w:t>
            </w:r>
          </w:p>
        </w:tc>
      </w:tr>
      <w:tr w:rsidR="00F76607" w14:paraId="4CAF839C" w14:textId="77777777">
        <w:trPr>
          <w:trHeight w:val="250"/>
        </w:trPr>
        <w:tc>
          <w:tcPr>
            <w:tcW w:w="0" w:type="auto"/>
            <w:shd w:val="clear" w:color="auto" w:fill="FFFFFF" w:themeFill="background1"/>
            <w:noWrap/>
            <w:vAlign w:val="center"/>
          </w:tcPr>
          <w:p w14:paraId="5FB555CD" w14:textId="77777777" w:rsidR="00F76607" w:rsidRDefault="00F76607">
            <w:pPr>
              <w:rPr>
                <w:b/>
                <w:sz w:val="18"/>
                <w:szCs w:val="18"/>
              </w:rPr>
            </w:pPr>
          </w:p>
        </w:tc>
        <w:tc>
          <w:tcPr>
            <w:tcW w:w="0" w:type="auto"/>
            <w:shd w:val="clear" w:color="auto" w:fill="FFFFFF" w:themeFill="background1"/>
            <w:noWrap/>
            <w:vAlign w:val="center"/>
          </w:tcPr>
          <w:p w14:paraId="4AA98FB6" w14:textId="77777777" w:rsidR="00F76607" w:rsidRDefault="001863F0">
            <w:pPr>
              <w:jc w:val="right"/>
              <w:rPr>
                <w:sz w:val="18"/>
                <w:szCs w:val="18"/>
              </w:rPr>
            </w:pPr>
            <w:r>
              <w:rPr>
                <w:sz w:val="18"/>
                <w:szCs w:val="18"/>
              </w:rPr>
              <w:t>IPUC</w:t>
            </w:r>
          </w:p>
        </w:tc>
        <w:tc>
          <w:tcPr>
            <w:tcW w:w="0" w:type="auto"/>
            <w:shd w:val="clear" w:color="auto" w:fill="FFFFFF" w:themeFill="background1"/>
            <w:noWrap/>
            <w:vAlign w:val="center"/>
          </w:tcPr>
          <w:p w14:paraId="65FB04B8" w14:textId="77777777" w:rsidR="00F76607" w:rsidRDefault="001863F0">
            <w:pPr>
              <w:jc w:val="right"/>
              <w:rPr>
                <w:sz w:val="18"/>
                <w:szCs w:val="18"/>
              </w:rPr>
            </w:pPr>
            <w:r>
              <w:rPr>
                <w:sz w:val="18"/>
                <w:szCs w:val="18"/>
              </w:rPr>
              <w:t>5,200</w:t>
            </w:r>
          </w:p>
        </w:tc>
        <w:tc>
          <w:tcPr>
            <w:tcW w:w="0" w:type="auto"/>
            <w:shd w:val="clear" w:color="auto" w:fill="FFFFFF" w:themeFill="background1"/>
            <w:noWrap/>
            <w:vAlign w:val="center"/>
          </w:tcPr>
          <w:p w14:paraId="69F0EB3F" w14:textId="77777777" w:rsidR="00F76607" w:rsidRDefault="001863F0">
            <w:pPr>
              <w:jc w:val="right"/>
              <w:rPr>
                <w:sz w:val="18"/>
                <w:szCs w:val="18"/>
              </w:rPr>
            </w:pPr>
            <w:r>
              <w:rPr>
                <w:sz w:val="18"/>
                <w:szCs w:val="18"/>
              </w:rPr>
              <w:t>Discounted cash flow</w:t>
            </w:r>
          </w:p>
        </w:tc>
        <w:tc>
          <w:tcPr>
            <w:tcW w:w="0" w:type="auto"/>
            <w:shd w:val="clear" w:color="auto" w:fill="FFFFFF" w:themeFill="background1"/>
            <w:noWrap/>
            <w:vAlign w:val="center"/>
          </w:tcPr>
          <w:p w14:paraId="5A7DB903" w14:textId="77777777" w:rsidR="00F76607" w:rsidRDefault="001863F0">
            <w:pPr>
              <w:jc w:val="right"/>
              <w:rPr>
                <w:sz w:val="18"/>
                <w:szCs w:val="18"/>
              </w:rPr>
            </w:pPr>
            <w:r>
              <w:rPr>
                <w:sz w:val="18"/>
                <w:szCs w:val="18"/>
              </w:rPr>
              <w:t xml:space="preserve">Annual rent per m² </w:t>
            </w:r>
          </w:p>
        </w:tc>
        <w:tc>
          <w:tcPr>
            <w:tcW w:w="0" w:type="auto"/>
            <w:shd w:val="clear" w:color="auto" w:fill="FFFFFF" w:themeFill="background1"/>
            <w:noWrap/>
            <w:vAlign w:val="center"/>
          </w:tcPr>
          <w:p w14:paraId="242F7BDD" w14:textId="77777777" w:rsidR="00F76607" w:rsidRDefault="001863F0">
            <w:pPr>
              <w:jc w:val="right"/>
              <w:rPr>
                <w:sz w:val="18"/>
                <w:szCs w:val="18"/>
              </w:rPr>
            </w:pPr>
            <w:r>
              <w:rPr>
                <w:sz w:val="18"/>
                <w:szCs w:val="18"/>
              </w:rPr>
              <w:t>49</w:t>
            </w:r>
          </w:p>
        </w:tc>
      </w:tr>
      <w:tr w:rsidR="00F76607" w14:paraId="0DE5957C" w14:textId="77777777">
        <w:trPr>
          <w:trHeight w:val="250"/>
        </w:trPr>
        <w:tc>
          <w:tcPr>
            <w:tcW w:w="0" w:type="auto"/>
            <w:shd w:val="clear" w:color="auto" w:fill="FFFFFF" w:themeFill="background1"/>
            <w:noWrap/>
            <w:vAlign w:val="center"/>
          </w:tcPr>
          <w:p w14:paraId="0458C59A" w14:textId="77777777" w:rsidR="00F76607" w:rsidRDefault="00F76607">
            <w:pPr>
              <w:rPr>
                <w:b/>
                <w:sz w:val="18"/>
                <w:szCs w:val="18"/>
              </w:rPr>
            </w:pPr>
          </w:p>
        </w:tc>
        <w:tc>
          <w:tcPr>
            <w:tcW w:w="0" w:type="auto"/>
            <w:shd w:val="clear" w:color="auto" w:fill="FFFFFF" w:themeFill="background1"/>
            <w:noWrap/>
            <w:vAlign w:val="center"/>
          </w:tcPr>
          <w:p w14:paraId="5CA154D3"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43FFF1D"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62ADAEC"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51D4BFB" w14:textId="77777777" w:rsidR="00F76607" w:rsidRDefault="001863F0">
            <w:pPr>
              <w:jc w:val="right"/>
              <w:rPr>
                <w:sz w:val="18"/>
                <w:szCs w:val="18"/>
              </w:rPr>
            </w:pPr>
            <w:r>
              <w:rPr>
                <w:sz w:val="18"/>
                <w:szCs w:val="18"/>
              </w:rPr>
              <w:t>Discount rate</w:t>
            </w:r>
          </w:p>
        </w:tc>
        <w:tc>
          <w:tcPr>
            <w:tcW w:w="0" w:type="auto"/>
            <w:shd w:val="clear" w:color="auto" w:fill="FFFFFF" w:themeFill="background1"/>
            <w:noWrap/>
            <w:vAlign w:val="center"/>
          </w:tcPr>
          <w:p w14:paraId="4FF89128" w14:textId="77777777" w:rsidR="00F76607" w:rsidRDefault="001863F0">
            <w:pPr>
              <w:jc w:val="right"/>
              <w:rPr>
                <w:sz w:val="18"/>
                <w:szCs w:val="18"/>
              </w:rPr>
            </w:pPr>
            <w:r>
              <w:rPr>
                <w:sz w:val="18"/>
                <w:szCs w:val="18"/>
              </w:rPr>
              <w:t>8.00%</w:t>
            </w:r>
          </w:p>
        </w:tc>
      </w:tr>
      <w:tr w:rsidR="00F76607" w14:paraId="4296A9AB" w14:textId="77777777">
        <w:trPr>
          <w:trHeight w:val="250"/>
        </w:trPr>
        <w:tc>
          <w:tcPr>
            <w:tcW w:w="0" w:type="auto"/>
            <w:shd w:val="clear" w:color="auto" w:fill="FFFFFF" w:themeFill="background1"/>
            <w:noWrap/>
            <w:vAlign w:val="center"/>
          </w:tcPr>
          <w:p w14:paraId="3BA46361" w14:textId="77777777" w:rsidR="00F76607" w:rsidRDefault="00F76607">
            <w:pPr>
              <w:rPr>
                <w:b/>
                <w:sz w:val="18"/>
                <w:szCs w:val="18"/>
              </w:rPr>
            </w:pPr>
          </w:p>
        </w:tc>
        <w:tc>
          <w:tcPr>
            <w:tcW w:w="0" w:type="auto"/>
            <w:shd w:val="clear" w:color="auto" w:fill="FFFFFF" w:themeFill="background1"/>
            <w:noWrap/>
            <w:vAlign w:val="center"/>
          </w:tcPr>
          <w:p w14:paraId="2C8555F5" w14:textId="77777777" w:rsidR="00F76607" w:rsidRDefault="00F76607">
            <w:pPr>
              <w:jc w:val="right"/>
              <w:rPr>
                <w:sz w:val="18"/>
                <w:szCs w:val="18"/>
              </w:rPr>
            </w:pPr>
          </w:p>
        </w:tc>
        <w:tc>
          <w:tcPr>
            <w:tcW w:w="0" w:type="auto"/>
            <w:shd w:val="clear" w:color="auto" w:fill="FFFFFF" w:themeFill="background1"/>
            <w:noWrap/>
            <w:vAlign w:val="center"/>
          </w:tcPr>
          <w:p w14:paraId="123F6A0E" w14:textId="77777777" w:rsidR="00F76607" w:rsidRDefault="00F76607">
            <w:pPr>
              <w:jc w:val="right"/>
              <w:rPr>
                <w:sz w:val="18"/>
                <w:szCs w:val="18"/>
              </w:rPr>
            </w:pPr>
          </w:p>
        </w:tc>
        <w:tc>
          <w:tcPr>
            <w:tcW w:w="0" w:type="auto"/>
            <w:shd w:val="clear" w:color="auto" w:fill="FFFFFF" w:themeFill="background1"/>
            <w:noWrap/>
            <w:vAlign w:val="center"/>
          </w:tcPr>
          <w:p w14:paraId="25D44A98" w14:textId="77777777" w:rsidR="00F76607" w:rsidRDefault="00F76607">
            <w:pPr>
              <w:jc w:val="right"/>
              <w:rPr>
                <w:sz w:val="18"/>
                <w:szCs w:val="18"/>
              </w:rPr>
            </w:pPr>
          </w:p>
        </w:tc>
        <w:tc>
          <w:tcPr>
            <w:tcW w:w="0" w:type="auto"/>
            <w:shd w:val="clear" w:color="auto" w:fill="FFFFFF" w:themeFill="background1"/>
            <w:noWrap/>
            <w:vAlign w:val="center"/>
          </w:tcPr>
          <w:p w14:paraId="5C3E62D6" w14:textId="77777777" w:rsidR="00F76607" w:rsidRDefault="001863F0">
            <w:pPr>
              <w:jc w:val="right"/>
              <w:rPr>
                <w:sz w:val="18"/>
                <w:szCs w:val="18"/>
              </w:rPr>
            </w:pPr>
            <w:r>
              <w:rPr>
                <w:sz w:val="18"/>
                <w:szCs w:val="18"/>
              </w:rPr>
              <w:t>Exit yield</w:t>
            </w:r>
          </w:p>
        </w:tc>
        <w:tc>
          <w:tcPr>
            <w:tcW w:w="0" w:type="auto"/>
            <w:shd w:val="clear" w:color="auto" w:fill="FFFFFF" w:themeFill="background1"/>
            <w:noWrap/>
            <w:vAlign w:val="center"/>
          </w:tcPr>
          <w:p w14:paraId="60629FBB" w14:textId="77777777" w:rsidR="00F76607" w:rsidRDefault="001863F0">
            <w:pPr>
              <w:jc w:val="right"/>
              <w:rPr>
                <w:sz w:val="18"/>
                <w:szCs w:val="18"/>
              </w:rPr>
            </w:pPr>
            <w:r>
              <w:rPr>
                <w:sz w:val="18"/>
                <w:szCs w:val="18"/>
              </w:rPr>
              <w:t>8.00%</w:t>
            </w:r>
          </w:p>
        </w:tc>
      </w:tr>
      <w:tr w:rsidR="00F76607" w14:paraId="4D6F3077" w14:textId="77777777">
        <w:trPr>
          <w:trHeight w:val="250"/>
        </w:trPr>
        <w:tc>
          <w:tcPr>
            <w:tcW w:w="0" w:type="auto"/>
            <w:shd w:val="clear" w:color="auto" w:fill="FFFFFF" w:themeFill="background1"/>
            <w:noWrap/>
            <w:vAlign w:val="center"/>
          </w:tcPr>
          <w:p w14:paraId="28F7CBB5" w14:textId="77777777" w:rsidR="00F76607" w:rsidRDefault="00F76607">
            <w:pPr>
              <w:rPr>
                <w:b/>
                <w:sz w:val="18"/>
                <w:szCs w:val="18"/>
              </w:rPr>
            </w:pPr>
          </w:p>
        </w:tc>
        <w:tc>
          <w:tcPr>
            <w:tcW w:w="0" w:type="auto"/>
            <w:shd w:val="clear" w:color="auto" w:fill="FFFFFF" w:themeFill="background1"/>
            <w:noWrap/>
            <w:vAlign w:val="center"/>
          </w:tcPr>
          <w:p w14:paraId="454E964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2E7EC1E"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65A424B"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FAE19C8" w14:textId="77777777" w:rsidR="00F76607" w:rsidRDefault="001863F0">
            <w:pPr>
              <w:jc w:val="right"/>
              <w:rPr>
                <w:sz w:val="18"/>
                <w:szCs w:val="18"/>
              </w:rPr>
            </w:pPr>
            <w:r>
              <w:rPr>
                <w:sz w:val="18"/>
                <w:szCs w:val="18"/>
              </w:rPr>
              <w:t>Weighted average yield</w:t>
            </w:r>
          </w:p>
        </w:tc>
        <w:tc>
          <w:tcPr>
            <w:tcW w:w="0" w:type="auto"/>
            <w:shd w:val="clear" w:color="auto" w:fill="FFFFFF" w:themeFill="background1"/>
            <w:noWrap/>
            <w:vAlign w:val="center"/>
          </w:tcPr>
          <w:p w14:paraId="251FBBAA" w14:textId="77777777" w:rsidR="00F76607" w:rsidRDefault="001863F0">
            <w:pPr>
              <w:jc w:val="right"/>
              <w:rPr>
                <w:sz w:val="18"/>
                <w:szCs w:val="18"/>
              </w:rPr>
            </w:pPr>
            <w:r>
              <w:rPr>
                <w:sz w:val="18"/>
                <w:szCs w:val="18"/>
              </w:rPr>
              <w:t>8.15%</w:t>
            </w:r>
          </w:p>
        </w:tc>
      </w:tr>
      <w:tr w:rsidR="00F76607" w14:paraId="624C63A4" w14:textId="77777777">
        <w:trPr>
          <w:trHeight w:val="250"/>
        </w:trPr>
        <w:tc>
          <w:tcPr>
            <w:tcW w:w="0" w:type="auto"/>
            <w:shd w:val="clear" w:color="auto" w:fill="FFFFFF" w:themeFill="background1"/>
            <w:noWrap/>
            <w:vAlign w:val="center"/>
          </w:tcPr>
          <w:p w14:paraId="3DA3188D" w14:textId="77777777" w:rsidR="00F76607" w:rsidRDefault="00F76607">
            <w:pPr>
              <w:rPr>
                <w:b/>
                <w:sz w:val="18"/>
                <w:szCs w:val="18"/>
              </w:rPr>
            </w:pPr>
          </w:p>
        </w:tc>
        <w:tc>
          <w:tcPr>
            <w:tcW w:w="0" w:type="auto"/>
            <w:shd w:val="clear" w:color="auto" w:fill="FFFFFF" w:themeFill="background1"/>
            <w:noWrap/>
            <w:vAlign w:val="center"/>
          </w:tcPr>
          <w:p w14:paraId="34F1B27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7583F85"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F89A54F"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E97B94A" w14:textId="5159C234" w:rsidR="00F76607" w:rsidRDefault="001863F0">
            <w:pPr>
              <w:jc w:val="right"/>
              <w:rPr>
                <w:sz w:val="18"/>
                <w:szCs w:val="18"/>
              </w:rPr>
            </w:pPr>
            <w:r>
              <w:rPr>
                <w:sz w:val="18"/>
                <w:szCs w:val="18"/>
              </w:rPr>
              <w:t>Cost to completion (in</w:t>
            </w:r>
            <w:r w:rsidR="00C2417B">
              <w:rPr>
                <w:sz w:val="18"/>
                <w:szCs w:val="18"/>
              </w:rPr>
              <w:t xml:space="preserve"> €</w:t>
            </w:r>
            <w:r>
              <w:rPr>
                <w:sz w:val="18"/>
                <w:szCs w:val="18"/>
              </w:rPr>
              <w:t xml:space="preserve"> '000)</w:t>
            </w:r>
          </w:p>
        </w:tc>
        <w:tc>
          <w:tcPr>
            <w:tcW w:w="0" w:type="auto"/>
            <w:shd w:val="clear" w:color="auto" w:fill="FFFFFF" w:themeFill="background1"/>
            <w:noWrap/>
            <w:vAlign w:val="center"/>
          </w:tcPr>
          <w:p w14:paraId="4DAC33CF" w14:textId="77777777" w:rsidR="00F76607" w:rsidRDefault="001863F0">
            <w:pPr>
              <w:jc w:val="right"/>
              <w:rPr>
                <w:sz w:val="18"/>
                <w:szCs w:val="18"/>
              </w:rPr>
            </w:pPr>
            <w:r>
              <w:rPr>
                <w:sz w:val="18"/>
                <w:szCs w:val="18"/>
              </w:rPr>
              <w:t xml:space="preserve"> - </w:t>
            </w:r>
          </w:p>
        </w:tc>
      </w:tr>
      <w:tr w:rsidR="00F76607" w14:paraId="3AC1C46E" w14:textId="77777777">
        <w:trPr>
          <w:trHeight w:val="250"/>
        </w:trPr>
        <w:tc>
          <w:tcPr>
            <w:tcW w:w="0" w:type="auto"/>
            <w:shd w:val="clear" w:color="auto" w:fill="FFFFFF" w:themeFill="background1"/>
            <w:noWrap/>
            <w:vAlign w:val="center"/>
          </w:tcPr>
          <w:p w14:paraId="27976372" w14:textId="77777777" w:rsidR="00F76607" w:rsidRDefault="00F76607">
            <w:pPr>
              <w:rPr>
                <w:b/>
                <w:sz w:val="18"/>
                <w:szCs w:val="18"/>
              </w:rPr>
            </w:pPr>
          </w:p>
        </w:tc>
        <w:tc>
          <w:tcPr>
            <w:tcW w:w="0" w:type="auto"/>
            <w:shd w:val="clear" w:color="auto" w:fill="FFFFFF" w:themeFill="background1"/>
            <w:noWrap/>
            <w:vAlign w:val="center"/>
          </w:tcPr>
          <w:p w14:paraId="75CED039" w14:textId="77777777" w:rsidR="00F76607" w:rsidRDefault="001863F0">
            <w:pPr>
              <w:jc w:val="right"/>
              <w:rPr>
                <w:sz w:val="18"/>
                <w:szCs w:val="18"/>
              </w:rPr>
            </w:pPr>
            <w:r>
              <w:rPr>
                <w:sz w:val="18"/>
                <w:szCs w:val="18"/>
              </w:rPr>
              <w:t>DL</w:t>
            </w:r>
          </w:p>
        </w:tc>
        <w:tc>
          <w:tcPr>
            <w:tcW w:w="0" w:type="auto"/>
            <w:shd w:val="clear" w:color="auto" w:fill="FFFFFF" w:themeFill="background1"/>
            <w:noWrap/>
            <w:vAlign w:val="center"/>
          </w:tcPr>
          <w:p w14:paraId="1A17034F" w14:textId="77777777" w:rsidR="00F76607" w:rsidRDefault="001863F0">
            <w:pPr>
              <w:jc w:val="right"/>
              <w:rPr>
                <w:sz w:val="18"/>
                <w:szCs w:val="18"/>
              </w:rPr>
            </w:pPr>
            <w:r>
              <w:rPr>
                <w:sz w:val="18"/>
                <w:szCs w:val="18"/>
              </w:rPr>
              <w:t>1,000</w:t>
            </w:r>
          </w:p>
        </w:tc>
        <w:tc>
          <w:tcPr>
            <w:tcW w:w="0" w:type="auto"/>
            <w:shd w:val="clear" w:color="auto" w:fill="FFFFFF" w:themeFill="background1"/>
            <w:noWrap/>
            <w:vAlign w:val="center"/>
          </w:tcPr>
          <w:p w14:paraId="7FE6B70D" w14:textId="77777777" w:rsidR="00F76607" w:rsidRDefault="001863F0">
            <w:pPr>
              <w:jc w:val="right"/>
              <w:rPr>
                <w:sz w:val="18"/>
                <w:szCs w:val="18"/>
              </w:rPr>
            </w:pPr>
            <w:r>
              <w:rPr>
                <w:sz w:val="18"/>
                <w:szCs w:val="18"/>
              </w:rPr>
              <w:t>Sales comparison</w:t>
            </w:r>
          </w:p>
        </w:tc>
        <w:tc>
          <w:tcPr>
            <w:tcW w:w="0" w:type="auto"/>
            <w:shd w:val="clear" w:color="auto" w:fill="FFFFFF" w:themeFill="background1"/>
            <w:noWrap/>
            <w:vAlign w:val="center"/>
          </w:tcPr>
          <w:p w14:paraId="51096741" w14:textId="77777777" w:rsidR="00F76607" w:rsidRDefault="001863F0">
            <w:pPr>
              <w:jc w:val="right"/>
              <w:rPr>
                <w:sz w:val="18"/>
                <w:szCs w:val="18"/>
              </w:rPr>
            </w:pPr>
            <w:r>
              <w:rPr>
                <w:sz w:val="18"/>
                <w:szCs w:val="18"/>
              </w:rPr>
              <w:t>Price per m²</w:t>
            </w:r>
          </w:p>
        </w:tc>
        <w:tc>
          <w:tcPr>
            <w:tcW w:w="0" w:type="auto"/>
            <w:shd w:val="clear" w:color="auto" w:fill="FFFFFF" w:themeFill="background1"/>
            <w:noWrap/>
            <w:vAlign w:val="center"/>
          </w:tcPr>
          <w:p w14:paraId="70CB1A6D" w14:textId="77777777" w:rsidR="00F76607" w:rsidRDefault="00F76607">
            <w:pPr>
              <w:spacing w:line="276" w:lineRule="auto"/>
              <w:jc w:val="right"/>
              <w:rPr>
                <w:sz w:val="18"/>
                <w:szCs w:val="18"/>
              </w:rPr>
            </w:pPr>
          </w:p>
        </w:tc>
      </w:tr>
      <w:tr w:rsidR="00F76607" w14:paraId="7865EEFD" w14:textId="77777777">
        <w:trPr>
          <w:trHeight w:val="250"/>
        </w:trPr>
        <w:tc>
          <w:tcPr>
            <w:tcW w:w="0" w:type="auto"/>
            <w:shd w:val="clear" w:color="auto" w:fill="FFFFFF" w:themeFill="background1"/>
            <w:noWrap/>
            <w:vAlign w:val="center"/>
          </w:tcPr>
          <w:p w14:paraId="36997B1D"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3914E87E"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2280542"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45EACDE"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F1A65BD"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2BDDA20" w14:textId="77777777" w:rsidR="00F76607" w:rsidRDefault="001863F0">
            <w:pPr>
              <w:jc w:val="right"/>
              <w:rPr>
                <w:sz w:val="18"/>
                <w:szCs w:val="18"/>
              </w:rPr>
            </w:pPr>
            <w:r>
              <w:rPr>
                <w:sz w:val="18"/>
                <w:szCs w:val="18"/>
              </w:rPr>
              <w:t> </w:t>
            </w:r>
          </w:p>
        </w:tc>
      </w:tr>
      <w:tr w:rsidR="00F76607" w14:paraId="4D9E8774" w14:textId="77777777">
        <w:trPr>
          <w:trHeight w:val="250"/>
        </w:trPr>
        <w:tc>
          <w:tcPr>
            <w:tcW w:w="0" w:type="auto"/>
            <w:shd w:val="clear" w:color="auto" w:fill="FFFFFF" w:themeFill="background1"/>
            <w:noWrap/>
            <w:vAlign w:val="center"/>
            <w:hideMark/>
          </w:tcPr>
          <w:p w14:paraId="798E595E" w14:textId="77777777" w:rsidR="00F76607" w:rsidRDefault="001863F0">
            <w:pPr>
              <w:rPr>
                <w:b/>
                <w:sz w:val="18"/>
                <w:szCs w:val="18"/>
              </w:rPr>
            </w:pPr>
            <w:r>
              <w:rPr>
                <w:b/>
                <w:sz w:val="18"/>
                <w:szCs w:val="18"/>
              </w:rPr>
              <w:t>Slovakia</w:t>
            </w:r>
          </w:p>
        </w:tc>
        <w:tc>
          <w:tcPr>
            <w:tcW w:w="0" w:type="auto"/>
            <w:shd w:val="clear" w:color="auto" w:fill="FFFFFF" w:themeFill="background1"/>
            <w:noWrap/>
            <w:vAlign w:val="center"/>
          </w:tcPr>
          <w:p w14:paraId="650755EB" w14:textId="77777777" w:rsidR="00F76607" w:rsidRDefault="001863F0">
            <w:pPr>
              <w:jc w:val="right"/>
              <w:rPr>
                <w:sz w:val="18"/>
                <w:szCs w:val="18"/>
              </w:rPr>
            </w:pPr>
            <w:r>
              <w:rPr>
                <w:sz w:val="18"/>
                <w:szCs w:val="18"/>
              </w:rPr>
              <w:t>IP</w:t>
            </w:r>
          </w:p>
        </w:tc>
        <w:tc>
          <w:tcPr>
            <w:tcW w:w="0" w:type="auto"/>
            <w:shd w:val="clear" w:color="auto" w:fill="FFFFFF" w:themeFill="background1"/>
            <w:noWrap/>
            <w:vAlign w:val="center"/>
          </w:tcPr>
          <w:p w14:paraId="6578126D" w14:textId="77777777" w:rsidR="00F76607" w:rsidRDefault="001863F0">
            <w:pPr>
              <w:jc w:val="right"/>
              <w:rPr>
                <w:sz w:val="18"/>
                <w:szCs w:val="18"/>
              </w:rPr>
            </w:pPr>
            <w:r>
              <w:rPr>
                <w:sz w:val="18"/>
                <w:szCs w:val="18"/>
              </w:rPr>
              <w:t>42,600</w:t>
            </w:r>
          </w:p>
        </w:tc>
        <w:tc>
          <w:tcPr>
            <w:tcW w:w="0" w:type="auto"/>
            <w:shd w:val="clear" w:color="auto" w:fill="FFFFFF" w:themeFill="background1"/>
            <w:noWrap/>
            <w:vAlign w:val="center"/>
          </w:tcPr>
          <w:p w14:paraId="4A67DBAE" w14:textId="77777777" w:rsidR="00F76607" w:rsidRDefault="001863F0">
            <w:pPr>
              <w:jc w:val="right"/>
              <w:rPr>
                <w:sz w:val="18"/>
                <w:szCs w:val="18"/>
              </w:rPr>
            </w:pPr>
            <w:r>
              <w:rPr>
                <w:sz w:val="18"/>
                <w:szCs w:val="18"/>
              </w:rPr>
              <w:t>Discounted cash flow</w:t>
            </w:r>
          </w:p>
        </w:tc>
        <w:tc>
          <w:tcPr>
            <w:tcW w:w="0" w:type="auto"/>
            <w:shd w:val="clear" w:color="auto" w:fill="FFFFFF" w:themeFill="background1"/>
            <w:noWrap/>
            <w:vAlign w:val="center"/>
          </w:tcPr>
          <w:p w14:paraId="0D637443" w14:textId="77777777" w:rsidR="00F76607" w:rsidRDefault="001863F0">
            <w:pPr>
              <w:jc w:val="right"/>
              <w:rPr>
                <w:sz w:val="18"/>
                <w:szCs w:val="18"/>
              </w:rPr>
            </w:pPr>
            <w:r>
              <w:rPr>
                <w:sz w:val="18"/>
                <w:szCs w:val="18"/>
              </w:rPr>
              <w:t xml:space="preserve">Annual rent per m² </w:t>
            </w:r>
          </w:p>
        </w:tc>
        <w:tc>
          <w:tcPr>
            <w:tcW w:w="0" w:type="auto"/>
            <w:shd w:val="clear" w:color="auto" w:fill="FFFFFF" w:themeFill="background1"/>
            <w:noWrap/>
            <w:vAlign w:val="center"/>
          </w:tcPr>
          <w:p w14:paraId="3B6FDDD8" w14:textId="77777777" w:rsidR="00F76607" w:rsidRDefault="001863F0">
            <w:pPr>
              <w:jc w:val="right"/>
              <w:rPr>
                <w:sz w:val="18"/>
                <w:szCs w:val="18"/>
              </w:rPr>
            </w:pPr>
            <w:r>
              <w:rPr>
                <w:sz w:val="18"/>
                <w:szCs w:val="18"/>
              </w:rPr>
              <w:t>48-63</w:t>
            </w:r>
          </w:p>
        </w:tc>
      </w:tr>
      <w:tr w:rsidR="00F76607" w14:paraId="7B5D8D94" w14:textId="77777777">
        <w:trPr>
          <w:trHeight w:val="250"/>
        </w:trPr>
        <w:tc>
          <w:tcPr>
            <w:tcW w:w="0" w:type="auto"/>
            <w:shd w:val="clear" w:color="auto" w:fill="FFFFFF" w:themeFill="background1"/>
            <w:noWrap/>
            <w:vAlign w:val="center"/>
          </w:tcPr>
          <w:p w14:paraId="55BF3AC4"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243E51F0"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5DA2AC6"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DA7A574"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3831D78" w14:textId="77777777" w:rsidR="00F76607" w:rsidRDefault="001863F0">
            <w:pPr>
              <w:jc w:val="right"/>
              <w:rPr>
                <w:sz w:val="18"/>
                <w:szCs w:val="18"/>
              </w:rPr>
            </w:pPr>
            <w:r>
              <w:rPr>
                <w:sz w:val="18"/>
                <w:szCs w:val="18"/>
              </w:rPr>
              <w:t>Discount rate</w:t>
            </w:r>
          </w:p>
        </w:tc>
        <w:tc>
          <w:tcPr>
            <w:tcW w:w="0" w:type="auto"/>
            <w:shd w:val="clear" w:color="auto" w:fill="FFFFFF" w:themeFill="background1"/>
            <w:noWrap/>
            <w:vAlign w:val="center"/>
          </w:tcPr>
          <w:p w14:paraId="180E65A1" w14:textId="77777777" w:rsidR="00F76607" w:rsidRDefault="001863F0">
            <w:pPr>
              <w:jc w:val="right"/>
              <w:rPr>
                <w:sz w:val="18"/>
                <w:szCs w:val="18"/>
              </w:rPr>
            </w:pPr>
            <w:r>
              <w:rPr>
                <w:sz w:val="18"/>
                <w:szCs w:val="18"/>
              </w:rPr>
              <w:t>7.75%-8.50%</w:t>
            </w:r>
          </w:p>
        </w:tc>
      </w:tr>
      <w:tr w:rsidR="00F76607" w14:paraId="4DDBA99F" w14:textId="77777777">
        <w:trPr>
          <w:trHeight w:val="250"/>
        </w:trPr>
        <w:tc>
          <w:tcPr>
            <w:tcW w:w="0" w:type="auto"/>
            <w:shd w:val="clear" w:color="auto" w:fill="FFFFFF" w:themeFill="background1"/>
            <w:noWrap/>
            <w:vAlign w:val="center"/>
          </w:tcPr>
          <w:p w14:paraId="4F0D5A87"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4E56DF4F"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5C1B39C"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31466AD"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0B3D030" w14:textId="77777777" w:rsidR="00F76607" w:rsidRDefault="001863F0">
            <w:pPr>
              <w:jc w:val="right"/>
              <w:rPr>
                <w:sz w:val="18"/>
                <w:szCs w:val="18"/>
              </w:rPr>
            </w:pPr>
            <w:r>
              <w:rPr>
                <w:sz w:val="18"/>
                <w:szCs w:val="18"/>
              </w:rPr>
              <w:t xml:space="preserve">Exit yield </w:t>
            </w:r>
          </w:p>
        </w:tc>
        <w:tc>
          <w:tcPr>
            <w:tcW w:w="0" w:type="auto"/>
            <w:shd w:val="clear" w:color="auto" w:fill="FFFFFF" w:themeFill="background1"/>
            <w:noWrap/>
            <w:vAlign w:val="center"/>
          </w:tcPr>
          <w:p w14:paraId="6D46BD5E" w14:textId="77777777" w:rsidR="00F76607" w:rsidRDefault="001863F0">
            <w:pPr>
              <w:jc w:val="right"/>
              <w:rPr>
                <w:sz w:val="18"/>
                <w:szCs w:val="18"/>
              </w:rPr>
            </w:pPr>
            <w:r>
              <w:rPr>
                <w:sz w:val="18"/>
                <w:szCs w:val="18"/>
              </w:rPr>
              <w:t>7.75%</w:t>
            </w:r>
          </w:p>
        </w:tc>
      </w:tr>
      <w:tr w:rsidR="00F76607" w14:paraId="1756823F" w14:textId="77777777">
        <w:trPr>
          <w:trHeight w:val="250"/>
        </w:trPr>
        <w:tc>
          <w:tcPr>
            <w:tcW w:w="0" w:type="auto"/>
            <w:shd w:val="clear" w:color="auto" w:fill="FFFFFF" w:themeFill="background1"/>
            <w:noWrap/>
            <w:vAlign w:val="center"/>
          </w:tcPr>
          <w:p w14:paraId="7F0716F1"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4E08281E"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9F7D773"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411145F"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E473FD4" w14:textId="77777777" w:rsidR="00F76607" w:rsidRDefault="001863F0">
            <w:pPr>
              <w:jc w:val="right"/>
              <w:rPr>
                <w:sz w:val="18"/>
                <w:szCs w:val="18"/>
              </w:rPr>
            </w:pPr>
            <w:r>
              <w:rPr>
                <w:sz w:val="18"/>
                <w:szCs w:val="18"/>
              </w:rPr>
              <w:t>Weighted average yield</w:t>
            </w:r>
          </w:p>
        </w:tc>
        <w:tc>
          <w:tcPr>
            <w:tcW w:w="0" w:type="auto"/>
            <w:shd w:val="clear" w:color="auto" w:fill="FFFFFF" w:themeFill="background1"/>
            <w:noWrap/>
            <w:vAlign w:val="center"/>
          </w:tcPr>
          <w:p w14:paraId="4E686E26" w14:textId="77777777" w:rsidR="00F76607" w:rsidRDefault="001863F0">
            <w:pPr>
              <w:jc w:val="right"/>
              <w:rPr>
                <w:sz w:val="18"/>
                <w:szCs w:val="18"/>
              </w:rPr>
            </w:pPr>
            <w:r>
              <w:rPr>
                <w:sz w:val="18"/>
                <w:szCs w:val="18"/>
              </w:rPr>
              <w:t>8.06%</w:t>
            </w:r>
          </w:p>
        </w:tc>
      </w:tr>
      <w:tr w:rsidR="00F76607" w14:paraId="17F549E6" w14:textId="77777777">
        <w:trPr>
          <w:trHeight w:val="250"/>
        </w:trPr>
        <w:tc>
          <w:tcPr>
            <w:tcW w:w="0" w:type="auto"/>
            <w:shd w:val="clear" w:color="auto" w:fill="FFFFFF" w:themeFill="background1"/>
            <w:noWrap/>
            <w:vAlign w:val="center"/>
          </w:tcPr>
          <w:p w14:paraId="6CCF6794"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6BC5778C"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1882D86"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047244E"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44887C6" w14:textId="07A52677" w:rsidR="00F76607" w:rsidRDefault="001863F0">
            <w:pPr>
              <w:jc w:val="right"/>
              <w:rPr>
                <w:sz w:val="18"/>
                <w:szCs w:val="18"/>
              </w:rPr>
            </w:pPr>
            <w:r>
              <w:rPr>
                <w:sz w:val="18"/>
                <w:szCs w:val="18"/>
              </w:rPr>
              <w:t>Cost to completion (in</w:t>
            </w:r>
            <w:r w:rsidR="00C2417B">
              <w:rPr>
                <w:sz w:val="18"/>
                <w:szCs w:val="18"/>
              </w:rPr>
              <w:t xml:space="preserve"> €</w:t>
            </w:r>
            <w:r>
              <w:rPr>
                <w:sz w:val="18"/>
                <w:szCs w:val="18"/>
              </w:rPr>
              <w:t xml:space="preserve"> '000)</w:t>
            </w:r>
          </w:p>
        </w:tc>
        <w:tc>
          <w:tcPr>
            <w:tcW w:w="0" w:type="auto"/>
            <w:shd w:val="clear" w:color="auto" w:fill="FFFFFF" w:themeFill="background1"/>
            <w:noWrap/>
            <w:vAlign w:val="center"/>
          </w:tcPr>
          <w:p w14:paraId="5D8D7CB0" w14:textId="77777777" w:rsidR="00F76607" w:rsidRDefault="001863F0">
            <w:pPr>
              <w:jc w:val="right"/>
              <w:rPr>
                <w:sz w:val="18"/>
                <w:szCs w:val="18"/>
              </w:rPr>
            </w:pPr>
            <w:r>
              <w:rPr>
                <w:sz w:val="18"/>
                <w:szCs w:val="18"/>
              </w:rPr>
              <w:t xml:space="preserve"> - </w:t>
            </w:r>
          </w:p>
        </w:tc>
      </w:tr>
      <w:tr w:rsidR="00F76607" w14:paraId="41024A48" w14:textId="77777777">
        <w:trPr>
          <w:trHeight w:val="250"/>
        </w:trPr>
        <w:tc>
          <w:tcPr>
            <w:tcW w:w="0" w:type="auto"/>
            <w:shd w:val="clear" w:color="auto" w:fill="FFFFFF" w:themeFill="background1"/>
            <w:noWrap/>
            <w:vAlign w:val="center"/>
          </w:tcPr>
          <w:p w14:paraId="3820CDDA" w14:textId="77777777" w:rsidR="00F76607" w:rsidRDefault="00F76607">
            <w:pPr>
              <w:rPr>
                <w:b/>
                <w:sz w:val="18"/>
                <w:szCs w:val="18"/>
              </w:rPr>
            </w:pPr>
          </w:p>
        </w:tc>
        <w:tc>
          <w:tcPr>
            <w:tcW w:w="0" w:type="auto"/>
            <w:shd w:val="clear" w:color="auto" w:fill="FFFFFF" w:themeFill="background1"/>
            <w:noWrap/>
            <w:vAlign w:val="center"/>
          </w:tcPr>
          <w:p w14:paraId="5D86011B" w14:textId="77777777" w:rsidR="00F76607" w:rsidRDefault="001863F0">
            <w:pPr>
              <w:jc w:val="right"/>
              <w:rPr>
                <w:sz w:val="18"/>
                <w:szCs w:val="18"/>
              </w:rPr>
            </w:pPr>
            <w:r>
              <w:rPr>
                <w:sz w:val="18"/>
                <w:szCs w:val="18"/>
              </w:rPr>
              <w:t>IPUC</w:t>
            </w:r>
          </w:p>
        </w:tc>
        <w:tc>
          <w:tcPr>
            <w:tcW w:w="0" w:type="auto"/>
            <w:shd w:val="clear" w:color="auto" w:fill="FFFFFF" w:themeFill="background1"/>
            <w:noWrap/>
            <w:vAlign w:val="center"/>
          </w:tcPr>
          <w:p w14:paraId="78E54BA3" w14:textId="77777777" w:rsidR="00F76607" w:rsidRDefault="001863F0">
            <w:pPr>
              <w:jc w:val="right"/>
              <w:rPr>
                <w:sz w:val="18"/>
                <w:szCs w:val="18"/>
              </w:rPr>
            </w:pPr>
            <w:r>
              <w:rPr>
                <w:sz w:val="18"/>
                <w:szCs w:val="18"/>
              </w:rPr>
              <w:t>9,200</w:t>
            </w:r>
          </w:p>
        </w:tc>
        <w:tc>
          <w:tcPr>
            <w:tcW w:w="0" w:type="auto"/>
            <w:shd w:val="clear" w:color="auto" w:fill="FFFFFF" w:themeFill="background1"/>
            <w:noWrap/>
            <w:vAlign w:val="center"/>
          </w:tcPr>
          <w:p w14:paraId="0F939C76" w14:textId="77777777" w:rsidR="00F76607" w:rsidRDefault="001863F0">
            <w:pPr>
              <w:jc w:val="right"/>
              <w:rPr>
                <w:sz w:val="18"/>
                <w:szCs w:val="18"/>
              </w:rPr>
            </w:pPr>
            <w:r>
              <w:rPr>
                <w:sz w:val="18"/>
                <w:szCs w:val="18"/>
              </w:rPr>
              <w:t>Discounted cash flow</w:t>
            </w:r>
          </w:p>
        </w:tc>
        <w:tc>
          <w:tcPr>
            <w:tcW w:w="0" w:type="auto"/>
            <w:shd w:val="clear" w:color="auto" w:fill="FFFFFF" w:themeFill="background1"/>
            <w:noWrap/>
            <w:vAlign w:val="center"/>
          </w:tcPr>
          <w:p w14:paraId="2CE6123E" w14:textId="77777777" w:rsidR="00F76607" w:rsidRDefault="001863F0">
            <w:pPr>
              <w:jc w:val="right"/>
              <w:rPr>
                <w:sz w:val="18"/>
                <w:szCs w:val="18"/>
              </w:rPr>
            </w:pPr>
            <w:r>
              <w:rPr>
                <w:sz w:val="18"/>
                <w:szCs w:val="18"/>
              </w:rPr>
              <w:t xml:space="preserve">Annual rent per m² </w:t>
            </w:r>
          </w:p>
        </w:tc>
        <w:tc>
          <w:tcPr>
            <w:tcW w:w="0" w:type="auto"/>
            <w:shd w:val="clear" w:color="auto" w:fill="FFFFFF" w:themeFill="background1"/>
            <w:noWrap/>
            <w:vAlign w:val="center"/>
          </w:tcPr>
          <w:p w14:paraId="115690EB" w14:textId="77777777" w:rsidR="00F76607" w:rsidRDefault="001863F0">
            <w:pPr>
              <w:jc w:val="right"/>
              <w:rPr>
                <w:sz w:val="18"/>
                <w:szCs w:val="18"/>
              </w:rPr>
            </w:pPr>
            <w:r>
              <w:rPr>
                <w:sz w:val="18"/>
                <w:szCs w:val="18"/>
              </w:rPr>
              <w:t>49</w:t>
            </w:r>
          </w:p>
        </w:tc>
      </w:tr>
      <w:tr w:rsidR="00F76607" w14:paraId="73651E5D" w14:textId="77777777">
        <w:trPr>
          <w:trHeight w:val="250"/>
        </w:trPr>
        <w:tc>
          <w:tcPr>
            <w:tcW w:w="0" w:type="auto"/>
            <w:shd w:val="clear" w:color="auto" w:fill="FFFFFF" w:themeFill="background1"/>
            <w:noWrap/>
            <w:vAlign w:val="center"/>
          </w:tcPr>
          <w:p w14:paraId="0FE88DDE"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67972BBA"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D75739C"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DE0F6E0"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A6BA2A1" w14:textId="77777777" w:rsidR="00F76607" w:rsidRDefault="001863F0">
            <w:pPr>
              <w:jc w:val="right"/>
              <w:rPr>
                <w:sz w:val="18"/>
                <w:szCs w:val="18"/>
              </w:rPr>
            </w:pPr>
            <w:r>
              <w:rPr>
                <w:sz w:val="18"/>
                <w:szCs w:val="18"/>
              </w:rPr>
              <w:t>Discount rate</w:t>
            </w:r>
          </w:p>
        </w:tc>
        <w:tc>
          <w:tcPr>
            <w:tcW w:w="0" w:type="auto"/>
            <w:shd w:val="clear" w:color="auto" w:fill="FFFFFF" w:themeFill="background1"/>
            <w:noWrap/>
            <w:vAlign w:val="center"/>
          </w:tcPr>
          <w:p w14:paraId="5E4AB741" w14:textId="77777777" w:rsidR="00F76607" w:rsidRDefault="001863F0">
            <w:pPr>
              <w:jc w:val="right"/>
              <w:rPr>
                <w:sz w:val="18"/>
                <w:szCs w:val="18"/>
              </w:rPr>
            </w:pPr>
            <w:r>
              <w:rPr>
                <w:sz w:val="18"/>
                <w:szCs w:val="18"/>
              </w:rPr>
              <w:t>9.00%</w:t>
            </w:r>
          </w:p>
        </w:tc>
      </w:tr>
      <w:tr w:rsidR="00F76607" w14:paraId="3714E658" w14:textId="77777777">
        <w:trPr>
          <w:trHeight w:val="250"/>
        </w:trPr>
        <w:tc>
          <w:tcPr>
            <w:tcW w:w="0" w:type="auto"/>
            <w:shd w:val="clear" w:color="auto" w:fill="FFFFFF" w:themeFill="background1"/>
            <w:noWrap/>
            <w:vAlign w:val="center"/>
          </w:tcPr>
          <w:p w14:paraId="094AC941"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151772A5"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3F95E7FA"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4F138F6"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52318B8" w14:textId="77777777" w:rsidR="00F76607" w:rsidRDefault="001863F0">
            <w:pPr>
              <w:jc w:val="right"/>
              <w:rPr>
                <w:sz w:val="18"/>
                <w:szCs w:val="18"/>
              </w:rPr>
            </w:pPr>
            <w:r>
              <w:rPr>
                <w:sz w:val="18"/>
                <w:szCs w:val="18"/>
              </w:rPr>
              <w:t xml:space="preserve">Exit yield </w:t>
            </w:r>
          </w:p>
        </w:tc>
        <w:tc>
          <w:tcPr>
            <w:tcW w:w="0" w:type="auto"/>
            <w:shd w:val="clear" w:color="auto" w:fill="FFFFFF" w:themeFill="background1"/>
            <w:noWrap/>
            <w:vAlign w:val="center"/>
          </w:tcPr>
          <w:p w14:paraId="0E7845A8" w14:textId="77777777" w:rsidR="00F76607" w:rsidRDefault="001863F0">
            <w:pPr>
              <w:jc w:val="right"/>
              <w:rPr>
                <w:sz w:val="18"/>
                <w:szCs w:val="18"/>
              </w:rPr>
            </w:pPr>
            <w:r>
              <w:rPr>
                <w:sz w:val="18"/>
                <w:szCs w:val="18"/>
              </w:rPr>
              <w:t>7.75%</w:t>
            </w:r>
          </w:p>
        </w:tc>
      </w:tr>
      <w:tr w:rsidR="00F76607" w14:paraId="39C741BE" w14:textId="77777777">
        <w:trPr>
          <w:trHeight w:val="250"/>
        </w:trPr>
        <w:tc>
          <w:tcPr>
            <w:tcW w:w="0" w:type="auto"/>
            <w:shd w:val="clear" w:color="auto" w:fill="FFFFFF" w:themeFill="background1"/>
            <w:noWrap/>
            <w:vAlign w:val="center"/>
          </w:tcPr>
          <w:p w14:paraId="37D58D2B"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1695843D"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0FED4EE"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B3B6DDA"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1F2114C" w14:textId="77777777" w:rsidR="00F76607" w:rsidRDefault="001863F0">
            <w:pPr>
              <w:jc w:val="right"/>
              <w:rPr>
                <w:sz w:val="18"/>
                <w:szCs w:val="18"/>
              </w:rPr>
            </w:pPr>
            <w:r>
              <w:rPr>
                <w:sz w:val="18"/>
                <w:szCs w:val="18"/>
              </w:rPr>
              <w:t>Weighted average yield</w:t>
            </w:r>
          </w:p>
        </w:tc>
        <w:tc>
          <w:tcPr>
            <w:tcW w:w="0" w:type="auto"/>
            <w:shd w:val="clear" w:color="auto" w:fill="FFFFFF" w:themeFill="background1"/>
            <w:noWrap/>
            <w:vAlign w:val="center"/>
          </w:tcPr>
          <w:p w14:paraId="7E8E7263" w14:textId="77777777" w:rsidR="00F76607" w:rsidRDefault="001863F0">
            <w:pPr>
              <w:jc w:val="right"/>
              <w:rPr>
                <w:sz w:val="18"/>
                <w:szCs w:val="18"/>
              </w:rPr>
            </w:pPr>
            <w:r>
              <w:rPr>
                <w:sz w:val="18"/>
                <w:szCs w:val="18"/>
              </w:rPr>
              <w:t>8.49%</w:t>
            </w:r>
          </w:p>
        </w:tc>
      </w:tr>
      <w:tr w:rsidR="00F76607" w14:paraId="34DEE552" w14:textId="77777777">
        <w:trPr>
          <w:trHeight w:val="250"/>
        </w:trPr>
        <w:tc>
          <w:tcPr>
            <w:tcW w:w="0" w:type="auto"/>
            <w:shd w:val="clear" w:color="auto" w:fill="FFFFFF" w:themeFill="background1"/>
            <w:noWrap/>
            <w:vAlign w:val="center"/>
          </w:tcPr>
          <w:p w14:paraId="2C31E094"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10815D58"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DE6A8B3"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4E2A98E"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268F6DDA" w14:textId="67D00E2C" w:rsidR="00F76607" w:rsidRDefault="001863F0">
            <w:pPr>
              <w:jc w:val="right"/>
              <w:rPr>
                <w:sz w:val="18"/>
                <w:szCs w:val="18"/>
              </w:rPr>
            </w:pPr>
            <w:r>
              <w:rPr>
                <w:sz w:val="18"/>
                <w:szCs w:val="18"/>
              </w:rPr>
              <w:t>Cost to completion (in</w:t>
            </w:r>
            <w:r w:rsidR="00C2417B">
              <w:rPr>
                <w:sz w:val="18"/>
                <w:szCs w:val="18"/>
              </w:rPr>
              <w:t>€</w:t>
            </w:r>
            <w:r>
              <w:rPr>
                <w:sz w:val="18"/>
                <w:szCs w:val="18"/>
              </w:rPr>
              <w:t xml:space="preserve"> '000)</w:t>
            </w:r>
          </w:p>
        </w:tc>
        <w:tc>
          <w:tcPr>
            <w:tcW w:w="0" w:type="auto"/>
            <w:shd w:val="clear" w:color="auto" w:fill="FFFFFF" w:themeFill="background1"/>
            <w:noWrap/>
            <w:vAlign w:val="center"/>
          </w:tcPr>
          <w:p w14:paraId="6775FFB0" w14:textId="77777777" w:rsidR="00F76607" w:rsidRDefault="001863F0">
            <w:pPr>
              <w:jc w:val="right"/>
              <w:rPr>
                <w:sz w:val="18"/>
                <w:szCs w:val="18"/>
              </w:rPr>
            </w:pPr>
            <w:r>
              <w:rPr>
                <w:sz w:val="18"/>
                <w:szCs w:val="18"/>
              </w:rPr>
              <w:t>1,300</w:t>
            </w:r>
          </w:p>
        </w:tc>
      </w:tr>
      <w:tr w:rsidR="00F76607" w14:paraId="25D4B3F7" w14:textId="77777777">
        <w:trPr>
          <w:trHeight w:val="250"/>
        </w:trPr>
        <w:tc>
          <w:tcPr>
            <w:tcW w:w="0" w:type="auto"/>
            <w:shd w:val="clear" w:color="auto" w:fill="FFFFFF" w:themeFill="background1"/>
            <w:noWrap/>
            <w:vAlign w:val="center"/>
          </w:tcPr>
          <w:p w14:paraId="66104138"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18A2F7A9" w14:textId="77777777" w:rsidR="00F76607" w:rsidRDefault="001863F0">
            <w:pPr>
              <w:jc w:val="right"/>
              <w:rPr>
                <w:sz w:val="18"/>
                <w:szCs w:val="18"/>
              </w:rPr>
            </w:pPr>
            <w:r>
              <w:rPr>
                <w:sz w:val="18"/>
                <w:szCs w:val="18"/>
              </w:rPr>
              <w:t>DL</w:t>
            </w:r>
          </w:p>
        </w:tc>
        <w:tc>
          <w:tcPr>
            <w:tcW w:w="0" w:type="auto"/>
            <w:shd w:val="clear" w:color="auto" w:fill="FFFFFF" w:themeFill="background1"/>
            <w:noWrap/>
            <w:vAlign w:val="center"/>
          </w:tcPr>
          <w:p w14:paraId="3F03BA9A" w14:textId="77777777" w:rsidR="00F76607" w:rsidRDefault="001863F0">
            <w:pPr>
              <w:jc w:val="right"/>
              <w:rPr>
                <w:sz w:val="18"/>
                <w:szCs w:val="18"/>
              </w:rPr>
            </w:pPr>
            <w:r>
              <w:rPr>
                <w:sz w:val="18"/>
                <w:szCs w:val="18"/>
              </w:rPr>
              <w:t>1,100</w:t>
            </w:r>
          </w:p>
        </w:tc>
        <w:tc>
          <w:tcPr>
            <w:tcW w:w="0" w:type="auto"/>
            <w:shd w:val="clear" w:color="auto" w:fill="FFFFFF" w:themeFill="background1"/>
            <w:noWrap/>
            <w:vAlign w:val="center"/>
          </w:tcPr>
          <w:p w14:paraId="0D1A863B" w14:textId="77777777" w:rsidR="00F76607" w:rsidRDefault="001863F0">
            <w:pPr>
              <w:jc w:val="right"/>
              <w:rPr>
                <w:sz w:val="18"/>
                <w:szCs w:val="18"/>
              </w:rPr>
            </w:pPr>
            <w:r>
              <w:rPr>
                <w:sz w:val="18"/>
                <w:szCs w:val="18"/>
              </w:rPr>
              <w:t>Sales comparison</w:t>
            </w:r>
          </w:p>
        </w:tc>
        <w:tc>
          <w:tcPr>
            <w:tcW w:w="0" w:type="auto"/>
            <w:shd w:val="clear" w:color="auto" w:fill="FFFFFF" w:themeFill="background1"/>
            <w:noWrap/>
            <w:vAlign w:val="center"/>
          </w:tcPr>
          <w:p w14:paraId="4D9C4892" w14:textId="77777777" w:rsidR="00F76607" w:rsidRDefault="001863F0">
            <w:pPr>
              <w:jc w:val="right"/>
              <w:rPr>
                <w:sz w:val="18"/>
                <w:szCs w:val="18"/>
              </w:rPr>
            </w:pPr>
            <w:r>
              <w:rPr>
                <w:sz w:val="18"/>
                <w:szCs w:val="18"/>
              </w:rPr>
              <w:t>Price per m²</w:t>
            </w:r>
          </w:p>
        </w:tc>
        <w:tc>
          <w:tcPr>
            <w:tcW w:w="0" w:type="auto"/>
            <w:shd w:val="clear" w:color="auto" w:fill="FFFFFF" w:themeFill="background1"/>
            <w:noWrap/>
            <w:vAlign w:val="center"/>
          </w:tcPr>
          <w:p w14:paraId="7F98D949" w14:textId="6E261684" w:rsidR="00F76607" w:rsidRDefault="00FF2ECC">
            <w:pPr>
              <w:jc w:val="right"/>
              <w:rPr>
                <w:sz w:val="18"/>
                <w:szCs w:val="18"/>
              </w:rPr>
            </w:pPr>
            <w:r>
              <w:rPr>
                <w:sz w:val="18"/>
                <w:szCs w:val="18"/>
              </w:rPr>
              <w:t xml:space="preserve"> </w:t>
            </w:r>
            <w:r w:rsidR="001863F0">
              <w:rPr>
                <w:sz w:val="18"/>
                <w:szCs w:val="18"/>
              </w:rPr>
              <w:t>-</w:t>
            </w:r>
          </w:p>
        </w:tc>
      </w:tr>
      <w:tr w:rsidR="00F76607" w14:paraId="20D374BA" w14:textId="77777777">
        <w:trPr>
          <w:trHeight w:val="250"/>
        </w:trPr>
        <w:tc>
          <w:tcPr>
            <w:tcW w:w="0" w:type="auto"/>
            <w:shd w:val="clear" w:color="auto" w:fill="FFFFFF" w:themeFill="background1"/>
            <w:noWrap/>
            <w:vAlign w:val="center"/>
          </w:tcPr>
          <w:p w14:paraId="6C08DAAD" w14:textId="77777777" w:rsidR="00F76607" w:rsidRDefault="001863F0">
            <w:pPr>
              <w:rPr>
                <w:b/>
                <w:sz w:val="18"/>
                <w:szCs w:val="18"/>
              </w:rPr>
            </w:pPr>
            <w:r>
              <w:rPr>
                <w:b/>
                <w:sz w:val="18"/>
                <w:szCs w:val="18"/>
              </w:rPr>
              <w:t> </w:t>
            </w:r>
          </w:p>
        </w:tc>
        <w:tc>
          <w:tcPr>
            <w:tcW w:w="0" w:type="auto"/>
            <w:shd w:val="clear" w:color="auto" w:fill="FFFFFF" w:themeFill="background1"/>
            <w:noWrap/>
            <w:vAlign w:val="center"/>
          </w:tcPr>
          <w:p w14:paraId="2ABA17C9"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402F341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DEE276D"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646B6EF7"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88CE901" w14:textId="77777777" w:rsidR="00F76607" w:rsidRDefault="001863F0">
            <w:pPr>
              <w:jc w:val="right"/>
              <w:rPr>
                <w:sz w:val="18"/>
                <w:szCs w:val="18"/>
              </w:rPr>
            </w:pPr>
            <w:r>
              <w:rPr>
                <w:sz w:val="18"/>
                <w:szCs w:val="18"/>
              </w:rPr>
              <w:t> </w:t>
            </w:r>
          </w:p>
        </w:tc>
      </w:tr>
      <w:tr w:rsidR="00F76607" w14:paraId="253D7C1C" w14:textId="77777777">
        <w:trPr>
          <w:trHeight w:val="250"/>
        </w:trPr>
        <w:tc>
          <w:tcPr>
            <w:tcW w:w="0" w:type="auto"/>
            <w:shd w:val="clear" w:color="auto" w:fill="FFFFFF" w:themeFill="background1"/>
            <w:noWrap/>
            <w:vAlign w:val="center"/>
          </w:tcPr>
          <w:p w14:paraId="6B31C13C" w14:textId="77777777" w:rsidR="00F76607" w:rsidRDefault="001863F0">
            <w:pPr>
              <w:rPr>
                <w:b/>
                <w:sz w:val="18"/>
                <w:szCs w:val="18"/>
              </w:rPr>
            </w:pPr>
            <w:r>
              <w:rPr>
                <w:b/>
                <w:sz w:val="18"/>
                <w:szCs w:val="18"/>
              </w:rPr>
              <w:t>Total</w:t>
            </w:r>
          </w:p>
        </w:tc>
        <w:tc>
          <w:tcPr>
            <w:tcW w:w="0" w:type="auto"/>
            <w:shd w:val="clear" w:color="auto" w:fill="FFFFFF" w:themeFill="background1"/>
            <w:noWrap/>
            <w:vAlign w:val="center"/>
          </w:tcPr>
          <w:p w14:paraId="6ECF0771"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175D6294" w14:textId="77777777" w:rsidR="00F76607" w:rsidRDefault="001863F0">
            <w:pPr>
              <w:jc w:val="right"/>
              <w:rPr>
                <w:b/>
                <w:sz w:val="18"/>
                <w:szCs w:val="18"/>
              </w:rPr>
            </w:pPr>
            <w:r>
              <w:rPr>
                <w:b/>
                <w:sz w:val="18"/>
                <w:szCs w:val="18"/>
              </w:rPr>
              <w:t>844,100</w:t>
            </w:r>
          </w:p>
        </w:tc>
        <w:tc>
          <w:tcPr>
            <w:tcW w:w="0" w:type="auto"/>
            <w:shd w:val="clear" w:color="auto" w:fill="FFFFFF" w:themeFill="background1"/>
            <w:noWrap/>
            <w:vAlign w:val="center"/>
          </w:tcPr>
          <w:p w14:paraId="749B8A39"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0E12B155" w14:textId="77777777" w:rsidR="00F76607" w:rsidRDefault="001863F0">
            <w:pPr>
              <w:jc w:val="right"/>
              <w:rPr>
                <w:sz w:val="18"/>
                <w:szCs w:val="18"/>
              </w:rPr>
            </w:pPr>
            <w:r>
              <w:rPr>
                <w:sz w:val="18"/>
                <w:szCs w:val="18"/>
              </w:rPr>
              <w:t> </w:t>
            </w:r>
          </w:p>
        </w:tc>
        <w:tc>
          <w:tcPr>
            <w:tcW w:w="0" w:type="auto"/>
            <w:shd w:val="clear" w:color="auto" w:fill="FFFFFF" w:themeFill="background1"/>
            <w:noWrap/>
            <w:vAlign w:val="center"/>
          </w:tcPr>
          <w:p w14:paraId="7E29D0D5" w14:textId="77777777" w:rsidR="00F76607" w:rsidRDefault="001863F0">
            <w:pPr>
              <w:jc w:val="right"/>
              <w:rPr>
                <w:sz w:val="18"/>
                <w:szCs w:val="18"/>
              </w:rPr>
            </w:pPr>
            <w:r>
              <w:rPr>
                <w:sz w:val="18"/>
                <w:szCs w:val="18"/>
              </w:rPr>
              <w:t> </w:t>
            </w:r>
          </w:p>
        </w:tc>
      </w:tr>
    </w:tbl>
    <w:p w14:paraId="42CEF40C" w14:textId="77777777" w:rsidR="00F76607" w:rsidRDefault="001863F0">
      <w:pPr>
        <w:pStyle w:val="VulcanIIbody"/>
        <w:rPr>
          <w:sz w:val="14"/>
          <w:szCs w:val="14"/>
          <w:lang w:val="en-GB"/>
        </w:rPr>
      </w:pPr>
      <w:r>
        <w:rPr>
          <w:sz w:val="14"/>
          <w:szCs w:val="14"/>
          <w:lang w:val="en-GB"/>
        </w:rPr>
        <w:t>* Weighted average yield calculated as estimated rental value (sum of contracted rent and estimated rental value for vacant area) divided by the sum of market value of the portfolio and remaining construction costs per country.</w:t>
      </w:r>
    </w:p>
    <w:p w14:paraId="18753AD7" w14:textId="77777777" w:rsidR="00F76607" w:rsidRDefault="00F76607">
      <w:pPr>
        <w:pStyle w:val="VulcanIIbody"/>
        <w:rPr>
          <w:lang w:val="en-GB"/>
        </w:rPr>
      </w:pPr>
    </w:p>
    <w:p w14:paraId="645F12B6" w14:textId="77777777" w:rsidR="00F76607" w:rsidRDefault="001863F0">
      <w:pPr>
        <w:pStyle w:val="VulcanIILevel1"/>
        <w:rPr>
          <w:lang w:val="en-GB"/>
        </w:rPr>
      </w:pPr>
      <w:bookmarkStart w:id="75" w:name="_Toc460854364"/>
      <w:r>
        <w:rPr>
          <w:lang w:val="en-GB"/>
        </w:rPr>
        <w:t>The Joint Venture with Allianz</w:t>
      </w:r>
    </w:p>
    <w:p w14:paraId="2E5DAA55" w14:textId="77777777" w:rsidR="00F76607" w:rsidRDefault="001863F0">
      <w:pPr>
        <w:pStyle w:val="NormalWeb"/>
        <w:spacing w:before="240" w:after="0"/>
        <w:ind w:firstLine="857"/>
        <w:rPr>
          <w:sz w:val="18"/>
          <w:szCs w:val="18"/>
          <w:lang w:val="en-GB"/>
        </w:rPr>
      </w:pPr>
      <w:r>
        <w:rPr>
          <w:sz w:val="18"/>
          <w:szCs w:val="18"/>
          <w:lang w:val="en-GB"/>
        </w:rPr>
        <w:t>VGP’s management performed a strategic exercise reviewing different alternatives in order to enable the Group to continue to invest in its development pipeline whilst at the same time being adequately financed. During this period the Group came to a view that entering into a joint venture with a long term partner would represent the best alternative to achieve the aforementioned objectives and at the same time maximise shareholder value.</w:t>
      </w:r>
    </w:p>
    <w:p w14:paraId="5A5C4D07" w14:textId="3334A01F" w:rsidR="00F76607" w:rsidRDefault="001863F0">
      <w:pPr>
        <w:pStyle w:val="NormalWeb"/>
        <w:ind w:firstLine="720"/>
        <w:rPr>
          <w:sz w:val="18"/>
          <w:szCs w:val="18"/>
          <w:lang w:val="en-GB"/>
        </w:rPr>
      </w:pPr>
      <w:r>
        <w:rPr>
          <w:sz w:val="18"/>
          <w:szCs w:val="18"/>
          <w:lang w:val="en-GB"/>
        </w:rPr>
        <w:t xml:space="preserve">As a result, VGP entered into a 50:50 joint venture with Allianz during the first quarter of 2016. The Joint Venture’s objective is to build a platform of new, grade A logistics and industrial properties with a key focus on expansion in its core German market and high growth CEE markets, with the aim of delivering stable income-driven returns with potential for capital appreciation. The Joint Venture aims to increase its portfolio size to ca. € 1.7 billion, exclusively via the contribution to the Joint Venture of new logistics developments carried out by VGP. The Joint Venture’s strategy is therefore primarily a hold strategy and its territorial scope can be expanded in order to include other countries, subject to a mutual agreement thereto between VGP and Allianz. The Joint Venture was created pursuant to a share purchase agreement entered into by the Company as seller and Allianz as purchaser relating to the </w:t>
      </w:r>
      <w:r w:rsidR="00AF7864">
        <w:rPr>
          <w:sz w:val="18"/>
          <w:szCs w:val="18"/>
          <w:lang w:val="en-GB"/>
        </w:rPr>
        <w:t>acquisition</w:t>
      </w:r>
      <w:r>
        <w:rPr>
          <w:sz w:val="18"/>
          <w:szCs w:val="18"/>
          <w:lang w:val="en-GB"/>
        </w:rPr>
        <w:t xml:space="preserve"> of 50% of the shares in VGP European Logistics </w:t>
      </w:r>
      <w:proofErr w:type="spellStart"/>
      <w:r>
        <w:rPr>
          <w:sz w:val="18"/>
          <w:szCs w:val="18"/>
          <w:lang w:val="en-GB"/>
        </w:rPr>
        <w:t>S.à</w:t>
      </w:r>
      <w:proofErr w:type="spellEnd"/>
      <w:r>
        <w:rPr>
          <w:sz w:val="18"/>
          <w:szCs w:val="18"/>
          <w:lang w:val="en-GB"/>
        </w:rPr>
        <w:t xml:space="preserve"> </w:t>
      </w:r>
      <w:proofErr w:type="spellStart"/>
      <w:r>
        <w:rPr>
          <w:sz w:val="18"/>
          <w:szCs w:val="18"/>
          <w:lang w:val="en-GB"/>
        </w:rPr>
        <w:t>r.l</w:t>
      </w:r>
      <w:proofErr w:type="spellEnd"/>
      <w:r>
        <w:rPr>
          <w:sz w:val="18"/>
          <w:szCs w:val="18"/>
          <w:lang w:val="en-GB"/>
        </w:rPr>
        <w:t xml:space="preserve">. </w:t>
      </w:r>
      <w:r w:rsidR="001453A8">
        <w:rPr>
          <w:sz w:val="18"/>
          <w:szCs w:val="18"/>
          <w:lang w:val="en-GB"/>
        </w:rPr>
        <w:t>(</w:t>
      </w:r>
      <w:r>
        <w:rPr>
          <w:sz w:val="18"/>
          <w:szCs w:val="18"/>
          <w:lang w:val="en-GB"/>
        </w:rPr>
        <w:t xml:space="preserve">which </w:t>
      </w:r>
      <w:r w:rsidR="00AF7864">
        <w:rPr>
          <w:sz w:val="18"/>
          <w:szCs w:val="18"/>
          <w:lang w:val="en-GB"/>
        </w:rPr>
        <w:t>in turn hold a</w:t>
      </w:r>
      <w:r>
        <w:rPr>
          <w:sz w:val="18"/>
          <w:szCs w:val="18"/>
          <w:lang w:val="en-GB"/>
        </w:rPr>
        <w:t xml:space="preserve"> participation in </w:t>
      </w:r>
      <w:r w:rsidR="00AF7864">
        <w:rPr>
          <w:sz w:val="18"/>
          <w:szCs w:val="18"/>
          <w:lang w:val="en-GB"/>
        </w:rPr>
        <w:t xml:space="preserve">the Group’s </w:t>
      </w:r>
      <w:r w:rsidR="001453A8">
        <w:rPr>
          <w:sz w:val="18"/>
          <w:szCs w:val="18"/>
          <w:lang w:val="en-GB"/>
        </w:rPr>
        <w:t>subsidiaries</w:t>
      </w:r>
      <w:r>
        <w:rPr>
          <w:sz w:val="18"/>
          <w:szCs w:val="18"/>
          <w:lang w:val="en-GB"/>
        </w:rPr>
        <w:t xml:space="preserve"> VGP Hungary </w:t>
      </w:r>
      <w:proofErr w:type="spellStart"/>
      <w:r>
        <w:rPr>
          <w:sz w:val="18"/>
          <w:szCs w:val="18"/>
          <w:lang w:val="en-GB"/>
        </w:rPr>
        <w:t>Kft</w:t>
      </w:r>
      <w:proofErr w:type="spellEnd"/>
      <w:r>
        <w:rPr>
          <w:sz w:val="18"/>
          <w:szCs w:val="18"/>
          <w:lang w:val="en-GB"/>
        </w:rPr>
        <w:t xml:space="preserve">, VGP Park </w:t>
      </w:r>
      <w:proofErr w:type="spellStart"/>
      <w:r>
        <w:rPr>
          <w:sz w:val="18"/>
          <w:szCs w:val="18"/>
          <w:lang w:val="en-GB"/>
        </w:rPr>
        <w:t>Györ</w:t>
      </w:r>
      <w:proofErr w:type="spellEnd"/>
      <w:r>
        <w:rPr>
          <w:sz w:val="18"/>
          <w:szCs w:val="18"/>
          <w:lang w:val="en-GB"/>
        </w:rPr>
        <w:t xml:space="preserve"> </w:t>
      </w:r>
      <w:proofErr w:type="spellStart"/>
      <w:r>
        <w:rPr>
          <w:sz w:val="18"/>
          <w:szCs w:val="18"/>
          <w:lang w:val="en-GB"/>
        </w:rPr>
        <w:t>Kft</w:t>
      </w:r>
      <w:proofErr w:type="spellEnd"/>
      <w:r>
        <w:rPr>
          <w:sz w:val="18"/>
          <w:szCs w:val="18"/>
          <w:lang w:val="en-GB"/>
        </w:rPr>
        <w:t xml:space="preserve"> (</w:t>
      </w:r>
      <w:r w:rsidR="00AF7864">
        <w:rPr>
          <w:sz w:val="18"/>
          <w:szCs w:val="18"/>
          <w:lang w:val="en-GB"/>
        </w:rPr>
        <w:t>owner of</w:t>
      </w:r>
      <w:r>
        <w:rPr>
          <w:sz w:val="18"/>
          <w:szCs w:val="18"/>
          <w:lang w:val="en-GB"/>
        </w:rPr>
        <w:t xml:space="preserve"> the VGP Park </w:t>
      </w:r>
      <w:proofErr w:type="spellStart"/>
      <w:r>
        <w:rPr>
          <w:sz w:val="18"/>
          <w:szCs w:val="18"/>
          <w:lang w:val="en-GB"/>
        </w:rPr>
        <w:t>Györ</w:t>
      </w:r>
      <w:proofErr w:type="spellEnd"/>
      <w:r>
        <w:rPr>
          <w:sz w:val="18"/>
          <w:szCs w:val="18"/>
          <w:lang w:val="en-GB"/>
        </w:rPr>
        <w:t xml:space="preserve">) and VGP Park </w:t>
      </w:r>
      <w:proofErr w:type="spellStart"/>
      <w:r>
        <w:rPr>
          <w:sz w:val="18"/>
          <w:szCs w:val="18"/>
          <w:lang w:val="en-GB"/>
        </w:rPr>
        <w:t>Alsonemedi</w:t>
      </w:r>
      <w:proofErr w:type="spellEnd"/>
      <w:r>
        <w:rPr>
          <w:sz w:val="18"/>
          <w:szCs w:val="18"/>
          <w:lang w:val="en-GB"/>
        </w:rPr>
        <w:t xml:space="preserve"> </w:t>
      </w:r>
      <w:proofErr w:type="spellStart"/>
      <w:r>
        <w:rPr>
          <w:sz w:val="18"/>
          <w:szCs w:val="18"/>
          <w:lang w:val="en-GB"/>
        </w:rPr>
        <w:t>Kft</w:t>
      </w:r>
      <w:proofErr w:type="spellEnd"/>
      <w:r>
        <w:rPr>
          <w:sz w:val="18"/>
          <w:szCs w:val="18"/>
          <w:lang w:val="en-GB"/>
        </w:rPr>
        <w:t xml:space="preserve"> (</w:t>
      </w:r>
      <w:r w:rsidR="00AF7864">
        <w:rPr>
          <w:sz w:val="18"/>
          <w:szCs w:val="18"/>
          <w:lang w:val="en-GB"/>
        </w:rPr>
        <w:t>owner of</w:t>
      </w:r>
      <w:r>
        <w:rPr>
          <w:sz w:val="18"/>
          <w:szCs w:val="18"/>
          <w:lang w:val="en-GB"/>
        </w:rPr>
        <w:t xml:space="preserve"> the VGP Park </w:t>
      </w:r>
      <w:proofErr w:type="spellStart"/>
      <w:r>
        <w:rPr>
          <w:sz w:val="18"/>
          <w:szCs w:val="18"/>
          <w:lang w:val="en-GB"/>
        </w:rPr>
        <w:t>Alsonemedi</w:t>
      </w:r>
      <w:proofErr w:type="spellEnd"/>
      <w:r>
        <w:rPr>
          <w:sz w:val="18"/>
          <w:szCs w:val="18"/>
          <w:lang w:val="en-GB"/>
        </w:rPr>
        <w:t>)</w:t>
      </w:r>
      <w:r w:rsidR="001453A8">
        <w:rPr>
          <w:sz w:val="18"/>
          <w:szCs w:val="18"/>
          <w:lang w:val="en-GB"/>
        </w:rPr>
        <w:t>)</w:t>
      </w:r>
      <w:r>
        <w:rPr>
          <w:sz w:val="18"/>
          <w:szCs w:val="18"/>
          <w:lang w:val="en-GB"/>
        </w:rPr>
        <w:t xml:space="preserve"> (the “Company SPA”).</w:t>
      </w:r>
    </w:p>
    <w:p w14:paraId="2203F0B1" w14:textId="77777777" w:rsidR="00F76607" w:rsidRDefault="001863F0">
      <w:pPr>
        <w:pStyle w:val="NormalWeb"/>
        <w:spacing w:before="240" w:after="0"/>
        <w:ind w:firstLine="857"/>
        <w:rPr>
          <w:sz w:val="18"/>
          <w:szCs w:val="18"/>
          <w:lang w:val="en-GB"/>
        </w:rPr>
      </w:pPr>
      <w:r>
        <w:rPr>
          <w:sz w:val="18"/>
          <w:szCs w:val="18"/>
          <w:lang w:val="en-GB"/>
        </w:rPr>
        <w:t>The joint venture structure allows VGP to (partially) recycle its initial invested capital when completed projects are acquired by the Joint Venture and allows VGP to re-invest these monies in the continued expansion of the development pipeline, including the further expansion of the land bank, thus allowing VGP to concentrate on its core development activities.</w:t>
      </w:r>
    </w:p>
    <w:p w14:paraId="0C358667" w14:textId="77777777" w:rsidR="00F76607" w:rsidRDefault="001863F0">
      <w:pPr>
        <w:pStyle w:val="NormalWeb"/>
        <w:spacing w:before="240" w:after="0"/>
        <w:ind w:firstLine="857"/>
        <w:rPr>
          <w:sz w:val="18"/>
          <w:szCs w:val="18"/>
          <w:lang w:val="en-GB"/>
        </w:rPr>
      </w:pPr>
      <w:r>
        <w:rPr>
          <w:sz w:val="18"/>
          <w:szCs w:val="18"/>
          <w:lang w:val="en-GB"/>
        </w:rPr>
        <w:t xml:space="preserve">The Joint Venture has the exclusive right of first refusal (in accordance with the conditions as set forth in the JVA) in relation to acquiring the income generating assets located in Germany, the Czech Republic, Slovakia and Hungary. </w:t>
      </w:r>
    </w:p>
    <w:p w14:paraId="3DE2F9FD" w14:textId="13BA4E56" w:rsidR="00F76607" w:rsidRDefault="00AF7864" w:rsidP="00411069">
      <w:pPr>
        <w:pStyle w:val="NormalWeb"/>
        <w:ind w:firstLine="857"/>
        <w:rPr>
          <w:sz w:val="18"/>
          <w:szCs w:val="18"/>
          <w:lang w:val="en-GB"/>
        </w:rPr>
      </w:pPr>
      <w:r>
        <w:rPr>
          <w:sz w:val="18"/>
          <w:szCs w:val="18"/>
          <w:lang w:val="en-GB"/>
        </w:rPr>
        <w:lastRenderedPageBreak/>
        <w:t>The f</w:t>
      </w:r>
      <w:r w:rsidR="001863F0">
        <w:rPr>
          <w:sz w:val="18"/>
          <w:szCs w:val="18"/>
          <w:lang w:val="en-GB"/>
        </w:rPr>
        <w:t>ollowing chart gives an overview of a typical cash flow profile for VGP after the closing of a sale to the JV:</w:t>
      </w:r>
    </w:p>
    <w:p w14:paraId="479D4663" w14:textId="15F4EBE5" w:rsidR="00F76607" w:rsidRDefault="001863F0">
      <w:pPr>
        <w:pStyle w:val="ABody"/>
        <w:rPr>
          <w:sz w:val="18"/>
          <w:szCs w:val="18"/>
        </w:rPr>
      </w:pPr>
      <w:r>
        <w:rPr>
          <w:noProof/>
          <w:lang w:val="nl-BE" w:eastAsia="nl-BE"/>
        </w:rPr>
        <w:drawing>
          <wp:inline distT="0" distB="0" distL="0" distR="0" wp14:anchorId="519078AB" wp14:editId="2E72273E">
            <wp:extent cx="6193155" cy="36125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93155" cy="3612515"/>
                    </a:xfrm>
                    <a:prstGeom prst="rect">
                      <a:avLst/>
                    </a:prstGeom>
                  </pic:spPr>
                </pic:pic>
              </a:graphicData>
            </a:graphic>
          </wp:inline>
        </w:drawing>
      </w:r>
    </w:p>
    <w:p w14:paraId="700A7AE4" w14:textId="4916722F" w:rsidR="00B848E4" w:rsidRPr="00B848E4" w:rsidRDefault="00B848E4" w:rsidP="00B848E4">
      <w:pPr>
        <w:pStyle w:val="VulcanIIbody"/>
        <w:rPr>
          <w:sz w:val="14"/>
          <w:szCs w:val="14"/>
        </w:rPr>
      </w:pPr>
      <w:r w:rsidRPr="00B848E4">
        <w:rPr>
          <w:sz w:val="14"/>
          <w:szCs w:val="14"/>
        </w:rPr>
        <w:t>Note: "Shareholder debt” refers to the shareholder loans that remain in place after the closing to the J</w:t>
      </w:r>
      <w:r>
        <w:rPr>
          <w:sz w:val="14"/>
          <w:szCs w:val="14"/>
        </w:rPr>
        <w:t xml:space="preserve">oint </w:t>
      </w:r>
      <w:r w:rsidRPr="00B848E4">
        <w:rPr>
          <w:sz w:val="14"/>
          <w:szCs w:val="14"/>
        </w:rPr>
        <w:t>V</w:t>
      </w:r>
      <w:r>
        <w:rPr>
          <w:sz w:val="14"/>
          <w:szCs w:val="14"/>
        </w:rPr>
        <w:t>enture</w:t>
      </w:r>
      <w:r w:rsidRPr="00B848E4">
        <w:rPr>
          <w:sz w:val="14"/>
          <w:szCs w:val="14"/>
        </w:rPr>
        <w:t xml:space="preserve"> (including development and construction loans) and “Shareholder loans repaid at closing” refers to the portion of the previously existing shareholder loans that is repaid to VGP by the respective subsidiaries </w:t>
      </w:r>
      <w:r w:rsidR="004829E8">
        <w:rPr>
          <w:sz w:val="14"/>
          <w:szCs w:val="14"/>
        </w:rPr>
        <w:t xml:space="preserve">or sold to the Joint Venture </w:t>
      </w:r>
      <w:r w:rsidRPr="00B848E4">
        <w:rPr>
          <w:sz w:val="14"/>
          <w:szCs w:val="14"/>
        </w:rPr>
        <w:t>on closing.</w:t>
      </w:r>
    </w:p>
    <w:p w14:paraId="2F165C54" w14:textId="55529AFD" w:rsidR="00F76607" w:rsidRDefault="001863F0">
      <w:pPr>
        <w:pStyle w:val="NormalWeb"/>
        <w:spacing w:before="240" w:after="0"/>
        <w:ind w:firstLine="857"/>
        <w:rPr>
          <w:sz w:val="18"/>
          <w:szCs w:val="18"/>
          <w:lang w:val="en-GB"/>
        </w:rPr>
      </w:pPr>
      <w:r>
        <w:rPr>
          <w:sz w:val="18"/>
          <w:szCs w:val="18"/>
          <w:lang w:val="en-GB"/>
        </w:rPr>
        <w:t>On 31 May 2016, the then newly established Joint Venture completed its first closing (the “First JV Closing”)</w:t>
      </w:r>
      <w:r w:rsidR="00FF2ECC">
        <w:rPr>
          <w:sz w:val="18"/>
          <w:szCs w:val="18"/>
          <w:lang w:val="en-GB"/>
        </w:rPr>
        <w:t xml:space="preserve"> </w:t>
      </w:r>
      <w:r>
        <w:rPr>
          <w:sz w:val="18"/>
          <w:szCs w:val="18"/>
          <w:lang w:val="en-GB"/>
        </w:rPr>
        <w:t>with the acquisition of the first 15 parks (the “Seed Portfolio”) of VGP via execution of a share purchase agreement between the Joint Venture as purchaser and the Company as seller (the “Seed Portfolio SPA”).</w:t>
      </w:r>
    </w:p>
    <w:p w14:paraId="07E0E07B" w14:textId="7CE988B8" w:rsidR="00F76607" w:rsidRDefault="001863F0" w:rsidP="004829E8">
      <w:pPr>
        <w:pStyle w:val="NormalWeb"/>
        <w:ind w:firstLine="857"/>
        <w:rPr>
          <w:sz w:val="18"/>
          <w:szCs w:val="18"/>
          <w:lang w:val="en-GB"/>
        </w:rPr>
      </w:pPr>
      <w:r>
        <w:rPr>
          <w:sz w:val="18"/>
          <w:szCs w:val="18"/>
          <w:lang w:val="en-GB"/>
        </w:rPr>
        <w:t xml:space="preserve">The Seed Portfolio comprised 8 parks located in Germany: VGP Park </w:t>
      </w:r>
      <w:proofErr w:type="spellStart"/>
      <w:r>
        <w:rPr>
          <w:sz w:val="18"/>
          <w:szCs w:val="18"/>
          <w:lang w:val="en-GB"/>
        </w:rPr>
        <w:t>Bingen</w:t>
      </w:r>
      <w:proofErr w:type="spellEnd"/>
      <w:r>
        <w:rPr>
          <w:sz w:val="18"/>
          <w:szCs w:val="18"/>
          <w:lang w:val="en-GB"/>
        </w:rPr>
        <w:t xml:space="preserve">, VGP Park </w:t>
      </w:r>
      <w:proofErr w:type="spellStart"/>
      <w:r>
        <w:rPr>
          <w:sz w:val="18"/>
          <w:szCs w:val="18"/>
          <w:lang w:val="en-GB"/>
        </w:rPr>
        <w:t>Bobenheim-Roxheim</w:t>
      </w:r>
      <w:proofErr w:type="spellEnd"/>
      <w:r>
        <w:rPr>
          <w:sz w:val="18"/>
          <w:szCs w:val="18"/>
          <w:lang w:val="en-GB"/>
        </w:rPr>
        <w:t xml:space="preserve">, VGP Park </w:t>
      </w:r>
      <w:proofErr w:type="spellStart"/>
      <w:r>
        <w:rPr>
          <w:sz w:val="18"/>
          <w:szCs w:val="18"/>
          <w:lang w:val="en-GB"/>
        </w:rPr>
        <w:t>Frankenthal</w:t>
      </w:r>
      <w:proofErr w:type="spellEnd"/>
      <w:r>
        <w:rPr>
          <w:sz w:val="18"/>
          <w:szCs w:val="18"/>
          <w:lang w:val="en-GB"/>
        </w:rPr>
        <w:t xml:space="preserve">, VGP Park </w:t>
      </w:r>
      <w:proofErr w:type="spellStart"/>
      <w:r>
        <w:rPr>
          <w:sz w:val="18"/>
          <w:szCs w:val="18"/>
          <w:lang w:val="en-GB"/>
        </w:rPr>
        <w:t>Rodgau</w:t>
      </w:r>
      <w:proofErr w:type="spellEnd"/>
      <w:r>
        <w:rPr>
          <w:sz w:val="18"/>
          <w:szCs w:val="18"/>
          <w:lang w:val="en-GB"/>
        </w:rPr>
        <w:t xml:space="preserve">, VGP Park Hamburg, VGP Park Berlin, VGP Park </w:t>
      </w:r>
      <w:proofErr w:type="spellStart"/>
      <w:r>
        <w:rPr>
          <w:sz w:val="18"/>
          <w:szCs w:val="18"/>
          <w:lang w:val="en-GB"/>
        </w:rPr>
        <w:t>Höchstadt</w:t>
      </w:r>
      <w:proofErr w:type="spellEnd"/>
      <w:r>
        <w:rPr>
          <w:sz w:val="18"/>
          <w:szCs w:val="18"/>
          <w:lang w:val="en-GB"/>
        </w:rPr>
        <w:t xml:space="preserve"> and VGP Park </w:t>
      </w:r>
      <w:proofErr w:type="spellStart"/>
      <w:r>
        <w:rPr>
          <w:sz w:val="18"/>
          <w:szCs w:val="18"/>
          <w:lang w:val="en-GB"/>
        </w:rPr>
        <w:t>Borna</w:t>
      </w:r>
      <w:proofErr w:type="spellEnd"/>
      <w:r>
        <w:rPr>
          <w:sz w:val="18"/>
          <w:szCs w:val="18"/>
          <w:lang w:val="en-GB"/>
        </w:rPr>
        <w:t>; 4 parks in t</w:t>
      </w:r>
      <w:r w:rsidR="004829E8">
        <w:rPr>
          <w:sz w:val="18"/>
          <w:szCs w:val="18"/>
          <w:lang w:val="en-GB"/>
        </w:rPr>
        <w:t>he Czech Republic: VGP Park Brno</w:t>
      </w:r>
      <w:r>
        <w:rPr>
          <w:sz w:val="18"/>
          <w:szCs w:val="18"/>
          <w:lang w:val="en-GB"/>
        </w:rPr>
        <w:t xml:space="preserve">, VGP Park Pilsen, VGP Park </w:t>
      </w:r>
      <w:proofErr w:type="spellStart"/>
      <w:r>
        <w:rPr>
          <w:sz w:val="18"/>
          <w:szCs w:val="18"/>
          <w:lang w:val="en-GB"/>
        </w:rPr>
        <w:t>Hrádek</w:t>
      </w:r>
      <w:proofErr w:type="spellEnd"/>
      <w:r>
        <w:rPr>
          <w:sz w:val="18"/>
          <w:szCs w:val="18"/>
          <w:lang w:val="en-GB"/>
        </w:rPr>
        <w:t xml:space="preserve"> </w:t>
      </w:r>
      <w:proofErr w:type="spellStart"/>
      <w:r>
        <w:rPr>
          <w:sz w:val="18"/>
          <w:szCs w:val="18"/>
          <w:lang w:val="en-GB"/>
        </w:rPr>
        <w:t>nad</w:t>
      </w:r>
      <w:proofErr w:type="spellEnd"/>
      <w:r>
        <w:rPr>
          <w:sz w:val="18"/>
          <w:szCs w:val="18"/>
          <w:lang w:val="en-GB"/>
        </w:rPr>
        <w:t xml:space="preserve"> </w:t>
      </w:r>
      <w:proofErr w:type="spellStart"/>
      <w:r>
        <w:rPr>
          <w:sz w:val="18"/>
          <w:szCs w:val="18"/>
          <w:lang w:val="en-GB"/>
        </w:rPr>
        <w:t>Nisou</w:t>
      </w:r>
      <w:proofErr w:type="spellEnd"/>
      <w:r>
        <w:rPr>
          <w:sz w:val="18"/>
          <w:szCs w:val="18"/>
          <w:lang w:val="en-GB"/>
        </w:rPr>
        <w:t xml:space="preserve">, VGP Park Olomouc (first phase); 1 park located in Slovakia: VGP Park </w:t>
      </w:r>
      <w:proofErr w:type="spellStart"/>
      <w:r>
        <w:rPr>
          <w:sz w:val="18"/>
          <w:szCs w:val="18"/>
          <w:lang w:val="en-GB"/>
        </w:rPr>
        <w:t>Malacky</w:t>
      </w:r>
      <w:proofErr w:type="spellEnd"/>
      <w:r>
        <w:rPr>
          <w:sz w:val="18"/>
          <w:szCs w:val="18"/>
          <w:lang w:val="en-GB"/>
        </w:rPr>
        <w:t xml:space="preserve"> and 2 parks located in Hungary: VGP Park </w:t>
      </w:r>
      <w:proofErr w:type="spellStart"/>
      <w:r>
        <w:rPr>
          <w:sz w:val="18"/>
          <w:szCs w:val="18"/>
          <w:lang w:val="en-GB"/>
        </w:rPr>
        <w:t>Győr</w:t>
      </w:r>
      <w:proofErr w:type="spellEnd"/>
      <w:r>
        <w:rPr>
          <w:sz w:val="18"/>
          <w:szCs w:val="18"/>
          <w:lang w:val="en-GB"/>
        </w:rPr>
        <w:t xml:space="preserve"> and VGP Park </w:t>
      </w:r>
      <w:proofErr w:type="spellStart"/>
      <w:r>
        <w:rPr>
          <w:sz w:val="18"/>
          <w:szCs w:val="18"/>
          <w:lang w:val="en-GB"/>
        </w:rPr>
        <w:t>Alsónémedi</w:t>
      </w:r>
      <w:proofErr w:type="spellEnd"/>
      <w:r>
        <w:rPr>
          <w:sz w:val="18"/>
          <w:szCs w:val="18"/>
          <w:lang w:val="en-GB"/>
        </w:rPr>
        <w:t>. As at the First JV Closing these parks included 28</w:t>
      </w:r>
      <w:r>
        <w:rPr>
          <w:sz w:val="18"/>
          <w:szCs w:val="18"/>
          <w:vertAlign w:val="superscript"/>
          <w:lang w:val="en-GB"/>
        </w:rPr>
        <w:footnoteReference w:id="16"/>
      </w:r>
      <w:r>
        <w:rPr>
          <w:sz w:val="18"/>
          <w:szCs w:val="18"/>
          <w:lang w:val="en-GB"/>
        </w:rPr>
        <w:t xml:space="preserve"> completed buildings totalling circa 509,647</w:t>
      </w:r>
      <w:r>
        <w:rPr>
          <w:sz w:val="18"/>
          <w:szCs w:val="18"/>
          <w:vertAlign w:val="superscript"/>
          <w:lang w:val="en-GB"/>
        </w:rPr>
        <w:footnoteReference w:id="17"/>
      </w:r>
      <w:r>
        <w:rPr>
          <w:sz w:val="18"/>
          <w:szCs w:val="18"/>
          <w:lang w:val="en-GB"/>
        </w:rPr>
        <w:t xml:space="preserve"> m², 8 buildings under construction totalling circa 161,073</w:t>
      </w:r>
      <w:r>
        <w:rPr>
          <w:sz w:val="18"/>
          <w:szCs w:val="18"/>
          <w:vertAlign w:val="superscript"/>
          <w:lang w:val="en-GB"/>
        </w:rPr>
        <w:footnoteReference w:id="18"/>
      </w:r>
      <w:r>
        <w:rPr>
          <w:sz w:val="18"/>
          <w:szCs w:val="18"/>
          <w:lang w:val="en-GB"/>
        </w:rPr>
        <w:t xml:space="preserve"> m² and some remaining development land which allows some limited additional developments.</w:t>
      </w:r>
    </w:p>
    <w:p w14:paraId="5910799E" w14:textId="4AB4BB2E" w:rsidR="00F76607" w:rsidRDefault="001863F0">
      <w:pPr>
        <w:pStyle w:val="NormalWeb"/>
        <w:spacing w:before="240" w:after="0"/>
        <w:ind w:firstLine="857"/>
        <w:rPr>
          <w:sz w:val="18"/>
          <w:szCs w:val="18"/>
          <w:lang w:val="en-GB"/>
        </w:rPr>
      </w:pPr>
      <w:r>
        <w:rPr>
          <w:sz w:val="18"/>
          <w:szCs w:val="18"/>
          <w:lang w:val="en-GB"/>
        </w:rPr>
        <w:t>The completed buildings, which, for the majority have been built over the last two years, are of high quality. At the time of closing, the completed buildings were 100%</w:t>
      </w:r>
      <w:r>
        <w:rPr>
          <w:sz w:val="18"/>
          <w:szCs w:val="18"/>
          <w:vertAlign w:val="superscript"/>
          <w:lang w:val="en-GB"/>
        </w:rPr>
        <w:footnoteReference w:id="19"/>
      </w:r>
      <w:r>
        <w:rPr>
          <w:sz w:val="18"/>
          <w:szCs w:val="18"/>
          <w:vertAlign w:val="superscript"/>
          <w:lang w:val="en-GB"/>
        </w:rPr>
        <w:t xml:space="preserve"> </w:t>
      </w:r>
      <w:r>
        <w:rPr>
          <w:sz w:val="18"/>
          <w:szCs w:val="18"/>
          <w:lang w:val="en-GB"/>
        </w:rPr>
        <w:t xml:space="preserve">occupied with a diversified tenant base of over 55 tenants representing Annualised Committed Leases of € 30.4 million. </w:t>
      </w:r>
    </w:p>
    <w:p w14:paraId="68167F4F" w14:textId="3DE8AF0A" w:rsidR="00F76607" w:rsidRDefault="001863F0">
      <w:pPr>
        <w:pStyle w:val="NormalWeb"/>
        <w:spacing w:before="240" w:after="0"/>
        <w:ind w:firstLine="857"/>
        <w:rPr>
          <w:sz w:val="18"/>
          <w:szCs w:val="18"/>
          <w:lang w:val="en-GB"/>
        </w:rPr>
      </w:pPr>
      <w:r>
        <w:rPr>
          <w:sz w:val="18"/>
          <w:szCs w:val="18"/>
          <w:lang w:val="en-GB"/>
        </w:rPr>
        <w:t>A second closing (the “Second JV Closing”)</w:t>
      </w:r>
      <w:r w:rsidR="00940375">
        <w:rPr>
          <w:sz w:val="18"/>
          <w:szCs w:val="18"/>
          <w:lang w:val="en-GB"/>
        </w:rPr>
        <w:t xml:space="preserve"> </w:t>
      </w:r>
      <w:r>
        <w:rPr>
          <w:sz w:val="18"/>
          <w:szCs w:val="18"/>
          <w:lang w:val="en-GB"/>
        </w:rPr>
        <w:t>occurred at the end of October 2016 in which the Joint Venture acquired a further 5 newly completed buildings from VGP. These buildings represented a total lettable area of 82,210 m² occupied by 10 different tenants and representing Annualised Committed Leases totalling € 4.9 million.</w:t>
      </w:r>
    </w:p>
    <w:p w14:paraId="228FDE76" w14:textId="708660C8" w:rsidR="00AF7864" w:rsidRDefault="00AF7864" w:rsidP="00AF7864">
      <w:pPr>
        <w:pStyle w:val="NormalWeb"/>
        <w:spacing w:before="240"/>
        <w:ind w:firstLine="857"/>
        <w:rPr>
          <w:sz w:val="18"/>
          <w:szCs w:val="18"/>
          <w:lang w:val="en-GB"/>
        </w:rPr>
      </w:pPr>
      <w:r w:rsidRPr="00AF7864">
        <w:rPr>
          <w:sz w:val="18"/>
          <w:szCs w:val="18"/>
          <w:lang w:val="en-GB"/>
        </w:rPr>
        <w:t>At the end of May 2017, a third closing (the “Third JV Closing”) occurred with the Joint Venture in which the Joint</w:t>
      </w:r>
      <w:r>
        <w:rPr>
          <w:sz w:val="18"/>
          <w:szCs w:val="18"/>
          <w:lang w:val="en-GB"/>
        </w:rPr>
        <w:t xml:space="preserve"> </w:t>
      </w:r>
      <w:r w:rsidRPr="00AF7864">
        <w:rPr>
          <w:sz w:val="18"/>
          <w:szCs w:val="18"/>
          <w:lang w:val="en-GB"/>
        </w:rPr>
        <w:t>Venture acquired 6 new parks (7 buildings) and another 4 newly completed buildings (in parks which were previously transferred to</w:t>
      </w:r>
      <w:r>
        <w:rPr>
          <w:sz w:val="18"/>
          <w:szCs w:val="18"/>
          <w:lang w:val="en-GB"/>
        </w:rPr>
        <w:t xml:space="preserve"> </w:t>
      </w:r>
      <w:r w:rsidRPr="00AF7864">
        <w:rPr>
          <w:sz w:val="18"/>
          <w:szCs w:val="18"/>
          <w:lang w:val="en-GB"/>
        </w:rPr>
        <w:t>the Joint Venture).</w:t>
      </w:r>
    </w:p>
    <w:p w14:paraId="421EDC88" w14:textId="77777777" w:rsidR="00F76607" w:rsidRDefault="001863F0">
      <w:pPr>
        <w:pStyle w:val="NormalWeb"/>
        <w:spacing w:before="240" w:after="0"/>
        <w:ind w:firstLine="857"/>
        <w:rPr>
          <w:sz w:val="18"/>
          <w:szCs w:val="18"/>
          <w:lang w:val="en-GB"/>
        </w:rPr>
      </w:pPr>
      <w:r>
        <w:rPr>
          <w:sz w:val="18"/>
          <w:szCs w:val="18"/>
          <w:lang w:val="en-GB"/>
        </w:rPr>
        <w:t>The aggregate proceeds received from the sale of First JV Closing and the Second JV Closing can be summarized as follows:</w:t>
      </w:r>
    </w:p>
    <w:tbl>
      <w:tblPr>
        <w:tblW w:w="7081" w:type="dxa"/>
        <w:tblInd w:w="709" w:type="dxa"/>
        <w:tblBorders>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528"/>
        <w:gridCol w:w="1553"/>
      </w:tblGrid>
      <w:tr w:rsidR="00F76607" w14:paraId="148EC5A1" w14:textId="77777777">
        <w:trPr>
          <w:trHeight w:val="252"/>
        </w:trPr>
        <w:tc>
          <w:tcPr>
            <w:tcW w:w="5528" w:type="dxa"/>
            <w:shd w:val="clear" w:color="auto" w:fill="FFFFFF" w:themeFill="background1"/>
            <w:vAlign w:val="center"/>
          </w:tcPr>
          <w:p w14:paraId="34FF1749" w14:textId="77777777" w:rsidR="00F76607" w:rsidRDefault="001863F0" w:rsidP="00940375">
            <w:pPr>
              <w:keepNext/>
              <w:rPr>
                <w:sz w:val="18"/>
                <w:szCs w:val="18"/>
                <w:lang w:val="nl-BE"/>
              </w:rPr>
            </w:pPr>
            <w:r>
              <w:rPr>
                <w:b/>
                <w:bCs/>
                <w:i/>
                <w:iCs/>
                <w:sz w:val="18"/>
                <w:szCs w:val="18"/>
                <w:lang w:val="nl-BE"/>
              </w:rPr>
              <w:lastRenderedPageBreak/>
              <w:t xml:space="preserve">In </w:t>
            </w:r>
            <w:proofErr w:type="spellStart"/>
            <w:r>
              <w:rPr>
                <w:b/>
                <w:bCs/>
                <w:i/>
                <w:iCs/>
                <w:sz w:val="18"/>
                <w:szCs w:val="18"/>
                <w:lang w:val="nl-BE"/>
              </w:rPr>
              <w:t>thousands</w:t>
            </w:r>
            <w:proofErr w:type="spellEnd"/>
            <w:r>
              <w:rPr>
                <w:b/>
                <w:bCs/>
                <w:i/>
                <w:iCs/>
                <w:sz w:val="18"/>
                <w:szCs w:val="18"/>
                <w:lang w:val="nl-BE"/>
              </w:rPr>
              <w:t xml:space="preserve"> of €</w:t>
            </w:r>
          </w:p>
        </w:tc>
        <w:tc>
          <w:tcPr>
            <w:tcW w:w="1553" w:type="dxa"/>
            <w:shd w:val="clear" w:color="auto" w:fill="FFFFFF" w:themeFill="background1"/>
            <w:noWrap/>
            <w:vAlign w:val="center"/>
          </w:tcPr>
          <w:p w14:paraId="392D291B" w14:textId="77777777" w:rsidR="00F76607" w:rsidRDefault="001863F0" w:rsidP="00940375">
            <w:pPr>
              <w:keepNext/>
              <w:ind w:firstLine="489"/>
              <w:jc w:val="right"/>
              <w:rPr>
                <w:sz w:val="18"/>
                <w:szCs w:val="18"/>
                <w:lang w:val="nl-BE"/>
              </w:rPr>
            </w:pPr>
            <w:r>
              <w:rPr>
                <w:b/>
                <w:bCs/>
                <w:sz w:val="18"/>
                <w:szCs w:val="18"/>
                <w:lang w:val="nl-BE"/>
              </w:rPr>
              <w:t>2016</w:t>
            </w:r>
          </w:p>
        </w:tc>
      </w:tr>
      <w:tr w:rsidR="00F76607" w14:paraId="3D21E342" w14:textId="77777777">
        <w:trPr>
          <w:trHeight w:val="252"/>
        </w:trPr>
        <w:tc>
          <w:tcPr>
            <w:tcW w:w="5528" w:type="dxa"/>
            <w:shd w:val="clear" w:color="auto" w:fill="FFFFFF" w:themeFill="background1"/>
            <w:vAlign w:val="bottom"/>
            <w:hideMark/>
          </w:tcPr>
          <w:p w14:paraId="44407CA4" w14:textId="77777777" w:rsidR="00F76607" w:rsidRDefault="001863F0">
            <w:pPr>
              <w:rPr>
                <w:sz w:val="18"/>
                <w:szCs w:val="18"/>
                <w:lang w:val="nl-BE"/>
              </w:rPr>
            </w:pPr>
            <w:r>
              <w:rPr>
                <w:sz w:val="18"/>
                <w:szCs w:val="18"/>
                <w:lang w:val="nl-BE"/>
              </w:rPr>
              <w:t>Investment property</w:t>
            </w:r>
          </w:p>
        </w:tc>
        <w:tc>
          <w:tcPr>
            <w:tcW w:w="1553" w:type="dxa"/>
            <w:shd w:val="clear" w:color="auto" w:fill="FFFFFF" w:themeFill="background1"/>
            <w:noWrap/>
            <w:vAlign w:val="bottom"/>
          </w:tcPr>
          <w:p w14:paraId="78FA8088" w14:textId="77777777" w:rsidR="00F76607" w:rsidRDefault="001863F0">
            <w:pPr>
              <w:ind w:firstLine="489"/>
              <w:jc w:val="right"/>
              <w:rPr>
                <w:sz w:val="18"/>
                <w:szCs w:val="18"/>
                <w:lang w:val="nl-BE"/>
              </w:rPr>
            </w:pPr>
            <w:r>
              <w:rPr>
                <w:sz w:val="18"/>
                <w:szCs w:val="18"/>
                <w:lang w:val="nl-BE"/>
              </w:rPr>
              <w:t>534,035</w:t>
            </w:r>
          </w:p>
        </w:tc>
      </w:tr>
      <w:tr w:rsidR="00F76607" w14:paraId="7A81D1FF" w14:textId="77777777">
        <w:trPr>
          <w:trHeight w:val="252"/>
        </w:trPr>
        <w:tc>
          <w:tcPr>
            <w:tcW w:w="5528" w:type="dxa"/>
            <w:shd w:val="clear" w:color="auto" w:fill="FFFFFF" w:themeFill="background1"/>
            <w:vAlign w:val="bottom"/>
            <w:hideMark/>
          </w:tcPr>
          <w:p w14:paraId="58182C93" w14:textId="77777777" w:rsidR="00F76607" w:rsidRDefault="001863F0">
            <w:pPr>
              <w:rPr>
                <w:sz w:val="18"/>
                <w:szCs w:val="18"/>
                <w:lang w:val="nl-BE"/>
              </w:rPr>
            </w:pPr>
            <w:r>
              <w:rPr>
                <w:sz w:val="18"/>
                <w:szCs w:val="18"/>
                <w:lang w:val="nl-BE"/>
              </w:rPr>
              <w:t xml:space="preserve">Trade and </w:t>
            </w:r>
            <w:proofErr w:type="spellStart"/>
            <w:r>
              <w:rPr>
                <w:sz w:val="18"/>
                <w:szCs w:val="18"/>
                <w:lang w:val="nl-BE"/>
              </w:rPr>
              <w:t>other</w:t>
            </w:r>
            <w:proofErr w:type="spellEnd"/>
            <w:r>
              <w:rPr>
                <w:sz w:val="18"/>
                <w:szCs w:val="18"/>
                <w:lang w:val="nl-BE"/>
              </w:rPr>
              <w:t xml:space="preserve"> </w:t>
            </w:r>
            <w:proofErr w:type="spellStart"/>
            <w:r>
              <w:rPr>
                <w:sz w:val="18"/>
                <w:szCs w:val="18"/>
                <w:lang w:val="nl-BE"/>
              </w:rPr>
              <w:t>receivables</w:t>
            </w:r>
            <w:proofErr w:type="spellEnd"/>
          </w:p>
        </w:tc>
        <w:tc>
          <w:tcPr>
            <w:tcW w:w="1553" w:type="dxa"/>
            <w:shd w:val="clear" w:color="auto" w:fill="FFFFFF" w:themeFill="background1"/>
            <w:noWrap/>
            <w:vAlign w:val="bottom"/>
          </w:tcPr>
          <w:p w14:paraId="3272D5D3" w14:textId="77777777" w:rsidR="00F76607" w:rsidRDefault="001863F0">
            <w:pPr>
              <w:ind w:firstLine="489"/>
              <w:jc w:val="right"/>
              <w:rPr>
                <w:sz w:val="18"/>
                <w:szCs w:val="18"/>
                <w:lang w:val="nl-BE"/>
              </w:rPr>
            </w:pPr>
            <w:r>
              <w:rPr>
                <w:sz w:val="18"/>
                <w:szCs w:val="18"/>
                <w:lang w:val="nl-BE"/>
              </w:rPr>
              <w:t>7,613</w:t>
            </w:r>
          </w:p>
        </w:tc>
      </w:tr>
      <w:tr w:rsidR="00F76607" w14:paraId="0DB15687" w14:textId="77777777">
        <w:trPr>
          <w:trHeight w:val="264"/>
        </w:trPr>
        <w:tc>
          <w:tcPr>
            <w:tcW w:w="5528" w:type="dxa"/>
            <w:shd w:val="clear" w:color="auto" w:fill="FFFFFF" w:themeFill="background1"/>
            <w:vAlign w:val="bottom"/>
            <w:hideMark/>
          </w:tcPr>
          <w:p w14:paraId="61621560" w14:textId="77777777" w:rsidR="00F76607" w:rsidRDefault="001863F0">
            <w:pPr>
              <w:rPr>
                <w:sz w:val="18"/>
                <w:szCs w:val="18"/>
                <w:lang w:val="nl-BE"/>
              </w:rPr>
            </w:pPr>
            <w:r>
              <w:rPr>
                <w:sz w:val="18"/>
                <w:szCs w:val="18"/>
                <w:lang w:val="nl-BE"/>
              </w:rPr>
              <w:t xml:space="preserve">Cash and cash </w:t>
            </w:r>
            <w:proofErr w:type="spellStart"/>
            <w:r>
              <w:rPr>
                <w:sz w:val="18"/>
                <w:szCs w:val="18"/>
                <w:lang w:val="nl-BE"/>
              </w:rPr>
              <w:t>equivalents</w:t>
            </w:r>
            <w:proofErr w:type="spellEnd"/>
          </w:p>
        </w:tc>
        <w:tc>
          <w:tcPr>
            <w:tcW w:w="1553" w:type="dxa"/>
            <w:shd w:val="clear" w:color="auto" w:fill="FFFFFF" w:themeFill="background1"/>
            <w:vAlign w:val="bottom"/>
          </w:tcPr>
          <w:p w14:paraId="0ADAF9E4" w14:textId="77777777" w:rsidR="00F76607" w:rsidRDefault="001863F0">
            <w:pPr>
              <w:ind w:firstLine="489"/>
              <w:jc w:val="right"/>
              <w:rPr>
                <w:sz w:val="18"/>
                <w:szCs w:val="18"/>
                <w:lang w:val="nl-BE"/>
              </w:rPr>
            </w:pPr>
            <w:r>
              <w:rPr>
                <w:sz w:val="18"/>
                <w:szCs w:val="18"/>
                <w:lang w:val="nl-BE"/>
              </w:rPr>
              <w:t>10,288</w:t>
            </w:r>
          </w:p>
        </w:tc>
      </w:tr>
      <w:tr w:rsidR="00F76607" w14:paraId="02D444D9" w14:textId="77777777">
        <w:trPr>
          <w:trHeight w:val="252"/>
        </w:trPr>
        <w:tc>
          <w:tcPr>
            <w:tcW w:w="5528" w:type="dxa"/>
            <w:shd w:val="clear" w:color="auto" w:fill="FFFFFF" w:themeFill="background1"/>
            <w:vAlign w:val="bottom"/>
            <w:hideMark/>
          </w:tcPr>
          <w:p w14:paraId="67514372" w14:textId="77777777" w:rsidR="00F76607" w:rsidRDefault="001863F0">
            <w:pPr>
              <w:rPr>
                <w:sz w:val="18"/>
                <w:szCs w:val="18"/>
                <w:lang w:val="nl-BE"/>
              </w:rPr>
            </w:pPr>
            <w:r>
              <w:rPr>
                <w:sz w:val="18"/>
                <w:szCs w:val="18"/>
                <w:lang w:val="nl-BE"/>
              </w:rPr>
              <w:t>Non-</w:t>
            </w:r>
            <w:proofErr w:type="spellStart"/>
            <w:r>
              <w:rPr>
                <w:sz w:val="18"/>
                <w:szCs w:val="18"/>
                <w:lang w:val="nl-BE"/>
              </w:rPr>
              <w:t>current</w:t>
            </w:r>
            <w:proofErr w:type="spellEnd"/>
            <w:r>
              <w:rPr>
                <w:sz w:val="18"/>
                <w:szCs w:val="18"/>
                <w:lang w:val="nl-BE"/>
              </w:rPr>
              <w:t xml:space="preserve"> financial </w:t>
            </w:r>
            <w:proofErr w:type="spellStart"/>
            <w:r>
              <w:rPr>
                <w:sz w:val="18"/>
                <w:szCs w:val="18"/>
                <w:lang w:val="nl-BE"/>
              </w:rPr>
              <w:t>debt</w:t>
            </w:r>
            <w:proofErr w:type="spellEnd"/>
          </w:p>
        </w:tc>
        <w:tc>
          <w:tcPr>
            <w:tcW w:w="1553" w:type="dxa"/>
            <w:shd w:val="clear" w:color="auto" w:fill="FFFFFF" w:themeFill="background1"/>
            <w:noWrap/>
            <w:vAlign w:val="bottom"/>
          </w:tcPr>
          <w:p w14:paraId="3395546A" w14:textId="77777777" w:rsidR="00F76607" w:rsidRDefault="001863F0">
            <w:pPr>
              <w:ind w:firstLine="489"/>
              <w:jc w:val="right"/>
              <w:rPr>
                <w:sz w:val="18"/>
                <w:szCs w:val="18"/>
                <w:lang w:val="nl-BE"/>
              </w:rPr>
            </w:pPr>
            <w:r>
              <w:rPr>
                <w:sz w:val="18"/>
                <w:szCs w:val="18"/>
                <w:lang w:val="nl-BE"/>
              </w:rPr>
              <w:t>(128,678)</w:t>
            </w:r>
          </w:p>
        </w:tc>
      </w:tr>
      <w:tr w:rsidR="00F76607" w14:paraId="31D5E882" w14:textId="77777777">
        <w:trPr>
          <w:trHeight w:val="252"/>
        </w:trPr>
        <w:tc>
          <w:tcPr>
            <w:tcW w:w="5528" w:type="dxa"/>
            <w:shd w:val="clear" w:color="auto" w:fill="FFFFFF" w:themeFill="background1"/>
            <w:vAlign w:val="bottom"/>
            <w:hideMark/>
          </w:tcPr>
          <w:p w14:paraId="2461E03F" w14:textId="77777777" w:rsidR="00F76607" w:rsidRDefault="001863F0">
            <w:pPr>
              <w:rPr>
                <w:sz w:val="18"/>
                <w:szCs w:val="18"/>
                <w:lang w:val="nl-BE"/>
              </w:rPr>
            </w:pPr>
            <w:proofErr w:type="spellStart"/>
            <w:r>
              <w:rPr>
                <w:sz w:val="18"/>
                <w:szCs w:val="18"/>
                <w:lang w:val="nl-BE"/>
              </w:rPr>
              <w:t>Shareholder</w:t>
            </w:r>
            <w:proofErr w:type="spellEnd"/>
            <w:r>
              <w:rPr>
                <w:sz w:val="18"/>
                <w:szCs w:val="18"/>
                <w:lang w:val="nl-BE"/>
              </w:rPr>
              <w:t xml:space="preserve"> </w:t>
            </w:r>
            <w:proofErr w:type="spellStart"/>
            <w:r>
              <w:rPr>
                <w:sz w:val="18"/>
                <w:szCs w:val="18"/>
                <w:lang w:val="nl-BE"/>
              </w:rPr>
              <w:t>Debt</w:t>
            </w:r>
            <w:proofErr w:type="spellEnd"/>
            <w:r>
              <w:rPr>
                <w:sz w:val="18"/>
                <w:szCs w:val="18"/>
                <w:lang w:val="nl-BE"/>
              </w:rPr>
              <w:t>*</w:t>
            </w:r>
          </w:p>
        </w:tc>
        <w:tc>
          <w:tcPr>
            <w:tcW w:w="1553" w:type="dxa"/>
            <w:shd w:val="clear" w:color="auto" w:fill="FFFFFF" w:themeFill="background1"/>
            <w:noWrap/>
            <w:vAlign w:val="bottom"/>
          </w:tcPr>
          <w:p w14:paraId="59E49932" w14:textId="77777777" w:rsidR="00F76607" w:rsidRDefault="001863F0">
            <w:pPr>
              <w:ind w:firstLine="489"/>
              <w:jc w:val="right"/>
              <w:rPr>
                <w:sz w:val="18"/>
                <w:szCs w:val="18"/>
                <w:lang w:val="nl-BE"/>
              </w:rPr>
            </w:pPr>
            <w:r>
              <w:rPr>
                <w:sz w:val="18"/>
                <w:szCs w:val="18"/>
                <w:lang w:val="nl-BE"/>
              </w:rPr>
              <w:t>(222,572)</w:t>
            </w:r>
          </w:p>
        </w:tc>
      </w:tr>
      <w:tr w:rsidR="00F76607" w14:paraId="0E73D888" w14:textId="77777777">
        <w:trPr>
          <w:trHeight w:val="264"/>
        </w:trPr>
        <w:tc>
          <w:tcPr>
            <w:tcW w:w="5528" w:type="dxa"/>
            <w:shd w:val="clear" w:color="auto" w:fill="FFFFFF" w:themeFill="background1"/>
            <w:vAlign w:val="bottom"/>
            <w:hideMark/>
          </w:tcPr>
          <w:p w14:paraId="764598CB" w14:textId="77777777" w:rsidR="00F76607" w:rsidRDefault="001863F0">
            <w:pPr>
              <w:rPr>
                <w:sz w:val="18"/>
                <w:szCs w:val="18"/>
                <w:lang w:val="nl-BE"/>
              </w:rPr>
            </w:pPr>
            <w:proofErr w:type="spellStart"/>
            <w:r>
              <w:rPr>
                <w:sz w:val="18"/>
                <w:szCs w:val="18"/>
                <w:lang w:val="nl-BE"/>
              </w:rPr>
              <w:t>Other</w:t>
            </w:r>
            <w:proofErr w:type="spellEnd"/>
            <w:r>
              <w:rPr>
                <w:sz w:val="18"/>
                <w:szCs w:val="18"/>
                <w:lang w:val="nl-BE"/>
              </w:rPr>
              <w:t xml:space="preserve"> non-</w:t>
            </w:r>
            <w:proofErr w:type="spellStart"/>
            <w:r>
              <w:rPr>
                <w:sz w:val="18"/>
                <w:szCs w:val="18"/>
                <w:lang w:val="nl-BE"/>
              </w:rPr>
              <w:t>current</w:t>
            </w:r>
            <w:proofErr w:type="spellEnd"/>
            <w:r>
              <w:rPr>
                <w:sz w:val="18"/>
                <w:szCs w:val="18"/>
                <w:lang w:val="nl-BE"/>
              </w:rPr>
              <w:t xml:space="preserve"> financial </w:t>
            </w:r>
            <w:proofErr w:type="spellStart"/>
            <w:r>
              <w:rPr>
                <w:sz w:val="18"/>
                <w:szCs w:val="18"/>
                <w:lang w:val="nl-BE"/>
              </w:rPr>
              <w:t>liabilities</w:t>
            </w:r>
            <w:proofErr w:type="spellEnd"/>
          </w:p>
        </w:tc>
        <w:tc>
          <w:tcPr>
            <w:tcW w:w="1553" w:type="dxa"/>
            <w:shd w:val="clear" w:color="auto" w:fill="FFFFFF" w:themeFill="background1"/>
            <w:vAlign w:val="bottom"/>
          </w:tcPr>
          <w:p w14:paraId="67038E38" w14:textId="77777777" w:rsidR="00F76607" w:rsidRDefault="001863F0">
            <w:pPr>
              <w:ind w:firstLine="489"/>
              <w:jc w:val="right"/>
              <w:rPr>
                <w:sz w:val="18"/>
                <w:szCs w:val="18"/>
                <w:lang w:val="nl-BE"/>
              </w:rPr>
            </w:pPr>
            <w:r>
              <w:rPr>
                <w:sz w:val="18"/>
                <w:szCs w:val="18"/>
                <w:lang w:val="nl-BE"/>
              </w:rPr>
              <w:t>(888)</w:t>
            </w:r>
          </w:p>
        </w:tc>
      </w:tr>
      <w:tr w:rsidR="00F76607" w14:paraId="723C4447" w14:textId="77777777">
        <w:trPr>
          <w:trHeight w:val="252"/>
        </w:trPr>
        <w:tc>
          <w:tcPr>
            <w:tcW w:w="5528" w:type="dxa"/>
            <w:shd w:val="clear" w:color="auto" w:fill="FFFFFF" w:themeFill="background1"/>
            <w:vAlign w:val="bottom"/>
            <w:hideMark/>
          </w:tcPr>
          <w:p w14:paraId="0D469940" w14:textId="77777777" w:rsidR="00F76607" w:rsidRDefault="001863F0">
            <w:pPr>
              <w:rPr>
                <w:sz w:val="18"/>
                <w:szCs w:val="18"/>
                <w:lang w:val="nl-BE"/>
              </w:rPr>
            </w:pPr>
            <w:proofErr w:type="spellStart"/>
            <w:r>
              <w:rPr>
                <w:sz w:val="18"/>
                <w:szCs w:val="18"/>
                <w:lang w:val="nl-BE"/>
              </w:rPr>
              <w:t>Deferred</w:t>
            </w:r>
            <w:proofErr w:type="spellEnd"/>
            <w:r>
              <w:rPr>
                <w:sz w:val="18"/>
                <w:szCs w:val="18"/>
                <w:lang w:val="nl-BE"/>
              </w:rPr>
              <w:t xml:space="preserve"> </w:t>
            </w:r>
            <w:proofErr w:type="spellStart"/>
            <w:r>
              <w:rPr>
                <w:sz w:val="18"/>
                <w:szCs w:val="18"/>
                <w:lang w:val="nl-BE"/>
              </w:rPr>
              <w:t>tax</w:t>
            </w:r>
            <w:proofErr w:type="spellEnd"/>
            <w:r>
              <w:rPr>
                <w:sz w:val="18"/>
                <w:szCs w:val="18"/>
                <w:lang w:val="nl-BE"/>
              </w:rPr>
              <w:t xml:space="preserve"> </w:t>
            </w:r>
            <w:proofErr w:type="spellStart"/>
            <w:r>
              <w:rPr>
                <w:sz w:val="18"/>
                <w:szCs w:val="18"/>
                <w:lang w:val="nl-BE"/>
              </w:rPr>
              <w:t>liabilities</w:t>
            </w:r>
            <w:proofErr w:type="spellEnd"/>
          </w:p>
        </w:tc>
        <w:tc>
          <w:tcPr>
            <w:tcW w:w="1553" w:type="dxa"/>
            <w:shd w:val="clear" w:color="auto" w:fill="FFFFFF" w:themeFill="background1"/>
            <w:noWrap/>
            <w:vAlign w:val="bottom"/>
          </w:tcPr>
          <w:p w14:paraId="6871D66F" w14:textId="77777777" w:rsidR="00F76607" w:rsidRDefault="001863F0">
            <w:pPr>
              <w:ind w:firstLine="489"/>
              <w:jc w:val="right"/>
              <w:rPr>
                <w:sz w:val="18"/>
                <w:szCs w:val="18"/>
                <w:lang w:val="nl-BE"/>
              </w:rPr>
            </w:pPr>
            <w:r>
              <w:rPr>
                <w:sz w:val="18"/>
                <w:szCs w:val="18"/>
                <w:lang w:val="nl-BE"/>
              </w:rPr>
              <w:t>(32,064)</w:t>
            </w:r>
          </w:p>
        </w:tc>
      </w:tr>
      <w:tr w:rsidR="00F76607" w14:paraId="44AA59AA" w14:textId="77777777">
        <w:trPr>
          <w:trHeight w:val="252"/>
        </w:trPr>
        <w:tc>
          <w:tcPr>
            <w:tcW w:w="5528" w:type="dxa"/>
            <w:shd w:val="clear" w:color="auto" w:fill="FFFFFF" w:themeFill="background1"/>
            <w:vAlign w:val="bottom"/>
            <w:hideMark/>
          </w:tcPr>
          <w:p w14:paraId="0D143D79" w14:textId="77777777" w:rsidR="00F76607" w:rsidRDefault="001863F0">
            <w:pPr>
              <w:rPr>
                <w:sz w:val="18"/>
                <w:szCs w:val="18"/>
                <w:lang w:val="en-GB"/>
              </w:rPr>
            </w:pPr>
            <w:r>
              <w:rPr>
                <w:sz w:val="18"/>
                <w:szCs w:val="18"/>
                <w:lang w:val="en-GB"/>
              </w:rPr>
              <w:t>Trade debts and other current liabilities</w:t>
            </w:r>
          </w:p>
        </w:tc>
        <w:tc>
          <w:tcPr>
            <w:tcW w:w="1553" w:type="dxa"/>
            <w:shd w:val="clear" w:color="auto" w:fill="FFFFFF" w:themeFill="background1"/>
            <w:noWrap/>
            <w:vAlign w:val="bottom"/>
          </w:tcPr>
          <w:p w14:paraId="5C87112A" w14:textId="77777777" w:rsidR="00F76607" w:rsidRDefault="001863F0">
            <w:pPr>
              <w:ind w:firstLine="489"/>
              <w:jc w:val="right"/>
              <w:rPr>
                <w:sz w:val="18"/>
                <w:szCs w:val="18"/>
                <w:lang w:val="nl-BE"/>
              </w:rPr>
            </w:pPr>
            <w:r>
              <w:rPr>
                <w:sz w:val="18"/>
                <w:szCs w:val="18"/>
                <w:lang w:val="nl-BE"/>
              </w:rPr>
              <w:t>(11,782)</w:t>
            </w:r>
          </w:p>
        </w:tc>
      </w:tr>
      <w:tr w:rsidR="00F76607" w14:paraId="615B0291" w14:textId="77777777">
        <w:trPr>
          <w:trHeight w:val="264"/>
        </w:trPr>
        <w:tc>
          <w:tcPr>
            <w:tcW w:w="5528" w:type="dxa"/>
            <w:shd w:val="clear" w:color="auto" w:fill="FFFFFF" w:themeFill="background1"/>
            <w:vAlign w:val="bottom"/>
            <w:hideMark/>
          </w:tcPr>
          <w:p w14:paraId="563EADB1" w14:textId="77777777" w:rsidR="00F76607" w:rsidRDefault="001863F0">
            <w:pPr>
              <w:rPr>
                <w:b/>
                <w:bCs/>
                <w:sz w:val="18"/>
                <w:szCs w:val="18"/>
                <w:lang w:val="nl-BE"/>
              </w:rPr>
            </w:pPr>
            <w:r>
              <w:rPr>
                <w:b/>
                <w:bCs/>
                <w:sz w:val="18"/>
                <w:szCs w:val="18"/>
                <w:lang w:val="nl-BE"/>
              </w:rPr>
              <w:t xml:space="preserve">Total net assets </w:t>
            </w:r>
            <w:proofErr w:type="spellStart"/>
            <w:r>
              <w:rPr>
                <w:b/>
                <w:bCs/>
                <w:sz w:val="18"/>
                <w:szCs w:val="18"/>
                <w:lang w:val="nl-BE"/>
              </w:rPr>
              <w:t>disposed</w:t>
            </w:r>
            <w:proofErr w:type="spellEnd"/>
          </w:p>
        </w:tc>
        <w:tc>
          <w:tcPr>
            <w:tcW w:w="1553" w:type="dxa"/>
            <w:shd w:val="clear" w:color="auto" w:fill="FFFFFF" w:themeFill="background1"/>
            <w:vAlign w:val="bottom"/>
          </w:tcPr>
          <w:p w14:paraId="3D9A3E76" w14:textId="77777777" w:rsidR="00F76607" w:rsidRDefault="001863F0">
            <w:pPr>
              <w:ind w:firstLine="489"/>
              <w:jc w:val="right"/>
              <w:rPr>
                <w:b/>
                <w:bCs/>
                <w:sz w:val="18"/>
                <w:szCs w:val="18"/>
                <w:lang w:val="nl-BE"/>
              </w:rPr>
            </w:pPr>
            <w:r>
              <w:rPr>
                <w:b/>
                <w:bCs/>
                <w:sz w:val="18"/>
                <w:szCs w:val="18"/>
                <w:lang w:val="nl-BE"/>
              </w:rPr>
              <w:t>155,952</w:t>
            </w:r>
          </w:p>
        </w:tc>
      </w:tr>
      <w:tr w:rsidR="00F76607" w14:paraId="65562C5C" w14:textId="77777777">
        <w:trPr>
          <w:trHeight w:val="252"/>
        </w:trPr>
        <w:tc>
          <w:tcPr>
            <w:tcW w:w="5528" w:type="dxa"/>
            <w:shd w:val="clear" w:color="auto" w:fill="FFFFFF" w:themeFill="background1"/>
            <w:vAlign w:val="bottom"/>
            <w:hideMark/>
          </w:tcPr>
          <w:p w14:paraId="7B7E5C60" w14:textId="77777777" w:rsidR="00F76607" w:rsidRDefault="001863F0">
            <w:pPr>
              <w:rPr>
                <w:sz w:val="18"/>
                <w:szCs w:val="18"/>
                <w:lang w:val="en-GB"/>
              </w:rPr>
            </w:pPr>
            <w:r>
              <w:rPr>
                <w:sz w:val="18"/>
                <w:szCs w:val="18"/>
                <w:lang w:val="en-GB"/>
              </w:rPr>
              <w:t>Realised valuation gain on sale</w:t>
            </w:r>
          </w:p>
        </w:tc>
        <w:tc>
          <w:tcPr>
            <w:tcW w:w="1553" w:type="dxa"/>
            <w:shd w:val="clear" w:color="auto" w:fill="FFFFFF" w:themeFill="background1"/>
            <w:noWrap/>
            <w:vAlign w:val="bottom"/>
          </w:tcPr>
          <w:p w14:paraId="39AAB7B3" w14:textId="77777777" w:rsidR="00F76607" w:rsidRDefault="001863F0">
            <w:pPr>
              <w:ind w:firstLine="489"/>
              <w:jc w:val="right"/>
              <w:rPr>
                <w:sz w:val="18"/>
                <w:szCs w:val="18"/>
                <w:lang w:val="nl-BE"/>
              </w:rPr>
            </w:pPr>
            <w:r>
              <w:rPr>
                <w:sz w:val="18"/>
                <w:szCs w:val="18"/>
                <w:lang w:val="nl-BE"/>
              </w:rPr>
              <w:t>21,184</w:t>
            </w:r>
          </w:p>
        </w:tc>
      </w:tr>
      <w:tr w:rsidR="00F76607" w14:paraId="29DE3F1B" w14:textId="77777777">
        <w:trPr>
          <w:trHeight w:val="252"/>
        </w:trPr>
        <w:tc>
          <w:tcPr>
            <w:tcW w:w="5528" w:type="dxa"/>
            <w:shd w:val="clear" w:color="auto" w:fill="FFFFFF" w:themeFill="background1"/>
            <w:vAlign w:val="bottom"/>
            <w:hideMark/>
          </w:tcPr>
          <w:p w14:paraId="35F0B990" w14:textId="77777777" w:rsidR="00F76607" w:rsidRDefault="001863F0">
            <w:pPr>
              <w:rPr>
                <w:sz w:val="18"/>
                <w:szCs w:val="18"/>
                <w:lang w:val="en-GB"/>
              </w:rPr>
            </w:pPr>
            <w:r>
              <w:rPr>
                <w:sz w:val="18"/>
                <w:szCs w:val="18"/>
                <w:lang w:val="en-GB"/>
              </w:rPr>
              <w:t>Total non-controlling interest retained by VGP</w:t>
            </w:r>
          </w:p>
        </w:tc>
        <w:tc>
          <w:tcPr>
            <w:tcW w:w="1553" w:type="dxa"/>
            <w:shd w:val="clear" w:color="auto" w:fill="FFFFFF" w:themeFill="background1"/>
            <w:noWrap/>
            <w:vAlign w:val="bottom"/>
          </w:tcPr>
          <w:p w14:paraId="6F0B919E" w14:textId="77777777" w:rsidR="00F76607" w:rsidRDefault="001863F0">
            <w:pPr>
              <w:ind w:firstLine="489"/>
              <w:jc w:val="right"/>
              <w:rPr>
                <w:sz w:val="18"/>
                <w:szCs w:val="18"/>
                <w:lang w:val="nl-BE"/>
              </w:rPr>
            </w:pPr>
            <w:r>
              <w:rPr>
                <w:sz w:val="18"/>
                <w:szCs w:val="18"/>
                <w:lang w:val="nl-BE"/>
              </w:rPr>
              <w:t>(4,940)</w:t>
            </w:r>
          </w:p>
        </w:tc>
      </w:tr>
      <w:tr w:rsidR="00F76607" w14:paraId="08D45632" w14:textId="77777777">
        <w:trPr>
          <w:trHeight w:val="264"/>
        </w:trPr>
        <w:tc>
          <w:tcPr>
            <w:tcW w:w="5528" w:type="dxa"/>
            <w:shd w:val="clear" w:color="auto" w:fill="FFFFFF" w:themeFill="background1"/>
            <w:vAlign w:val="bottom"/>
            <w:hideMark/>
          </w:tcPr>
          <w:p w14:paraId="4E27A714" w14:textId="77777777" w:rsidR="00F76607" w:rsidRDefault="001863F0">
            <w:pPr>
              <w:rPr>
                <w:sz w:val="18"/>
                <w:szCs w:val="18"/>
                <w:lang w:val="en-GB"/>
              </w:rPr>
            </w:pPr>
            <w:r>
              <w:rPr>
                <w:sz w:val="18"/>
                <w:szCs w:val="18"/>
                <w:lang w:val="en-GB"/>
              </w:rPr>
              <w:t>Shareholder loans repaid at closing**</w:t>
            </w:r>
          </w:p>
        </w:tc>
        <w:tc>
          <w:tcPr>
            <w:tcW w:w="1553" w:type="dxa"/>
            <w:shd w:val="clear" w:color="auto" w:fill="FFFFFF" w:themeFill="background1"/>
            <w:vAlign w:val="bottom"/>
          </w:tcPr>
          <w:p w14:paraId="624193EA" w14:textId="77777777" w:rsidR="00F76607" w:rsidRDefault="001863F0">
            <w:pPr>
              <w:ind w:firstLine="489"/>
              <w:jc w:val="right"/>
              <w:rPr>
                <w:sz w:val="18"/>
                <w:szCs w:val="18"/>
                <w:lang w:val="nl-BE"/>
              </w:rPr>
            </w:pPr>
            <w:r>
              <w:rPr>
                <w:sz w:val="18"/>
                <w:szCs w:val="18"/>
                <w:lang w:val="nl-BE"/>
              </w:rPr>
              <w:t>150,612</w:t>
            </w:r>
          </w:p>
        </w:tc>
      </w:tr>
      <w:tr w:rsidR="00F76607" w14:paraId="43698899" w14:textId="77777777">
        <w:trPr>
          <w:trHeight w:val="252"/>
        </w:trPr>
        <w:tc>
          <w:tcPr>
            <w:tcW w:w="5528" w:type="dxa"/>
            <w:shd w:val="clear" w:color="auto" w:fill="FFFFFF" w:themeFill="background1"/>
            <w:vAlign w:val="bottom"/>
            <w:hideMark/>
          </w:tcPr>
          <w:p w14:paraId="54FB7C01" w14:textId="77777777" w:rsidR="00F76607" w:rsidRDefault="001863F0">
            <w:pPr>
              <w:rPr>
                <w:sz w:val="18"/>
                <w:szCs w:val="18"/>
                <w:lang w:val="nl-BE"/>
              </w:rPr>
            </w:pPr>
            <w:proofErr w:type="spellStart"/>
            <w:r>
              <w:rPr>
                <w:sz w:val="18"/>
                <w:szCs w:val="18"/>
                <w:lang w:val="nl-BE"/>
              </w:rPr>
              <w:t>Equity</w:t>
            </w:r>
            <w:proofErr w:type="spellEnd"/>
            <w:r>
              <w:rPr>
                <w:sz w:val="18"/>
                <w:szCs w:val="18"/>
                <w:lang w:val="nl-BE"/>
              </w:rPr>
              <w:t xml:space="preserve"> </w:t>
            </w:r>
            <w:proofErr w:type="spellStart"/>
            <w:r>
              <w:rPr>
                <w:sz w:val="18"/>
                <w:szCs w:val="18"/>
                <w:lang w:val="nl-BE"/>
              </w:rPr>
              <w:t>contribution</w:t>
            </w:r>
            <w:proofErr w:type="spellEnd"/>
          </w:p>
        </w:tc>
        <w:tc>
          <w:tcPr>
            <w:tcW w:w="1553" w:type="dxa"/>
            <w:shd w:val="clear" w:color="auto" w:fill="FFFFFF" w:themeFill="background1"/>
            <w:noWrap/>
            <w:vAlign w:val="bottom"/>
          </w:tcPr>
          <w:p w14:paraId="4ED102E9" w14:textId="77777777" w:rsidR="00F76607" w:rsidRDefault="001863F0">
            <w:pPr>
              <w:ind w:firstLine="489"/>
              <w:jc w:val="right"/>
              <w:rPr>
                <w:sz w:val="18"/>
                <w:szCs w:val="18"/>
                <w:lang w:val="nl-BE"/>
              </w:rPr>
            </w:pPr>
            <w:r>
              <w:rPr>
                <w:sz w:val="18"/>
                <w:szCs w:val="18"/>
                <w:lang w:val="nl-BE"/>
              </w:rPr>
              <w:t>(76,460)</w:t>
            </w:r>
          </w:p>
        </w:tc>
      </w:tr>
      <w:tr w:rsidR="00F76607" w14:paraId="5F7FDF65" w14:textId="77777777">
        <w:trPr>
          <w:trHeight w:val="252"/>
        </w:trPr>
        <w:tc>
          <w:tcPr>
            <w:tcW w:w="5528" w:type="dxa"/>
            <w:shd w:val="clear" w:color="auto" w:fill="FFFFFF" w:themeFill="background1"/>
            <w:vAlign w:val="bottom"/>
            <w:hideMark/>
          </w:tcPr>
          <w:p w14:paraId="42AA3B43" w14:textId="77777777" w:rsidR="00F76607" w:rsidRDefault="001863F0">
            <w:pPr>
              <w:rPr>
                <w:b/>
                <w:bCs/>
                <w:sz w:val="18"/>
                <w:szCs w:val="18"/>
                <w:lang w:val="nl-BE"/>
              </w:rPr>
            </w:pPr>
            <w:proofErr w:type="spellStart"/>
            <w:r>
              <w:rPr>
                <w:b/>
                <w:bCs/>
                <w:sz w:val="18"/>
                <w:szCs w:val="18"/>
                <w:lang w:val="nl-BE"/>
              </w:rPr>
              <w:t>Consideration</w:t>
            </w:r>
            <w:proofErr w:type="spellEnd"/>
            <w:r>
              <w:rPr>
                <w:b/>
                <w:bCs/>
                <w:sz w:val="18"/>
                <w:szCs w:val="18"/>
                <w:lang w:val="nl-BE"/>
              </w:rPr>
              <w:t xml:space="preserve"> </w:t>
            </w:r>
            <w:proofErr w:type="spellStart"/>
            <w:r>
              <w:rPr>
                <w:b/>
                <w:bCs/>
                <w:sz w:val="18"/>
                <w:szCs w:val="18"/>
                <w:lang w:val="nl-BE"/>
              </w:rPr>
              <w:t>paid</w:t>
            </w:r>
            <w:proofErr w:type="spellEnd"/>
            <w:r>
              <w:rPr>
                <w:b/>
                <w:bCs/>
                <w:sz w:val="18"/>
                <w:szCs w:val="18"/>
                <w:lang w:val="nl-BE"/>
              </w:rPr>
              <w:t xml:space="preserve"> in cash</w:t>
            </w:r>
          </w:p>
        </w:tc>
        <w:tc>
          <w:tcPr>
            <w:tcW w:w="1553" w:type="dxa"/>
            <w:shd w:val="clear" w:color="auto" w:fill="FFFFFF" w:themeFill="background1"/>
            <w:noWrap/>
            <w:vAlign w:val="bottom"/>
          </w:tcPr>
          <w:p w14:paraId="17B03F7A" w14:textId="77777777" w:rsidR="00F76607" w:rsidRDefault="001863F0">
            <w:pPr>
              <w:ind w:firstLine="489"/>
              <w:jc w:val="right"/>
              <w:rPr>
                <w:b/>
                <w:bCs/>
                <w:sz w:val="18"/>
                <w:szCs w:val="18"/>
                <w:lang w:val="nl-BE"/>
              </w:rPr>
            </w:pPr>
            <w:r>
              <w:rPr>
                <w:b/>
                <w:bCs/>
                <w:sz w:val="18"/>
                <w:szCs w:val="18"/>
                <w:lang w:val="nl-BE"/>
              </w:rPr>
              <w:t>246,348</w:t>
            </w:r>
          </w:p>
        </w:tc>
      </w:tr>
      <w:tr w:rsidR="00F76607" w14:paraId="66427734" w14:textId="77777777">
        <w:trPr>
          <w:trHeight w:val="264"/>
        </w:trPr>
        <w:tc>
          <w:tcPr>
            <w:tcW w:w="5528" w:type="dxa"/>
            <w:shd w:val="clear" w:color="auto" w:fill="FFFFFF" w:themeFill="background1"/>
            <w:vAlign w:val="bottom"/>
            <w:hideMark/>
          </w:tcPr>
          <w:p w14:paraId="47AA08BF" w14:textId="77777777" w:rsidR="00F76607" w:rsidRDefault="001863F0">
            <w:pPr>
              <w:rPr>
                <w:sz w:val="18"/>
                <w:szCs w:val="18"/>
                <w:lang w:val="nl-BE"/>
              </w:rPr>
            </w:pPr>
            <w:r>
              <w:rPr>
                <w:sz w:val="18"/>
                <w:szCs w:val="18"/>
                <w:lang w:val="nl-BE"/>
              </w:rPr>
              <w:t xml:space="preserve">Cash </w:t>
            </w:r>
            <w:proofErr w:type="spellStart"/>
            <w:r>
              <w:rPr>
                <w:sz w:val="18"/>
                <w:szCs w:val="18"/>
                <w:lang w:val="nl-BE"/>
              </w:rPr>
              <w:t>disposed</w:t>
            </w:r>
            <w:proofErr w:type="spellEnd"/>
          </w:p>
        </w:tc>
        <w:tc>
          <w:tcPr>
            <w:tcW w:w="1553" w:type="dxa"/>
            <w:shd w:val="clear" w:color="auto" w:fill="FFFFFF" w:themeFill="background1"/>
            <w:vAlign w:val="bottom"/>
          </w:tcPr>
          <w:p w14:paraId="611E662B" w14:textId="77777777" w:rsidR="00F76607" w:rsidRDefault="001863F0">
            <w:pPr>
              <w:ind w:firstLine="489"/>
              <w:jc w:val="right"/>
              <w:rPr>
                <w:sz w:val="18"/>
                <w:szCs w:val="18"/>
                <w:lang w:val="nl-BE"/>
              </w:rPr>
            </w:pPr>
            <w:r>
              <w:rPr>
                <w:sz w:val="18"/>
                <w:szCs w:val="18"/>
                <w:lang w:val="nl-BE"/>
              </w:rPr>
              <w:t>(10,288)</w:t>
            </w:r>
          </w:p>
        </w:tc>
      </w:tr>
      <w:tr w:rsidR="00F76607" w14:paraId="0CF78B68" w14:textId="77777777">
        <w:trPr>
          <w:trHeight w:val="252"/>
        </w:trPr>
        <w:tc>
          <w:tcPr>
            <w:tcW w:w="5528" w:type="dxa"/>
            <w:shd w:val="clear" w:color="auto" w:fill="FFFFFF" w:themeFill="background1"/>
            <w:vAlign w:val="bottom"/>
            <w:hideMark/>
          </w:tcPr>
          <w:p w14:paraId="1EE40233" w14:textId="77777777" w:rsidR="00F76607" w:rsidRDefault="001863F0">
            <w:pPr>
              <w:rPr>
                <w:b/>
                <w:bCs/>
                <w:sz w:val="18"/>
                <w:szCs w:val="18"/>
                <w:lang w:val="en-GB"/>
              </w:rPr>
            </w:pPr>
            <w:r>
              <w:rPr>
                <w:b/>
                <w:bCs/>
                <w:sz w:val="18"/>
                <w:szCs w:val="18"/>
                <w:lang w:val="en-GB"/>
              </w:rPr>
              <w:t>Net cash inflow from sale of VGP European Logistics portfolio</w:t>
            </w:r>
          </w:p>
        </w:tc>
        <w:tc>
          <w:tcPr>
            <w:tcW w:w="1553" w:type="dxa"/>
            <w:shd w:val="clear" w:color="auto" w:fill="FFFFFF" w:themeFill="background1"/>
            <w:noWrap/>
            <w:vAlign w:val="bottom"/>
          </w:tcPr>
          <w:p w14:paraId="2C351F1E" w14:textId="77777777" w:rsidR="00F76607" w:rsidRDefault="001863F0">
            <w:pPr>
              <w:ind w:firstLine="489"/>
              <w:jc w:val="right"/>
              <w:rPr>
                <w:b/>
                <w:bCs/>
                <w:sz w:val="18"/>
                <w:szCs w:val="18"/>
                <w:lang w:val="nl-BE"/>
              </w:rPr>
            </w:pPr>
            <w:r>
              <w:rPr>
                <w:b/>
                <w:bCs/>
                <w:sz w:val="18"/>
                <w:szCs w:val="18"/>
                <w:lang w:val="nl-BE"/>
              </w:rPr>
              <w:t>236,060</w:t>
            </w:r>
          </w:p>
        </w:tc>
      </w:tr>
    </w:tbl>
    <w:p w14:paraId="0FABCF87" w14:textId="1CA06598" w:rsidR="00F76607" w:rsidRDefault="001863F0">
      <w:pPr>
        <w:pStyle w:val="NormalWeb"/>
        <w:spacing w:after="0" w:afterAutospacing="0"/>
        <w:ind w:firstLine="856"/>
        <w:rPr>
          <w:sz w:val="14"/>
          <w:szCs w:val="18"/>
          <w:lang w:val="en-GB"/>
        </w:rPr>
      </w:pPr>
      <w:r>
        <w:rPr>
          <w:sz w:val="14"/>
          <w:szCs w:val="18"/>
          <w:lang w:val="en-GB"/>
        </w:rPr>
        <w:t xml:space="preserve">* “Shareholder Debt” refers to the shareholder loans </w:t>
      </w:r>
      <w:r w:rsidR="00D06E94">
        <w:rPr>
          <w:sz w:val="14"/>
          <w:szCs w:val="18"/>
          <w:lang w:val="en-GB"/>
        </w:rPr>
        <w:t xml:space="preserve">prior to the </w:t>
      </w:r>
      <w:r w:rsidRPr="001453A8">
        <w:rPr>
          <w:sz w:val="14"/>
          <w:szCs w:val="18"/>
          <w:lang w:val="en-GB"/>
        </w:rPr>
        <w:t>First JV Closing and the Second JV Closing</w:t>
      </w:r>
      <w:r w:rsidR="00D06E94" w:rsidRPr="001453A8">
        <w:rPr>
          <w:sz w:val="14"/>
          <w:szCs w:val="18"/>
          <w:lang w:val="en-GB"/>
        </w:rPr>
        <w:t xml:space="preserve"> refinancing</w:t>
      </w:r>
      <w:r w:rsidR="00D06E94">
        <w:rPr>
          <w:sz w:val="14"/>
          <w:szCs w:val="18"/>
          <w:lang w:val="en-GB"/>
        </w:rPr>
        <w:t>.</w:t>
      </w:r>
    </w:p>
    <w:p w14:paraId="7279A216" w14:textId="74BA1C7A" w:rsidR="00F76607" w:rsidRDefault="001863F0" w:rsidP="001453A8">
      <w:pPr>
        <w:pStyle w:val="NormalWeb"/>
        <w:spacing w:before="0" w:beforeAutospacing="0" w:after="0" w:afterAutospacing="0"/>
        <w:ind w:firstLine="856"/>
        <w:rPr>
          <w:sz w:val="18"/>
          <w:szCs w:val="18"/>
          <w:lang w:val="en-GB"/>
        </w:rPr>
      </w:pPr>
      <w:r>
        <w:rPr>
          <w:sz w:val="14"/>
          <w:szCs w:val="18"/>
          <w:lang w:val="en-GB"/>
        </w:rPr>
        <w:t>** “Shareholder loans repaid at closing” refers to the portion of the previously existing shareholder loans granted by VGP and repaid to VGP on the respective closing.</w:t>
      </w:r>
    </w:p>
    <w:p w14:paraId="3F4C188F" w14:textId="0B8101C1" w:rsidR="00F76607" w:rsidRDefault="001863F0">
      <w:pPr>
        <w:pStyle w:val="NormalWeb"/>
        <w:spacing w:before="240" w:after="0"/>
        <w:ind w:firstLine="857"/>
        <w:rPr>
          <w:sz w:val="18"/>
          <w:szCs w:val="18"/>
          <w:lang w:val="en-GB"/>
        </w:rPr>
      </w:pPr>
      <w:r>
        <w:rPr>
          <w:sz w:val="18"/>
          <w:szCs w:val="18"/>
          <w:lang w:val="en-GB"/>
        </w:rPr>
        <w:t>The proceeds received from the Third JV Closing</w:t>
      </w:r>
      <w:r w:rsidR="00A41B7C">
        <w:rPr>
          <w:sz w:val="18"/>
          <w:szCs w:val="18"/>
          <w:lang w:val="en-GB"/>
        </w:rPr>
        <w:t xml:space="preserve"> as at 30 June 2017 </w:t>
      </w:r>
      <w:r>
        <w:rPr>
          <w:sz w:val="18"/>
          <w:szCs w:val="18"/>
          <w:lang w:val="en-GB"/>
        </w:rPr>
        <w:t>can be summarized as follows:</w:t>
      </w:r>
    </w:p>
    <w:tbl>
      <w:tblPr>
        <w:tblStyle w:val="TableGrid5"/>
        <w:tblW w:w="7066" w:type="dxa"/>
        <w:tblInd w:w="680" w:type="dxa"/>
        <w:tblBorders>
          <w:left w:val="nil"/>
          <w:right w:val="nil"/>
        </w:tblBorders>
        <w:tblLook w:val="04A0" w:firstRow="1" w:lastRow="0" w:firstColumn="1" w:lastColumn="0" w:noHBand="0" w:noVBand="1"/>
      </w:tblPr>
      <w:tblGrid>
        <w:gridCol w:w="5487"/>
        <w:gridCol w:w="1579"/>
      </w:tblGrid>
      <w:tr w:rsidR="00AF7864" w14:paraId="4D10CE90" w14:textId="77777777" w:rsidTr="00AF7864">
        <w:tc>
          <w:tcPr>
            <w:tcW w:w="5487" w:type="dxa"/>
            <w:vAlign w:val="center"/>
          </w:tcPr>
          <w:p w14:paraId="6556F572" w14:textId="77777777" w:rsidR="00AF7864" w:rsidRDefault="00AF7864">
            <w:pPr>
              <w:rPr>
                <w:rFonts w:ascii="Times New Roman" w:hAnsi="Times New Roman"/>
                <w:sz w:val="18"/>
                <w:szCs w:val="18"/>
              </w:rPr>
            </w:pPr>
            <w:r>
              <w:rPr>
                <w:rFonts w:ascii="Times New Roman" w:hAnsi="Times New Roman"/>
                <w:b/>
                <w:i/>
                <w:iCs/>
                <w:sz w:val="18"/>
                <w:szCs w:val="18"/>
              </w:rPr>
              <w:t xml:space="preserve">In </w:t>
            </w:r>
            <w:proofErr w:type="spellStart"/>
            <w:r>
              <w:rPr>
                <w:rFonts w:ascii="Times New Roman" w:hAnsi="Times New Roman"/>
                <w:b/>
                <w:i/>
                <w:iCs/>
                <w:sz w:val="18"/>
                <w:szCs w:val="18"/>
              </w:rPr>
              <w:t>thousands</w:t>
            </w:r>
            <w:proofErr w:type="spellEnd"/>
            <w:r>
              <w:rPr>
                <w:rFonts w:ascii="Times New Roman" w:hAnsi="Times New Roman"/>
                <w:b/>
                <w:i/>
                <w:iCs/>
                <w:sz w:val="18"/>
                <w:szCs w:val="18"/>
              </w:rPr>
              <w:t xml:space="preserve"> of €</w:t>
            </w:r>
          </w:p>
        </w:tc>
        <w:tc>
          <w:tcPr>
            <w:tcW w:w="1579" w:type="dxa"/>
            <w:vAlign w:val="center"/>
          </w:tcPr>
          <w:p w14:paraId="54130BE7" w14:textId="77777777" w:rsidR="00AF7864" w:rsidRDefault="00AF7864">
            <w:pPr>
              <w:jc w:val="right"/>
              <w:rPr>
                <w:rFonts w:ascii="Times New Roman" w:hAnsi="Times New Roman"/>
                <w:sz w:val="18"/>
                <w:szCs w:val="18"/>
              </w:rPr>
            </w:pPr>
            <w:r>
              <w:rPr>
                <w:rFonts w:ascii="Times New Roman" w:hAnsi="Times New Roman"/>
                <w:b/>
                <w:bCs/>
                <w:sz w:val="18"/>
                <w:szCs w:val="18"/>
              </w:rPr>
              <w:t>30-Jun-2017</w:t>
            </w:r>
          </w:p>
        </w:tc>
      </w:tr>
      <w:tr w:rsidR="00AF7864" w14:paraId="5227E7FE" w14:textId="77777777" w:rsidTr="00AF7864">
        <w:tc>
          <w:tcPr>
            <w:tcW w:w="5487" w:type="dxa"/>
            <w:vAlign w:val="bottom"/>
          </w:tcPr>
          <w:p w14:paraId="18D14FD8" w14:textId="77777777" w:rsidR="00AF7864" w:rsidRDefault="00AF7864">
            <w:pPr>
              <w:rPr>
                <w:rFonts w:ascii="Times New Roman" w:hAnsi="Times New Roman"/>
                <w:sz w:val="18"/>
                <w:szCs w:val="18"/>
              </w:rPr>
            </w:pPr>
            <w:r>
              <w:rPr>
                <w:rFonts w:ascii="Times New Roman" w:hAnsi="Times New Roman"/>
                <w:color w:val="000000"/>
                <w:sz w:val="18"/>
                <w:szCs w:val="18"/>
              </w:rPr>
              <w:t>Investment property</w:t>
            </w:r>
          </w:p>
        </w:tc>
        <w:tc>
          <w:tcPr>
            <w:tcW w:w="1579" w:type="dxa"/>
            <w:vAlign w:val="bottom"/>
          </w:tcPr>
          <w:p w14:paraId="30F0C9AB" w14:textId="77777777" w:rsidR="00AF7864" w:rsidRDefault="00AF7864">
            <w:pPr>
              <w:jc w:val="right"/>
              <w:rPr>
                <w:rFonts w:ascii="Times New Roman" w:hAnsi="Times New Roman"/>
                <w:sz w:val="18"/>
                <w:szCs w:val="18"/>
              </w:rPr>
            </w:pPr>
            <w:r>
              <w:rPr>
                <w:rFonts w:ascii="Times New Roman" w:hAnsi="Times New Roman"/>
                <w:sz w:val="18"/>
                <w:szCs w:val="18"/>
              </w:rPr>
              <w:t>173,913</w:t>
            </w:r>
          </w:p>
        </w:tc>
      </w:tr>
      <w:tr w:rsidR="00AF7864" w14:paraId="07302D9D" w14:textId="77777777" w:rsidTr="00AF7864">
        <w:tc>
          <w:tcPr>
            <w:tcW w:w="5487" w:type="dxa"/>
            <w:vAlign w:val="bottom"/>
          </w:tcPr>
          <w:p w14:paraId="5FFBE119" w14:textId="77777777" w:rsidR="00AF7864" w:rsidRDefault="00AF7864">
            <w:pPr>
              <w:rPr>
                <w:rFonts w:ascii="Times New Roman" w:hAnsi="Times New Roman"/>
                <w:sz w:val="18"/>
                <w:szCs w:val="18"/>
              </w:rPr>
            </w:pPr>
            <w:r>
              <w:rPr>
                <w:rFonts w:ascii="Times New Roman" w:hAnsi="Times New Roman"/>
                <w:color w:val="000000"/>
                <w:sz w:val="18"/>
                <w:szCs w:val="18"/>
              </w:rPr>
              <w:t xml:space="preserve">Trade and </w:t>
            </w:r>
            <w:proofErr w:type="spellStart"/>
            <w:r>
              <w:rPr>
                <w:rFonts w:ascii="Times New Roman" w:hAnsi="Times New Roman"/>
                <w:color w:val="000000"/>
                <w:sz w:val="18"/>
                <w:szCs w:val="18"/>
              </w:rPr>
              <w:t>other</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receivables</w:t>
            </w:r>
            <w:proofErr w:type="spellEnd"/>
          </w:p>
        </w:tc>
        <w:tc>
          <w:tcPr>
            <w:tcW w:w="1579" w:type="dxa"/>
            <w:vAlign w:val="bottom"/>
          </w:tcPr>
          <w:p w14:paraId="5CF77683" w14:textId="77777777" w:rsidR="00AF7864" w:rsidRDefault="00AF7864">
            <w:pPr>
              <w:jc w:val="right"/>
              <w:rPr>
                <w:rFonts w:ascii="Times New Roman" w:hAnsi="Times New Roman"/>
                <w:sz w:val="18"/>
                <w:szCs w:val="18"/>
              </w:rPr>
            </w:pPr>
            <w:r>
              <w:rPr>
                <w:rFonts w:ascii="Times New Roman" w:hAnsi="Times New Roman"/>
                <w:sz w:val="18"/>
                <w:szCs w:val="18"/>
              </w:rPr>
              <w:t>7,056</w:t>
            </w:r>
          </w:p>
        </w:tc>
      </w:tr>
      <w:tr w:rsidR="00AF7864" w14:paraId="0DA8AF7C" w14:textId="77777777" w:rsidTr="00AF7864">
        <w:tc>
          <w:tcPr>
            <w:tcW w:w="5487" w:type="dxa"/>
            <w:vAlign w:val="bottom"/>
          </w:tcPr>
          <w:p w14:paraId="5E529169" w14:textId="77777777" w:rsidR="00AF7864" w:rsidRDefault="00AF7864">
            <w:pPr>
              <w:rPr>
                <w:rFonts w:ascii="Times New Roman" w:hAnsi="Times New Roman"/>
                <w:color w:val="000000"/>
                <w:sz w:val="18"/>
                <w:szCs w:val="18"/>
              </w:rPr>
            </w:pPr>
            <w:r>
              <w:rPr>
                <w:rFonts w:ascii="Times New Roman" w:hAnsi="Times New Roman"/>
                <w:color w:val="000000"/>
                <w:sz w:val="18"/>
                <w:szCs w:val="18"/>
              </w:rPr>
              <w:t xml:space="preserve">Cash and cash </w:t>
            </w:r>
            <w:proofErr w:type="spellStart"/>
            <w:r>
              <w:rPr>
                <w:rFonts w:ascii="Times New Roman" w:hAnsi="Times New Roman"/>
                <w:color w:val="000000"/>
                <w:sz w:val="18"/>
                <w:szCs w:val="18"/>
              </w:rPr>
              <w:t>equivalents</w:t>
            </w:r>
            <w:proofErr w:type="spellEnd"/>
          </w:p>
        </w:tc>
        <w:tc>
          <w:tcPr>
            <w:tcW w:w="1579" w:type="dxa"/>
            <w:vAlign w:val="bottom"/>
          </w:tcPr>
          <w:p w14:paraId="20A15DE3" w14:textId="77777777" w:rsidR="00AF7864" w:rsidRDefault="00AF7864">
            <w:pPr>
              <w:jc w:val="right"/>
              <w:rPr>
                <w:rFonts w:ascii="Times New Roman" w:hAnsi="Times New Roman"/>
                <w:color w:val="000000"/>
                <w:sz w:val="18"/>
                <w:szCs w:val="18"/>
              </w:rPr>
            </w:pPr>
            <w:r>
              <w:rPr>
                <w:rFonts w:ascii="Times New Roman" w:hAnsi="Times New Roman"/>
                <w:sz w:val="18"/>
                <w:szCs w:val="18"/>
              </w:rPr>
              <w:t>3,417</w:t>
            </w:r>
          </w:p>
        </w:tc>
      </w:tr>
      <w:tr w:rsidR="00AF7864" w14:paraId="1904CA62" w14:textId="77777777" w:rsidTr="00AF7864">
        <w:tc>
          <w:tcPr>
            <w:tcW w:w="5487" w:type="dxa"/>
            <w:vAlign w:val="bottom"/>
          </w:tcPr>
          <w:p w14:paraId="1B60E351" w14:textId="77777777" w:rsidR="00AF7864" w:rsidRDefault="00AF7864">
            <w:pPr>
              <w:rPr>
                <w:rFonts w:ascii="Times New Roman" w:hAnsi="Times New Roman"/>
                <w:color w:val="000000"/>
                <w:sz w:val="18"/>
                <w:szCs w:val="18"/>
              </w:rPr>
            </w:pPr>
            <w:r>
              <w:rPr>
                <w:rFonts w:ascii="Times New Roman" w:hAnsi="Times New Roman"/>
                <w:color w:val="000000"/>
                <w:sz w:val="18"/>
                <w:szCs w:val="18"/>
              </w:rPr>
              <w:t>Non-</w:t>
            </w:r>
            <w:proofErr w:type="spellStart"/>
            <w:r>
              <w:rPr>
                <w:rFonts w:ascii="Times New Roman" w:hAnsi="Times New Roman"/>
                <w:color w:val="000000"/>
                <w:sz w:val="18"/>
                <w:szCs w:val="18"/>
              </w:rPr>
              <w:t>current</w:t>
            </w:r>
            <w:proofErr w:type="spellEnd"/>
            <w:r>
              <w:rPr>
                <w:rFonts w:ascii="Times New Roman" w:hAnsi="Times New Roman"/>
                <w:color w:val="000000"/>
                <w:sz w:val="18"/>
                <w:szCs w:val="18"/>
              </w:rPr>
              <w:t xml:space="preserve"> financial </w:t>
            </w:r>
            <w:proofErr w:type="spellStart"/>
            <w:r>
              <w:rPr>
                <w:rFonts w:ascii="Times New Roman" w:hAnsi="Times New Roman"/>
                <w:color w:val="000000"/>
                <w:sz w:val="18"/>
                <w:szCs w:val="18"/>
              </w:rPr>
              <w:t>debt</w:t>
            </w:r>
            <w:proofErr w:type="spellEnd"/>
          </w:p>
        </w:tc>
        <w:tc>
          <w:tcPr>
            <w:tcW w:w="1579" w:type="dxa"/>
            <w:vAlign w:val="bottom"/>
          </w:tcPr>
          <w:p w14:paraId="6EFD67E6" w14:textId="77777777" w:rsidR="00AF7864" w:rsidRDefault="00AF7864">
            <w:pPr>
              <w:jc w:val="right"/>
              <w:rPr>
                <w:rFonts w:ascii="Times New Roman" w:hAnsi="Times New Roman"/>
                <w:color w:val="000000"/>
                <w:sz w:val="18"/>
                <w:szCs w:val="18"/>
              </w:rPr>
            </w:pPr>
            <w:r>
              <w:rPr>
                <w:rFonts w:ascii="Times New Roman" w:hAnsi="Times New Roman"/>
                <w:sz w:val="18"/>
                <w:szCs w:val="18"/>
              </w:rPr>
              <w:t>-</w:t>
            </w:r>
          </w:p>
        </w:tc>
      </w:tr>
      <w:tr w:rsidR="00AF7864" w14:paraId="3A9FA0C5" w14:textId="77777777" w:rsidTr="00AF7864">
        <w:tc>
          <w:tcPr>
            <w:tcW w:w="5487" w:type="dxa"/>
            <w:vAlign w:val="bottom"/>
          </w:tcPr>
          <w:p w14:paraId="67D4CF57" w14:textId="77777777" w:rsidR="00AF7864" w:rsidRDefault="00AF7864">
            <w:pPr>
              <w:rPr>
                <w:rFonts w:ascii="Times New Roman" w:hAnsi="Times New Roman"/>
                <w:color w:val="000000"/>
                <w:sz w:val="18"/>
                <w:szCs w:val="18"/>
              </w:rPr>
            </w:pPr>
            <w:proofErr w:type="spellStart"/>
            <w:r>
              <w:rPr>
                <w:rFonts w:ascii="Times New Roman" w:hAnsi="Times New Roman"/>
                <w:color w:val="000000"/>
                <w:sz w:val="18"/>
                <w:szCs w:val="18"/>
              </w:rPr>
              <w:t>Shareholder</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Debt</w:t>
            </w:r>
            <w:proofErr w:type="spellEnd"/>
            <w:r>
              <w:rPr>
                <w:rFonts w:ascii="Times New Roman" w:hAnsi="Times New Roman"/>
                <w:color w:val="000000"/>
                <w:sz w:val="18"/>
                <w:szCs w:val="18"/>
              </w:rPr>
              <w:t>*</w:t>
            </w:r>
          </w:p>
        </w:tc>
        <w:tc>
          <w:tcPr>
            <w:tcW w:w="1579" w:type="dxa"/>
            <w:vAlign w:val="bottom"/>
          </w:tcPr>
          <w:p w14:paraId="6A233038" w14:textId="77777777" w:rsidR="00AF7864" w:rsidRDefault="00AF7864">
            <w:pPr>
              <w:jc w:val="right"/>
              <w:rPr>
                <w:rFonts w:ascii="Times New Roman" w:hAnsi="Times New Roman"/>
                <w:color w:val="000000"/>
                <w:sz w:val="18"/>
                <w:szCs w:val="18"/>
              </w:rPr>
            </w:pPr>
            <w:r>
              <w:rPr>
                <w:rFonts w:ascii="Times New Roman" w:hAnsi="Times New Roman"/>
                <w:sz w:val="18"/>
                <w:szCs w:val="18"/>
              </w:rPr>
              <w:t>(112,737)</w:t>
            </w:r>
          </w:p>
        </w:tc>
      </w:tr>
      <w:tr w:rsidR="00AF7864" w14:paraId="70990E82" w14:textId="77777777" w:rsidTr="00AF7864">
        <w:tc>
          <w:tcPr>
            <w:tcW w:w="5487" w:type="dxa"/>
            <w:vAlign w:val="bottom"/>
          </w:tcPr>
          <w:p w14:paraId="18E78195" w14:textId="77777777" w:rsidR="00AF7864" w:rsidRDefault="00AF7864">
            <w:pPr>
              <w:rPr>
                <w:rFonts w:ascii="Times New Roman" w:hAnsi="Times New Roman"/>
                <w:color w:val="000000"/>
                <w:sz w:val="18"/>
                <w:szCs w:val="18"/>
              </w:rPr>
            </w:pPr>
            <w:proofErr w:type="spellStart"/>
            <w:r>
              <w:rPr>
                <w:rFonts w:ascii="Times New Roman" w:hAnsi="Times New Roman"/>
                <w:color w:val="000000"/>
                <w:sz w:val="18"/>
                <w:szCs w:val="18"/>
              </w:rPr>
              <w:t>Other</w:t>
            </w:r>
            <w:proofErr w:type="spellEnd"/>
            <w:r>
              <w:rPr>
                <w:rFonts w:ascii="Times New Roman" w:hAnsi="Times New Roman"/>
                <w:color w:val="000000"/>
                <w:sz w:val="18"/>
                <w:szCs w:val="18"/>
              </w:rPr>
              <w:t xml:space="preserve"> non-</w:t>
            </w:r>
            <w:proofErr w:type="spellStart"/>
            <w:r>
              <w:rPr>
                <w:rFonts w:ascii="Times New Roman" w:hAnsi="Times New Roman"/>
                <w:color w:val="000000"/>
                <w:sz w:val="18"/>
                <w:szCs w:val="18"/>
              </w:rPr>
              <w:t>current</w:t>
            </w:r>
            <w:proofErr w:type="spellEnd"/>
            <w:r>
              <w:rPr>
                <w:rFonts w:ascii="Times New Roman" w:hAnsi="Times New Roman"/>
                <w:color w:val="000000"/>
                <w:sz w:val="18"/>
                <w:szCs w:val="18"/>
              </w:rPr>
              <w:t xml:space="preserve"> financial </w:t>
            </w:r>
            <w:proofErr w:type="spellStart"/>
            <w:r>
              <w:rPr>
                <w:rFonts w:ascii="Times New Roman" w:hAnsi="Times New Roman"/>
                <w:color w:val="000000"/>
                <w:sz w:val="18"/>
                <w:szCs w:val="18"/>
              </w:rPr>
              <w:t>liabilities</w:t>
            </w:r>
            <w:proofErr w:type="spellEnd"/>
          </w:p>
        </w:tc>
        <w:tc>
          <w:tcPr>
            <w:tcW w:w="1579" w:type="dxa"/>
            <w:vAlign w:val="bottom"/>
          </w:tcPr>
          <w:p w14:paraId="0462E6B5" w14:textId="77777777" w:rsidR="00AF7864" w:rsidRDefault="00AF7864">
            <w:pPr>
              <w:jc w:val="right"/>
              <w:rPr>
                <w:rFonts w:ascii="Times New Roman" w:hAnsi="Times New Roman"/>
                <w:color w:val="000000"/>
                <w:sz w:val="18"/>
                <w:szCs w:val="18"/>
              </w:rPr>
            </w:pPr>
            <w:r>
              <w:rPr>
                <w:rFonts w:ascii="Times New Roman" w:hAnsi="Times New Roman"/>
                <w:sz w:val="18"/>
                <w:szCs w:val="18"/>
              </w:rPr>
              <w:t>-</w:t>
            </w:r>
          </w:p>
        </w:tc>
      </w:tr>
      <w:tr w:rsidR="00AF7864" w14:paraId="32054FB5" w14:textId="77777777" w:rsidTr="00AF7864">
        <w:tc>
          <w:tcPr>
            <w:tcW w:w="5487" w:type="dxa"/>
            <w:vAlign w:val="bottom"/>
          </w:tcPr>
          <w:p w14:paraId="3ACE904E" w14:textId="77777777" w:rsidR="00AF7864" w:rsidRDefault="00AF7864">
            <w:pPr>
              <w:rPr>
                <w:rFonts w:ascii="Times New Roman" w:hAnsi="Times New Roman"/>
                <w:color w:val="000000"/>
                <w:sz w:val="18"/>
                <w:szCs w:val="18"/>
              </w:rPr>
            </w:pPr>
            <w:proofErr w:type="spellStart"/>
            <w:r>
              <w:rPr>
                <w:rFonts w:ascii="Times New Roman" w:hAnsi="Times New Roman"/>
                <w:color w:val="000000"/>
                <w:sz w:val="18"/>
                <w:szCs w:val="18"/>
              </w:rPr>
              <w:t>Deferred</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tax</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liabilities</w:t>
            </w:r>
            <w:proofErr w:type="spellEnd"/>
          </w:p>
        </w:tc>
        <w:tc>
          <w:tcPr>
            <w:tcW w:w="1579" w:type="dxa"/>
            <w:vAlign w:val="bottom"/>
          </w:tcPr>
          <w:p w14:paraId="2182DC93" w14:textId="77777777" w:rsidR="00AF7864" w:rsidRDefault="00AF7864">
            <w:pPr>
              <w:jc w:val="right"/>
              <w:rPr>
                <w:rFonts w:ascii="Times New Roman" w:hAnsi="Times New Roman"/>
                <w:color w:val="000000"/>
                <w:sz w:val="18"/>
                <w:szCs w:val="18"/>
              </w:rPr>
            </w:pPr>
            <w:r>
              <w:rPr>
                <w:rFonts w:ascii="Times New Roman" w:hAnsi="Times New Roman"/>
                <w:sz w:val="18"/>
                <w:szCs w:val="18"/>
              </w:rPr>
              <w:t>(7,993)</w:t>
            </w:r>
          </w:p>
        </w:tc>
      </w:tr>
      <w:tr w:rsidR="00AF7864" w14:paraId="5AD7EB95" w14:textId="77777777" w:rsidTr="00AF7864">
        <w:tc>
          <w:tcPr>
            <w:tcW w:w="5487" w:type="dxa"/>
            <w:vAlign w:val="bottom"/>
          </w:tcPr>
          <w:p w14:paraId="10CFACF9" w14:textId="77777777" w:rsidR="00AF7864" w:rsidRDefault="00AF7864">
            <w:pPr>
              <w:rPr>
                <w:rFonts w:ascii="Times New Roman" w:hAnsi="Times New Roman"/>
                <w:color w:val="000000"/>
                <w:sz w:val="18"/>
                <w:szCs w:val="18"/>
                <w:lang w:val="en-GB"/>
              </w:rPr>
            </w:pPr>
            <w:r>
              <w:rPr>
                <w:rFonts w:ascii="Times New Roman" w:hAnsi="Times New Roman"/>
                <w:color w:val="000000"/>
                <w:sz w:val="18"/>
                <w:szCs w:val="18"/>
                <w:lang w:val="en-GB"/>
              </w:rPr>
              <w:t>Trade debts and other current liabilities</w:t>
            </w:r>
          </w:p>
        </w:tc>
        <w:tc>
          <w:tcPr>
            <w:tcW w:w="1579" w:type="dxa"/>
            <w:vAlign w:val="bottom"/>
          </w:tcPr>
          <w:p w14:paraId="0A2B743F" w14:textId="77777777" w:rsidR="00AF7864" w:rsidRDefault="00AF7864">
            <w:pPr>
              <w:jc w:val="right"/>
              <w:rPr>
                <w:rFonts w:ascii="Times New Roman" w:hAnsi="Times New Roman"/>
                <w:color w:val="000000"/>
                <w:sz w:val="18"/>
                <w:szCs w:val="18"/>
              </w:rPr>
            </w:pPr>
            <w:r>
              <w:rPr>
                <w:rFonts w:ascii="Times New Roman" w:hAnsi="Times New Roman"/>
                <w:sz w:val="18"/>
                <w:szCs w:val="18"/>
              </w:rPr>
              <w:t>(13,578)</w:t>
            </w:r>
          </w:p>
        </w:tc>
      </w:tr>
      <w:tr w:rsidR="00AF7864" w14:paraId="6C8A9E7D" w14:textId="77777777" w:rsidTr="00AF7864">
        <w:tc>
          <w:tcPr>
            <w:tcW w:w="5487" w:type="dxa"/>
            <w:vAlign w:val="bottom"/>
          </w:tcPr>
          <w:p w14:paraId="287593A3" w14:textId="77777777" w:rsidR="00AF7864" w:rsidRDefault="00AF7864">
            <w:pPr>
              <w:keepNext/>
              <w:rPr>
                <w:rFonts w:ascii="Times New Roman" w:hAnsi="Times New Roman"/>
                <w:b/>
                <w:bCs/>
                <w:color w:val="000000"/>
                <w:sz w:val="18"/>
                <w:szCs w:val="18"/>
              </w:rPr>
            </w:pPr>
            <w:r>
              <w:rPr>
                <w:rFonts w:ascii="Times New Roman" w:hAnsi="Times New Roman"/>
                <w:b/>
                <w:bCs/>
                <w:color w:val="000000"/>
                <w:sz w:val="18"/>
                <w:szCs w:val="18"/>
              </w:rPr>
              <w:t xml:space="preserve">Total net assets </w:t>
            </w:r>
            <w:proofErr w:type="spellStart"/>
            <w:r>
              <w:rPr>
                <w:rFonts w:ascii="Times New Roman" w:hAnsi="Times New Roman"/>
                <w:b/>
                <w:bCs/>
                <w:color w:val="000000"/>
                <w:sz w:val="18"/>
                <w:szCs w:val="18"/>
              </w:rPr>
              <w:t>disposed</w:t>
            </w:r>
            <w:proofErr w:type="spellEnd"/>
          </w:p>
        </w:tc>
        <w:tc>
          <w:tcPr>
            <w:tcW w:w="1579" w:type="dxa"/>
            <w:vAlign w:val="bottom"/>
          </w:tcPr>
          <w:p w14:paraId="41ADAC41" w14:textId="77777777" w:rsidR="00AF7864" w:rsidRDefault="00AF7864">
            <w:pPr>
              <w:keepNext/>
              <w:jc w:val="right"/>
              <w:rPr>
                <w:rFonts w:ascii="Times New Roman" w:hAnsi="Times New Roman"/>
                <w:b/>
                <w:bCs/>
                <w:color w:val="000000"/>
                <w:sz w:val="18"/>
                <w:szCs w:val="18"/>
              </w:rPr>
            </w:pPr>
            <w:r>
              <w:rPr>
                <w:rFonts w:ascii="Times New Roman" w:hAnsi="Times New Roman"/>
                <w:b/>
                <w:bCs/>
                <w:sz w:val="18"/>
                <w:szCs w:val="18"/>
              </w:rPr>
              <w:t>50,078</w:t>
            </w:r>
          </w:p>
        </w:tc>
      </w:tr>
      <w:tr w:rsidR="00AF7864" w14:paraId="3E8863E8" w14:textId="77777777" w:rsidTr="00AF7864">
        <w:tc>
          <w:tcPr>
            <w:tcW w:w="5487" w:type="dxa"/>
            <w:vAlign w:val="bottom"/>
          </w:tcPr>
          <w:p w14:paraId="1CEF0D02" w14:textId="77777777" w:rsidR="00AF7864" w:rsidRDefault="00AF7864">
            <w:pPr>
              <w:keepNext/>
              <w:rPr>
                <w:rFonts w:ascii="Times New Roman" w:hAnsi="Times New Roman"/>
                <w:b/>
                <w:color w:val="000000"/>
                <w:sz w:val="18"/>
                <w:szCs w:val="18"/>
                <w:lang w:val="en-GB"/>
              </w:rPr>
            </w:pPr>
            <w:r>
              <w:rPr>
                <w:rFonts w:ascii="Times New Roman" w:hAnsi="Times New Roman"/>
                <w:color w:val="000000"/>
                <w:sz w:val="18"/>
                <w:szCs w:val="18"/>
                <w:lang w:val="en-GB"/>
              </w:rPr>
              <w:t>Total non-controlling interest retained by VGP</w:t>
            </w:r>
          </w:p>
        </w:tc>
        <w:tc>
          <w:tcPr>
            <w:tcW w:w="1579" w:type="dxa"/>
            <w:vAlign w:val="bottom"/>
          </w:tcPr>
          <w:p w14:paraId="19D2D946" w14:textId="77777777" w:rsidR="00AF7864" w:rsidRDefault="00AF7864">
            <w:pPr>
              <w:keepNext/>
              <w:jc w:val="right"/>
              <w:rPr>
                <w:rFonts w:ascii="Times New Roman" w:hAnsi="Times New Roman"/>
                <w:b/>
                <w:color w:val="000000"/>
                <w:sz w:val="18"/>
                <w:szCs w:val="18"/>
              </w:rPr>
            </w:pPr>
            <w:r>
              <w:rPr>
                <w:rFonts w:ascii="Times New Roman" w:hAnsi="Times New Roman"/>
                <w:sz w:val="18"/>
                <w:szCs w:val="18"/>
              </w:rPr>
              <w:t>(1,884)</w:t>
            </w:r>
          </w:p>
        </w:tc>
      </w:tr>
      <w:tr w:rsidR="00AF7864" w14:paraId="5696A06E" w14:textId="77777777" w:rsidTr="00AF7864">
        <w:tc>
          <w:tcPr>
            <w:tcW w:w="5487" w:type="dxa"/>
            <w:vAlign w:val="bottom"/>
          </w:tcPr>
          <w:p w14:paraId="116D9067" w14:textId="77777777" w:rsidR="00AF7864" w:rsidRDefault="00AF7864">
            <w:pPr>
              <w:keepNext/>
              <w:rPr>
                <w:rFonts w:ascii="Times New Roman" w:hAnsi="Times New Roman"/>
                <w:b/>
                <w:color w:val="000000"/>
                <w:sz w:val="18"/>
                <w:szCs w:val="18"/>
                <w:lang w:val="en-GB"/>
              </w:rPr>
            </w:pPr>
            <w:r>
              <w:rPr>
                <w:rFonts w:ascii="Times New Roman" w:hAnsi="Times New Roman"/>
                <w:color w:val="000000"/>
                <w:sz w:val="18"/>
                <w:szCs w:val="18"/>
                <w:lang w:val="en-GB"/>
              </w:rPr>
              <w:t>Shareholder loans repaid at closing**</w:t>
            </w:r>
          </w:p>
        </w:tc>
        <w:tc>
          <w:tcPr>
            <w:tcW w:w="1579" w:type="dxa"/>
            <w:vAlign w:val="bottom"/>
          </w:tcPr>
          <w:p w14:paraId="33498015" w14:textId="77777777" w:rsidR="00AF7864" w:rsidRDefault="00AF7864">
            <w:pPr>
              <w:keepNext/>
              <w:jc w:val="right"/>
              <w:rPr>
                <w:rFonts w:ascii="Times New Roman" w:hAnsi="Times New Roman"/>
                <w:b/>
                <w:color w:val="000000"/>
                <w:sz w:val="18"/>
                <w:szCs w:val="18"/>
              </w:rPr>
            </w:pPr>
            <w:r>
              <w:rPr>
                <w:rFonts w:ascii="Times New Roman" w:hAnsi="Times New Roman"/>
                <w:sz w:val="18"/>
                <w:szCs w:val="18"/>
              </w:rPr>
              <w:t>100,909</w:t>
            </w:r>
          </w:p>
        </w:tc>
      </w:tr>
      <w:tr w:rsidR="00AF7864" w14:paraId="26994BAA" w14:textId="77777777" w:rsidTr="00AF7864">
        <w:tc>
          <w:tcPr>
            <w:tcW w:w="5487" w:type="dxa"/>
            <w:vAlign w:val="bottom"/>
          </w:tcPr>
          <w:p w14:paraId="6B9585C2" w14:textId="77777777" w:rsidR="00AF7864" w:rsidRDefault="00AF7864">
            <w:pPr>
              <w:keepNext/>
              <w:rPr>
                <w:rFonts w:ascii="Times New Roman" w:hAnsi="Times New Roman"/>
                <w:b/>
                <w:color w:val="000000"/>
                <w:sz w:val="18"/>
                <w:szCs w:val="18"/>
              </w:rPr>
            </w:pPr>
            <w:proofErr w:type="spellStart"/>
            <w:r>
              <w:rPr>
                <w:rFonts w:ascii="Times New Roman" w:hAnsi="Times New Roman"/>
                <w:color w:val="000000"/>
                <w:sz w:val="18"/>
                <w:szCs w:val="18"/>
              </w:rPr>
              <w:t>Equity</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contribution</w:t>
            </w:r>
            <w:proofErr w:type="spellEnd"/>
          </w:p>
        </w:tc>
        <w:tc>
          <w:tcPr>
            <w:tcW w:w="1579" w:type="dxa"/>
            <w:vAlign w:val="bottom"/>
          </w:tcPr>
          <w:p w14:paraId="62394F99" w14:textId="77777777" w:rsidR="00AF7864" w:rsidRDefault="00AF7864">
            <w:pPr>
              <w:keepNext/>
              <w:jc w:val="right"/>
              <w:rPr>
                <w:rFonts w:ascii="Times New Roman" w:hAnsi="Times New Roman"/>
                <w:b/>
                <w:color w:val="000000"/>
                <w:sz w:val="18"/>
                <w:szCs w:val="18"/>
              </w:rPr>
            </w:pPr>
            <w:r>
              <w:rPr>
                <w:rFonts w:ascii="Times New Roman" w:hAnsi="Times New Roman"/>
                <w:sz w:val="18"/>
                <w:szCs w:val="18"/>
              </w:rPr>
              <w:t>(23,903)</w:t>
            </w:r>
          </w:p>
        </w:tc>
      </w:tr>
      <w:tr w:rsidR="00AF7864" w14:paraId="447E3DC0" w14:textId="77777777" w:rsidTr="00AF7864">
        <w:tc>
          <w:tcPr>
            <w:tcW w:w="5487" w:type="dxa"/>
            <w:vAlign w:val="bottom"/>
          </w:tcPr>
          <w:p w14:paraId="61F8918C" w14:textId="77777777" w:rsidR="00AF7864" w:rsidRDefault="00AF7864">
            <w:pPr>
              <w:keepNext/>
              <w:rPr>
                <w:rFonts w:ascii="Times New Roman" w:hAnsi="Times New Roman"/>
                <w:b/>
                <w:bCs/>
                <w:color w:val="000000"/>
                <w:sz w:val="18"/>
                <w:szCs w:val="18"/>
              </w:rPr>
            </w:pPr>
            <w:r>
              <w:rPr>
                <w:rFonts w:ascii="Times New Roman" w:hAnsi="Times New Roman"/>
                <w:b/>
                <w:bCs/>
                <w:color w:val="000000"/>
                <w:sz w:val="18"/>
                <w:szCs w:val="18"/>
              </w:rPr>
              <w:t xml:space="preserve">Total </w:t>
            </w:r>
            <w:proofErr w:type="spellStart"/>
            <w:r>
              <w:rPr>
                <w:rFonts w:ascii="Times New Roman" w:hAnsi="Times New Roman"/>
                <w:b/>
                <w:bCs/>
                <w:color w:val="000000"/>
                <w:sz w:val="18"/>
                <w:szCs w:val="18"/>
              </w:rPr>
              <w:t>consideration</w:t>
            </w:r>
            <w:proofErr w:type="spellEnd"/>
          </w:p>
        </w:tc>
        <w:tc>
          <w:tcPr>
            <w:tcW w:w="1579" w:type="dxa"/>
            <w:vAlign w:val="bottom"/>
          </w:tcPr>
          <w:p w14:paraId="17F48B11" w14:textId="77777777" w:rsidR="00AF7864" w:rsidRDefault="00AF7864">
            <w:pPr>
              <w:keepNext/>
              <w:jc w:val="right"/>
              <w:rPr>
                <w:rFonts w:ascii="Times New Roman" w:hAnsi="Times New Roman"/>
                <w:b/>
                <w:bCs/>
                <w:color w:val="000000"/>
                <w:sz w:val="18"/>
                <w:szCs w:val="18"/>
              </w:rPr>
            </w:pPr>
            <w:r>
              <w:rPr>
                <w:rFonts w:ascii="Times New Roman" w:hAnsi="Times New Roman"/>
                <w:b/>
                <w:bCs/>
                <w:sz w:val="18"/>
                <w:szCs w:val="18"/>
              </w:rPr>
              <w:t>125,200</w:t>
            </w:r>
          </w:p>
        </w:tc>
      </w:tr>
      <w:tr w:rsidR="00AF7864" w14:paraId="4B35F608" w14:textId="77777777" w:rsidTr="00AF7864">
        <w:tc>
          <w:tcPr>
            <w:tcW w:w="5487" w:type="dxa"/>
            <w:vAlign w:val="bottom"/>
          </w:tcPr>
          <w:p w14:paraId="3A13C571" w14:textId="77777777" w:rsidR="00AF7864" w:rsidRDefault="00AF7864">
            <w:pPr>
              <w:keepNext/>
              <w:rPr>
                <w:rFonts w:ascii="Times New Roman" w:hAnsi="Times New Roman"/>
                <w:b/>
                <w:bCs/>
                <w:color w:val="000000"/>
                <w:sz w:val="18"/>
                <w:szCs w:val="18"/>
                <w:lang w:val="en-GB"/>
              </w:rPr>
            </w:pPr>
            <w:r>
              <w:rPr>
                <w:rFonts w:ascii="Times New Roman" w:hAnsi="Times New Roman"/>
                <w:bCs/>
                <w:color w:val="000000"/>
                <w:sz w:val="18"/>
                <w:szCs w:val="18"/>
                <w:lang w:val="en-GB"/>
              </w:rPr>
              <w:t>Consideration to be received – third closing</w:t>
            </w:r>
          </w:p>
        </w:tc>
        <w:tc>
          <w:tcPr>
            <w:tcW w:w="1579" w:type="dxa"/>
            <w:vAlign w:val="bottom"/>
          </w:tcPr>
          <w:p w14:paraId="238A5FF6" w14:textId="77777777" w:rsidR="00AF7864" w:rsidRDefault="00AF7864">
            <w:pPr>
              <w:keepNext/>
              <w:jc w:val="right"/>
              <w:rPr>
                <w:rFonts w:ascii="Times New Roman" w:hAnsi="Times New Roman"/>
                <w:b/>
                <w:bCs/>
                <w:sz w:val="18"/>
                <w:szCs w:val="18"/>
              </w:rPr>
            </w:pPr>
            <w:r>
              <w:rPr>
                <w:rFonts w:ascii="Times New Roman" w:hAnsi="Times New Roman"/>
                <w:sz w:val="18"/>
                <w:szCs w:val="18"/>
              </w:rPr>
              <w:t>(30,989)</w:t>
            </w:r>
          </w:p>
        </w:tc>
      </w:tr>
      <w:tr w:rsidR="00AF7864" w14:paraId="6263DC18" w14:textId="77777777" w:rsidTr="00AF7864">
        <w:tc>
          <w:tcPr>
            <w:tcW w:w="5487" w:type="dxa"/>
            <w:vAlign w:val="bottom"/>
          </w:tcPr>
          <w:p w14:paraId="702C7D7A" w14:textId="77777777" w:rsidR="00AF7864" w:rsidRDefault="00AF7864">
            <w:pPr>
              <w:keepNext/>
              <w:rPr>
                <w:rFonts w:ascii="Times New Roman" w:hAnsi="Times New Roman"/>
                <w:bCs/>
                <w:color w:val="000000"/>
                <w:sz w:val="18"/>
                <w:szCs w:val="18"/>
              </w:rPr>
            </w:pPr>
            <w:proofErr w:type="spellStart"/>
            <w:r>
              <w:rPr>
                <w:rFonts w:ascii="Times New Roman" w:hAnsi="Times New Roman"/>
                <w:b/>
                <w:bCs/>
                <w:color w:val="000000"/>
                <w:sz w:val="18"/>
                <w:szCs w:val="18"/>
              </w:rPr>
              <w:t>Consideration</w:t>
            </w:r>
            <w:proofErr w:type="spellEnd"/>
            <w:r>
              <w:rPr>
                <w:rFonts w:ascii="Times New Roman" w:hAnsi="Times New Roman"/>
                <w:b/>
                <w:bCs/>
                <w:color w:val="000000"/>
                <w:sz w:val="18"/>
                <w:szCs w:val="18"/>
              </w:rPr>
              <w:t xml:space="preserve"> </w:t>
            </w:r>
            <w:proofErr w:type="spellStart"/>
            <w:r>
              <w:rPr>
                <w:rFonts w:ascii="Times New Roman" w:hAnsi="Times New Roman"/>
                <w:b/>
                <w:bCs/>
                <w:color w:val="000000"/>
                <w:sz w:val="18"/>
                <w:szCs w:val="18"/>
              </w:rPr>
              <w:t>paid</w:t>
            </w:r>
            <w:proofErr w:type="spellEnd"/>
            <w:r>
              <w:rPr>
                <w:rFonts w:ascii="Times New Roman" w:hAnsi="Times New Roman"/>
                <w:b/>
                <w:bCs/>
                <w:color w:val="000000"/>
                <w:sz w:val="18"/>
                <w:szCs w:val="18"/>
              </w:rPr>
              <w:t xml:space="preserve"> in cash</w:t>
            </w:r>
          </w:p>
        </w:tc>
        <w:tc>
          <w:tcPr>
            <w:tcW w:w="1579" w:type="dxa"/>
            <w:vAlign w:val="bottom"/>
          </w:tcPr>
          <w:p w14:paraId="75D692B9" w14:textId="77777777" w:rsidR="00AF7864" w:rsidRDefault="00AF7864">
            <w:pPr>
              <w:keepNext/>
              <w:jc w:val="right"/>
              <w:rPr>
                <w:rFonts w:ascii="Times New Roman" w:hAnsi="Times New Roman"/>
                <w:sz w:val="18"/>
                <w:szCs w:val="18"/>
              </w:rPr>
            </w:pPr>
            <w:r>
              <w:rPr>
                <w:rFonts w:ascii="Times New Roman" w:hAnsi="Times New Roman"/>
                <w:b/>
                <w:bCs/>
                <w:sz w:val="18"/>
                <w:szCs w:val="18"/>
              </w:rPr>
              <w:t>94,211</w:t>
            </w:r>
          </w:p>
        </w:tc>
      </w:tr>
      <w:tr w:rsidR="00AF7864" w14:paraId="0CF59639" w14:textId="77777777" w:rsidTr="00AF7864">
        <w:tc>
          <w:tcPr>
            <w:tcW w:w="5487" w:type="dxa"/>
            <w:vAlign w:val="bottom"/>
          </w:tcPr>
          <w:p w14:paraId="2BFF7FC1" w14:textId="77777777" w:rsidR="00AF7864" w:rsidRDefault="00AF7864">
            <w:pPr>
              <w:keepNext/>
              <w:rPr>
                <w:rFonts w:ascii="Times New Roman" w:hAnsi="Times New Roman"/>
                <w:b/>
                <w:bCs/>
                <w:color w:val="000000"/>
                <w:sz w:val="18"/>
                <w:szCs w:val="18"/>
              </w:rPr>
            </w:pPr>
            <w:r>
              <w:rPr>
                <w:rFonts w:ascii="Times New Roman" w:hAnsi="Times New Roman"/>
                <w:color w:val="000000"/>
                <w:sz w:val="18"/>
                <w:szCs w:val="18"/>
              </w:rPr>
              <w:t xml:space="preserve">Cash </w:t>
            </w:r>
            <w:proofErr w:type="spellStart"/>
            <w:r>
              <w:rPr>
                <w:rFonts w:ascii="Times New Roman" w:hAnsi="Times New Roman"/>
                <w:color w:val="000000"/>
                <w:sz w:val="18"/>
                <w:szCs w:val="18"/>
              </w:rPr>
              <w:t>disposed</w:t>
            </w:r>
            <w:proofErr w:type="spellEnd"/>
          </w:p>
        </w:tc>
        <w:tc>
          <w:tcPr>
            <w:tcW w:w="1579" w:type="dxa"/>
            <w:vAlign w:val="bottom"/>
          </w:tcPr>
          <w:p w14:paraId="03D4CC55" w14:textId="77777777" w:rsidR="00AF7864" w:rsidRDefault="00AF7864">
            <w:pPr>
              <w:keepNext/>
              <w:jc w:val="right"/>
              <w:rPr>
                <w:rFonts w:ascii="Times New Roman" w:hAnsi="Times New Roman"/>
                <w:b/>
                <w:bCs/>
                <w:sz w:val="18"/>
                <w:szCs w:val="18"/>
              </w:rPr>
            </w:pPr>
            <w:r>
              <w:rPr>
                <w:rFonts w:ascii="Times New Roman" w:hAnsi="Times New Roman"/>
                <w:sz w:val="18"/>
                <w:szCs w:val="18"/>
              </w:rPr>
              <w:t>(3,417)</w:t>
            </w:r>
          </w:p>
        </w:tc>
      </w:tr>
      <w:tr w:rsidR="00AF7864" w14:paraId="56B14D12" w14:textId="77777777" w:rsidTr="00AF7864">
        <w:tc>
          <w:tcPr>
            <w:tcW w:w="5487" w:type="dxa"/>
            <w:vAlign w:val="bottom"/>
          </w:tcPr>
          <w:p w14:paraId="4490BAE9" w14:textId="77777777" w:rsidR="00AF7864" w:rsidRDefault="00AF7864">
            <w:pPr>
              <w:keepNext/>
              <w:rPr>
                <w:rFonts w:ascii="Times New Roman" w:hAnsi="Times New Roman"/>
                <w:color w:val="000000"/>
                <w:sz w:val="18"/>
                <w:szCs w:val="18"/>
                <w:lang w:val="en-GB"/>
              </w:rPr>
            </w:pPr>
            <w:r>
              <w:rPr>
                <w:rFonts w:ascii="Times New Roman" w:hAnsi="Times New Roman"/>
                <w:b/>
                <w:bCs/>
                <w:color w:val="000000"/>
                <w:sz w:val="18"/>
                <w:szCs w:val="18"/>
                <w:lang w:val="en-GB"/>
              </w:rPr>
              <w:t>Net cash inflow from Joint Venture closing(s)</w:t>
            </w:r>
          </w:p>
        </w:tc>
        <w:tc>
          <w:tcPr>
            <w:tcW w:w="1579" w:type="dxa"/>
            <w:vAlign w:val="bottom"/>
          </w:tcPr>
          <w:p w14:paraId="7F5F4AF1" w14:textId="77777777" w:rsidR="00AF7864" w:rsidRDefault="00AF7864">
            <w:pPr>
              <w:keepNext/>
              <w:jc w:val="right"/>
              <w:rPr>
                <w:rFonts w:ascii="Times New Roman" w:hAnsi="Times New Roman"/>
                <w:sz w:val="18"/>
                <w:szCs w:val="18"/>
              </w:rPr>
            </w:pPr>
            <w:r>
              <w:rPr>
                <w:rFonts w:ascii="Times New Roman" w:hAnsi="Times New Roman"/>
                <w:b/>
                <w:bCs/>
                <w:sz w:val="18"/>
                <w:szCs w:val="18"/>
              </w:rPr>
              <w:t>90,794</w:t>
            </w:r>
          </w:p>
        </w:tc>
      </w:tr>
    </w:tbl>
    <w:p w14:paraId="6AE68CCB" w14:textId="27C1DEF8" w:rsidR="00F76607" w:rsidRDefault="001863F0">
      <w:pPr>
        <w:pStyle w:val="NormalWeb"/>
        <w:spacing w:after="0" w:afterAutospacing="0"/>
        <w:ind w:firstLine="856"/>
        <w:rPr>
          <w:sz w:val="14"/>
          <w:szCs w:val="18"/>
          <w:lang w:val="en-GB"/>
        </w:rPr>
      </w:pPr>
      <w:r>
        <w:rPr>
          <w:sz w:val="14"/>
          <w:szCs w:val="18"/>
          <w:lang w:val="en-GB"/>
        </w:rPr>
        <w:t xml:space="preserve">* “Shareholder Debt” refers to the shareholder loans </w:t>
      </w:r>
      <w:r w:rsidR="00D06E94">
        <w:rPr>
          <w:sz w:val="14"/>
          <w:szCs w:val="18"/>
          <w:lang w:val="en-GB"/>
        </w:rPr>
        <w:t xml:space="preserve">before the </w:t>
      </w:r>
      <w:r>
        <w:rPr>
          <w:sz w:val="14"/>
          <w:szCs w:val="18"/>
          <w:lang w:val="en-GB"/>
        </w:rPr>
        <w:t xml:space="preserve">Third JV Closing </w:t>
      </w:r>
      <w:r w:rsidR="00D06E94">
        <w:rPr>
          <w:sz w:val="14"/>
          <w:szCs w:val="18"/>
          <w:lang w:val="en-GB"/>
        </w:rPr>
        <w:t>refinancing.</w:t>
      </w:r>
    </w:p>
    <w:p w14:paraId="29B43F1C" w14:textId="77777777" w:rsidR="00F76607" w:rsidRDefault="001863F0">
      <w:pPr>
        <w:pStyle w:val="NormalWeb"/>
        <w:spacing w:before="0" w:beforeAutospacing="0" w:after="0" w:afterAutospacing="0"/>
        <w:ind w:firstLine="856"/>
        <w:rPr>
          <w:sz w:val="14"/>
          <w:szCs w:val="18"/>
          <w:lang w:val="en-GB"/>
        </w:rPr>
      </w:pPr>
      <w:r>
        <w:rPr>
          <w:sz w:val="14"/>
          <w:szCs w:val="18"/>
          <w:lang w:val="en-GB"/>
        </w:rPr>
        <w:t>** “Shareholder loans repaid at closing” refers to the portion of the previously existing shareholder loans granted by VGP and repaid to VGP on the Third JV Closing.</w:t>
      </w:r>
    </w:p>
    <w:p w14:paraId="02E5D64A" w14:textId="77777777" w:rsidR="00F76607" w:rsidRDefault="00F76607">
      <w:pPr>
        <w:pStyle w:val="NormalWeb"/>
        <w:spacing w:before="0" w:beforeAutospacing="0" w:after="0" w:afterAutospacing="0"/>
        <w:ind w:firstLine="856"/>
        <w:rPr>
          <w:sz w:val="14"/>
          <w:szCs w:val="18"/>
          <w:lang w:val="en-GB"/>
        </w:rPr>
      </w:pPr>
    </w:p>
    <w:p w14:paraId="465A8270" w14:textId="0A79D0FB" w:rsidR="00F76607" w:rsidRDefault="001863F0">
      <w:pPr>
        <w:pStyle w:val="NormalWeb"/>
        <w:spacing w:before="240" w:after="0"/>
        <w:ind w:firstLine="857"/>
        <w:rPr>
          <w:sz w:val="18"/>
          <w:szCs w:val="18"/>
          <w:lang w:val="en-GB"/>
        </w:rPr>
      </w:pPr>
      <w:r>
        <w:rPr>
          <w:sz w:val="18"/>
          <w:szCs w:val="18"/>
          <w:lang w:val="en-GB"/>
        </w:rPr>
        <w:t xml:space="preserve">The </w:t>
      </w:r>
      <w:r w:rsidR="001453A8">
        <w:rPr>
          <w:sz w:val="18"/>
          <w:szCs w:val="18"/>
          <w:lang w:val="en-GB"/>
        </w:rPr>
        <w:t xml:space="preserve">two </w:t>
      </w:r>
      <w:r>
        <w:rPr>
          <w:sz w:val="18"/>
          <w:szCs w:val="18"/>
          <w:lang w:val="en-GB"/>
        </w:rPr>
        <w:t xml:space="preserve">tables above reflect only the net sales proceeds of the completed assets included in </w:t>
      </w:r>
      <w:r w:rsidR="001453A8">
        <w:rPr>
          <w:sz w:val="18"/>
          <w:szCs w:val="18"/>
          <w:lang w:val="en-GB"/>
        </w:rPr>
        <w:t>the First JV Closing and</w:t>
      </w:r>
      <w:r>
        <w:rPr>
          <w:sz w:val="18"/>
          <w:szCs w:val="18"/>
          <w:lang w:val="en-GB"/>
        </w:rPr>
        <w:t xml:space="preserve"> the Second JV </w:t>
      </w:r>
      <w:r w:rsidR="001453A8">
        <w:rPr>
          <w:sz w:val="18"/>
          <w:szCs w:val="18"/>
          <w:lang w:val="en-GB"/>
        </w:rPr>
        <w:t xml:space="preserve">Closing on the one hand and the </w:t>
      </w:r>
      <w:r>
        <w:rPr>
          <w:sz w:val="18"/>
          <w:szCs w:val="18"/>
          <w:lang w:val="en-GB"/>
        </w:rPr>
        <w:t>Third JV Closing</w:t>
      </w:r>
      <w:r w:rsidR="001453A8">
        <w:rPr>
          <w:sz w:val="18"/>
          <w:szCs w:val="18"/>
          <w:lang w:val="en-GB"/>
        </w:rPr>
        <w:t xml:space="preserve"> on the other hand</w:t>
      </w:r>
      <w:r>
        <w:rPr>
          <w:sz w:val="18"/>
          <w:szCs w:val="18"/>
          <w:lang w:val="en-GB"/>
        </w:rPr>
        <w:t>. VGP is required to pre-finance the remaining development pipeline of the Joint Venture. This includes the pre-financing of the acquisition and development of land as well as buildings under construction through development and construction</w:t>
      </w:r>
      <w:r w:rsidR="00081C45">
        <w:rPr>
          <w:sz w:val="18"/>
          <w:szCs w:val="18"/>
          <w:lang w:val="en-GB"/>
        </w:rPr>
        <w:t xml:space="preserve"> loans</w:t>
      </w:r>
      <w:r w:rsidR="00A40882">
        <w:rPr>
          <w:sz w:val="18"/>
          <w:szCs w:val="18"/>
          <w:lang w:val="en-GB"/>
        </w:rPr>
        <w:t>.</w:t>
      </w:r>
      <w:r>
        <w:rPr>
          <w:sz w:val="18"/>
          <w:szCs w:val="18"/>
          <w:lang w:val="en-GB"/>
        </w:rPr>
        <w:t xml:space="preserve"> Upon the closing of the transaction whereby the buildings under construction and new developed assets are acquired by the Joint Venture, these VGP development and construction loans will</w:t>
      </w:r>
      <w:r w:rsidR="00112D68">
        <w:rPr>
          <w:sz w:val="18"/>
          <w:szCs w:val="18"/>
          <w:lang w:val="en-GB"/>
        </w:rPr>
        <w:t xml:space="preserve"> generally</w:t>
      </w:r>
      <w:r>
        <w:rPr>
          <w:sz w:val="18"/>
          <w:szCs w:val="18"/>
          <w:lang w:val="en-GB"/>
        </w:rPr>
        <w:t xml:space="preserve"> be repaid from additional bank debt drawn by the Joint Venture under committed credit facilities allowing VGP to (partially) recycle these proceeds towards the financing of the Group’s development pipeline. VGP is entitled to an additional top-up payment corresponding to the difference between the agreed market value at completion of these buildings under construction or new developed buildings and the respective repaid development or construction loan. </w:t>
      </w:r>
    </w:p>
    <w:p w14:paraId="194AED51" w14:textId="77777777" w:rsidR="00F76607" w:rsidRDefault="001863F0">
      <w:pPr>
        <w:pStyle w:val="NormalWeb"/>
        <w:spacing w:before="240" w:after="0"/>
        <w:ind w:firstLine="857"/>
        <w:rPr>
          <w:sz w:val="18"/>
          <w:szCs w:val="18"/>
          <w:lang w:val="en-GB"/>
        </w:rPr>
      </w:pPr>
      <w:r>
        <w:rPr>
          <w:sz w:val="18"/>
          <w:szCs w:val="18"/>
          <w:lang w:val="en-GB"/>
        </w:rPr>
        <w:t>The Joint Venture is a 50:50 partnership whereby the Group, in addition to being a co-owner, provides development management services and acts as asset manager, property manager and is also responsible for Facility Management and leasing services in respect of the portfolios. The Joint Venture is entered into for a period of ten years with two possible one-year extensions. The JVA provides for the relevant mechanisms for an organised exit should the Joint Venture not be extended: the assets of the Joint Venture would be sold via an auction sale.</w:t>
      </w:r>
    </w:p>
    <w:p w14:paraId="6A7EF2BF" w14:textId="5BBE3657" w:rsidR="00F76607" w:rsidRDefault="001863F0">
      <w:pPr>
        <w:pStyle w:val="NormalWeb"/>
        <w:spacing w:before="240" w:after="0"/>
        <w:ind w:firstLine="857"/>
        <w:rPr>
          <w:sz w:val="18"/>
          <w:szCs w:val="18"/>
          <w:lang w:val="en-GB"/>
        </w:rPr>
      </w:pPr>
      <w:r>
        <w:rPr>
          <w:sz w:val="18"/>
          <w:szCs w:val="18"/>
          <w:lang w:val="en-GB"/>
        </w:rPr>
        <w:lastRenderedPageBreak/>
        <w:t>VGP and Allianz have contractually agreed to share control of the Joint Venture. Decisions require the unanimous consent of both parties</w:t>
      </w:r>
      <w:r w:rsidR="007D69EB">
        <w:rPr>
          <w:sz w:val="18"/>
          <w:szCs w:val="18"/>
          <w:lang w:val="en-GB"/>
        </w:rPr>
        <w:t xml:space="preserve"> (it being understood that Allianz, at its own discretion, </w:t>
      </w:r>
      <w:r w:rsidR="009A2178">
        <w:rPr>
          <w:sz w:val="18"/>
          <w:szCs w:val="18"/>
          <w:lang w:val="en-GB"/>
        </w:rPr>
        <w:t>is entitled to</w:t>
      </w:r>
      <w:r w:rsidR="007D69EB">
        <w:rPr>
          <w:sz w:val="18"/>
          <w:szCs w:val="18"/>
          <w:lang w:val="en-GB"/>
        </w:rPr>
        <w:t xml:space="preserve"> decide </w:t>
      </w:r>
      <w:r w:rsidR="009A2178">
        <w:rPr>
          <w:sz w:val="18"/>
          <w:szCs w:val="18"/>
          <w:lang w:val="en-GB"/>
        </w:rPr>
        <w:t>whether</w:t>
      </w:r>
      <w:r w:rsidR="007D69EB">
        <w:rPr>
          <w:sz w:val="18"/>
          <w:szCs w:val="18"/>
          <w:lang w:val="en-GB"/>
        </w:rPr>
        <w:t xml:space="preserve"> the Joint Venture will acquire new assets pursuant to the right of first refusal)</w:t>
      </w:r>
      <w:r>
        <w:rPr>
          <w:sz w:val="18"/>
          <w:szCs w:val="18"/>
          <w:lang w:val="en-GB"/>
        </w:rPr>
        <w:t>. The transactions contemplated by the Company SPA and the Seed Portfolio SPA, were completed on 31 May 2016. The Allianz entities that are the shareholders of the Joint Venture belong to the well-known Allianz SE Group, a worldwide leading insurance group, which applies a strong corporate governance policy towards the management of the Joint Venture.</w:t>
      </w:r>
    </w:p>
    <w:p w14:paraId="23337DAD" w14:textId="77777777" w:rsidR="00F76607" w:rsidRDefault="001863F0">
      <w:pPr>
        <w:pStyle w:val="NormalWeb"/>
        <w:spacing w:before="240" w:after="0"/>
        <w:ind w:firstLine="857"/>
        <w:rPr>
          <w:sz w:val="18"/>
          <w:szCs w:val="18"/>
          <w:lang w:val="en-GB"/>
        </w:rPr>
      </w:pPr>
      <w:r>
        <w:rPr>
          <w:sz w:val="18"/>
          <w:szCs w:val="18"/>
          <w:lang w:val="en-GB"/>
        </w:rPr>
        <w:t>With Allianz, VGP has attracted a long-term investor in logistic real estate that looks beyond the economic cycles and has the necessary financial resources to co-invest in the expansion of the logistic real estate portfolio and which significantly mitigates the liquidity risk for VGP.</w:t>
      </w:r>
    </w:p>
    <w:p w14:paraId="09692C18" w14:textId="52C28F07" w:rsidR="00F76607" w:rsidRDefault="001863F0">
      <w:pPr>
        <w:pStyle w:val="NormalWeb"/>
        <w:spacing w:before="240" w:after="0"/>
        <w:ind w:firstLine="857"/>
        <w:rPr>
          <w:i/>
          <w:sz w:val="18"/>
          <w:szCs w:val="18"/>
          <w:lang w:val="en-GB"/>
        </w:rPr>
      </w:pPr>
      <w:r>
        <w:rPr>
          <w:sz w:val="18"/>
          <w:szCs w:val="18"/>
          <w:lang w:val="en-GB"/>
        </w:rPr>
        <w:t xml:space="preserve">The real estate assets of the Joint Venture are periodically evaluated by third-party experts. This has included, among other things, semi-annual valuations of the assets of the Joint Venture by the independent valuator Jones Lang LaSalle. In addition thereto, at the time of each closing with the Joint Venture, the Joint Venture generally requires a separate valuation from an external valuation expert on all the assets which are being acquired as part of such closing. In respect of each closing with the Joint Venture which includes German assets, one of the financing banks of the Joint Venture, i.e. </w:t>
      </w:r>
      <w:proofErr w:type="spellStart"/>
      <w:r>
        <w:rPr>
          <w:sz w:val="18"/>
          <w:szCs w:val="18"/>
          <w:lang w:val="en-GB"/>
        </w:rPr>
        <w:t>Aareal</w:t>
      </w:r>
      <w:proofErr w:type="spellEnd"/>
      <w:r>
        <w:rPr>
          <w:sz w:val="18"/>
          <w:szCs w:val="18"/>
          <w:lang w:val="en-GB"/>
        </w:rPr>
        <w:t xml:space="preserve"> Bank, requires a valuation report from Knight Frank of such German assets.</w:t>
      </w:r>
    </w:p>
    <w:p w14:paraId="22CD4AD2" w14:textId="77777777" w:rsidR="00F76607" w:rsidRDefault="001863F0">
      <w:pPr>
        <w:keepNext/>
        <w:numPr>
          <w:ilvl w:val="2"/>
          <w:numId w:val="0"/>
        </w:numPr>
        <w:tabs>
          <w:tab w:val="num" w:pos="1361"/>
        </w:tabs>
        <w:spacing w:after="140" w:line="288" w:lineRule="auto"/>
        <w:ind w:left="1361" w:hanging="681"/>
        <w:jc w:val="both"/>
        <w:outlineLvl w:val="2"/>
        <w:rPr>
          <w:rFonts w:eastAsia="Calibri"/>
          <w:i/>
          <w:kern w:val="20"/>
          <w:sz w:val="18"/>
          <w:szCs w:val="18"/>
          <w:lang w:val="en-GB"/>
        </w:rPr>
      </w:pPr>
      <w:bookmarkStart w:id="76" w:name="_Toc460854317"/>
      <w:r>
        <w:rPr>
          <w:rFonts w:eastAsia="Calibri"/>
          <w:b/>
          <w:i/>
          <w:kern w:val="20"/>
          <w:sz w:val="18"/>
          <w:szCs w:val="18"/>
          <w:lang w:val="en-GB"/>
        </w:rPr>
        <w:t>Share purchase agreements</w:t>
      </w:r>
      <w:bookmarkEnd w:id="76"/>
    </w:p>
    <w:p w14:paraId="38BC134F" w14:textId="24DFEB3D" w:rsidR="00F76607" w:rsidRDefault="001863F0">
      <w:pPr>
        <w:pStyle w:val="NormalWeb"/>
        <w:spacing w:before="240" w:after="0"/>
        <w:ind w:firstLine="857"/>
        <w:rPr>
          <w:sz w:val="18"/>
          <w:szCs w:val="18"/>
          <w:lang w:val="en-GB"/>
        </w:rPr>
      </w:pPr>
      <w:r>
        <w:rPr>
          <w:sz w:val="18"/>
          <w:szCs w:val="18"/>
          <w:lang w:val="en-GB"/>
        </w:rPr>
        <w:t xml:space="preserve">Each of the Company SPA and the Seed Portfolio SPA </w:t>
      </w:r>
      <w:r w:rsidR="00940375">
        <w:rPr>
          <w:sz w:val="18"/>
          <w:szCs w:val="18"/>
          <w:lang w:val="en-GB"/>
        </w:rPr>
        <w:t>as well as the share purchase agreement entered into between the Company and the Joint Venture in respect of the Third JV Closing (the "</w:t>
      </w:r>
      <w:r w:rsidR="00940375" w:rsidRPr="00940375">
        <w:rPr>
          <w:sz w:val="18"/>
          <w:szCs w:val="18"/>
          <w:lang w:val="en-GB"/>
        </w:rPr>
        <w:t>Spring Portfolio SPA</w:t>
      </w:r>
      <w:r w:rsidR="00940375">
        <w:rPr>
          <w:sz w:val="18"/>
          <w:szCs w:val="18"/>
          <w:lang w:val="en-GB"/>
        </w:rPr>
        <w:t xml:space="preserve">") </w:t>
      </w:r>
      <w:r>
        <w:rPr>
          <w:sz w:val="18"/>
          <w:szCs w:val="18"/>
          <w:lang w:val="en-GB"/>
        </w:rPr>
        <w:t xml:space="preserve">contains a set of representations and warranties which were granted by the Company to </w:t>
      </w:r>
      <w:r w:rsidR="009A2178">
        <w:rPr>
          <w:sz w:val="18"/>
          <w:szCs w:val="18"/>
          <w:lang w:val="en-GB"/>
        </w:rPr>
        <w:t xml:space="preserve">Allianz and the JV </w:t>
      </w:r>
      <w:r>
        <w:rPr>
          <w:sz w:val="18"/>
          <w:szCs w:val="18"/>
          <w:lang w:val="en-GB"/>
        </w:rPr>
        <w:t>respectively, and which were in accordance with market practice. The maximum liability of the Company for breaches of the representations and warranties granted in the share purchase agreements amounts to approximately € 18.1 million in respect of the Company SPA</w:t>
      </w:r>
      <w:r w:rsidR="00940375">
        <w:rPr>
          <w:sz w:val="18"/>
          <w:szCs w:val="18"/>
          <w:lang w:val="en-GB"/>
        </w:rPr>
        <w:t>,</w:t>
      </w:r>
      <w:r>
        <w:rPr>
          <w:sz w:val="18"/>
          <w:szCs w:val="18"/>
          <w:lang w:val="en-GB"/>
        </w:rPr>
        <w:t xml:space="preserve"> to € </w:t>
      </w:r>
      <w:r w:rsidR="00940375">
        <w:rPr>
          <w:sz w:val="18"/>
          <w:szCs w:val="18"/>
          <w:lang w:val="en-GB"/>
        </w:rPr>
        <w:t>195</w:t>
      </w:r>
      <w:r>
        <w:rPr>
          <w:sz w:val="18"/>
          <w:szCs w:val="18"/>
          <w:lang w:val="en-GB"/>
        </w:rPr>
        <w:t xml:space="preserve"> million in respect of the Seed Portfolio SPA</w:t>
      </w:r>
      <w:r w:rsidR="00940375">
        <w:rPr>
          <w:sz w:val="18"/>
          <w:szCs w:val="18"/>
          <w:lang w:val="en-GB"/>
        </w:rPr>
        <w:t xml:space="preserve"> and to € 40.3 million in respect of the Spring Portfolio SPA</w:t>
      </w:r>
      <w:r>
        <w:rPr>
          <w:sz w:val="18"/>
          <w:szCs w:val="18"/>
          <w:lang w:val="en-GB"/>
        </w:rPr>
        <w:t>. As at the date of this Prospectus, the Company has not received any claims under either of these share purchase agreements.</w:t>
      </w:r>
    </w:p>
    <w:p w14:paraId="223DA04F" w14:textId="77777777" w:rsidR="00F76607" w:rsidRDefault="001863F0">
      <w:pPr>
        <w:keepNext/>
        <w:numPr>
          <w:ilvl w:val="2"/>
          <w:numId w:val="0"/>
        </w:numPr>
        <w:tabs>
          <w:tab w:val="num" w:pos="1361"/>
        </w:tabs>
        <w:spacing w:after="140" w:line="288" w:lineRule="auto"/>
        <w:ind w:left="1361" w:hanging="681"/>
        <w:jc w:val="both"/>
        <w:outlineLvl w:val="2"/>
        <w:rPr>
          <w:rFonts w:eastAsia="Calibri"/>
          <w:b/>
          <w:i/>
          <w:kern w:val="20"/>
          <w:sz w:val="18"/>
          <w:szCs w:val="18"/>
          <w:lang w:val="en-GB"/>
        </w:rPr>
      </w:pPr>
      <w:bookmarkStart w:id="77" w:name="_Toc460854318"/>
      <w:bookmarkStart w:id="78" w:name="_Ref485311546"/>
      <w:bookmarkStart w:id="79" w:name="_Ref485315194"/>
      <w:r>
        <w:rPr>
          <w:rFonts w:eastAsia="Calibri"/>
          <w:b/>
          <w:i/>
          <w:kern w:val="20"/>
          <w:sz w:val="18"/>
          <w:szCs w:val="18"/>
          <w:lang w:val="en-GB"/>
        </w:rPr>
        <w:t>Joint Venture Agreement (JVA)</w:t>
      </w:r>
      <w:bookmarkEnd w:id="77"/>
      <w:bookmarkEnd w:id="78"/>
      <w:bookmarkEnd w:id="79"/>
    </w:p>
    <w:p w14:paraId="313BABAD" w14:textId="12FD7F81" w:rsidR="00F76607" w:rsidRDefault="001863F0">
      <w:pPr>
        <w:pStyle w:val="NormalWeb"/>
        <w:spacing w:before="240" w:after="0"/>
        <w:ind w:firstLine="857"/>
        <w:rPr>
          <w:sz w:val="18"/>
          <w:szCs w:val="18"/>
          <w:lang w:val="en-GB"/>
        </w:rPr>
      </w:pPr>
      <w:r>
        <w:rPr>
          <w:sz w:val="18"/>
          <w:szCs w:val="18"/>
          <w:lang w:val="en-GB"/>
        </w:rPr>
        <w:t xml:space="preserve">Under the JVA, the Company and Allianz each have the right to appoint two representatives in the management body of the Joint Venture (whereby the chairman of the board (who does not have a casting vote) is appointed on a rotating basis – the first chairman being appointed by Allianz) and one or two representatives in the management and supervisory bodies of the Joint Venture’s subsidiaries, depending on the applicable local regulations. The directors appointed by VGP and by Allianz have to act jointly, whereas </w:t>
      </w:r>
      <w:r w:rsidR="009A2178">
        <w:rPr>
          <w:sz w:val="18"/>
          <w:szCs w:val="18"/>
          <w:lang w:val="en-GB"/>
        </w:rPr>
        <w:t>reserved</w:t>
      </w:r>
      <w:r>
        <w:rPr>
          <w:sz w:val="18"/>
          <w:szCs w:val="18"/>
          <w:lang w:val="en-GB"/>
        </w:rPr>
        <w:t xml:space="preserve"> matters require prior consent by both shareholder parties. These matters include (</w:t>
      </w:r>
      <w:proofErr w:type="spellStart"/>
      <w:r>
        <w:rPr>
          <w:sz w:val="18"/>
          <w:szCs w:val="18"/>
          <w:lang w:val="en-GB"/>
        </w:rPr>
        <w:t>i</w:t>
      </w:r>
      <w:proofErr w:type="spellEnd"/>
      <w:r>
        <w:rPr>
          <w:sz w:val="18"/>
          <w:szCs w:val="18"/>
          <w:lang w:val="en-GB"/>
        </w:rPr>
        <w:t>) commencing the winding-up or liquidation of the Joint Venture or any of its subsidiaries or the filing by any of these companies for bankruptcy (except if otherwise provided under mandatory legal provisions), (ii) initiating capital calls to the shareholders of the Joint Venture, which are not contemplated by the business plan, (iii) sale or disposition of any properties of project companies, (iv) making any distributions to the shareholders of the Joint Venture that are not in proportion to their shareholdings in the Joint Venture, (v) any amendment to the articles of association of the Joint Venture or any of its subsidiaries not in line with the Joint Venture Agreement, (vi) the acquisition of additional immovable properties or formation of a subsidiary by the Joint Venture or any of its subsidiaries, and (vii) the entering into any joint venture, partnership or similar agreement by the Joint Venture or any of its subsidiaries.</w:t>
      </w:r>
    </w:p>
    <w:p w14:paraId="5935CF6F" w14:textId="24CE2FC1" w:rsidR="00F76607" w:rsidRDefault="001863F0">
      <w:pPr>
        <w:pStyle w:val="NormalWeb"/>
        <w:spacing w:before="240" w:after="0"/>
        <w:ind w:firstLine="857"/>
        <w:rPr>
          <w:sz w:val="18"/>
          <w:szCs w:val="18"/>
          <w:lang w:val="en-GB"/>
        </w:rPr>
      </w:pPr>
      <w:r>
        <w:rPr>
          <w:sz w:val="18"/>
          <w:szCs w:val="18"/>
          <w:lang w:val="en-GB"/>
        </w:rPr>
        <w:t>The Joint Venture has an exclusive right of first refusal (in accordance with the conditions set forth in the JVA) in relation to acquiring the Czech, German, Hungarian and Slovak income generating assets of the Group. The Joint Venture does not have a contractual or legal obligation to acquire the income generating assets proposed by VGP. There is therefore a risk that the Joint Venture would discontinue acquiring the completed assets from the Group (see section “</w:t>
      </w:r>
      <w:r>
        <w:rPr>
          <w:i/>
          <w:sz w:val="18"/>
          <w:szCs w:val="18"/>
          <w:lang w:val="en-GB"/>
        </w:rPr>
        <w:t>Risk Factors –</w:t>
      </w:r>
      <w:r>
        <w:rPr>
          <w:sz w:val="18"/>
          <w:szCs w:val="18"/>
          <w:lang w:val="en-GB"/>
        </w:rPr>
        <w:t xml:space="preserve"> </w:t>
      </w:r>
      <w:r w:rsidR="00AF7864" w:rsidRPr="00AF7864">
        <w:rPr>
          <w:i/>
          <w:sz w:val="18"/>
          <w:szCs w:val="18"/>
          <w:lang w:val="en-GB"/>
        </w:rPr>
        <w:t>Risks related to the Group’s industry, properties and operations –</w:t>
      </w:r>
      <w:r w:rsidR="00AF7864" w:rsidRPr="00AF7864">
        <w:rPr>
          <w:sz w:val="18"/>
          <w:szCs w:val="18"/>
          <w:lang w:val="en-GB"/>
        </w:rPr>
        <w:t xml:space="preserve"> </w:t>
      </w:r>
      <w:r>
        <w:rPr>
          <w:i/>
          <w:iCs/>
          <w:sz w:val="18"/>
          <w:szCs w:val="18"/>
          <w:lang w:val="en-GB"/>
        </w:rPr>
        <w:t>The Group’s business, operations and financial conditions are significantly affected by the Joint Venture”</w:t>
      </w:r>
      <w:r>
        <w:rPr>
          <w:sz w:val="18"/>
          <w:szCs w:val="18"/>
          <w:lang w:val="en-GB"/>
        </w:rPr>
        <w:t xml:space="preserve">). This risk is, however, mitigated by the fact that specific investment criteria have been agreed for an investment period of five years as from the closing date of the Joint Venture, which ensure that when such criteria are met the Joint Venture is in principle required to acquire the proposed income generating assets. In case the Joint Venture does not acquire the assets (including the still to be developed land under the Seed Portfolio, whereas the to be completed buildings under construction under the Seed Portfolio need in any event to be acquired by the Joint Venture upon completion thereof), a number of chronological actions have been agreed between the Joint Venture partners, which ultimately allow VGP to market the proposed assets on the open market (provided a discount of not more than 5% below the fair market value of the assets is granted), allowing it to generate sales proceeds from another source than the Joint Venture. </w:t>
      </w:r>
      <w:r w:rsidR="007D69EB">
        <w:rPr>
          <w:sz w:val="18"/>
          <w:szCs w:val="18"/>
          <w:lang w:val="en-GB"/>
        </w:rPr>
        <w:t xml:space="preserve">The Company believes that it is in a strong position to </w:t>
      </w:r>
      <w:r w:rsidR="009A2178">
        <w:rPr>
          <w:sz w:val="18"/>
          <w:szCs w:val="18"/>
          <w:lang w:val="en-GB"/>
        </w:rPr>
        <w:t>continue selling those</w:t>
      </w:r>
      <w:r w:rsidR="007D69EB">
        <w:rPr>
          <w:sz w:val="18"/>
          <w:szCs w:val="18"/>
          <w:lang w:val="en-GB"/>
        </w:rPr>
        <w:t xml:space="preserve"> assets to the Joint Venture due to its</w:t>
      </w:r>
      <w:r>
        <w:rPr>
          <w:sz w:val="18"/>
          <w:szCs w:val="18"/>
          <w:lang w:val="en-GB"/>
        </w:rPr>
        <w:t xml:space="preserve"> strong historic track record in developing high-end logistic buildings and leasing out these buildings at attractive rent rates and the fact that the Company has a good negotiating position as the operator and manager of the portfolio.</w:t>
      </w:r>
      <w:r w:rsidR="007D69EB">
        <w:rPr>
          <w:sz w:val="18"/>
          <w:szCs w:val="18"/>
          <w:lang w:val="en-GB"/>
        </w:rPr>
        <w:t xml:space="preserve"> The Joint Venture </w:t>
      </w:r>
      <w:r w:rsidR="009A2178">
        <w:rPr>
          <w:sz w:val="18"/>
          <w:szCs w:val="18"/>
          <w:lang w:val="en-GB"/>
        </w:rPr>
        <w:t>may</w:t>
      </w:r>
      <w:r w:rsidR="007D69EB">
        <w:rPr>
          <w:sz w:val="18"/>
          <w:szCs w:val="18"/>
          <w:lang w:val="en-GB"/>
        </w:rPr>
        <w:t xml:space="preserve"> lose its right of first refusal if, for three consecutive times</w:t>
      </w:r>
      <w:r w:rsidR="00940375">
        <w:rPr>
          <w:sz w:val="18"/>
          <w:szCs w:val="18"/>
          <w:lang w:val="en-GB"/>
        </w:rPr>
        <w:t>,</w:t>
      </w:r>
      <w:r w:rsidR="007D69EB">
        <w:rPr>
          <w:sz w:val="18"/>
          <w:szCs w:val="18"/>
          <w:lang w:val="en-GB"/>
        </w:rPr>
        <w:t xml:space="preserve"> it has not exercised </w:t>
      </w:r>
      <w:r w:rsidR="009A2178">
        <w:rPr>
          <w:sz w:val="18"/>
          <w:szCs w:val="18"/>
          <w:lang w:val="en-GB"/>
        </w:rPr>
        <w:t xml:space="preserve">such </w:t>
      </w:r>
      <w:r w:rsidR="007D69EB">
        <w:rPr>
          <w:sz w:val="18"/>
          <w:szCs w:val="18"/>
          <w:lang w:val="en-GB"/>
        </w:rPr>
        <w:t>right of first refusal to acquire assets that comply with the investment criteria agreed in the Joint Venture Agreement</w:t>
      </w:r>
      <w:r>
        <w:rPr>
          <w:sz w:val="18"/>
          <w:szCs w:val="18"/>
          <w:lang w:val="en-GB"/>
        </w:rPr>
        <w:t xml:space="preserve"> </w:t>
      </w:r>
      <w:r w:rsidR="009A2178">
        <w:rPr>
          <w:sz w:val="18"/>
          <w:szCs w:val="18"/>
          <w:lang w:val="en-GB"/>
        </w:rPr>
        <w:t xml:space="preserve">as long as the </w:t>
      </w:r>
      <w:r w:rsidR="007D69EB">
        <w:rPr>
          <w:sz w:val="18"/>
          <w:szCs w:val="18"/>
          <w:lang w:val="en-GB"/>
        </w:rPr>
        <w:t xml:space="preserve">non-exercise </w:t>
      </w:r>
      <w:r w:rsidR="009A2178">
        <w:rPr>
          <w:sz w:val="18"/>
          <w:szCs w:val="18"/>
          <w:lang w:val="en-GB"/>
        </w:rPr>
        <w:t xml:space="preserve">of the right of first refusal </w:t>
      </w:r>
      <w:r w:rsidR="007D69EB">
        <w:rPr>
          <w:sz w:val="18"/>
          <w:szCs w:val="18"/>
          <w:lang w:val="en-GB"/>
        </w:rPr>
        <w:t xml:space="preserve">is not due to culpable action of the Group. </w:t>
      </w:r>
      <w:r>
        <w:rPr>
          <w:sz w:val="18"/>
          <w:szCs w:val="18"/>
          <w:lang w:val="en-GB"/>
        </w:rPr>
        <w:t xml:space="preserve">It should however be noted in this respect that if Jan Van Geet, as CEO of the Group, would no longer devote sufficient time to the development of the portfolio of the Joint Venture, Allianz can, upon notice thereof, stop the acquisition process of the proposed income-generating assets, until Jan Van Geet has been replaced to the satisfaction of Allianz. Such temporary standstill of Allianz’s investment obligation might negatively impact the short-term cash position of the Group. </w:t>
      </w:r>
      <w:r w:rsidR="000949E0">
        <w:rPr>
          <w:sz w:val="18"/>
          <w:szCs w:val="18"/>
          <w:lang w:val="en-GB"/>
        </w:rPr>
        <w:t>The change of the shareholder structure of the Company following the Offering will not affect the terms and conditions as set forth in the Joint Venture Agreement.</w:t>
      </w:r>
    </w:p>
    <w:p w14:paraId="0063A906" w14:textId="22500FE2" w:rsidR="00F76607" w:rsidRDefault="001863F0">
      <w:pPr>
        <w:pStyle w:val="NormalWeb"/>
        <w:spacing w:before="240" w:after="0"/>
        <w:ind w:firstLine="857"/>
        <w:rPr>
          <w:sz w:val="18"/>
          <w:szCs w:val="18"/>
          <w:lang w:val="en-GB"/>
        </w:rPr>
      </w:pPr>
      <w:r>
        <w:rPr>
          <w:sz w:val="18"/>
          <w:szCs w:val="18"/>
          <w:lang w:val="en-GB"/>
        </w:rPr>
        <w:lastRenderedPageBreak/>
        <w:t>The main potential liability that the Group has towards the Joint Venture relates to the development management activities undertaken by the Group for and on behalf of the Joint Venture. VGP is required to pre-finance the remaining development pipeline of the Joint Venture. This includes the pre-financing of</w:t>
      </w:r>
      <w:r>
        <w:t xml:space="preserve"> </w:t>
      </w:r>
      <w:r>
        <w:rPr>
          <w:sz w:val="18"/>
          <w:szCs w:val="18"/>
          <w:lang w:val="en-GB"/>
        </w:rPr>
        <w:t xml:space="preserve">the acquisition and development of land as well as buildings under construction through development and construction loans. Upon the acquisition of the developed assets by the Joint Venture these VGP loans will be repaid, generally from the additional bank debt drawn by the Joint Venture allowing VGP to (partially) recycle and apply these proceeds towards the financing of the development pipeline. Besides the proceeds from the repayment of the respective development and construction loans, </w:t>
      </w:r>
      <w:r w:rsidRPr="00AE7C9B">
        <w:rPr>
          <w:sz w:val="18"/>
          <w:szCs w:val="18"/>
          <w:lang w:val="en-GB"/>
        </w:rPr>
        <w:t>VGP is entitled to a top-up payment corresponding to the agreed market value of the acquired assets by the Joint Venture at completion less the respective repaid d</w:t>
      </w:r>
      <w:r w:rsidR="00AE7C9B" w:rsidRPr="00AE7C9B">
        <w:rPr>
          <w:sz w:val="18"/>
          <w:szCs w:val="18"/>
          <w:lang w:val="en-GB"/>
        </w:rPr>
        <w:t>evelopment or construction loan</w:t>
      </w:r>
      <w:r w:rsidR="001076CA" w:rsidRPr="00AE7C9B">
        <w:rPr>
          <w:sz w:val="18"/>
          <w:szCs w:val="18"/>
          <w:lang w:val="en-GB"/>
        </w:rPr>
        <w:t xml:space="preserve">. </w:t>
      </w:r>
      <w:r w:rsidRPr="00AE7C9B">
        <w:rPr>
          <w:sz w:val="18"/>
          <w:szCs w:val="18"/>
          <w:lang w:val="en-GB"/>
        </w:rPr>
        <w:t xml:space="preserve">The Joint Venture has </w:t>
      </w:r>
      <w:r w:rsidR="001076CA" w:rsidRPr="00AE7C9B">
        <w:rPr>
          <w:sz w:val="18"/>
          <w:szCs w:val="18"/>
          <w:lang w:val="en-GB"/>
        </w:rPr>
        <w:t>sufficient available cash resources</w:t>
      </w:r>
      <w:r w:rsidRPr="00AE7C9B">
        <w:rPr>
          <w:sz w:val="18"/>
          <w:szCs w:val="18"/>
          <w:lang w:val="en-GB"/>
        </w:rPr>
        <w:t xml:space="preserve"> for the next 12 months to </w:t>
      </w:r>
      <w:r w:rsidR="001076CA" w:rsidRPr="00AE7C9B">
        <w:rPr>
          <w:sz w:val="18"/>
          <w:szCs w:val="18"/>
          <w:lang w:val="en-GB"/>
        </w:rPr>
        <w:t>fund</w:t>
      </w:r>
      <w:r w:rsidRPr="00AE7C9B">
        <w:rPr>
          <w:sz w:val="18"/>
          <w:szCs w:val="18"/>
          <w:lang w:val="en-GB"/>
        </w:rPr>
        <w:t xml:space="preserve"> </w:t>
      </w:r>
      <w:r w:rsidR="001076CA" w:rsidRPr="00AE7C9B">
        <w:rPr>
          <w:sz w:val="18"/>
          <w:szCs w:val="18"/>
          <w:lang w:val="en-GB"/>
        </w:rPr>
        <w:t>the</w:t>
      </w:r>
      <w:r w:rsidRPr="00AE7C9B">
        <w:rPr>
          <w:sz w:val="18"/>
          <w:szCs w:val="18"/>
          <w:lang w:val="en-GB"/>
        </w:rPr>
        <w:t xml:space="preserve"> acquisition of the respective assets. </w:t>
      </w:r>
    </w:p>
    <w:p w14:paraId="0A57FA8A" w14:textId="193402B8" w:rsidR="00F76607" w:rsidRDefault="001863F0">
      <w:pPr>
        <w:pStyle w:val="NormalWeb"/>
        <w:spacing w:before="240" w:after="0"/>
        <w:ind w:firstLine="857"/>
        <w:rPr>
          <w:sz w:val="18"/>
          <w:szCs w:val="18"/>
          <w:lang w:val="en-GB"/>
        </w:rPr>
      </w:pPr>
      <w:r>
        <w:rPr>
          <w:sz w:val="18"/>
          <w:szCs w:val="18"/>
          <w:lang w:val="en-GB"/>
        </w:rPr>
        <w:t>As the Group acts</w:t>
      </w:r>
      <w:r w:rsidR="001076CA">
        <w:rPr>
          <w:sz w:val="18"/>
          <w:szCs w:val="18"/>
          <w:lang w:val="en-GB"/>
        </w:rPr>
        <w:t xml:space="preserve"> </w:t>
      </w:r>
      <w:r>
        <w:rPr>
          <w:sz w:val="18"/>
          <w:szCs w:val="18"/>
          <w:lang w:val="en-GB"/>
        </w:rPr>
        <w:t xml:space="preserve">as development manager vis-à-vis the Joint Venture’s portfolio, the Group is responsible for ensuring that the development of projects within the initially agreed construction price/budget. In case the actual construction cost would be higher than the initial construction budget, the aforementioned top-up payment will be adversely affected and in case the actual construction costs would be higher than the market value of the completed building, then such difference would need to be fully borne by the Group </w:t>
      </w:r>
      <w:r w:rsidRPr="00AE7C9B">
        <w:rPr>
          <w:sz w:val="18"/>
          <w:szCs w:val="18"/>
          <w:lang w:val="en-GB"/>
        </w:rPr>
        <w:t>(provided this was due to the Group).</w:t>
      </w:r>
      <w:r>
        <w:rPr>
          <w:sz w:val="18"/>
          <w:szCs w:val="18"/>
          <w:lang w:val="en-GB"/>
        </w:rPr>
        <w:t xml:space="preserve"> As at the date of this Prospectus, the Company is not aware of any outstanding quantifiable potential liability in this respect.</w:t>
      </w:r>
    </w:p>
    <w:p w14:paraId="6C332BD1" w14:textId="77777777" w:rsidR="00F76607" w:rsidRDefault="001863F0">
      <w:pPr>
        <w:pStyle w:val="NormalWeb"/>
        <w:spacing w:before="240" w:after="0"/>
        <w:ind w:firstLine="857"/>
        <w:rPr>
          <w:sz w:val="18"/>
          <w:szCs w:val="18"/>
          <w:lang w:val="en-GB"/>
        </w:rPr>
      </w:pPr>
      <w:r>
        <w:rPr>
          <w:sz w:val="18"/>
          <w:szCs w:val="18"/>
          <w:lang w:val="en-GB"/>
        </w:rPr>
        <w:t>The initial transaction value of the sale of the Seed Portfolio to the Joint Venture, i.e. the aggregate value at which the transaction was concluded, comprising the value of the completed properties, of the properties under construction and of the remaining land for future development, was in excess of € 500 million. After adjusting for bank loans, construction and development loans, balance sheet adjustments and VGP contributions to the Joint Venture, this resulted in net cash proceeds of € 176.4 million for VGP. The net cash proceeds from the sale of the initial Seed Portfolio allowed the Group to deleverage itself with the repayment of € 50 million in bank debt and optimise its capital structure with the repayment of € 63 million (including accrued interest) of hybrid instruments. The remaining amount was applied towards the financing of the development pipeline, i.e. the acquisition of new development land in Germany, Spain, the Czech Republic and Slovakia and the further financing of the then current buildings under construction. The Second JV Closing occurred at the end of October 2016 in which VGP sold completed assets to the Joint Venture for an aggregate transaction value in excess of € 80 million. After adjustment for bank loans, construction and development loans, balance sheet adjustments and VGP contributions to the Joint Venture, this second closing resulted in net cash proceeds of € 59.7 million for VGP.</w:t>
      </w:r>
    </w:p>
    <w:p w14:paraId="0224D52D" w14:textId="4BC41812" w:rsidR="00F76607" w:rsidRDefault="001863F0">
      <w:pPr>
        <w:pStyle w:val="NormalWeb"/>
        <w:spacing w:before="240" w:after="0"/>
        <w:ind w:firstLine="857"/>
        <w:rPr>
          <w:sz w:val="18"/>
          <w:szCs w:val="18"/>
          <w:lang w:val="en-GB"/>
        </w:rPr>
      </w:pPr>
      <w:r>
        <w:rPr>
          <w:sz w:val="18"/>
          <w:szCs w:val="18"/>
          <w:lang w:val="en-GB"/>
        </w:rPr>
        <w:t>At the end of May 2017, the Joint Venture acquired in the Third JV Closing 11 newly completed buildings from the Group. This acquisition was financed by the Joint Venture by making drawings under its existing credit facilities for an aggregate amount of € 102 million and the remaining balance was financed with shareholder equity (€ 47.8 million of which € 23.9 million from VGP) and shareholder loans (€ 14.2 million of which € 7.1 million from VGP). Following the Third JV Closing, the Joint Venture had available committed credit facilities totalling € 138.1 million. The total outstanding development and construction loans made by VGP to the Joint Venture immediately following the Third JV Closing (i.e., at the end of May 2017) amounted to € 83.4 million compared to € 81.6 million as at 31 December 2016 and € 92.7 million as at the time of the First JV Closing (i.e. the acquisition of the Seed Portfolio). As at the end of May 2017, VGP had contractual obligat</w:t>
      </w:r>
      <w:r w:rsidR="00762877">
        <w:rPr>
          <w:sz w:val="18"/>
          <w:szCs w:val="18"/>
          <w:lang w:val="en-GB"/>
        </w:rPr>
        <w:t>ions to develop new projects to be offered to</w:t>
      </w:r>
      <w:r>
        <w:rPr>
          <w:sz w:val="18"/>
          <w:szCs w:val="18"/>
          <w:lang w:val="en-GB"/>
        </w:rPr>
        <w:t xml:space="preserve"> the Joint Venture for a total amount of € 65.6 million. The total remaining investment cost to complete the development line of the Joint Venture and for which at the date of this Prospectus no contractual commitments have been taken, is estimated to amount to € 39.3 million, subject to further specifications and requirements from future tenants. Given the strong growth of the Joint Venture, the Group and the Joint Venture aim to realize two closings per year</w:t>
      </w:r>
      <w:r w:rsidR="001076CA">
        <w:rPr>
          <w:sz w:val="18"/>
          <w:szCs w:val="18"/>
          <w:lang w:val="en-GB"/>
        </w:rPr>
        <w:t xml:space="preserve"> through the term of the Joint Venture</w:t>
      </w:r>
      <w:r>
        <w:rPr>
          <w:sz w:val="18"/>
          <w:szCs w:val="18"/>
          <w:lang w:val="en-GB"/>
        </w:rPr>
        <w:t xml:space="preserve"> </w:t>
      </w:r>
      <w:r w:rsidRPr="001076CA">
        <w:rPr>
          <w:sz w:val="18"/>
          <w:szCs w:val="18"/>
          <w:lang w:val="en-GB"/>
        </w:rPr>
        <w:t>and in this respect new negotiations are expected to be started up during the second half of 2017 by the Joint Venture with its financial institutions who currently provide the committed credit facilities in order to increase the existing credit facilities with an amount between € 300 million and € 400 million to cover the future anticipated closings during the period 2018 to 2021.</w:t>
      </w:r>
    </w:p>
    <w:p w14:paraId="5A12C509" w14:textId="52BCA99E" w:rsidR="00F76607" w:rsidRDefault="001863F0" w:rsidP="00411069">
      <w:pPr>
        <w:pStyle w:val="NormalWeb"/>
        <w:ind w:firstLine="857"/>
        <w:rPr>
          <w:sz w:val="18"/>
          <w:szCs w:val="18"/>
          <w:lang w:val="en-GB"/>
        </w:rPr>
      </w:pPr>
      <w:r>
        <w:rPr>
          <w:sz w:val="18"/>
          <w:szCs w:val="18"/>
          <w:lang w:val="en-GB"/>
        </w:rPr>
        <w:t xml:space="preserve">Under the JVA, both parties agreed to significant limitations on their ability to transfer the shares in the Joint Venture to third parties. In case a shareholder wishes to transfer its shares, the other shareholder has a pre-emption right to purchase such shares under the JVA </w:t>
      </w:r>
      <w:r w:rsidRPr="001076CA">
        <w:rPr>
          <w:sz w:val="18"/>
          <w:szCs w:val="18"/>
          <w:lang w:val="en-GB"/>
        </w:rPr>
        <w:t>against the terms offered by the candidate transferee</w:t>
      </w:r>
      <w:r>
        <w:rPr>
          <w:sz w:val="18"/>
          <w:szCs w:val="18"/>
          <w:lang w:val="en-GB"/>
        </w:rPr>
        <w:t>. The Joint Venture Agreement also provides for a lock-up period of five years as from the closing date on which the JV was entered into, during which VGP is not allowed to transfer its shares in the Joint Venture other than to one of its affiliates (in which case the pre-emption right does not apply). The JVA further contains elaborate provisions on transfers of shares, which may lead to the transfer by VGP and by Allianz of all of their shares to a third party. The JVA applies the principle of market price value ensuring that if any party wants to dispose of part or all of its shares, such disposal is made at prevailing market conditions provided the disposal is not triggered by an event of default under the JVA which has not been cured within the agreed cure period.</w:t>
      </w:r>
    </w:p>
    <w:p w14:paraId="1D1DD220" w14:textId="77777777" w:rsidR="00F76607" w:rsidRDefault="001863F0">
      <w:pPr>
        <w:pStyle w:val="NormalWeb"/>
        <w:spacing w:before="240" w:after="0"/>
        <w:ind w:firstLine="857"/>
        <w:rPr>
          <w:sz w:val="18"/>
          <w:szCs w:val="18"/>
          <w:lang w:val="en-GB"/>
        </w:rPr>
      </w:pPr>
      <w:r>
        <w:rPr>
          <w:sz w:val="18"/>
          <w:szCs w:val="18"/>
          <w:lang w:val="en-GB"/>
        </w:rPr>
        <w:t xml:space="preserve">Although the Joint Venture is structured as joint venture under IFRS 11 (and not as a joint operation), the Joint Venture Agreement caters for situations where the joint control may come to an end, such as for example as a penalty in case of a failure to fund by VGP or in case of a change in rules or regulations. </w:t>
      </w:r>
    </w:p>
    <w:p w14:paraId="1C12D6AA" w14:textId="56A03EAC" w:rsidR="00F76607" w:rsidRDefault="001863F0">
      <w:pPr>
        <w:pStyle w:val="NormalWeb"/>
        <w:spacing w:before="240" w:after="0"/>
        <w:ind w:firstLine="857"/>
        <w:rPr>
          <w:sz w:val="18"/>
          <w:szCs w:val="18"/>
          <w:lang w:val="en-GB"/>
        </w:rPr>
      </w:pPr>
      <w:r>
        <w:rPr>
          <w:sz w:val="18"/>
          <w:szCs w:val="18"/>
          <w:lang w:val="en-GB"/>
        </w:rPr>
        <w:t xml:space="preserve">If the Company fails to provide funds to the Joint Venture that were committed under the terms of the Joint Venture Agreement towards Allianz (i.e. for financing </w:t>
      </w:r>
      <w:r w:rsidR="002C7466">
        <w:rPr>
          <w:sz w:val="18"/>
          <w:szCs w:val="18"/>
          <w:lang w:val="en-GB"/>
        </w:rPr>
        <w:t xml:space="preserve">its relevant portion of funds needed for the payment by the Joint Venture of </w:t>
      </w:r>
      <w:r>
        <w:rPr>
          <w:sz w:val="18"/>
          <w:szCs w:val="18"/>
          <w:lang w:val="en-GB"/>
        </w:rPr>
        <w:t>the top-up payment (if any)</w:t>
      </w:r>
      <w:r w:rsidR="002C7466">
        <w:rPr>
          <w:sz w:val="18"/>
          <w:szCs w:val="18"/>
          <w:lang w:val="en-GB"/>
        </w:rPr>
        <w:t xml:space="preserve"> to the Group</w:t>
      </w:r>
      <w:r>
        <w:rPr>
          <w:sz w:val="18"/>
          <w:szCs w:val="18"/>
          <w:lang w:val="en-GB"/>
        </w:rPr>
        <w:t xml:space="preserve">, the repayment </w:t>
      </w:r>
      <w:r w:rsidR="002C7466">
        <w:rPr>
          <w:sz w:val="18"/>
          <w:szCs w:val="18"/>
          <w:lang w:val="en-GB"/>
        </w:rPr>
        <w:t xml:space="preserve">by the Joint Venture of construction and development loans to the Group </w:t>
      </w:r>
      <w:r>
        <w:rPr>
          <w:sz w:val="18"/>
          <w:szCs w:val="18"/>
          <w:lang w:val="en-GB"/>
        </w:rPr>
        <w:t xml:space="preserve">upon the acquisition by the Joint Venture of completed assets, capital expenditures in relation to repairs and maintenance of such assets and the purchase price for any future completed assets which the Joint Venture would acquire or any other financing required by Allianz or VGP under the terms of the JVA (such as replacement of bank debt) and acknowledged by an appointed third-party financial expert), then Allianz is entitled to either exclusively subscribe to three times the number of shares that represent the amount of the funds not provided by the Company or alternatively to provide itself funding to the Joint Venture on preferential interest terms and repayment </w:t>
      </w:r>
      <w:r>
        <w:rPr>
          <w:sz w:val="18"/>
          <w:szCs w:val="18"/>
          <w:lang w:val="en-GB"/>
        </w:rPr>
        <w:lastRenderedPageBreak/>
        <w:t xml:space="preserve">conditions. For instance: If there are five hundred (500) issued shares, and if the default amount (the amount which would have otherwise been financed by VGP for example) is equal to 2% of the fair market value of the Joint Venture, Allianz would be entitled to subscribe for and acquire, following payment therefore in cash, thirty (three times ten) newly issued shares of the Joint Venture, which is equal to three times 2% of the outstanding shares of the Joint Venture on a pre-dilution basis. </w:t>
      </w:r>
    </w:p>
    <w:p w14:paraId="19C204B6" w14:textId="64622A2D" w:rsidR="00F76607" w:rsidRDefault="001863F0">
      <w:pPr>
        <w:pStyle w:val="NormalWeb"/>
        <w:spacing w:before="240" w:after="0"/>
        <w:ind w:firstLine="857"/>
        <w:rPr>
          <w:sz w:val="18"/>
          <w:szCs w:val="18"/>
          <w:lang w:val="en-GB"/>
        </w:rPr>
      </w:pPr>
      <w:r>
        <w:rPr>
          <w:sz w:val="18"/>
          <w:szCs w:val="18"/>
          <w:lang w:val="en-GB"/>
        </w:rPr>
        <w:t>In the event that Allianz would be subject to an obligation to consolidate the Joint Venture (for instance after a change in accounting rules or other regulations) within its companies’ group, it has been agreed under the Joint Venture Agreement that Allianz has the right to replace the existing debt financing in the Joint Venture by equity, which would possibly result in a dilution of the Company if the Company is unable to fund its commensurate part of the equity. However, as the debt position of the Joint Venture would be replaced by equity financing by Allianz on a 1:1 basis, in such case, the Net Asset Value of the Company’s stake in the Joint Venture would not be affected</w:t>
      </w:r>
      <w:r w:rsidR="00AE7C9B">
        <w:rPr>
          <w:sz w:val="18"/>
          <w:szCs w:val="18"/>
          <w:lang w:val="en-GB"/>
        </w:rPr>
        <w:t>.</w:t>
      </w:r>
    </w:p>
    <w:p w14:paraId="433B8280" w14:textId="5B37A4B6" w:rsidR="00F76607" w:rsidRDefault="001863F0">
      <w:pPr>
        <w:pStyle w:val="NormalWeb"/>
        <w:spacing w:before="240" w:after="0"/>
        <w:ind w:firstLine="857"/>
        <w:rPr>
          <w:sz w:val="18"/>
          <w:szCs w:val="18"/>
          <w:lang w:val="en-GB"/>
        </w:rPr>
      </w:pPr>
      <w:r>
        <w:rPr>
          <w:sz w:val="18"/>
          <w:szCs w:val="18"/>
          <w:lang w:val="en-GB"/>
        </w:rPr>
        <w:t xml:space="preserve">If at any time during the term of the Joint Venture Agreement, </w:t>
      </w:r>
      <w:r w:rsidR="00081C45">
        <w:rPr>
          <w:sz w:val="18"/>
          <w:szCs w:val="18"/>
          <w:lang w:val="en-GB"/>
        </w:rPr>
        <w:t xml:space="preserve">the participation that </w:t>
      </w:r>
      <w:r>
        <w:rPr>
          <w:sz w:val="18"/>
          <w:szCs w:val="18"/>
          <w:lang w:val="en-GB"/>
        </w:rPr>
        <w:t>Jan Van Geet directly or indirec</w:t>
      </w:r>
      <w:r w:rsidR="00081C45">
        <w:rPr>
          <w:sz w:val="18"/>
          <w:szCs w:val="18"/>
          <w:lang w:val="en-GB"/>
        </w:rPr>
        <w:t>tly holds in the Company falls</w:t>
      </w:r>
      <w:r>
        <w:rPr>
          <w:sz w:val="18"/>
          <w:szCs w:val="18"/>
          <w:lang w:val="en-GB"/>
        </w:rPr>
        <w:t xml:space="preserve"> below 25% of the total outstanding Shares</w:t>
      </w:r>
      <w:r w:rsidR="00081C45">
        <w:rPr>
          <w:sz w:val="18"/>
          <w:szCs w:val="18"/>
          <w:lang w:val="en-GB"/>
        </w:rPr>
        <w:t xml:space="preserve"> (other than due to the dilution of his participation as a result of capital increases or similar transactions at the level of the Company in which he would not participate)</w:t>
      </w:r>
      <w:r>
        <w:rPr>
          <w:sz w:val="18"/>
          <w:szCs w:val="18"/>
          <w:lang w:val="en-GB"/>
        </w:rPr>
        <w:t>, then Allianz is entitled to terminate all the management agreements with immediate effect and to terminate the Joint Venture Agreement (this would, however, not apply in the event Jan Van Geet would cease to control directly or indirectly 25% of the shares or the voting rights issued by the Company due to the dilution of his participation as a result of capital increases or similar transactions at the level of the Company in which he would not participate). The occurrence of such aforementioned event might materially impact VGP’s ability to generate sufficient dividend income out of the Joint Venture and/or to retain joint control over the Joint Venture and in turn could have a material adverse effect on the Group’s business, financial condition and results of operations. See “</w:t>
      </w:r>
      <w:r>
        <w:rPr>
          <w:i/>
          <w:sz w:val="18"/>
          <w:szCs w:val="18"/>
          <w:lang w:val="en-GB"/>
        </w:rPr>
        <w:t>Risk Factors – Risks related to the Group’s industry, properties and operations – The Group’s business, operations and financial conditions are significantly affected by the Joint Venture</w:t>
      </w:r>
      <w:r>
        <w:rPr>
          <w:sz w:val="18"/>
          <w:szCs w:val="18"/>
          <w:lang w:val="en-GB"/>
        </w:rPr>
        <w:t>”.</w:t>
      </w:r>
    </w:p>
    <w:p w14:paraId="5D0A2DCF" w14:textId="65333742" w:rsidR="00F76607" w:rsidRDefault="001863F0">
      <w:pPr>
        <w:pStyle w:val="NormalWeb"/>
        <w:spacing w:before="240" w:after="0"/>
        <w:ind w:firstLine="857"/>
        <w:rPr>
          <w:sz w:val="18"/>
          <w:szCs w:val="18"/>
          <w:lang w:val="en-GB"/>
        </w:rPr>
      </w:pPr>
      <w:r>
        <w:rPr>
          <w:sz w:val="18"/>
          <w:szCs w:val="18"/>
          <w:lang w:val="en-GB"/>
        </w:rPr>
        <w:t>Since VGP acts as exclusive asset manager, development manager, as well as property and leasing manager of the Joint Venture, these activities generate recurrent income for VGP. Should a member of the Group materially breach its obligations under a management agreement which is not remedied within a certain period of time following a notification thereof, or should the Company breach its exclusivity obligations under the Joint Venture Agreement in relation to the offering of income-generating assets, then Allianz is entitled to terminate all the management agreements with immediate effect, to terminate the Joint Venture Agreement and/or to exercise a call option on all the shares the Company holds in the Joint Venture against payment of a</w:t>
      </w:r>
      <w:r w:rsidR="00FF2ECC">
        <w:rPr>
          <w:sz w:val="18"/>
          <w:szCs w:val="18"/>
          <w:lang w:val="en-GB"/>
        </w:rPr>
        <w:t xml:space="preserve"> </w:t>
      </w:r>
      <w:r>
        <w:rPr>
          <w:sz w:val="18"/>
          <w:szCs w:val="18"/>
          <w:lang w:val="en-GB"/>
        </w:rPr>
        <w:t>purchase price of 90% of the fair market value of these shares,</w:t>
      </w:r>
      <w:r>
        <w:t xml:space="preserve"> </w:t>
      </w:r>
      <w:r>
        <w:rPr>
          <w:sz w:val="18"/>
          <w:szCs w:val="18"/>
          <w:lang w:val="en-GB"/>
        </w:rPr>
        <w:t>which entails a discount of 10% of the fair market value of these shares. The occurrence of any of the aforementioned events might materially impact VGP’s ability to generate sufficient dividend income out of the Joint Venture and/or to retain joint control over the Joint Venture (see section “</w:t>
      </w:r>
      <w:r>
        <w:rPr>
          <w:i/>
          <w:sz w:val="18"/>
          <w:szCs w:val="18"/>
          <w:lang w:val="en-GB"/>
        </w:rPr>
        <w:t>Risk Factors –</w:t>
      </w:r>
      <w:r>
        <w:rPr>
          <w:sz w:val="18"/>
          <w:szCs w:val="18"/>
          <w:lang w:val="en-GB"/>
        </w:rPr>
        <w:t xml:space="preserve"> </w:t>
      </w:r>
      <w:r>
        <w:rPr>
          <w:i/>
          <w:sz w:val="18"/>
          <w:szCs w:val="18"/>
          <w:lang w:val="en-GB"/>
        </w:rPr>
        <w:t xml:space="preserve">Risks related to the Group’s industry, properties and operations - </w:t>
      </w:r>
      <w:r>
        <w:rPr>
          <w:i/>
          <w:iCs/>
          <w:sz w:val="18"/>
          <w:szCs w:val="18"/>
          <w:lang w:val="en-GB"/>
        </w:rPr>
        <w:t>The Group’s business, operations and financial conditions are significantly affected by the Joint Venture”</w:t>
      </w:r>
      <w:r>
        <w:rPr>
          <w:sz w:val="18"/>
          <w:szCs w:val="18"/>
          <w:lang w:val="en-GB"/>
        </w:rPr>
        <w:t>).</w:t>
      </w:r>
      <w:r>
        <w:t xml:space="preserve"> </w:t>
      </w:r>
      <w:r>
        <w:rPr>
          <w:sz w:val="18"/>
          <w:szCs w:val="18"/>
          <w:lang w:val="en-GB"/>
        </w:rPr>
        <w:t xml:space="preserve">Pursuant to the Joint Venture Agreement, in consideration of VGP acting as exclusive asset manager, development manager and property and leasing manager to the Joint Venture, VGP shall not during the term of the Joint Venture Agreement enter into a similar and competing joint venture comparable to the Joint Venture and/or competing with the Joint Venture in any country where the Joint Venture or any of the Joint Venture’s affiliates is active. </w:t>
      </w:r>
    </w:p>
    <w:p w14:paraId="6A8C38B6" w14:textId="77777777" w:rsidR="00F76607" w:rsidRDefault="001863F0">
      <w:pPr>
        <w:pStyle w:val="NormalWeb"/>
        <w:spacing w:before="240" w:after="0"/>
        <w:ind w:firstLine="857"/>
        <w:rPr>
          <w:sz w:val="18"/>
          <w:szCs w:val="18"/>
          <w:lang w:val="en-GB"/>
        </w:rPr>
      </w:pPr>
      <w:r>
        <w:rPr>
          <w:sz w:val="18"/>
          <w:szCs w:val="18"/>
          <w:lang w:val="en-GB"/>
        </w:rPr>
        <w:t>Prospective investors should furthermore note that the Joint Venture Agreement between the Company and Allianz may be subject to further amendments, or may be terminated. This may have a negative impact on the Company’s financial position and income (see section “</w:t>
      </w:r>
      <w:r>
        <w:rPr>
          <w:i/>
          <w:sz w:val="18"/>
          <w:szCs w:val="18"/>
          <w:lang w:val="en-GB"/>
        </w:rPr>
        <w:t>Risk Factors –</w:t>
      </w:r>
      <w:r>
        <w:rPr>
          <w:sz w:val="18"/>
          <w:szCs w:val="18"/>
          <w:lang w:val="en-GB"/>
        </w:rPr>
        <w:t xml:space="preserve"> </w:t>
      </w:r>
      <w:r>
        <w:rPr>
          <w:i/>
          <w:sz w:val="18"/>
          <w:szCs w:val="18"/>
          <w:lang w:val="en-GB"/>
        </w:rPr>
        <w:t xml:space="preserve">Risks related to the Group’s industry, properties and operation - </w:t>
      </w:r>
      <w:r>
        <w:rPr>
          <w:i/>
          <w:iCs/>
          <w:sz w:val="18"/>
          <w:szCs w:val="18"/>
          <w:lang w:val="en-GB"/>
        </w:rPr>
        <w:t>The Group’s business, operations and financial conditions are significantly affected by the Joint Venture”</w:t>
      </w:r>
      <w:r>
        <w:rPr>
          <w:sz w:val="18"/>
          <w:szCs w:val="18"/>
          <w:lang w:val="en-GB"/>
        </w:rPr>
        <w:t>).</w:t>
      </w:r>
    </w:p>
    <w:p w14:paraId="20688825" w14:textId="77777777" w:rsidR="00F76607" w:rsidRDefault="001863F0">
      <w:pPr>
        <w:keepNext/>
        <w:numPr>
          <w:ilvl w:val="2"/>
          <w:numId w:val="0"/>
        </w:numPr>
        <w:tabs>
          <w:tab w:val="num" w:pos="1361"/>
        </w:tabs>
        <w:spacing w:after="140" w:line="288" w:lineRule="auto"/>
        <w:ind w:left="1361" w:hanging="681"/>
        <w:jc w:val="both"/>
        <w:outlineLvl w:val="2"/>
        <w:rPr>
          <w:rFonts w:eastAsia="Calibri"/>
          <w:i/>
          <w:kern w:val="20"/>
          <w:sz w:val="18"/>
          <w:szCs w:val="18"/>
          <w:lang w:val="en-GB"/>
        </w:rPr>
      </w:pPr>
      <w:bookmarkStart w:id="80" w:name="_Toc460854319"/>
      <w:r>
        <w:rPr>
          <w:rFonts w:eastAsia="Calibri"/>
          <w:b/>
          <w:i/>
          <w:kern w:val="20"/>
          <w:sz w:val="18"/>
          <w:szCs w:val="18"/>
          <w:lang w:val="en-GB"/>
        </w:rPr>
        <w:t>Promote</w:t>
      </w:r>
      <w:bookmarkEnd w:id="80"/>
    </w:p>
    <w:p w14:paraId="653BA7BD" w14:textId="77777777" w:rsidR="00F76607" w:rsidRDefault="001863F0">
      <w:pPr>
        <w:pStyle w:val="NormalWeb"/>
        <w:spacing w:before="240" w:after="0"/>
        <w:ind w:firstLine="857"/>
        <w:rPr>
          <w:sz w:val="18"/>
          <w:szCs w:val="18"/>
          <w:lang w:val="en-GB"/>
        </w:rPr>
      </w:pPr>
      <w:r>
        <w:rPr>
          <w:sz w:val="18"/>
          <w:szCs w:val="18"/>
          <w:lang w:val="en-GB"/>
        </w:rPr>
        <w:t>VGP will be entitled to a one-time promote payment upon expiry of the Joint Venture. This promote is based on all the pre-tax cash flows received from the Joint Venture between the date on which the Joint Venture was entered into and the expiry of a 10-year term as from the date on which the Joint Venture was entered into. The method for calculating the promote fee is agreed among the parties in the Joint Venture Agreement, which the Company believe is structured in a similar way that is usually applicable for similar transactions in the market.</w:t>
      </w:r>
    </w:p>
    <w:p w14:paraId="3C9EF59F" w14:textId="77777777" w:rsidR="00F76607" w:rsidRDefault="001863F0">
      <w:pPr>
        <w:keepNext/>
        <w:numPr>
          <w:ilvl w:val="2"/>
          <w:numId w:val="0"/>
        </w:numPr>
        <w:tabs>
          <w:tab w:val="num" w:pos="1361"/>
        </w:tabs>
        <w:spacing w:after="140" w:line="288" w:lineRule="auto"/>
        <w:ind w:left="1361" w:hanging="681"/>
        <w:jc w:val="both"/>
        <w:outlineLvl w:val="2"/>
        <w:rPr>
          <w:rFonts w:eastAsia="Calibri"/>
          <w:i/>
          <w:kern w:val="20"/>
          <w:sz w:val="18"/>
          <w:szCs w:val="18"/>
          <w:lang w:val="en-GB"/>
        </w:rPr>
      </w:pPr>
      <w:bookmarkStart w:id="81" w:name="_Toc460854320"/>
      <w:r>
        <w:rPr>
          <w:rFonts w:eastAsia="Calibri"/>
          <w:b/>
          <w:i/>
          <w:kern w:val="20"/>
          <w:sz w:val="18"/>
          <w:szCs w:val="18"/>
          <w:lang w:val="en-GB"/>
        </w:rPr>
        <w:t>Asset management agreements</w:t>
      </w:r>
      <w:bookmarkEnd w:id="81"/>
    </w:p>
    <w:p w14:paraId="3941A72F" w14:textId="5FF1FAF1" w:rsidR="00F76607" w:rsidRDefault="001863F0">
      <w:pPr>
        <w:pStyle w:val="NormalWeb"/>
        <w:spacing w:before="240" w:after="0"/>
        <w:ind w:firstLine="857"/>
        <w:rPr>
          <w:sz w:val="18"/>
          <w:szCs w:val="18"/>
          <w:lang w:val="en-GB"/>
        </w:rPr>
      </w:pPr>
      <w:r>
        <w:rPr>
          <w:sz w:val="18"/>
          <w:szCs w:val="18"/>
          <w:lang w:val="en-GB"/>
        </w:rPr>
        <w:t xml:space="preserve">VGP acts as the </w:t>
      </w:r>
      <w:r w:rsidR="009A2178">
        <w:rPr>
          <w:sz w:val="18"/>
          <w:szCs w:val="18"/>
          <w:lang w:val="en-GB"/>
        </w:rPr>
        <w:t xml:space="preserve">exclusive </w:t>
      </w:r>
      <w:r>
        <w:rPr>
          <w:sz w:val="18"/>
          <w:szCs w:val="18"/>
          <w:lang w:val="en-GB"/>
        </w:rPr>
        <w:t xml:space="preserve">asset manager of the Joint Venture and its respective subsidiaries. As part of these services, VGP is responsible for standard corporate administration, administration of financing, business planning, reporting, budgeting, management of tax and legal affairs, controlling, etc. VGP is entitled to an asset management fee the calculation of which is based on the invested equity in the Joint Venture, adjusted for any future capital contribution / distribution. The asset management services are delivered by a subsidiary of VGP, VGP Asset Management </w:t>
      </w:r>
      <w:proofErr w:type="spellStart"/>
      <w:r>
        <w:rPr>
          <w:sz w:val="18"/>
          <w:szCs w:val="18"/>
          <w:lang w:val="en-GB"/>
        </w:rPr>
        <w:t>S.à</w:t>
      </w:r>
      <w:proofErr w:type="spellEnd"/>
      <w:r>
        <w:rPr>
          <w:sz w:val="18"/>
          <w:szCs w:val="18"/>
          <w:lang w:val="en-GB"/>
        </w:rPr>
        <w:t> </w:t>
      </w:r>
      <w:proofErr w:type="spellStart"/>
      <w:r>
        <w:rPr>
          <w:sz w:val="18"/>
          <w:szCs w:val="18"/>
          <w:lang w:val="en-GB"/>
        </w:rPr>
        <w:t>r.l</w:t>
      </w:r>
      <w:proofErr w:type="spellEnd"/>
      <w:r>
        <w:rPr>
          <w:sz w:val="18"/>
          <w:szCs w:val="18"/>
          <w:lang w:val="en-GB"/>
        </w:rPr>
        <w:t>., which operates from Luxembourg.</w:t>
      </w:r>
    </w:p>
    <w:p w14:paraId="26B7886C" w14:textId="77777777" w:rsidR="00F76607" w:rsidRDefault="001863F0">
      <w:pPr>
        <w:keepNext/>
        <w:numPr>
          <w:ilvl w:val="2"/>
          <w:numId w:val="0"/>
        </w:numPr>
        <w:tabs>
          <w:tab w:val="num" w:pos="1361"/>
        </w:tabs>
        <w:spacing w:after="140" w:line="288" w:lineRule="auto"/>
        <w:ind w:left="1361" w:hanging="681"/>
        <w:jc w:val="both"/>
        <w:outlineLvl w:val="2"/>
        <w:rPr>
          <w:rFonts w:eastAsia="Calibri"/>
          <w:i/>
          <w:kern w:val="20"/>
          <w:sz w:val="18"/>
          <w:szCs w:val="18"/>
          <w:lang w:val="en-GB"/>
        </w:rPr>
      </w:pPr>
      <w:bookmarkStart w:id="82" w:name="_Toc460854321"/>
      <w:r>
        <w:rPr>
          <w:rFonts w:eastAsia="Calibri"/>
          <w:b/>
          <w:i/>
          <w:kern w:val="20"/>
          <w:sz w:val="18"/>
          <w:szCs w:val="18"/>
          <w:lang w:val="en-GB"/>
        </w:rPr>
        <w:t>Development management agreements</w:t>
      </w:r>
      <w:bookmarkEnd w:id="82"/>
    </w:p>
    <w:p w14:paraId="69F9629C" w14:textId="071452C2" w:rsidR="00F76607" w:rsidRDefault="008F1340">
      <w:pPr>
        <w:pStyle w:val="NormalWeb"/>
        <w:spacing w:before="240" w:after="0"/>
        <w:ind w:firstLine="857"/>
        <w:rPr>
          <w:sz w:val="18"/>
          <w:szCs w:val="18"/>
          <w:lang w:val="en-GB"/>
        </w:rPr>
      </w:pPr>
      <w:r>
        <w:rPr>
          <w:sz w:val="18"/>
          <w:szCs w:val="18"/>
          <w:lang w:val="en-GB"/>
        </w:rPr>
        <w:t>It has been agreed by VGP and Allianz that t</w:t>
      </w:r>
      <w:r w:rsidR="001863F0">
        <w:rPr>
          <w:sz w:val="18"/>
          <w:szCs w:val="18"/>
          <w:lang w:val="en-GB"/>
        </w:rPr>
        <w:t xml:space="preserve">he Joint Venture </w:t>
      </w:r>
      <w:r>
        <w:rPr>
          <w:sz w:val="18"/>
          <w:szCs w:val="18"/>
          <w:lang w:val="en-GB"/>
        </w:rPr>
        <w:t>will appoint</w:t>
      </w:r>
      <w:r w:rsidR="001863F0">
        <w:rPr>
          <w:sz w:val="18"/>
          <w:szCs w:val="18"/>
          <w:lang w:val="en-GB"/>
        </w:rPr>
        <w:t xml:space="preserve"> VGP as an advisor to provide development management services in respect of specific development projects and on specific terms. VGP as advisor has accepted to perform the services and carry out the works as described in the development management agreement according to the applicable law, the generally accepted rules of technology and with all due care, attention and diligence as is expected of a competent advisor experienced </w:t>
      </w:r>
      <w:r w:rsidR="001863F0">
        <w:rPr>
          <w:sz w:val="18"/>
          <w:szCs w:val="18"/>
          <w:lang w:val="en-GB"/>
        </w:rPr>
        <w:lastRenderedPageBreak/>
        <w:t>in carrying out services and works similar to the services and works on projects of size, scope, type and complexity comparable with the development project. The services performed by VGP include any and all services and actions (excluding however in any event performing itself the works) required to procure the design, building of and completion of the development project, even if such services or actions are not expressly mentioned in the development agreements.</w:t>
      </w:r>
    </w:p>
    <w:p w14:paraId="1F48F089" w14:textId="77777777" w:rsidR="00F76607" w:rsidRDefault="001863F0">
      <w:pPr>
        <w:pStyle w:val="NormalWeb"/>
        <w:spacing w:before="240" w:after="0"/>
        <w:ind w:firstLine="857"/>
        <w:rPr>
          <w:sz w:val="18"/>
          <w:szCs w:val="18"/>
          <w:lang w:val="en-GB"/>
        </w:rPr>
      </w:pPr>
      <w:r>
        <w:rPr>
          <w:sz w:val="18"/>
          <w:szCs w:val="18"/>
          <w:lang w:val="en-GB"/>
        </w:rPr>
        <w:t>The advisor shall use its reasonable best efforts to procure that the development project completion is achieved by the estimated project completion date.</w:t>
      </w:r>
    </w:p>
    <w:p w14:paraId="4C4086E5" w14:textId="78E5DF40" w:rsidR="00F76607" w:rsidRDefault="001863F0">
      <w:pPr>
        <w:pStyle w:val="NormalWeb"/>
        <w:spacing w:before="240" w:after="0"/>
        <w:ind w:firstLine="857"/>
        <w:rPr>
          <w:sz w:val="18"/>
          <w:szCs w:val="18"/>
          <w:lang w:val="en-GB"/>
        </w:rPr>
      </w:pPr>
      <w:r>
        <w:rPr>
          <w:sz w:val="18"/>
          <w:szCs w:val="18"/>
          <w:lang w:val="en-GB"/>
        </w:rPr>
        <w:t xml:space="preserve">In consideration of the advisor providing the services pursuant to the development agreement, the owner shall pay to the advisor a development management fee which will be based on an agreed arm’s length hourly rate. </w:t>
      </w:r>
    </w:p>
    <w:p w14:paraId="6283D1D6" w14:textId="77777777" w:rsidR="00F76607" w:rsidRDefault="001863F0">
      <w:pPr>
        <w:keepNext/>
        <w:numPr>
          <w:ilvl w:val="2"/>
          <w:numId w:val="0"/>
        </w:numPr>
        <w:tabs>
          <w:tab w:val="num" w:pos="1361"/>
        </w:tabs>
        <w:spacing w:after="140" w:line="288" w:lineRule="auto"/>
        <w:ind w:left="1361" w:hanging="681"/>
        <w:jc w:val="both"/>
        <w:outlineLvl w:val="2"/>
        <w:rPr>
          <w:rFonts w:eastAsia="Calibri"/>
          <w:i/>
          <w:kern w:val="20"/>
          <w:sz w:val="18"/>
          <w:szCs w:val="18"/>
          <w:lang w:val="en-GB"/>
        </w:rPr>
      </w:pPr>
      <w:bookmarkStart w:id="83" w:name="_Toc460854322"/>
      <w:r>
        <w:rPr>
          <w:rFonts w:eastAsia="Calibri"/>
          <w:b/>
          <w:i/>
          <w:kern w:val="20"/>
          <w:sz w:val="18"/>
          <w:szCs w:val="18"/>
          <w:lang w:val="en-GB"/>
        </w:rPr>
        <w:t>Property management agreements</w:t>
      </w:r>
      <w:bookmarkEnd w:id="83"/>
    </w:p>
    <w:p w14:paraId="7615E5FE" w14:textId="77777777" w:rsidR="00F76607" w:rsidRDefault="001863F0">
      <w:pPr>
        <w:pStyle w:val="NormalWeb"/>
        <w:spacing w:before="240" w:after="0"/>
        <w:ind w:firstLine="857"/>
        <w:rPr>
          <w:sz w:val="18"/>
          <w:szCs w:val="18"/>
          <w:lang w:val="en-GB"/>
        </w:rPr>
      </w:pPr>
      <w:r>
        <w:rPr>
          <w:sz w:val="18"/>
          <w:szCs w:val="18"/>
          <w:lang w:val="en-GB"/>
        </w:rPr>
        <w:t>The property management agreements that have been entered into with respect to the Joint Venture’s subsidiaries detail the services to be provided by VGP in respect of Facility Management services, Project Management services (which covers additional smaller building improvements to existing buildings), lease management services, budgeting, accounting and reporting.</w:t>
      </w:r>
    </w:p>
    <w:p w14:paraId="412526A7" w14:textId="27430074" w:rsidR="00F76607" w:rsidRDefault="001863F0">
      <w:pPr>
        <w:pStyle w:val="NormalWeb"/>
        <w:spacing w:before="240" w:after="0"/>
        <w:ind w:firstLine="857"/>
        <w:rPr>
          <w:sz w:val="18"/>
          <w:szCs w:val="18"/>
          <w:lang w:val="en-GB"/>
        </w:rPr>
      </w:pPr>
      <w:r>
        <w:rPr>
          <w:sz w:val="18"/>
          <w:szCs w:val="18"/>
          <w:lang w:val="en-GB"/>
        </w:rPr>
        <w:t xml:space="preserve">The fees received for VGP’s services are composed of a property management fee, which corresponds to the administration fee included in each respective lease contract and varies between 0%-3% of the monthly rent. The Project Management fee is based on the respective improvement costs to the building and consists of a scaling fee structure with a maximum fee of 4% for smaller improvements going down to 2% for larger improvements. Finally, VGP is entitled to a leasing fee for each new / renewed lease contract which is the result of the direct marketing of VGP. The leasing fee is based on what a third party real estate broker would usually receive, i.e. between 12.5% and 25% of the annual rent of the respective lease contract. VGP will only be liable for the qualitative performance of its services and no specific quantifiable liability clause has been included in these agreements. </w:t>
      </w:r>
    </w:p>
    <w:p w14:paraId="4948A55E" w14:textId="77777777" w:rsidR="00F76607" w:rsidRDefault="001863F0">
      <w:pPr>
        <w:keepNext/>
        <w:numPr>
          <w:ilvl w:val="2"/>
          <w:numId w:val="0"/>
        </w:numPr>
        <w:tabs>
          <w:tab w:val="num" w:pos="1361"/>
        </w:tabs>
        <w:spacing w:after="140" w:line="288" w:lineRule="auto"/>
        <w:ind w:left="1361" w:hanging="681"/>
        <w:jc w:val="both"/>
        <w:outlineLvl w:val="2"/>
        <w:rPr>
          <w:rFonts w:eastAsia="Calibri"/>
          <w:b/>
          <w:i/>
          <w:kern w:val="20"/>
          <w:sz w:val="18"/>
          <w:szCs w:val="18"/>
          <w:lang w:val="en-GB"/>
        </w:rPr>
      </w:pPr>
      <w:bookmarkStart w:id="84" w:name="_Ref485311550"/>
      <w:bookmarkStart w:id="85" w:name="_Toc460854323"/>
      <w:bookmarkStart w:id="86" w:name="_Ref484767569"/>
      <w:bookmarkStart w:id="87" w:name="_Ref454998963"/>
      <w:r>
        <w:rPr>
          <w:rFonts w:eastAsia="Calibri"/>
          <w:b/>
          <w:i/>
          <w:kern w:val="20"/>
          <w:sz w:val="18"/>
          <w:szCs w:val="18"/>
          <w:lang w:val="en-GB"/>
        </w:rPr>
        <w:t>Constructive Obligation</w:t>
      </w:r>
      <w:bookmarkEnd w:id="84"/>
      <w:bookmarkEnd w:id="85"/>
      <w:bookmarkEnd w:id="86"/>
    </w:p>
    <w:p w14:paraId="02FCD2AE" w14:textId="43857C26" w:rsidR="00F76607" w:rsidRDefault="001863F0">
      <w:pPr>
        <w:pStyle w:val="NormalWeb"/>
        <w:spacing w:before="240" w:after="0"/>
        <w:ind w:firstLine="857"/>
        <w:rPr>
          <w:sz w:val="18"/>
          <w:szCs w:val="18"/>
        </w:rPr>
      </w:pPr>
      <w:r>
        <w:rPr>
          <w:sz w:val="18"/>
          <w:szCs w:val="18"/>
          <w:lang w:val="en-GB"/>
        </w:rPr>
        <w:t>The Board of Directors have taken a conservative view in respect of the financial support of the Company towards the Joint Venture. Although the Company does not have any other contractual obligations other than as set forth in the JVA, the Company SPA, the Seed Portfolio SPA,</w:t>
      </w:r>
      <w:r w:rsidR="00940375">
        <w:rPr>
          <w:sz w:val="18"/>
          <w:szCs w:val="18"/>
          <w:lang w:val="en-GB"/>
        </w:rPr>
        <w:t xml:space="preserve"> the Spring Portfolio SPA, </w:t>
      </w:r>
      <w:r>
        <w:rPr>
          <w:sz w:val="18"/>
          <w:szCs w:val="18"/>
          <w:lang w:val="en-GB"/>
        </w:rPr>
        <w:t xml:space="preserve">the asset management agreements, development management agreements and the property management agreements, the Board of Directors has taken a conservative approach vis-à-vis the Joint Venture and has therefore recognised that the Company has a </w:t>
      </w:r>
      <w:r w:rsidR="00081C45">
        <w:rPr>
          <w:sz w:val="18"/>
          <w:szCs w:val="18"/>
          <w:lang w:val="en-GB"/>
        </w:rPr>
        <w:t xml:space="preserve">de facto </w:t>
      </w:r>
      <w:r>
        <w:rPr>
          <w:sz w:val="18"/>
          <w:szCs w:val="18"/>
          <w:lang w:val="en-GB"/>
        </w:rPr>
        <w:t xml:space="preserve">constructive obligation towards the Joint Venture since the proper functioning of the Joint Venture is material for the Group in realizing its expected capital gains. Given the importance of the Joint Venture’s portfolio, VGP will always seek to ensure that Joint Venture and its subsidiaries will be in a position </w:t>
      </w:r>
      <w:r w:rsidR="00081C45">
        <w:rPr>
          <w:sz w:val="18"/>
          <w:szCs w:val="18"/>
          <w:lang w:val="en-GB"/>
        </w:rPr>
        <w:t>to fulfil all their obligations</w:t>
      </w:r>
      <w:r>
        <w:rPr>
          <w:sz w:val="18"/>
          <w:szCs w:val="18"/>
          <w:lang w:val="en-GB"/>
        </w:rPr>
        <w:t xml:space="preserve">. </w:t>
      </w:r>
      <w:r>
        <w:rPr>
          <w:sz w:val="18"/>
          <w:szCs w:val="18"/>
        </w:rPr>
        <w:t>This entails that ultimately any payment due by the Joint Venture to the Group will either be borne by the Joint Venture’s shareholders, i.e. VGP and Allianz, pro rata their shareholding, or in the event that VGP does not comply with its aforementioned funding obligations under the JVA, will lead to VGP being diluted by Allianz in accordance with the provisions of the JVA or alternatively Allianz providing funding to the Joint Venture on preferential interest terms and repayment conditions.</w:t>
      </w:r>
      <w:r>
        <w:rPr>
          <w:sz w:val="18"/>
          <w:szCs w:val="18"/>
          <w:lang w:val="en-GB"/>
        </w:rPr>
        <w:t xml:space="preserve"> As at 30 June 2017 the “Investments in joint ventures and associates” showed a positive balance of € 130.3 million compared to € 89.2 million as at 31 December 2016 and compared to a negative balance of € 103,000 as at 31 December 2015 which was a reflection of the costs incurred by Snow Crystal </w:t>
      </w:r>
      <w:proofErr w:type="spellStart"/>
      <w:r>
        <w:rPr>
          <w:sz w:val="18"/>
          <w:szCs w:val="18"/>
          <w:lang w:val="en-GB"/>
        </w:rPr>
        <w:t>S.à</w:t>
      </w:r>
      <w:proofErr w:type="spellEnd"/>
      <w:r>
        <w:rPr>
          <w:sz w:val="18"/>
          <w:szCs w:val="18"/>
          <w:lang w:val="en-GB"/>
        </w:rPr>
        <w:t xml:space="preserve"> </w:t>
      </w:r>
      <w:proofErr w:type="spellStart"/>
      <w:r>
        <w:rPr>
          <w:sz w:val="18"/>
          <w:szCs w:val="18"/>
          <w:lang w:val="en-GB"/>
        </w:rPr>
        <w:t>r.l</w:t>
      </w:r>
      <w:proofErr w:type="spellEnd"/>
      <w:r>
        <w:rPr>
          <w:sz w:val="18"/>
          <w:szCs w:val="18"/>
          <w:lang w:val="en-GB"/>
        </w:rPr>
        <w:t xml:space="preserve">. and SUN </w:t>
      </w:r>
      <w:proofErr w:type="spellStart"/>
      <w:r>
        <w:rPr>
          <w:sz w:val="18"/>
          <w:szCs w:val="18"/>
          <w:lang w:val="en-GB"/>
        </w:rPr>
        <w:t>S.à</w:t>
      </w:r>
      <w:proofErr w:type="spellEnd"/>
      <w:r>
        <w:rPr>
          <w:sz w:val="18"/>
          <w:szCs w:val="18"/>
          <w:lang w:val="en-GB"/>
        </w:rPr>
        <w:t xml:space="preserve"> </w:t>
      </w:r>
      <w:proofErr w:type="spellStart"/>
      <w:r>
        <w:rPr>
          <w:sz w:val="18"/>
          <w:szCs w:val="18"/>
          <w:lang w:val="en-GB"/>
        </w:rPr>
        <w:t>r.l</w:t>
      </w:r>
      <w:proofErr w:type="spellEnd"/>
      <w:r>
        <w:rPr>
          <w:sz w:val="18"/>
          <w:szCs w:val="18"/>
          <w:lang w:val="en-GB"/>
        </w:rPr>
        <w:t xml:space="preserve">. from the liquidation process that both companies were subject to. VGP has transferred in the course of 2016 its 20% participation in the share capital of Snow Crystal </w:t>
      </w:r>
      <w:proofErr w:type="spellStart"/>
      <w:r>
        <w:rPr>
          <w:sz w:val="18"/>
          <w:szCs w:val="18"/>
          <w:lang w:val="en-GB"/>
        </w:rPr>
        <w:t>S.à</w:t>
      </w:r>
      <w:proofErr w:type="spellEnd"/>
      <w:r>
        <w:rPr>
          <w:sz w:val="18"/>
          <w:szCs w:val="18"/>
          <w:lang w:val="en-GB"/>
        </w:rPr>
        <w:t xml:space="preserve"> </w:t>
      </w:r>
      <w:proofErr w:type="spellStart"/>
      <w:r>
        <w:rPr>
          <w:sz w:val="18"/>
          <w:szCs w:val="18"/>
          <w:lang w:val="en-GB"/>
        </w:rPr>
        <w:t>r.l</w:t>
      </w:r>
      <w:proofErr w:type="spellEnd"/>
      <w:r>
        <w:rPr>
          <w:sz w:val="18"/>
          <w:szCs w:val="18"/>
          <w:lang w:val="en-GB"/>
        </w:rPr>
        <w:t xml:space="preserve">. and SUN </w:t>
      </w:r>
      <w:proofErr w:type="spellStart"/>
      <w:r>
        <w:rPr>
          <w:sz w:val="18"/>
          <w:szCs w:val="18"/>
          <w:lang w:val="en-GB"/>
        </w:rPr>
        <w:t>S.à</w:t>
      </w:r>
      <w:proofErr w:type="spellEnd"/>
      <w:r>
        <w:rPr>
          <w:sz w:val="18"/>
          <w:szCs w:val="18"/>
          <w:lang w:val="en-GB"/>
        </w:rPr>
        <w:t xml:space="preserve"> </w:t>
      </w:r>
      <w:proofErr w:type="spellStart"/>
      <w:r>
        <w:rPr>
          <w:sz w:val="18"/>
          <w:szCs w:val="18"/>
          <w:lang w:val="en-GB"/>
        </w:rPr>
        <w:t>r.l</w:t>
      </w:r>
      <w:proofErr w:type="spellEnd"/>
      <w:r>
        <w:rPr>
          <w:sz w:val="18"/>
          <w:szCs w:val="18"/>
          <w:lang w:val="en-GB"/>
        </w:rPr>
        <w:t>. to the majority shareholders of these companies as part of the liquidation process of these companies.</w:t>
      </w:r>
    </w:p>
    <w:p w14:paraId="382B1449" w14:textId="77777777" w:rsidR="00F76607" w:rsidRDefault="001863F0">
      <w:pPr>
        <w:pStyle w:val="NormalWeb"/>
        <w:spacing w:before="240" w:after="0"/>
        <w:ind w:firstLine="857"/>
        <w:rPr>
          <w:b/>
          <w:bCs/>
          <w:sz w:val="18"/>
          <w:szCs w:val="18"/>
          <w:lang w:val="en-GB"/>
        </w:rPr>
      </w:pPr>
      <w:bookmarkStart w:id="88" w:name="_Toc460854361"/>
      <w:bookmarkEnd w:id="75"/>
      <w:bookmarkEnd w:id="87"/>
      <w:r>
        <w:rPr>
          <w:b/>
          <w:bCs/>
          <w:sz w:val="18"/>
          <w:szCs w:val="18"/>
          <w:lang w:val="en-GB"/>
        </w:rPr>
        <w:t>Brief History of VGP</w:t>
      </w:r>
      <w:bookmarkEnd w:id="88"/>
    </w:p>
    <w:tbl>
      <w:tblPr>
        <w:tblStyle w:val="TableGrid3"/>
        <w:tblW w:w="0" w:type="auto"/>
        <w:tblInd w:w="680" w:type="dxa"/>
        <w:tblLook w:val="04A0" w:firstRow="1" w:lastRow="0" w:firstColumn="1" w:lastColumn="0" w:noHBand="0" w:noVBand="1"/>
      </w:tblPr>
      <w:tblGrid>
        <w:gridCol w:w="1725"/>
        <w:gridCol w:w="6611"/>
      </w:tblGrid>
      <w:tr w:rsidR="00F76607" w14:paraId="36DF9111" w14:textId="77777777">
        <w:tc>
          <w:tcPr>
            <w:tcW w:w="1725" w:type="dxa"/>
            <w:shd w:val="clear" w:color="auto" w:fill="D9D9D9"/>
          </w:tcPr>
          <w:p w14:paraId="67B5FB67" w14:textId="77777777" w:rsidR="00F76607" w:rsidRDefault="001863F0">
            <w:pPr>
              <w:keepNext/>
              <w:spacing w:line="256" w:lineRule="auto"/>
              <w:rPr>
                <w:rFonts w:ascii="Times New Roman" w:hAnsi="Times New Roman"/>
                <w:b/>
                <w:sz w:val="18"/>
                <w:szCs w:val="18"/>
              </w:rPr>
            </w:pPr>
            <w:proofErr w:type="spellStart"/>
            <w:r>
              <w:rPr>
                <w:rFonts w:ascii="Times New Roman" w:hAnsi="Times New Roman"/>
                <w:b/>
                <w:sz w:val="18"/>
                <w:szCs w:val="18"/>
              </w:rPr>
              <w:t>Period</w:t>
            </w:r>
            <w:proofErr w:type="spellEnd"/>
          </w:p>
        </w:tc>
        <w:tc>
          <w:tcPr>
            <w:tcW w:w="6611" w:type="dxa"/>
            <w:shd w:val="clear" w:color="auto" w:fill="D9D9D9"/>
          </w:tcPr>
          <w:p w14:paraId="4B7A88D1" w14:textId="77777777" w:rsidR="00F76607" w:rsidRDefault="001863F0">
            <w:pPr>
              <w:keepNext/>
              <w:spacing w:line="256" w:lineRule="auto"/>
              <w:rPr>
                <w:rFonts w:ascii="Times New Roman" w:hAnsi="Times New Roman"/>
                <w:b/>
                <w:sz w:val="18"/>
                <w:szCs w:val="18"/>
              </w:rPr>
            </w:pPr>
            <w:proofErr w:type="spellStart"/>
            <w:r>
              <w:rPr>
                <w:rFonts w:ascii="Times New Roman" w:hAnsi="Times New Roman"/>
                <w:b/>
                <w:sz w:val="18"/>
                <w:szCs w:val="18"/>
              </w:rPr>
              <w:t>Description</w:t>
            </w:r>
            <w:proofErr w:type="spellEnd"/>
          </w:p>
        </w:tc>
      </w:tr>
      <w:tr w:rsidR="00F76607" w14:paraId="2D31846E" w14:textId="77777777">
        <w:tc>
          <w:tcPr>
            <w:tcW w:w="1725" w:type="dxa"/>
          </w:tcPr>
          <w:p w14:paraId="39CD1C88" w14:textId="77777777" w:rsidR="00F76607" w:rsidRDefault="001863F0">
            <w:pPr>
              <w:rPr>
                <w:rFonts w:ascii="Times New Roman" w:hAnsi="Times New Roman"/>
                <w:sz w:val="18"/>
                <w:szCs w:val="18"/>
              </w:rPr>
            </w:pPr>
            <w:r>
              <w:rPr>
                <w:rFonts w:ascii="Times New Roman" w:hAnsi="Times New Roman"/>
                <w:sz w:val="18"/>
                <w:szCs w:val="18"/>
              </w:rPr>
              <w:t>1998</w:t>
            </w:r>
          </w:p>
        </w:tc>
        <w:tc>
          <w:tcPr>
            <w:tcW w:w="6611" w:type="dxa"/>
          </w:tcPr>
          <w:p w14:paraId="0CCC61B4" w14:textId="77777777" w:rsidR="00F76607" w:rsidRDefault="001863F0">
            <w:pPr>
              <w:pStyle w:val="ListParagraph"/>
              <w:numPr>
                <w:ilvl w:val="0"/>
                <w:numId w:val="50"/>
              </w:numPr>
              <w:tabs>
                <w:tab w:val="num" w:pos="680"/>
              </w:tabs>
              <w:rPr>
                <w:rFonts w:ascii="Times New Roman" w:hAnsi="Times New Roman"/>
                <w:sz w:val="18"/>
                <w:szCs w:val="18"/>
                <w:lang w:val="en-GB"/>
              </w:rPr>
            </w:pPr>
            <w:r>
              <w:rPr>
                <w:rFonts w:ascii="Times New Roman" w:hAnsi="Times New Roman"/>
                <w:sz w:val="18"/>
                <w:szCs w:val="18"/>
                <w:lang w:val="en-GB"/>
              </w:rPr>
              <w:t>Start-up of the Group.</w:t>
            </w:r>
          </w:p>
          <w:p w14:paraId="17CCF722" w14:textId="77777777" w:rsidR="00F76607" w:rsidRDefault="001863F0">
            <w:pPr>
              <w:pStyle w:val="ListParagraph"/>
              <w:numPr>
                <w:ilvl w:val="0"/>
                <w:numId w:val="50"/>
              </w:numPr>
              <w:tabs>
                <w:tab w:val="num" w:pos="680"/>
              </w:tabs>
              <w:rPr>
                <w:rFonts w:ascii="Times New Roman" w:hAnsi="Times New Roman"/>
                <w:sz w:val="18"/>
                <w:szCs w:val="18"/>
                <w:lang w:val="en-GB"/>
              </w:rPr>
            </w:pPr>
            <w:r>
              <w:rPr>
                <w:rFonts w:ascii="Times New Roman" w:hAnsi="Times New Roman"/>
                <w:sz w:val="18"/>
                <w:szCs w:val="18"/>
                <w:lang w:val="en-GB"/>
              </w:rPr>
              <w:t>Start of the coordination and construction of commercial and logistic buildings on behalf of third parties.</w:t>
            </w:r>
          </w:p>
        </w:tc>
      </w:tr>
      <w:tr w:rsidR="00F76607" w14:paraId="10AC7741" w14:textId="77777777">
        <w:tc>
          <w:tcPr>
            <w:tcW w:w="1725" w:type="dxa"/>
          </w:tcPr>
          <w:p w14:paraId="5FB248D3" w14:textId="77777777" w:rsidR="00F76607" w:rsidRDefault="001863F0">
            <w:pPr>
              <w:rPr>
                <w:rFonts w:ascii="Times New Roman" w:hAnsi="Times New Roman"/>
                <w:sz w:val="18"/>
                <w:szCs w:val="18"/>
              </w:rPr>
            </w:pPr>
            <w:r>
              <w:rPr>
                <w:rFonts w:ascii="Times New Roman" w:hAnsi="Times New Roman"/>
                <w:sz w:val="18"/>
                <w:szCs w:val="18"/>
              </w:rPr>
              <w:t>2002</w:t>
            </w:r>
          </w:p>
        </w:tc>
        <w:tc>
          <w:tcPr>
            <w:tcW w:w="6611" w:type="dxa"/>
          </w:tcPr>
          <w:p w14:paraId="55A0B0D3" w14:textId="77777777" w:rsidR="00F76607" w:rsidRDefault="001863F0">
            <w:pPr>
              <w:pStyle w:val="ListParagraph"/>
              <w:numPr>
                <w:ilvl w:val="0"/>
                <w:numId w:val="51"/>
              </w:numPr>
              <w:tabs>
                <w:tab w:val="num" w:pos="680"/>
              </w:tabs>
              <w:rPr>
                <w:rFonts w:ascii="Times New Roman" w:hAnsi="Times New Roman"/>
                <w:sz w:val="18"/>
                <w:szCs w:val="18"/>
                <w:lang w:val="en-GB"/>
              </w:rPr>
            </w:pPr>
            <w:r>
              <w:rPr>
                <w:rFonts w:ascii="Times New Roman" w:hAnsi="Times New Roman"/>
                <w:sz w:val="18"/>
                <w:szCs w:val="18"/>
                <w:lang w:val="en-GB"/>
              </w:rPr>
              <w:t>Start of the development of a proprietary portfolio with first developments Blue Park, Green Park and Green Tower.</w:t>
            </w:r>
          </w:p>
        </w:tc>
      </w:tr>
      <w:tr w:rsidR="00F76607" w14:paraId="6CC16E01" w14:textId="77777777">
        <w:tc>
          <w:tcPr>
            <w:tcW w:w="1725" w:type="dxa"/>
          </w:tcPr>
          <w:p w14:paraId="4367C1F8" w14:textId="77777777" w:rsidR="00F76607" w:rsidRDefault="001863F0">
            <w:pPr>
              <w:rPr>
                <w:rFonts w:ascii="Times New Roman" w:hAnsi="Times New Roman"/>
                <w:sz w:val="18"/>
                <w:szCs w:val="18"/>
              </w:rPr>
            </w:pPr>
            <w:r>
              <w:rPr>
                <w:rFonts w:ascii="Times New Roman" w:hAnsi="Times New Roman"/>
                <w:sz w:val="18"/>
                <w:szCs w:val="18"/>
              </w:rPr>
              <w:t>2005-2006</w:t>
            </w:r>
          </w:p>
        </w:tc>
        <w:tc>
          <w:tcPr>
            <w:tcW w:w="6611" w:type="dxa"/>
          </w:tcPr>
          <w:p w14:paraId="7E891A43" w14:textId="77777777" w:rsidR="00F76607" w:rsidRDefault="001863F0">
            <w:pPr>
              <w:pStyle w:val="ListParagraph"/>
              <w:numPr>
                <w:ilvl w:val="0"/>
                <w:numId w:val="51"/>
              </w:numPr>
              <w:tabs>
                <w:tab w:val="num" w:pos="680"/>
              </w:tabs>
              <w:rPr>
                <w:rFonts w:ascii="Times New Roman" w:hAnsi="Times New Roman"/>
                <w:sz w:val="18"/>
                <w:szCs w:val="18"/>
                <w:lang w:val="en-GB"/>
              </w:rPr>
            </w:pPr>
            <w:r>
              <w:rPr>
                <w:rFonts w:ascii="Times New Roman" w:hAnsi="Times New Roman"/>
                <w:sz w:val="18"/>
                <w:szCs w:val="18"/>
                <w:lang w:val="en-GB"/>
              </w:rPr>
              <w:t>Acquisition of a large plot of land in Prague (</w:t>
            </w:r>
            <w:proofErr w:type="spellStart"/>
            <w:r>
              <w:rPr>
                <w:rFonts w:ascii="Times New Roman" w:hAnsi="Times New Roman"/>
                <w:sz w:val="18"/>
                <w:szCs w:val="18"/>
                <w:lang w:val="en-GB"/>
              </w:rPr>
              <w:t>Horní</w:t>
            </w:r>
            <w:proofErr w:type="spellEnd"/>
            <w:r>
              <w:rPr>
                <w:rFonts w:ascii="Times New Roman" w:hAnsi="Times New Roman"/>
                <w:sz w:val="18"/>
                <w:szCs w:val="18"/>
                <w:lang w:val="en-GB"/>
              </w:rPr>
              <w:t xml:space="preserve"> </w:t>
            </w:r>
            <w:proofErr w:type="spellStart"/>
            <w:r>
              <w:rPr>
                <w:rFonts w:ascii="Times New Roman" w:hAnsi="Times New Roman"/>
                <w:sz w:val="18"/>
                <w:szCs w:val="18"/>
                <w:lang w:val="en-GB"/>
              </w:rPr>
              <w:t>Počernice</w:t>
            </w:r>
            <w:proofErr w:type="spellEnd"/>
            <w:r>
              <w:rPr>
                <w:rFonts w:ascii="Times New Roman" w:hAnsi="Times New Roman"/>
                <w:sz w:val="18"/>
                <w:szCs w:val="18"/>
                <w:lang w:val="en-GB"/>
              </w:rPr>
              <w:t xml:space="preserve"> - 73ha).</w:t>
            </w:r>
          </w:p>
        </w:tc>
      </w:tr>
      <w:tr w:rsidR="00F76607" w14:paraId="0DF66DB1" w14:textId="77777777">
        <w:tc>
          <w:tcPr>
            <w:tcW w:w="1725" w:type="dxa"/>
          </w:tcPr>
          <w:p w14:paraId="53A60B55" w14:textId="77777777" w:rsidR="00F76607" w:rsidRDefault="001863F0">
            <w:pPr>
              <w:rPr>
                <w:rFonts w:ascii="Times New Roman" w:hAnsi="Times New Roman"/>
                <w:sz w:val="18"/>
                <w:szCs w:val="18"/>
              </w:rPr>
            </w:pPr>
            <w:r>
              <w:rPr>
                <w:rFonts w:ascii="Times New Roman" w:hAnsi="Times New Roman"/>
                <w:sz w:val="18"/>
                <w:szCs w:val="18"/>
              </w:rPr>
              <w:t>2006</w:t>
            </w:r>
          </w:p>
        </w:tc>
        <w:tc>
          <w:tcPr>
            <w:tcW w:w="6611" w:type="dxa"/>
          </w:tcPr>
          <w:p w14:paraId="240D962B" w14:textId="77777777" w:rsidR="00F76607" w:rsidRDefault="001863F0">
            <w:pPr>
              <w:pStyle w:val="ListParagraph"/>
              <w:numPr>
                <w:ilvl w:val="0"/>
                <w:numId w:val="51"/>
              </w:numPr>
              <w:tabs>
                <w:tab w:val="num" w:pos="680"/>
              </w:tabs>
              <w:rPr>
                <w:rFonts w:ascii="Times New Roman" w:hAnsi="Times New Roman"/>
                <w:sz w:val="18"/>
                <w:szCs w:val="18"/>
                <w:lang w:val="en-GB"/>
              </w:rPr>
            </w:pPr>
            <w:r>
              <w:rPr>
                <w:rFonts w:ascii="Times New Roman" w:hAnsi="Times New Roman"/>
                <w:sz w:val="18"/>
                <w:szCs w:val="18"/>
                <w:lang w:val="en-GB"/>
              </w:rPr>
              <w:t xml:space="preserve">Start of the construction of VGP Park </w:t>
            </w:r>
            <w:proofErr w:type="spellStart"/>
            <w:r>
              <w:rPr>
                <w:rFonts w:ascii="Times New Roman" w:hAnsi="Times New Roman"/>
                <w:sz w:val="18"/>
                <w:szCs w:val="18"/>
                <w:lang w:val="en-GB"/>
              </w:rPr>
              <w:t>Horní</w:t>
            </w:r>
            <w:proofErr w:type="spellEnd"/>
            <w:r>
              <w:rPr>
                <w:rFonts w:ascii="Times New Roman" w:hAnsi="Times New Roman"/>
                <w:sz w:val="18"/>
                <w:szCs w:val="18"/>
                <w:lang w:val="en-GB"/>
              </w:rPr>
              <w:t xml:space="preserve"> </w:t>
            </w:r>
            <w:proofErr w:type="spellStart"/>
            <w:r>
              <w:rPr>
                <w:rFonts w:ascii="Times New Roman" w:hAnsi="Times New Roman"/>
                <w:sz w:val="18"/>
                <w:szCs w:val="18"/>
                <w:lang w:val="en-GB"/>
              </w:rPr>
              <w:t>Počernice</w:t>
            </w:r>
            <w:proofErr w:type="spellEnd"/>
            <w:r>
              <w:rPr>
                <w:rFonts w:ascii="Times New Roman" w:hAnsi="Times New Roman"/>
                <w:sz w:val="18"/>
                <w:szCs w:val="18"/>
                <w:lang w:val="en-GB"/>
              </w:rPr>
              <w:t>.</w:t>
            </w:r>
          </w:p>
          <w:p w14:paraId="3846C4BE" w14:textId="77777777" w:rsidR="00F76607" w:rsidRDefault="001863F0">
            <w:pPr>
              <w:pStyle w:val="ListParagraph"/>
              <w:numPr>
                <w:ilvl w:val="0"/>
                <w:numId w:val="51"/>
              </w:numPr>
              <w:tabs>
                <w:tab w:val="num" w:pos="680"/>
              </w:tabs>
              <w:rPr>
                <w:rFonts w:ascii="Times New Roman" w:hAnsi="Times New Roman"/>
                <w:sz w:val="18"/>
                <w:szCs w:val="18"/>
                <w:lang w:val="en-GB"/>
              </w:rPr>
            </w:pPr>
            <w:r>
              <w:rPr>
                <w:rFonts w:ascii="Times New Roman" w:hAnsi="Times New Roman"/>
                <w:sz w:val="18"/>
                <w:szCs w:val="18"/>
                <w:lang w:val="en-GB"/>
              </w:rPr>
              <w:t xml:space="preserve">Regional expansion in the Czech Republic with the acquisition of several other strategic plots of land in Olomouc, </w:t>
            </w:r>
            <w:proofErr w:type="spellStart"/>
            <w:r>
              <w:rPr>
                <w:rFonts w:ascii="Times New Roman" w:hAnsi="Times New Roman"/>
                <w:sz w:val="18"/>
                <w:szCs w:val="18"/>
                <w:lang w:val="en-GB"/>
              </w:rPr>
              <w:t>Nýřany</w:t>
            </w:r>
            <w:proofErr w:type="spellEnd"/>
            <w:r>
              <w:rPr>
                <w:rFonts w:ascii="Times New Roman" w:hAnsi="Times New Roman"/>
                <w:sz w:val="18"/>
                <w:szCs w:val="18"/>
                <w:lang w:val="en-GB"/>
              </w:rPr>
              <w:t xml:space="preserve">, </w:t>
            </w:r>
            <w:proofErr w:type="spellStart"/>
            <w:r>
              <w:rPr>
                <w:rFonts w:ascii="Times New Roman" w:hAnsi="Times New Roman"/>
                <w:sz w:val="18"/>
                <w:szCs w:val="18"/>
                <w:lang w:val="en-GB"/>
              </w:rPr>
              <w:t>Lovosice</w:t>
            </w:r>
            <w:proofErr w:type="spellEnd"/>
            <w:r>
              <w:rPr>
                <w:rFonts w:ascii="Times New Roman" w:hAnsi="Times New Roman"/>
                <w:sz w:val="18"/>
                <w:szCs w:val="18"/>
                <w:lang w:val="en-GB"/>
              </w:rPr>
              <w:t xml:space="preserve">, Hradec </w:t>
            </w:r>
            <w:proofErr w:type="spellStart"/>
            <w:r>
              <w:rPr>
                <w:rFonts w:ascii="Times New Roman" w:hAnsi="Times New Roman"/>
                <w:sz w:val="18"/>
                <w:szCs w:val="18"/>
                <w:lang w:val="en-GB"/>
              </w:rPr>
              <w:t>Králové</w:t>
            </w:r>
            <w:proofErr w:type="spellEnd"/>
            <w:r>
              <w:rPr>
                <w:rFonts w:ascii="Times New Roman" w:hAnsi="Times New Roman"/>
                <w:sz w:val="18"/>
                <w:szCs w:val="18"/>
                <w:lang w:val="en-GB"/>
              </w:rPr>
              <w:t xml:space="preserve">, Liberec and </w:t>
            </w:r>
            <w:proofErr w:type="spellStart"/>
            <w:r>
              <w:rPr>
                <w:rFonts w:ascii="Times New Roman" w:hAnsi="Times New Roman"/>
                <w:sz w:val="18"/>
                <w:szCs w:val="18"/>
                <w:lang w:val="en-GB"/>
              </w:rPr>
              <w:t>Turnov</w:t>
            </w:r>
            <w:proofErr w:type="spellEnd"/>
            <w:r>
              <w:rPr>
                <w:rFonts w:ascii="Times New Roman" w:hAnsi="Times New Roman"/>
                <w:sz w:val="18"/>
                <w:szCs w:val="18"/>
                <w:lang w:val="en-GB"/>
              </w:rPr>
              <w:t>.</w:t>
            </w:r>
          </w:p>
        </w:tc>
      </w:tr>
      <w:tr w:rsidR="00F76607" w14:paraId="169F5681" w14:textId="77777777">
        <w:tc>
          <w:tcPr>
            <w:tcW w:w="1725" w:type="dxa"/>
          </w:tcPr>
          <w:p w14:paraId="41DAC969" w14:textId="77777777" w:rsidR="00F76607" w:rsidRDefault="001863F0">
            <w:pPr>
              <w:rPr>
                <w:rFonts w:ascii="Times New Roman" w:hAnsi="Times New Roman"/>
                <w:sz w:val="18"/>
                <w:szCs w:val="18"/>
              </w:rPr>
            </w:pPr>
            <w:r>
              <w:rPr>
                <w:rFonts w:ascii="Times New Roman" w:hAnsi="Times New Roman"/>
                <w:sz w:val="18"/>
                <w:szCs w:val="18"/>
              </w:rPr>
              <w:t>2007</w:t>
            </w:r>
          </w:p>
        </w:tc>
        <w:tc>
          <w:tcPr>
            <w:tcW w:w="6611" w:type="dxa"/>
          </w:tcPr>
          <w:p w14:paraId="016D9E22" w14:textId="77777777" w:rsidR="00F76607" w:rsidRDefault="001863F0">
            <w:pPr>
              <w:pStyle w:val="ListParagraph"/>
              <w:numPr>
                <w:ilvl w:val="0"/>
                <w:numId w:val="52"/>
              </w:numPr>
              <w:tabs>
                <w:tab w:val="num" w:pos="680"/>
              </w:tabs>
              <w:rPr>
                <w:rFonts w:ascii="Times New Roman" w:hAnsi="Times New Roman"/>
                <w:sz w:val="18"/>
                <w:szCs w:val="18"/>
                <w:lang w:val="en-GB"/>
              </w:rPr>
            </w:pPr>
            <w:r>
              <w:rPr>
                <w:rFonts w:ascii="Times New Roman" w:hAnsi="Times New Roman"/>
                <w:sz w:val="18"/>
                <w:szCs w:val="18"/>
                <w:lang w:val="en-GB"/>
              </w:rPr>
              <w:t>Expansion throughout the mid-European region with the acquisition of plots of land in Latvia (Riga), Slovakia (Bratislava) and Hungary (</w:t>
            </w:r>
            <w:proofErr w:type="spellStart"/>
            <w:r>
              <w:rPr>
                <w:rFonts w:ascii="Times New Roman" w:hAnsi="Times New Roman"/>
                <w:sz w:val="18"/>
                <w:szCs w:val="18"/>
                <w:lang w:val="en-GB"/>
              </w:rPr>
              <w:t>Györ</w:t>
            </w:r>
            <w:proofErr w:type="spellEnd"/>
            <w:r>
              <w:rPr>
                <w:rFonts w:ascii="Times New Roman" w:hAnsi="Times New Roman"/>
                <w:sz w:val="18"/>
                <w:szCs w:val="18"/>
                <w:lang w:val="en-GB"/>
              </w:rPr>
              <w:t>).</w:t>
            </w:r>
          </w:p>
          <w:p w14:paraId="655841C9" w14:textId="77777777" w:rsidR="00F76607" w:rsidRDefault="001863F0">
            <w:pPr>
              <w:pStyle w:val="ListParagraph"/>
              <w:numPr>
                <w:ilvl w:val="0"/>
                <w:numId w:val="52"/>
              </w:numPr>
              <w:tabs>
                <w:tab w:val="num" w:pos="680"/>
              </w:tabs>
              <w:rPr>
                <w:rFonts w:ascii="Times New Roman" w:hAnsi="Times New Roman"/>
                <w:sz w:val="18"/>
                <w:szCs w:val="18"/>
                <w:lang w:val="en-GB"/>
              </w:rPr>
            </w:pPr>
            <w:r>
              <w:rPr>
                <w:rFonts w:ascii="Times New Roman" w:hAnsi="Times New Roman"/>
                <w:sz w:val="18"/>
                <w:szCs w:val="18"/>
                <w:lang w:val="en-GB"/>
              </w:rPr>
              <w:t>Incorporation of the Company and Initial Public Offering.</w:t>
            </w:r>
          </w:p>
          <w:p w14:paraId="05E0A825" w14:textId="77777777" w:rsidR="00F76607" w:rsidRDefault="001863F0">
            <w:pPr>
              <w:pStyle w:val="ListParagraph"/>
              <w:numPr>
                <w:ilvl w:val="0"/>
                <w:numId w:val="52"/>
              </w:numPr>
              <w:tabs>
                <w:tab w:val="num" w:pos="680"/>
              </w:tabs>
              <w:rPr>
                <w:sz w:val="18"/>
                <w:szCs w:val="18"/>
                <w:lang w:val="en-GB"/>
              </w:rPr>
            </w:pPr>
            <w:r>
              <w:rPr>
                <w:rFonts w:ascii="Times New Roman" w:hAnsi="Times New Roman"/>
                <w:sz w:val="18"/>
                <w:szCs w:val="18"/>
                <w:lang w:val="en-GB"/>
              </w:rPr>
              <w:t>Listing on the regulated markets of Euronext Brussels and Main Market in Prague (Czech Republic).</w:t>
            </w:r>
          </w:p>
        </w:tc>
      </w:tr>
      <w:tr w:rsidR="00F76607" w14:paraId="5C636070" w14:textId="77777777">
        <w:tc>
          <w:tcPr>
            <w:tcW w:w="1725" w:type="dxa"/>
          </w:tcPr>
          <w:p w14:paraId="79C65C24" w14:textId="77777777" w:rsidR="00F76607" w:rsidRDefault="001863F0">
            <w:pPr>
              <w:rPr>
                <w:rFonts w:ascii="Times New Roman" w:hAnsi="Times New Roman"/>
                <w:sz w:val="18"/>
                <w:szCs w:val="18"/>
              </w:rPr>
            </w:pPr>
            <w:r>
              <w:rPr>
                <w:rFonts w:ascii="Times New Roman" w:hAnsi="Times New Roman"/>
                <w:sz w:val="18"/>
                <w:szCs w:val="18"/>
              </w:rPr>
              <w:t>2009</w:t>
            </w:r>
          </w:p>
        </w:tc>
        <w:tc>
          <w:tcPr>
            <w:tcW w:w="6611" w:type="dxa"/>
          </w:tcPr>
          <w:p w14:paraId="49C9C3A5" w14:textId="77777777" w:rsidR="00F76607" w:rsidRDefault="001863F0">
            <w:pPr>
              <w:pStyle w:val="ListParagraph"/>
              <w:numPr>
                <w:ilvl w:val="0"/>
                <w:numId w:val="53"/>
              </w:numPr>
              <w:tabs>
                <w:tab w:val="num" w:pos="680"/>
              </w:tabs>
              <w:rPr>
                <w:sz w:val="18"/>
                <w:szCs w:val="18"/>
                <w:lang w:val="en-GB"/>
              </w:rPr>
            </w:pPr>
            <w:r>
              <w:rPr>
                <w:rFonts w:ascii="Times New Roman" w:hAnsi="Times New Roman"/>
                <w:sz w:val="18"/>
                <w:szCs w:val="18"/>
                <w:lang w:val="en-GB"/>
              </w:rPr>
              <w:t>First realisations outside the Czech Republic with construction works started in Slovakia, Hungary and Estonia.</w:t>
            </w:r>
          </w:p>
        </w:tc>
      </w:tr>
      <w:tr w:rsidR="00F76607" w14:paraId="77C3BAED" w14:textId="77777777">
        <w:tc>
          <w:tcPr>
            <w:tcW w:w="1725" w:type="dxa"/>
          </w:tcPr>
          <w:p w14:paraId="6B779E2C" w14:textId="77777777" w:rsidR="00F76607" w:rsidRDefault="001863F0">
            <w:pPr>
              <w:rPr>
                <w:rFonts w:ascii="Times New Roman" w:hAnsi="Times New Roman"/>
                <w:sz w:val="18"/>
                <w:szCs w:val="18"/>
              </w:rPr>
            </w:pPr>
            <w:r>
              <w:rPr>
                <w:rFonts w:ascii="Times New Roman" w:hAnsi="Times New Roman"/>
                <w:sz w:val="18"/>
                <w:szCs w:val="18"/>
              </w:rPr>
              <w:t>2011</w:t>
            </w:r>
          </w:p>
        </w:tc>
        <w:tc>
          <w:tcPr>
            <w:tcW w:w="6611" w:type="dxa"/>
          </w:tcPr>
          <w:p w14:paraId="66FBF6FE" w14:textId="77777777" w:rsidR="00F76607" w:rsidRDefault="001863F0">
            <w:pPr>
              <w:pStyle w:val="ListParagraph"/>
              <w:numPr>
                <w:ilvl w:val="0"/>
                <w:numId w:val="54"/>
              </w:numPr>
              <w:tabs>
                <w:tab w:val="num" w:pos="680"/>
              </w:tabs>
              <w:rPr>
                <w:rFonts w:ascii="Times New Roman" w:hAnsi="Times New Roman"/>
                <w:sz w:val="18"/>
                <w:szCs w:val="18"/>
                <w:lang w:val="en-GB"/>
              </w:rPr>
            </w:pPr>
            <w:r>
              <w:rPr>
                <w:rFonts w:ascii="Times New Roman" w:hAnsi="Times New Roman"/>
                <w:sz w:val="18"/>
                <w:szCs w:val="18"/>
                <w:lang w:val="en-GB"/>
              </w:rPr>
              <w:t xml:space="preserve">VGP steps into a 20:80 joint venture (Snow Crystal </w:t>
            </w:r>
            <w:proofErr w:type="spellStart"/>
            <w:r>
              <w:rPr>
                <w:rFonts w:ascii="Times New Roman" w:hAnsi="Times New Roman"/>
                <w:sz w:val="18"/>
                <w:szCs w:val="18"/>
                <w:lang w:val="en-GB"/>
              </w:rPr>
              <w:t>S.à.r.l</w:t>
            </w:r>
            <w:proofErr w:type="spellEnd"/>
            <w:r>
              <w:rPr>
                <w:rFonts w:ascii="Times New Roman" w:hAnsi="Times New Roman"/>
                <w:sz w:val="18"/>
                <w:szCs w:val="18"/>
                <w:lang w:val="en-GB"/>
              </w:rPr>
              <w:t>.) with EPISO fund (AEW) on its VGP CZ I portfolio.</w:t>
            </w:r>
          </w:p>
          <w:p w14:paraId="6B3F5599" w14:textId="77777777" w:rsidR="00F76607" w:rsidRDefault="001863F0">
            <w:pPr>
              <w:pStyle w:val="ListParagraph"/>
              <w:numPr>
                <w:ilvl w:val="0"/>
                <w:numId w:val="54"/>
              </w:numPr>
              <w:tabs>
                <w:tab w:val="num" w:pos="680"/>
              </w:tabs>
              <w:rPr>
                <w:sz w:val="18"/>
                <w:szCs w:val="18"/>
                <w:lang w:val="en-GB"/>
              </w:rPr>
            </w:pPr>
            <w:r>
              <w:rPr>
                <w:rFonts w:ascii="Times New Roman" w:hAnsi="Times New Roman"/>
                <w:sz w:val="18"/>
                <w:szCs w:val="18"/>
                <w:lang w:val="en-GB"/>
              </w:rPr>
              <w:lastRenderedPageBreak/>
              <w:t xml:space="preserve">VGP steps into a 20:80 joint venture (SUN </w:t>
            </w:r>
            <w:proofErr w:type="spellStart"/>
            <w:r>
              <w:rPr>
                <w:rFonts w:ascii="Times New Roman" w:hAnsi="Times New Roman"/>
                <w:sz w:val="18"/>
                <w:szCs w:val="18"/>
                <w:lang w:val="en-GB"/>
              </w:rPr>
              <w:t>S.à.r.l</w:t>
            </w:r>
            <w:proofErr w:type="spellEnd"/>
            <w:r>
              <w:rPr>
                <w:rFonts w:ascii="Times New Roman" w:hAnsi="Times New Roman"/>
                <w:sz w:val="18"/>
                <w:szCs w:val="18"/>
                <w:lang w:val="en-GB"/>
              </w:rPr>
              <w:t>.) with CCP III fund (Tristan Capital Partners) on its VGP CZ II portfolio.</w:t>
            </w:r>
          </w:p>
        </w:tc>
      </w:tr>
      <w:tr w:rsidR="00F76607" w14:paraId="5D631975" w14:textId="77777777">
        <w:tc>
          <w:tcPr>
            <w:tcW w:w="1725" w:type="dxa"/>
          </w:tcPr>
          <w:p w14:paraId="2AE7091D" w14:textId="77777777" w:rsidR="00F76607" w:rsidRDefault="001863F0">
            <w:pPr>
              <w:rPr>
                <w:rFonts w:ascii="Times New Roman" w:hAnsi="Times New Roman"/>
                <w:sz w:val="18"/>
                <w:szCs w:val="18"/>
              </w:rPr>
            </w:pPr>
            <w:r>
              <w:rPr>
                <w:rFonts w:ascii="Times New Roman" w:hAnsi="Times New Roman"/>
                <w:sz w:val="18"/>
                <w:szCs w:val="18"/>
              </w:rPr>
              <w:lastRenderedPageBreak/>
              <w:t>2012</w:t>
            </w:r>
          </w:p>
        </w:tc>
        <w:tc>
          <w:tcPr>
            <w:tcW w:w="6611" w:type="dxa"/>
          </w:tcPr>
          <w:p w14:paraId="7C55707A" w14:textId="77777777" w:rsidR="00F76607" w:rsidRDefault="001863F0">
            <w:pPr>
              <w:pStyle w:val="ListParagraph"/>
              <w:numPr>
                <w:ilvl w:val="0"/>
                <w:numId w:val="55"/>
              </w:numPr>
              <w:tabs>
                <w:tab w:val="num" w:pos="680"/>
              </w:tabs>
              <w:rPr>
                <w:rFonts w:ascii="Times New Roman" w:hAnsi="Times New Roman"/>
                <w:sz w:val="18"/>
                <w:szCs w:val="18"/>
                <w:lang w:val="en-GB"/>
              </w:rPr>
            </w:pPr>
            <w:r>
              <w:rPr>
                <w:rFonts w:ascii="Times New Roman" w:hAnsi="Times New Roman"/>
                <w:sz w:val="18"/>
                <w:szCs w:val="18"/>
                <w:lang w:val="en-GB"/>
              </w:rPr>
              <w:t>VGP steps into a 20:80 joint venture with EPISO fund (AEW) on its VGP CZ IV portfolio.</w:t>
            </w:r>
          </w:p>
          <w:p w14:paraId="74C8FB71" w14:textId="77777777" w:rsidR="00F76607" w:rsidRDefault="001863F0">
            <w:pPr>
              <w:pStyle w:val="ListParagraph"/>
              <w:numPr>
                <w:ilvl w:val="0"/>
                <w:numId w:val="55"/>
              </w:numPr>
              <w:tabs>
                <w:tab w:val="num" w:pos="680"/>
              </w:tabs>
              <w:rPr>
                <w:sz w:val="18"/>
                <w:szCs w:val="18"/>
                <w:lang w:val="en-GB"/>
              </w:rPr>
            </w:pPr>
            <w:r>
              <w:rPr>
                <w:rFonts w:ascii="Times New Roman" w:hAnsi="Times New Roman"/>
                <w:sz w:val="18"/>
                <w:szCs w:val="18"/>
                <w:lang w:val="en-GB"/>
              </w:rPr>
              <w:t>VGP sells the Estonian assets of VGP Estonia to East Capital Baltic Property Fund II (East Capital).</w:t>
            </w:r>
          </w:p>
        </w:tc>
      </w:tr>
      <w:tr w:rsidR="00F76607" w14:paraId="2F84F7C9" w14:textId="77777777">
        <w:tc>
          <w:tcPr>
            <w:tcW w:w="1725" w:type="dxa"/>
          </w:tcPr>
          <w:p w14:paraId="3DD47DA3" w14:textId="77777777" w:rsidR="00F76607" w:rsidRDefault="001863F0">
            <w:pPr>
              <w:rPr>
                <w:rFonts w:ascii="Times New Roman" w:hAnsi="Times New Roman"/>
                <w:sz w:val="18"/>
                <w:szCs w:val="18"/>
              </w:rPr>
            </w:pPr>
            <w:r>
              <w:rPr>
                <w:rFonts w:ascii="Times New Roman" w:hAnsi="Times New Roman"/>
                <w:sz w:val="18"/>
                <w:szCs w:val="18"/>
              </w:rPr>
              <w:t>2012-2013</w:t>
            </w:r>
          </w:p>
        </w:tc>
        <w:tc>
          <w:tcPr>
            <w:tcW w:w="6611" w:type="dxa"/>
          </w:tcPr>
          <w:p w14:paraId="1BE4B1C8" w14:textId="77777777" w:rsidR="00F76607" w:rsidRDefault="001863F0">
            <w:pPr>
              <w:pStyle w:val="ListParagraph"/>
              <w:numPr>
                <w:ilvl w:val="0"/>
                <w:numId w:val="56"/>
              </w:numPr>
              <w:tabs>
                <w:tab w:val="num" w:pos="680"/>
              </w:tabs>
              <w:rPr>
                <w:rFonts w:ascii="Times New Roman" w:hAnsi="Times New Roman"/>
                <w:sz w:val="18"/>
                <w:szCs w:val="18"/>
                <w:lang w:val="en-GB"/>
              </w:rPr>
            </w:pPr>
            <w:r>
              <w:rPr>
                <w:rFonts w:ascii="Times New Roman" w:hAnsi="Times New Roman"/>
                <w:sz w:val="18"/>
                <w:szCs w:val="18"/>
                <w:lang w:val="en-GB"/>
              </w:rPr>
              <w:t>Expansion of land bank in the Czech Republic and securing substantial land positions in Germany.</w:t>
            </w:r>
          </w:p>
        </w:tc>
      </w:tr>
      <w:tr w:rsidR="00F76607" w14:paraId="396F79C9" w14:textId="77777777">
        <w:tc>
          <w:tcPr>
            <w:tcW w:w="1725" w:type="dxa"/>
          </w:tcPr>
          <w:p w14:paraId="1B22A15B" w14:textId="77777777" w:rsidR="00F76607" w:rsidRDefault="001863F0">
            <w:pPr>
              <w:rPr>
                <w:rFonts w:ascii="Times New Roman" w:hAnsi="Times New Roman"/>
                <w:sz w:val="18"/>
                <w:szCs w:val="18"/>
              </w:rPr>
            </w:pPr>
            <w:r>
              <w:rPr>
                <w:rFonts w:ascii="Times New Roman" w:hAnsi="Times New Roman"/>
                <w:sz w:val="18"/>
                <w:szCs w:val="18"/>
              </w:rPr>
              <w:t>2013</w:t>
            </w:r>
          </w:p>
        </w:tc>
        <w:tc>
          <w:tcPr>
            <w:tcW w:w="6611" w:type="dxa"/>
          </w:tcPr>
          <w:p w14:paraId="1A94D08A" w14:textId="77777777" w:rsidR="00F76607" w:rsidRDefault="001863F0">
            <w:pPr>
              <w:pStyle w:val="ListParagraph"/>
              <w:numPr>
                <w:ilvl w:val="0"/>
                <w:numId w:val="56"/>
              </w:numPr>
              <w:tabs>
                <w:tab w:val="num" w:pos="680"/>
              </w:tabs>
              <w:rPr>
                <w:rFonts w:ascii="Times New Roman" w:hAnsi="Times New Roman"/>
                <w:sz w:val="18"/>
                <w:szCs w:val="18"/>
                <w:lang w:val="en-GB"/>
              </w:rPr>
            </w:pPr>
            <w:r>
              <w:rPr>
                <w:rFonts w:ascii="Times New Roman" w:hAnsi="Times New Roman"/>
                <w:sz w:val="18"/>
                <w:szCs w:val="18"/>
                <w:lang w:val="en-GB"/>
              </w:rPr>
              <w:t>First lease contract and development in Germany and acquisition of &gt;500,000 m² land plot in Hamburg (Germany).</w:t>
            </w:r>
          </w:p>
          <w:p w14:paraId="5A11059D" w14:textId="77777777" w:rsidR="00F76607" w:rsidRDefault="001863F0">
            <w:pPr>
              <w:pStyle w:val="ListParagraph"/>
              <w:numPr>
                <w:ilvl w:val="0"/>
                <w:numId w:val="56"/>
              </w:numPr>
              <w:tabs>
                <w:tab w:val="num" w:pos="680"/>
              </w:tabs>
              <w:rPr>
                <w:rFonts w:ascii="Times New Roman" w:hAnsi="Times New Roman"/>
                <w:sz w:val="18"/>
                <w:szCs w:val="18"/>
                <w:lang w:val="en-GB"/>
              </w:rPr>
            </w:pPr>
            <w:r>
              <w:rPr>
                <w:rFonts w:ascii="Times New Roman" w:hAnsi="Times New Roman"/>
                <w:sz w:val="18"/>
                <w:szCs w:val="18"/>
                <w:lang w:val="en-GB"/>
              </w:rPr>
              <w:t>Issuance by VGP NV of bonds with a 4 year maturity, listed on the regulated market of Euronext Brussels, for a total nominal amount of € 75 million.</w:t>
            </w:r>
          </w:p>
          <w:p w14:paraId="5A113CD0" w14:textId="77777777" w:rsidR="00F76607" w:rsidRDefault="001863F0">
            <w:pPr>
              <w:pStyle w:val="ListParagraph"/>
              <w:numPr>
                <w:ilvl w:val="0"/>
                <w:numId w:val="56"/>
              </w:numPr>
              <w:tabs>
                <w:tab w:val="num" w:pos="680"/>
              </w:tabs>
              <w:rPr>
                <w:rFonts w:ascii="Times New Roman" w:hAnsi="Times New Roman"/>
                <w:sz w:val="18"/>
                <w:szCs w:val="18"/>
                <w:lang w:val="en-GB"/>
              </w:rPr>
            </w:pPr>
            <w:r>
              <w:rPr>
                <w:rFonts w:ascii="Times New Roman" w:hAnsi="Times New Roman"/>
                <w:sz w:val="18"/>
                <w:szCs w:val="18"/>
                <w:lang w:val="en-GB"/>
              </w:rPr>
              <w:t>Issuance by VGP NV of bonds with a 5 year maturity, listed on the regulated market of Euronext Brussels, for a total nominal amount of € 75 million.</w:t>
            </w:r>
          </w:p>
          <w:p w14:paraId="6256DD2A" w14:textId="77777777" w:rsidR="00F76607" w:rsidRDefault="001863F0">
            <w:pPr>
              <w:pStyle w:val="ListParagraph"/>
              <w:numPr>
                <w:ilvl w:val="0"/>
                <w:numId w:val="56"/>
              </w:numPr>
              <w:tabs>
                <w:tab w:val="num" w:pos="680"/>
              </w:tabs>
              <w:rPr>
                <w:sz w:val="18"/>
                <w:szCs w:val="18"/>
                <w:lang w:val="en-GB"/>
              </w:rPr>
            </w:pPr>
            <w:r>
              <w:rPr>
                <w:rFonts w:ascii="Times New Roman" w:hAnsi="Times New Roman"/>
                <w:sz w:val="18"/>
                <w:szCs w:val="18"/>
                <w:lang w:val="en-GB"/>
              </w:rPr>
              <w:t>Decrease of VGP NV’s capital in an amount equal to € 7,619,050.50, without cancelling any shares, as a result of which the Company’s registered capital is equal to € 112,736,509.</w:t>
            </w:r>
          </w:p>
        </w:tc>
      </w:tr>
      <w:tr w:rsidR="00F76607" w14:paraId="7079C9B8" w14:textId="77777777">
        <w:tc>
          <w:tcPr>
            <w:tcW w:w="1725" w:type="dxa"/>
          </w:tcPr>
          <w:p w14:paraId="049FF295" w14:textId="77777777" w:rsidR="00F76607" w:rsidRDefault="001863F0">
            <w:pPr>
              <w:rPr>
                <w:rFonts w:ascii="Times New Roman" w:hAnsi="Times New Roman"/>
                <w:sz w:val="18"/>
                <w:szCs w:val="18"/>
              </w:rPr>
            </w:pPr>
            <w:r>
              <w:rPr>
                <w:rFonts w:ascii="Times New Roman" w:hAnsi="Times New Roman"/>
                <w:sz w:val="18"/>
                <w:szCs w:val="18"/>
              </w:rPr>
              <w:t>2014</w:t>
            </w:r>
          </w:p>
        </w:tc>
        <w:tc>
          <w:tcPr>
            <w:tcW w:w="6611" w:type="dxa"/>
          </w:tcPr>
          <w:p w14:paraId="0729FA73" w14:textId="77777777" w:rsidR="00F76607" w:rsidRDefault="001863F0">
            <w:pPr>
              <w:pStyle w:val="ListParagraph"/>
              <w:numPr>
                <w:ilvl w:val="0"/>
                <w:numId w:val="57"/>
              </w:numPr>
              <w:tabs>
                <w:tab w:val="num" w:pos="680"/>
              </w:tabs>
              <w:rPr>
                <w:sz w:val="18"/>
                <w:szCs w:val="18"/>
                <w:lang w:val="en-GB"/>
              </w:rPr>
            </w:pPr>
            <w:r>
              <w:rPr>
                <w:rFonts w:ascii="Times New Roman" w:hAnsi="Times New Roman"/>
                <w:sz w:val="18"/>
                <w:szCs w:val="18"/>
                <w:lang w:val="en-GB"/>
              </w:rPr>
              <w:t>Sale of the remaining 20% interest in the VGP CZ I, VGP CZ II and VGP CZ IV portfolios, termination of the joint venture with AEW and Tristan.</w:t>
            </w:r>
          </w:p>
        </w:tc>
      </w:tr>
      <w:tr w:rsidR="00F76607" w14:paraId="2C61B65A" w14:textId="77777777">
        <w:tc>
          <w:tcPr>
            <w:tcW w:w="1725" w:type="dxa"/>
          </w:tcPr>
          <w:p w14:paraId="0B3C7DAD" w14:textId="77777777" w:rsidR="00F76607" w:rsidRDefault="001863F0">
            <w:pPr>
              <w:rPr>
                <w:rFonts w:ascii="Times New Roman" w:hAnsi="Times New Roman"/>
                <w:sz w:val="18"/>
                <w:szCs w:val="18"/>
              </w:rPr>
            </w:pPr>
            <w:r>
              <w:rPr>
                <w:rFonts w:ascii="Times New Roman" w:hAnsi="Times New Roman"/>
                <w:sz w:val="18"/>
                <w:szCs w:val="18"/>
              </w:rPr>
              <w:t>2015</w:t>
            </w:r>
          </w:p>
        </w:tc>
        <w:tc>
          <w:tcPr>
            <w:tcW w:w="6611" w:type="dxa"/>
          </w:tcPr>
          <w:p w14:paraId="2AAE03A1" w14:textId="77777777" w:rsidR="00F76607" w:rsidRDefault="001863F0">
            <w:pPr>
              <w:pStyle w:val="ListParagraph"/>
              <w:numPr>
                <w:ilvl w:val="0"/>
                <w:numId w:val="58"/>
              </w:numPr>
              <w:tabs>
                <w:tab w:val="num" w:pos="680"/>
              </w:tabs>
              <w:rPr>
                <w:rFonts w:ascii="Times New Roman" w:hAnsi="Times New Roman"/>
                <w:sz w:val="18"/>
                <w:szCs w:val="18"/>
                <w:lang w:val="en-GB"/>
              </w:rPr>
            </w:pPr>
            <w:r>
              <w:rPr>
                <w:rFonts w:ascii="Times New Roman" w:hAnsi="Times New Roman"/>
                <w:sz w:val="18"/>
                <w:szCs w:val="18"/>
                <w:lang w:val="en-GB"/>
              </w:rPr>
              <w:t>Establishment of presence in Spanish market and securing of the first plot in Madrid (San Fernando)</w:t>
            </w:r>
          </w:p>
          <w:p w14:paraId="70CE10A6" w14:textId="77777777" w:rsidR="00F76607" w:rsidRDefault="001863F0">
            <w:pPr>
              <w:pStyle w:val="ListParagraph"/>
              <w:numPr>
                <w:ilvl w:val="0"/>
                <w:numId w:val="58"/>
              </w:numPr>
              <w:tabs>
                <w:tab w:val="num" w:pos="680"/>
              </w:tabs>
              <w:rPr>
                <w:sz w:val="18"/>
                <w:szCs w:val="18"/>
                <w:lang w:val="en-GB"/>
              </w:rPr>
            </w:pPr>
            <w:r>
              <w:rPr>
                <w:rFonts w:ascii="Times New Roman" w:hAnsi="Times New Roman"/>
                <w:sz w:val="18"/>
                <w:szCs w:val="18"/>
                <w:lang w:val="en-GB"/>
              </w:rPr>
              <w:t xml:space="preserve">VGP becomes one of top tier developers in Germany </w:t>
            </w:r>
          </w:p>
        </w:tc>
      </w:tr>
      <w:tr w:rsidR="00F76607" w14:paraId="7509B3E4" w14:textId="77777777">
        <w:tc>
          <w:tcPr>
            <w:tcW w:w="1725" w:type="dxa"/>
          </w:tcPr>
          <w:p w14:paraId="3B9D72E3" w14:textId="77777777" w:rsidR="00F76607" w:rsidRDefault="001863F0">
            <w:pPr>
              <w:rPr>
                <w:rFonts w:ascii="Times New Roman" w:hAnsi="Times New Roman"/>
                <w:sz w:val="18"/>
                <w:szCs w:val="18"/>
              </w:rPr>
            </w:pPr>
            <w:r>
              <w:rPr>
                <w:rFonts w:ascii="Times New Roman" w:hAnsi="Times New Roman"/>
                <w:sz w:val="18"/>
                <w:szCs w:val="18"/>
              </w:rPr>
              <w:t>2016</w:t>
            </w:r>
          </w:p>
        </w:tc>
        <w:tc>
          <w:tcPr>
            <w:tcW w:w="6611" w:type="dxa"/>
          </w:tcPr>
          <w:p w14:paraId="224D404A" w14:textId="77777777" w:rsidR="00F76607" w:rsidRDefault="001863F0">
            <w:pPr>
              <w:pStyle w:val="ListParagraph"/>
              <w:numPr>
                <w:ilvl w:val="0"/>
                <w:numId w:val="59"/>
              </w:numPr>
              <w:tabs>
                <w:tab w:val="num" w:pos="680"/>
              </w:tabs>
              <w:rPr>
                <w:rFonts w:ascii="Times New Roman" w:hAnsi="Times New Roman"/>
                <w:sz w:val="18"/>
                <w:szCs w:val="18"/>
                <w:lang w:val="en-GB"/>
              </w:rPr>
            </w:pPr>
            <w:r>
              <w:rPr>
                <w:rFonts w:ascii="Times New Roman" w:hAnsi="Times New Roman"/>
                <w:sz w:val="18"/>
                <w:szCs w:val="18"/>
                <w:lang w:val="en-GB"/>
              </w:rPr>
              <w:t>Entry into a joint venture with Allianz and completion of the acquisition of the initial Seed Portfolio (consisting of 15 VGP Parks) for a transaction value &gt; € 500 million.</w:t>
            </w:r>
          </w:p>
          <w:p w14:paraId="08A817D9" w14:textId="5D61114E" w:rsidR="00F76607" w:rsidRDefault="001863F0">
            <w:pPr>
              <w:pStyle w:val="ListParagraph"/>
              <w:numPr>
                <w:ilvl w:val="0"/>
                <w:numId w:val="59"/>
              </w:numPr>
              <w:tabs>
                <w:tab w:val="num" w:pos="680"/>
              </w:tabs>
              <w:rPr>
                <w:rFonts w:ascii="Times New Roman" w:hAnsi="Times New Roman"/>
                <w:sz w:val="18"/>
                <w:szCs w:val="18"/>
                <w:lang w:val="en-GB"/>
              </w:rPr>
            </w:pPr>
            <w:r>
              <w:rPr>
                <w:rFonts w:ascii="Times New Roman" w:hAnsi="Times New Roman"/>
                <w:sz w:val="18"/>
                <w:szCs w:val="18"/>
                <w:lang w:val="en-GB"/>
              </w:rPr>
              <w:t xml:space="preserve">Second JV Closing whereby 5 newly completed buildings (4 buildings in Germany and 1 in Slovakia) were transferred by VGP to the Joint Venture on </w:t>
            </w:r>
            <w:r w:rsidR="00940375">
              <w:rPr>
                <w:rFonts w:ascii="Times New Roman" w:hAnsi="Times New Roman"/>
                <w:sz w:val="18"/>
                <w:szCs w:val="18"/>
                <w:lang w:val="en-GB"/>
              </w:rPr>
              <w:t>31</w:t>
            </w:r>
            <w:r>
              <w:rPr>
                <w:rFonts w:ascii="Times New Roman" w:hAnsi="Times New Roman"/>
                <w:sz w:val="18"/>
                <w:szCs w:val="18"/>
                <w:lang w:val="en-GB"/>
              </w:rPr>
              <w:t xml:space="preserve"> October 2016, the net p</w:t>
            </w:r>
            <w:r w:rsidR="00940375">
              <w:rPr>
                <w:rFonts w:ascii="Times New Roman" w:hAnsi="Times New Roman"/>
                <w:sz w:val="18"/>
                <w:szCs w:val="18"/>
                <w:lang w:val="en-GB"/>
              </w:rPr>
              <w:t xml:space="preserve">roceeds of which amounted to € </w:t>
            </w:r>
            <w:r>
              <w:rPr>
                <w:rFonts w:ascii="Times New Roman" w:hAnsi="Times New Roman"/>
                <w:sz w:val="18"/>
                <w:szCs w:val="18"/>
                <w:lang w:val="en-GB"/>
              </w:rPr>
              <w:t>59.7 million.</w:t>
            </w:r>
          </w:p>
          <w:p w14:paraId="33A7A5D1" w14:textId="77777777" w:rsidR="00F76607" w:rsidRDefault="001863F0">
            <w:pPr>
              <w:pStyle w:val="ListParagraph"/>
              <w:numPr>
                <w:ilvl w:val="0"/>
                <w:numId w:val="59"/>
              </w:numPr>
              <w:tabs>
                <w:tab w:val="num" w:pos="680"/>
              </w:tabs>
              <w:rPr>
                <w:rFonts w:ascii="Times New Roman" w:hAnsi="Times New Roman"/>
                <w:sz w:val="18"/>
                <w:szCs w:val="18"/>
                <w:lang w:val="en-GB"/>
              </w:rPr>
            </w:pPr>
            <w:r>
              <w:rPr>
                <w:rFonts w:ascii="Times New Roman" w:hAnsi="Times New Roman"/>
                <w:sz w:val="18"/>
                <w:szCs w:val="18"/>
                <w:lang w:val="en-GB"/>
              </w:rPr>
              <w:t>Acquisition of a landmark logistics property in Barcelona (Spain) from Mango group.</w:t>
            </w:r>
          </w:p>
          <w:p w14:paraId="41910F6E" w14:textId="77777777" w:rsidR="00F76607" w:rsidRDefault="001863F0">
            <w:pPr>
              <w:pStyle w:val="ListParagraph"/>
              <w:numPr>
                <w:ilvl w:val="0"/>
                <w:numId w:val="59"/>
              </w:numPr>
              <w:tabs>
                <w:tab w:val="num" w:pos="680"/>
              </w:tabs>
              <w:rPr>
                <w:sz w:val="18"/>
                <w:szCs w:val="18"/>
                <w:lang w:val="en-GB"/>
              </w:rPr>
            </w:pPr>
            <w:r>
              <w:rPr>
                <w:rFonts w:ascii="Times New Roman" w:hAnsi="Times New Roman"/>
                <w:sz w:val="18"/>
                <w:szCs w:val="18"/>
                <w:lang w:val="en-GB"/>
              </w:rPr>
              <w:t>Issuance by VGP NV of bonds with a 7 year maturity, listed on the regulated market of Euronext Brussels, for a total nominal amount of € 225 million.</w:t>
            </w:r>
          </w:p>
        </w:tc>
      </w:tr>
      <w:tr w:rsidR="00F76607" w14:paraId="2E85B696" w14:textId="77777777">
        <w:tc>
          <w:tcPr>
            <w:tcW w:w="1725" w:type="dxa"/>
          </w:tcPr>
          <w:p w14:paraId="1047363B" w14:textId="77777777" w:rsidR="00F76607" w:rsidRDefault="001863F0">
            <w:pPr>
              <w:rPr>
                <w:rFonts w:ascii="Times New Roman" w:hAnsi="Times New Roman"/>
                <w:sz w:val="18"/>
                <w:szCs w:val="18"/>
              </w:rPr>
            </w:pPr>
            <w:r>
              <w:rPr>
                <w:rFonts w:ascii="Times New Roman" w:hAnsi="Times New Roman"/>
                <w:sz w:val="18"/>
                <w:szCs w:val="18"/>
              </w:rPr>
              <w:t>2017</w:t>
            </w:r>
          </w:p>
        </w:tc>
        <w:tc>
          <w:tcPr>
            <w:tcW w:w="6611" w:type="dxa"/>
          </w:tcPr>
          <w:p w14:paraId="16F8276A" w14:textId="77777777" w:rsidR="00F76607" w:rsidRDefault="001863F0">
            <w:pPr>
              <w:pStyle w:val="ListParagraph"/>
              <w:numPr>
                <w:ilvl w:val="0"/>
                <w:numId w:val="60"/>
              </w:numPr>
              <w:tabs>
                <w:tab w:val="num" w:pos="680"/>
              </w:tabs>
              <w:rPr>
                <w:rFonts w:ascii="Times New Roman" w:hAnsi="Times New Roman"/>
                <w:sz w:val="18"/>
                <w:szCs w:val="18"/>
                <w:lang w:val="en-GB"/>
              </w:rPr>
            </w:pPr>
            <w:r>
              <w:rPr>
                <w:sz w:val="18"/>
                <w:szCs w:val="18"/>
                <w:lang w:val="en-GB"/>
              </w:rPr>
              <w:t>I</w:t>
            </w:r>
            <w:r>
              <w:rPr>
                <w:rFonts w:ascii="Times New Roman" w:hAnsi="Times New Roman"/>
                <w:sz w:val="18"/>
                <w:szCs w:val="18"/>
                <w:lang w:val="en-GB"/>
              </w:rPr>
              <w:t>ssuance by VGP NV of bonds with an 8 year maturity, to institutional investors (private placement), for a total nominal amount of € 80 million.</w:t>
            </w:r>
          </w:p>
          <w:p w14:paraId="490CC6E7" w14:textId="77777777" w:rsidR="00F76607" w:rsidRDefault="001863F0">
            <w:pPr>
              <w:pStyle w:val="ListParagraph"/>
              <w:numPr>
                <w:ilvl w:val="0"/>
                <w:numId w:val="60"/>
              </w:numPr>
              <w:tabs>
                <w:tab w:val="num" w:pos="680"/>
              </w:tabs>
              <w:rPr>
                <w:rFonts w:ascii="Times New Roman" w:hAnsi="Times New Roman"/>
                <w:sz w:val="18"/>
                <w:szCs w:val="18"/>
                <w:lang w:val="en-GB"/>
              </w:rPr>
            </w:pPr>
            <w:r>
              <w:rPr>
                <w:rFonts w:ascii="Times New Roman" w:hAnsi="Times New Roman"/>
                <w:sz w:val="18"/>
                <w:szCs w:val="18"/>
                <w:lang w:val="en-GB"/>
              </w:rPr>
              <w:t>Approval in May 2017 to decrease of VGP NV’s capital in an amount equal to € 20,069,694.00, without cancelling any shares, as a result of which the Company’s registered capital is equal to € 92,666,815.00.</w:t>
            </w:r>
          </w:p>
          <w:p w14:paraId="0A376B01" w14:textId="77777777" w:rsidR="00F76607" w:rsidRDefault="001863F0">
            <w:pPr>
              <w:pStyle w:val="ListParagraph"/>
              <w:numPr>
                <w:ilvl w:val="0"/>
                <w:numId w:val="60"/>
              </w:numPr>
              <w:tabs>
                <w:tab w:val="num" w:pos="680"/>
              </w:tabs>
              <w:rPr>
                <w:sz w:val="18"/>
                <w:szCs w:val="18"/>
                <w:lang w:val="en-GB"/>
              </w:rPr>
            </w:pPr>
            <w:r>
              <w:rPr>
                <w:rFonts w:ascii="Times New Roman" w:hAnsi="Times New Roman"/>
                <w:sz w:val="18"/>
                <w:szCs w:val="18"/>
                <w:lang w:val="en-GB"/>
              </w:rPr>
              <w:t>Issuance by VGP NV of bonds with a 7 year maturity, listed on the regulated market of Euronext Brussels, for a total nominal amount of € 75 million.</w:t>
            </w:r>
          </w:p>
          <w:p w14:paraId="0B10CC19" w14:textId="4BFFAF25" w:rsidR="00F76607" w:rsidRDefault="001863F0">
            <w:pPr>
              <w:pStyle w:val="ListParagraph"/>
              <w:numPr>
                <w:ilvl w:val="0"/>
                <w:numId w:val="60"/>
              </w:numPr>
              <w:rPr>
                <w:sz w:val="18"/>
                <w:szCs w:val="18"/>
                <w:lang w:val="en-GB"/>
              </w:rPr>
            </w:pPr>
            <w:r>
              <w:rPr>
                <w:rFonts w:ascii="Times New Roman" w:hAnsi="Times New Roman"/>
                <w:sz w:val="18"/>
                <w:szCs w:val="18"/>
                <w:lang w:val="en-GB"/>
              </w:rPr>
              <w:t>Third JV Closing whereby 6 new parks (7 buildings) and another 4 newly completed buildings (in parks which were previously transferred to the Joint Venture) were transferred by VGP to the Joint Venture on 31 May 2017, the net p</w:t>
            </w:r>
            <w:r w:rsidR="00940375">
              <w:rPr>
                <w:rFonts w:ascii="Times New Roman" w:hAnsi="Times New Roman"/>
                <w:sz w:val="18"/>
                <w:szCs w:val="18"/>
                <w:lang w:val="en-GB"/>
              </w:rPr>
              <w:t>roceeds of which amounted to € 125.2</w:t>
            </w:r>
            <w:r>
              <w:rPr>
                <w:rFonts w:ascii="Times New Roman" w:hAnsi="Times New Roman"/>
                <w:sz w:val="18"/>
                <w:szCs w:val="18"/>
                <w:lang w:val="en-GB"/>
              </w:rPr>
              <w:t xml:space="preserve"> million.</w:t>
            </w:r>
          </w:p>
          <w:p w14:paraId="1E72A08B" w14:textId="3CC9FAF9" w:rsidR="00F76607" w:rsidRDefault="001863F0">
            <w:pPr>
              <w:pStyle w:val="ListParagraph"/>
              <w:numPr>
                <w:ilvl w:val="0"/>
                <w:numId w:val="60"/>
              </w:numPr>
              <w:tabs>
                <w:tab w:val="num" w:pos="680"/>
              </w:tabs>
              <w:rPr>
                <w:sz w:val="18"/>
                <w:szCs w:val="18"/>
                <w:lang w:val="en-GB"/>
              </w:rPr>
            </w:pPr>
            <w:r>
              <w:rPr>
                <w:rFonts w:ascii="Times New Roman" w:hAnsi="Times New Roman"/>
                <w:sz w:val="18"/>
                <w:szCs w:val="18"/>
                <w:lang w:val="en-GB"/>
              </w:rPr>
              <w:t xml:space="preserve">Sale of VGP Park </w:t>
            </w:r>
            <w:proofErr w:type="spellStart"/>
            <w:r>
              <w:rPr>
                <w:rFonts w:ascii="Times New Roman" w:hAnsi="Times New Roman"/>
                <w:sz w:val="18"/>
                <w:szCs w:val="18"/>
                <w:lang w:val="en-GB"/>
              </w:rPr>
              <w:t>Nehatu</w:t>
            </w:r>
            <w:proofErr w:type="spellEnd"/>
            <w:r>
              <w:rPr>
                <w:rFonts w:ascii="Times New Roman" w:hAnsi="Times New Roman"/>
                <w:sz w:val="18"/>
                <w:szCs w:val="18"/>
                <w:lang w:val="en-GB"/>
              </w:rPr>
              <w:t xml:space="preserve"> located in Tallinn (Estonia) for € 54 million</w:t>
            </w:r>
            <w:r w:rsidR="0026328C">
              <w:rPr>
                <w:rFonts w:ascii="Times New Roman" w:hAnsi="Times New Roman"/>
                <w:sz w:val="18"/>
                <w:szCs w:val="18"/>
                <w:lang w:val="en-GB"/>
              </w:rPr>
              <w:t xml:space="preserve"> (being gross proceeds)</w:t>
            </w:r>
            <w:r>
              <w:rPr>
                <w:rFonts w:ascii="Times New Roman" w:hAnsi="Times New Roman"/>
                <w:sz w:val="18"/>
                <w:szCs w:val="18"/>
                <w:lang w:val="en-GB"/>
              </w:rPr>
              <w:t>.</w:t>
            </w:r>
          </w:p>
        </w:tc>
      </w:tr>
    </w:tbl>
    <w:p w14:paraId="5ABA53E9" w14:textId="77777777" w:rsidR="00F76607" w:rsidRDefault="001863F0">
      <w:pPr>
        <w:pStyle w:val="NormalWeb"/>
        <w:rPr>
          <w:b/>
          <w:sz w:val="18"/>
          <w:szCs w:val="18"/>
          <w:lang w:val="en-GB"/>
        </w:rPr>
      </w:pPr>
      <w:r>
        <w:rPr>
          <w:b/>
          <w:sz w:val="18"/>
          <w:szCs w:val="18"/>
          <w:lang w:val="en-GB"/>
        </w:rPr>
        <w:t>Competitive strengths</w:t>
      </w:r>
    </w:p>
    <w:p w14:paraId="3931ED0F" w14:textId="77777777" w:rsidR="00F76607" w:rsidRDefault="001863F0">
      <w:pPr>
        <w:pStyle w:val="NormalWeb"/>
        <w:rPr>
          <w:b/>
          <w:i/>
          <w:sz w:val="18"/>
          <w:szCs w:val="18"/>
          <w:lang w:val="en-GB"/>
        </w:rPr>
      </w:pPr>
      <w:r>
        <w:rPr>
          <w:b/>
          <w:i/>
          <w:sz w:val="18"/>
          <w:szCs w:val="18"/>
          <w:lang w:val="en-GB"/>
        </w:rPr>
        <w:t>Fully integrated business model combining a unique expertise as a developer, asset manager and owner of high-quality logistic assets in Europe</w:t>
      </w:r>
    </w:p>
    <w:p w14:paraId="4B602301" w14:textId="26ADEF71" w:rsidR="00F76607" w:rsidRDefault="001863F0">
      <w:pPr>
        <w:pStyle w:val="NormalWeb"/>
        <w:spacing w:before="240" w:after="0"/>
        <w:ind w:firstLine="857"/>
        <w:rPr>
          <w:sz w:val="18"/>
          <w:szCs w:val="18"/>
          <w:lang w:val="en-GB"/>
        </w:rPr>
      </w:pPr>
      <w:r>
        <w:rPr>
          <w:sz w:val="18"/>
          <w:szCs w:val="18"/>
          <w:lang w:val="en-GB"/>
        </w:rPr>
        <w:t xml:space="preserve">VGP has a unique business model based on a develop, hold and sell strategy, allowing to maximize shareholder value and optimize capital allocation. </w:t>
      </w:r>
    </w:p>
    <w:p w14:paraId="422BACF0" w14:textId="06958A38" w:rsidR="00F76607" w:rsidRDefault="001863F0">
      <w:pPr>
        <w:pStyle w:val="NormalWeb"/>
        <w:spacing w:before="240" w:after="0"/>
        <w:ind w:firstLine="857"/>
        <w:rPr>
          <w:sz w:val="18"/>
          <w:szCs w:val="18"/>
          <w:lang w:val="en-GB"/>
        </w:rPr>
      </w:pPr>
      <w:r>
        <w:rPr>
          <w:sz w:val="18"/>
          <w:szCs w:val="18"/>
          <w:lang w:val="en-GB"/>
        </w:rPr>
        <w:t xml:space="preserve">The business model is fully integrated and managed with in-house capabilities. The vertical integration increases the operational efficiency and creates a flexible and scalable platform: the Company maximises the value creation by developing assets itself and rapidly converting assets under construction into rental income (as evidenced by the </w:t>
      </w:r>
      <w:r w:rsidR="00323E6A">
        <w:rPr>
          <w:sz w:val="18"/>
          <w:szCs w:val="18"/>
          <w:lang w:val="en-GB"/>
        </w:rPr>
        <w:t>more than 73</w:t>
      </w:r>
      <w:r>
        <w:rPr>
          <w:sz w:val="18"/>
          <w:szCs w:val="18"/>
          <w:lang w:val="en-GB"/>
        </w:rPr>
        <w:t xml:space="preserve">% of the current pipeline </w:t>
      </w:r>
      <w:r w:rsidR="00323E6A">
        <w:rPr>
          <w:sz w:val="18"/>
          <w:szCs w:val="18"/>
          <w:lang w:val="en-GB"/>
        </w:rPr>
        <w:t xml:space="preserve">(including Estonia, by excluding Estonia the pre-let figure would be 71%) </w:t>
      </w:r>
      <w:r>
        <w:rPr>
          <w:sz w:val="18"/>
          <w:szCs w:val="18"/>
          <w:lang w:val="en-GB"/>
        </w:rPr>
        <w:t xml:space="preserve">that </w:t>
      </w:r>
      <w:r w:rsidR="00323E6A">
        <w:rPr>
          <w:sz w:val="18"/>
          <w:szCs w:val="18"/>
          <w:lang w:val="en-GB"/>
        </w:rPr>
        <w:t xml:space="preserve">was </w:t>
      </w:r>
      <w:r>
        <w:rPr>
          <w:sz w:val="18"/>
          <w:szCs w:val="18"/>
          <w:lang w:val="en-GB"/>
        </w:rPr>
        <w:t xml:space="preserve">already pre-let </w:t>
      </w:r>
      <w:r w:rsidRPr="008F1340">
        <w:rPr>
          <w:sz w:val="18"/>
          <w:szCs w:val="18"/>
          <w:lang w:val="en-GB"/>
        </w:rPr>
        <w:t>as at 30 June 2017</w:t>
      </w:r>
      <w:r w:rsidR="00323E6A">
        <w:rPr>
          <w:sz w:val="18"/>
          <w:szCs w:val="18"/>
          <w:lang w:val="en-GB"/>
        </w:rPr>
        <w:t>)</w:t>
      </w:r>
      <w:r>
        <w:rPr>
          <w:sz w:val="18"/>
          <w:szCs w:val="18"/>
          <w:lang w:val="en-GB"/>
        </w:rPr>
        <w:t>. The Group believes that its construction and project management expertise provides it with an advantage over its competitors. Before transforming itself into a development company, VGP started as a construction firm. As a result, the Group is able to avoid the need to appoint a general contractor for significant number of its projects in the key geographies, which has been instrumental in its success.</w:t>
      </w:r>
    </w:p>
    <w:p w14:paraId="20964948" w14:textId="183CC733" w:rsidR="00F76607" w:rsidRDefault="001863F0">
      <w:pPr>
        <w:pStyle w:val="NormalWeb"/>
        <w:spacing w:before="240" w:after="0"/>
        <w:ind w:firstLine="857"/>
        <w:rPr>
          <w:sz w:val="18"/>
          <w:szCs w:val="18"/>
          <w:lang w:val="en-GB"/>
        </w:rPr>
      </w:pPr>
      <w:r>
        <w:rPr>
          <w:sz w:val="18"/>
          <w:szCs w:val="18"/>
          <w:lang w:val="en-GB"/>
        </w:rPr>
        <w:t>The logistic assets are all meeting the strict investment criteria of VGP (e.g. proximity to highways and ring roads, important logistic access, the vicinity of important city centres, etc.) and are bui</w:t>
      </w:r>
      <w:r w:rsidR="00940375">
        <w:rPr>
          <w:sz w:val="18"/>
          <w:szCs w:val="18"/>
          <w:lang w:val="en-GB"/>
        </w:rPr>
        <w:t>lt to</w:t>
      </w:r>
      <w:r>
        <w:rPr>
          <w:sz w:val="18"/>
          <w:szCs w:val="18"/>
          <w:lang w:val="en-GB"/>
        </w:rPr>
        <w:t xml:space="preserve"> high standards (and if needed customized to the tenant’s need). In addition to that, the focus of VGP is on developing and managing business parks as the Group believes they offer several advantages over assets not located in such parks: project management is more efficient, the commercial value is higher, </w:t>
      </w:r>
      <w:r>
        <w:rPr>
          <w:sz w:val="18"/>
          <w:szCs w:val="18"/>
          <w:lang w:val="en-GB"/>
        </w:rPr>
        <w:lastRenderedPageBreak/>
        <w:t xml:space="preserve">contractors price better, there are synergies due to outsourcing, the realisation of economies of scale and administration becomes easier. </w:t>
      </w:r>
    </w:p>
    <w:p w14:paraId="40861DAE" w14:textId="77777777" w:rsidR="00F76607" w:rsidRDefault="001863F0">
      <w:pPr>
        <w:pStyle w:val="NormalWeb"/>
        <w:spacing w:before="240" w:after="0"/>
        <w:ind w:firstLine="857"/>
        <w:rPr>
          <w:sz w:val="18"/>
          <w:szCs w:val="18"/>
          <w:lang w:val="en-GB"/>
        </w:rPr>
      </w:pPr>
      <w:r>
        <w:rPr>
          <w:sz w:val="18"/>
          <w:szCs w:val="18"/>
          <w:lang w:val="en-GB"/>
        </w:rPr>
        <w:t>This strategy enhances scale, ensures healthy developer margins and enables VGP to realise attractive net valuation gains at the moment of delivery, while capturing rental income and fee income after delivery as long-term investor, entering early in the development process, coupled with collaboration of local municipalities and city councils.</w:t>
      </w:r>
    </w:p>
    <w:p w14:paraId="742D83D5" w14:textId="77777777" w:rsidR="00F76607" w:rsidRDefault="001863F0">
      <w:pPr>
        <w:pStyle w:val="NormalWeb"/>
        <w:rPr>
          <w:b/>
          <w:i/>
          <w:sz w:val="18"/>
          <w:szCs w:val="18"/>
          <w:lang w:val="en-GB"/>
        </w:rPr>
      </w:pPr>
      <w:r>
        <w:rPr>
          <w:b/>
          <w:i/>
          <w:sz w:val="18"/>
          <w:szCs w:val="18"/>
          <w:lang w:val="en-GB"/>
        </w:rPr>
        <w:t>Value creation crystallisation through strategic partnership with Allianz allowing for capital recycling for new projects</w:t>
      </w:r>
    </w:p>
    <w:p w14:paraId="11278A9A" w14:textId="537CD128" w:rsidR="00F76607" w:rsidRDefault="001863F0">
      <w:pPr>
        <w:pStyle w:val="NormalWeb"/>
        <w:spacing w:before="240" w:after="0"/>
        <w:ind w:firstLine="857"/>
        <w:rPr>
          <w:sz w:val="18"/>
          <w:szCs w:val="18"/>
          <w:lang w:val="en-GB"/>
        </w:rPr>
      </w:pPr>
      <w:r>
        <w:rPr>
          <w:sz w:val="18"/>
          <w:szCs w:val="18"/>
          <w:lang w:val="en-GB"/>
        </w:rPr>
        <w:t>In 2016, a strategic partnership was set up in the form of a 50:50 j</w:t>
      </w:r>
      <w:r w:rsidR="00323E6A">
        <w:rPr>
          <w:sz w:val="18"/>
          <w:szCs w:val="18"/>
          <w:lang w:val="en-GB"/>
        </w:rPr>
        <w:t>oint venture with Allianz for a</w:t>
      </w:r>
      <w:r>
        <w:rPr>
          <w:sz w:val="18"/>
          <w:szCs w:val="18"/>
          <w:lang w:val="en-GB"/>
        </w:rPr>
        <w:t xml:space="preserve"> term of 10 years. With the Joint Venture, VGP believes that it has attracted a long-term capital buyer at market value, allowing it to (partially) recycle capital: as at the date of this Prospectus, three closings have taken place for a total gross asset value of € 735 million (representing net cash proceeds of € 361 million for VGP). The Joint Venture also creates a recurring income stream from Joint Venture fees as VGP continues to service the Joint Venture as asset, property and development manager - securing the necessary financial resources to expand and allowing the Company to focus on its core development business. </w:t>
      </w:r>
    </w:p>
    <w:p w14:paraId="34FCF21D" w14:textId="77777777" w:rsidR="00F76607" w:rsidRDefault="001863F0">
      <w:pPr>
        <w:pStyle w:val="NormalWeb"/>
        <w:spacing w:before="240" w:after="0"/>
        <w:ind w:firstLine="857"/>
        <w:rPr>
          <w:sz w:val="18"/>
          <w:szCs w:val="18"/>
          <w:lang w:val="en-GB"/>
        </w:rPr>
      </w:pPr>
      <w:r>
        <w:rPr>
          <w:sz w:val="18"/>
          <w:szCs w:val="18"/>
          <w:lang w:val="en-GB"/>
        </w:rPr>
        <w:t xml:space="preserve">The Joint Venture is a platform of new, grade A logistics and industrial properties developed by VGP. Allianz holds the exclusive right of first refusal to acquire the income generating assets developed by the Group in Germany, Czech Republic, Hungary and Slovakia. The goal is to grow the portfolio of the Joint Venture to ca. € 1.7 billion, implying a targeted annual contracted rent of € 100 million that would represent a stable income-driven return with potential for capital appreciation. </w:t>
      </w:r>
    </w:p>
    <w:p w14:paraId="66E116E7" w14:textId="77777777" w:rsidR="00F76607" w:rsidRDefault="001863F0">
      <w:pPr>
        <w:pStyle w:val="NormalWeb"/>
        <w:rPr>
          <w:b/>
          <w:i/>
          <w:sz w:val="18"/>
          <w:szCs w:val="18"/>
          <w:lang w:val="en-GB"/>
        </w:rPr>
      </w:pPr>
      <w:r>
        <w:rPr>
          <w:b/>
          <w:i/>
          <w:sz w:val="18"/>
          <w:szCs w:val="18"/>
          <w:lang w:val="en-GB"/>
        </w:rPr>
        <w:t>Strong diversified presence in attractive growth markets</w:t>
      </w:r>
    </w:p>
    <w:p w14:paraId="643889FC" w14:textId="77777777" w:rsidR="00F76607" w:rsidRDefault="001863F0">
      <w:pPr>
        <w:pStyle w:val="NormalWeb"/>
        <w:spacing w:before="240" w:after="0"/>
        <w:ind w:firstLine="857"/>
        <w:rPr>
          <w:sz w:val="18"/>
          <w:szCs w:val="18"/>
          <w:lang w:val="en-GB"/>
        </w:rPr>
      </w:pPr>
      <w:r>
        <w:rPr>
          <w:sz w:val="18"/>
          <w:szCs w:val="18"/>
          <w:lang w:val="en-GB"/>
        </w:rPr>
        <w:t>VGP has built up its presence in strategically chosen markets with strong macro-economic fundamentals and demand dynamics. Over 50% of the current contractual rent stems from assets in Germany</w:t>
      </w:r>
      <w:r>
        <w:rPr>
          <w:rStyle w:val="FootnoteReference"/>
          <w:sz w:val="18"/>
          <w:szCs w:val="18"/>
          <w:lang w:val="en-GB"/>
        </w:rPr>
        <w:footnoteReference w:id="20"/>
      </w:r>
      <w:r>
        <w:rPr>
          <w:sz w:val="18"/>
          <w:szCs w:val="18"/>
          <w:lang w:val="en-GB"/>
        </w:rPr>
        <w:t>, one of economic drivers of the European Union, where the company has built a very strong position strengthened by the partnership with Allianz. In all the other countries where VGP and the Joint Venture are present, there is an expected GDP growth for the period 2017 – 2020 of at least 2%, which indicates markets are expected to grow on strong fundamentals (</w:t>
      </w:r>
      <w:r>
        <w:rPr>
          <w:i/>
          <w:sz w:val="18"/>
          <w:szCs w:val="18"/>
          <w:lang w:val="en-GB"/>
        </w:rPr>
        <w:t xml:space="preserve">Source: IHS Global Insight, </w:t>
      </w:r>
      <w:proofErr w:type="spellStart"/>
      <w:r>
        <w:rPr>
          <w:i/>
          <w:sz w:val="18"/>
          <w:szCs w:val="18"/>
          <w:lang w:val="en-GB"/>
        </w:rPr>
        <w:t>Euromonitor</w:t>
      </w:r>
      <w:proofErr w:type="spellEnd"/>
      <w:r>
        <w:rPr>
          <w:i/>
          <w:sz w:val="18"/>
          <w:szCs w:val="18"/>
          <w:lang w:val="en-GB"/>
        </w:rPr>
        <w:t>, Statista, E-Commerce database</w:t>
      </w:r>
      <w:r>
        <w:rPr>
          <w:sz w:val="18"/>
          <w:szCs w:val="18"/>
          <w:lang w:val="en-GB"/>
        </w:rPr>
        <w:t xml:space="preserve">). </w:t>
      </w:r>
    </w:p>
    <w:p w14:paraId="6812823A" w14:textId="77777777" w:rsidR="00F76607" w:rsidRDefault="001863F0">
      <w:pPr>
        <w:pStyle w:val="NormalWeb"/>
        <w:spacing w:before="240" w:after="0"/>
        <w:ind w:firstLine="857"/>
        <w:rPr>
          <w:sz w:val="18"/>
          <w:szCs w:val="18"/>
          <w:lang w:val="en-GB"/>
        </w:rPr>
      </w:pPr>
      <w:r>
        <w:rPr>
          <w:sz w:val="18"/>
          <w:szCs w:val="18"/>
          <w:lang w:val="en-GB"/>
        </w:rPr>
        <w:t>Furthermore, the markets where the Group and the Joint Venture are currently active are expected to be supported by a continued growth. E-commerce which is expected to be an important driver of the real estate logistics market in Europe, with an estimated growth per annum of over 7% for the period 2017 – 2020 (</w:t>
      </w:r>
      <w:r>
        <w:rPr>
          <w:i/>
          <w:sz w:val="18"/>
          <w:szCs w:val="18"/>
          <w:lang w:val="en-GB"/>
        </w:rPr>
        <w:t>Source: Statista, E-Commerce database</w:t>
      </w:r>
      <w:r>
        <w:rPr>
          <w:sz w:val="18"/>
          <w:szCs w:val="18"/>
          <w:lang w:val="en-GB"/>
        </w:rPr>
        <w:t>).</w:t>
      </w:r>
    </w:p>
    <w:p w14:paraId="291AEAAD" w14:textId="77777777" w:rsidR="00F76607" w:rsidRDefault="001863F0">
      <w:pPr>
        <w:pStyle w:val="NormalWeb"/>
        <w:rPr>
          <w:b/>
          <w:i/>
          <w:sz w:val="18"/>
          <w:szCs w:val="18"/>
          <w:lang w:val="en-GB"/>
        </w:rPr>
      </w:pPr>
      <w:r>
        <w:rPr>
          <w:b/>
          <w:i/>
          <w:sz w:val="18"/>
          <w:szCs w:val="18"/>
          <w:lang w:val="en-GB"/>
        </w:rPr>
        <w:t>Well-leased portfolio with a blue chip customer base</w:t>
      </w:r>
    </w:p>
    <w:p w14:paraId="08A9AF24" w14:textId="16CAECBB" w:rsidR="00F76607" w:rsidRDefault="001863F0">
      <w:pPr>
        <w:pStyle w:val="NormalWeb"/>
        <w:spacing w:before="240" w:after="0"/>
        <w:ind w:firstLine="857"/>
        <w:rPr>
          <w:sz w:val="18"/>
          <w:szCs w:val="18"/>
          <w:lang w:val="en-GB"/>
        </w:rPr>
      </w:pPr>
      <w:r>
        <w:rPr>
          <w:sz w:val="18"/>
          <w:szCs w:val="18"/>
          <w:lang w:val="en-GB"/>
        </w:rPr>
        <w:t xml:space="preserve">VGP has been able to attract a diversified reputable and loyal customer base (e.g. Amazon, Mango Group, DHL, </w:t>
      </w:r>
      <w:proofErr w:type="spellStart"/>
      <w:r>
        <w:rPr>
          <w:sz w:val="18"/>
          <w:szCs w:val="18"/>
          <w:lang w:val="en-GB"/>
        </w:rPr>
        <w:t>Rossmann</w:t>
      </w:r>
      <w:proofErr w:type="spellEnd"/>
      <w:r>
        <w:rPr>
          <w:sz w:val="18"/>
          <w:szCs w:val="18"/>
          <w:lang w:val="en-GB"/>
        </w:rPr>
        <w:t xml:space="preserve">, </w:t>
      </w:r>
      <w:proofErr w:type="spellStart"/>
      <w:r>
        <w:rPr>
          <w:sz w:val="18"/>
          <w:szCs w:val="18"/>
          <w:lang w:val="en-GB"/>
        </w:rPr>
        <w:t>Lekkerland</w:t>
      </w:r>
      <w:proofErr w:type="spellEnd"/>
      <w:r>
        <w:rPr>
          <w:sz w:val="18"/>
          <w:szCs w:val="18"/>
          <w:lang w:val="en-GB"/>
        </w:rPr>
        <w:t xml:space="preserve">, VW </w:t>
      </w:r>
      <w:proofErr w:type="spellStart"/>
      <w:r>
        <w:rPr>
          <w:sz w:val="18"/>
          <w:szCs w:val="18"/>
          <w:lang w:val="en-GB"/>
        </w:rPr>
        <w:t>Groep</w:t>
      </w:r>
      <w:proofErr w:type="spellEnd"/>
      <w:r>
        <w:rPr>
          <w:sz w:val="18"/>
          <w:szCs w:val="18"/>
          <w:lang w:val="en-GB"/>
        </w:rPr>
        <w:t xml:space="preserve">, </w:t>
      </w:r>
      <w:proofErr w:type="spellStart"/>
      <w:r>
        <w:rPr>
          <w:sz w:val="18"/>
          <w:szCs w:val="18"/>
          <w:lang w:val="en-GB"/>
        </w:rPr>
        <w:t>Rhenus</w:t>
      </w:r>
      <w:proofErr w:type="spellEnd"/>
      <w:r>
        <w:rPr>
          <w:sz w:val="18"/>
          <w:szCs w:val="18"/>
          <w:lang w:val="en-GB"/>
        </w:rPr>
        <w:t xml:space="preserve"> Logistics, Ikea, etc.), with several multi-location projects.</w:t>
      </w:r>
      <w:r>
        <w:t xml:space="preserve"> </w:t>
      </w:r>
      <w:r>
        <w:rPr>
          <w:sz w:val="18"/>
          <w:szCs w:val="18"/>
          <w:lang w:val="en-GB"/>
        </w:rPr>
        <w:t>The customers represent a healthy mix of logistic tenants and end users. The top 10 tenants (by GLA) are all blue chip clients and take up a</w:t>
      </w:r>
      <w:r w:rsidR="00081C45">
        <w:rPr>
          <w:sz w:val="18"/>
          <w:szCs w:val="18"/>
          <w:lang w:val="en-GB"/>
        </w:rPr>
        <w:t>pproximately 51.2</w:t>
      </w:r>
      <w:r w:rsidR="00940375">
        <w:rPr>
          <w:sz w:val="18"/>
          <w:szCs w:val="18"/>
          <w:lang w:val="en-GB"/>
        </w:rPr>
        <w:t>% of the total (own and J</w:t>
      </w:r>
      <w:r w:rsidR="00A2769C">
        <w:rPr>
          <w:sz w:val="18"/>
          <w:szCs w:val="18"/>
          <w:lang w:val="en-GB"/>
        </w:rPr>
        <w:t xml:space="preserve">oint </w:t>
      </w:r>
      <w:r w:rsidR="00940375">
        <w:rPr>
          <w:sz w:val="18"/>
          <w:szCs w:val="18"/>
          <w:lang w:val="en-GB"/>
        </w:rPr>
        <w:t>V</w:t>
      </w:r>
      <w:r w:rsidR="00A2769C">
        <w:rPr>
          <w:sz w:val="18"/>
          <w:szCs w:val="18"/>
          <w:lang w:val="en-GB"/>
        </w:rPr>
        <w:t xml:space="preserve">enture) </w:t>
      </w:r>
      <w:r>
        <w:rPr>
          <w:sz w:val="18"/>
          <w:szCs w:val="18"/>
          <w:lang w:val="en-GB"/>
        </w:rPr>
        <w:t>portfolio</w:t>
      </w:r>
      <w:r w:rsidR="00A2769C">
        <w:rPr>
          <w:sz w:val="18"/>
          <w:szCs w:val="18"/>
          <w:lang w:val="en-GB"/>
        </w:rPr>
        <w:t xml:space="preserve">. </w:t>
      </w:r>
      <w:r>
        <w:rPr>
          <w:sz w:val="18"/>
          <w:szCs w:val="18"/>
          <w:lang w:val="en-GB"/>
        </w:rPr>
        <w:t xml:space="preserve">As at 30 June 2017, the top five tenants in the </w:t>
      </w:r>
      <w:r w:rsidR="00A2769C">
        <w:rPr>
          <w:sz w:val="18"/>
          <w:szCs w:val="18"/>
          <w:lang w:val="en-GB"/>
        </w:rPr>
        <w:t>total (</w:t>
      </w:r>
      <w:r>
        <w:rPr>
          <w:sz w:val="18"/>
          <w:szCs w:val="18"/>
          <w:lang w:val="en-GB"/>
        </w:rPr>
        <w:t xml:space="preserve">own </w:t>
      </w:r>
      <w:r w:rsidR="00A2769C">
        <w:rPr>
          <w:sz w:val="18"/>
          <w:szCs w:val="18"/>
          <w:lang w:val="en-GB"/>
        </w:rPr>
        <w:t xml:space="preserve">and joint venture) </w:t>
      </w:r>
      <w:r>
        <w:rPr>
          <w:sz w:val="18"/>
          <w:szCs w:val="18"/>
          <w:lang w:val="en-GB"/>
        </w:rPr>
        <w:t>portfolio accounted for 12.2%, 9.9%, 6.8%. 4.9% and 4.3%, respectively</w:t>
      </w:r>
      <w:r w:rsidR="00A2769C">
        <w:rPr>
          <w:sz w:val="18"/>
          <w:szCs w:val="18"/>
          <w:lang w:val="en-GB"/>
        </w:rPr>
        <w:t>.</w:t>
      </w:r>
    </w:p>
    <w:p w14:paraId="70B0A5B5" w14:textId="77777777" w:rsidR="00F76607" w:rsidRDefault="001863F0">
      <w:pPr>
        <w:pStyle w:val="NormalWeb"/>
        <w:ind w:firstLine="857"/>
        <w:rPr>
          <w:sz w:val="18"/>
          <w:szCs w:val="18"/>
          <w:lang w:val="en-GB"/>
        </w:rPr>
      </w:pPr>
      <w:r>
        <w:rPr>
          <w:sz w:val="18"/>
          <w:szCs w:val="18"/>
          <w:lang w:val="en-GB"/>
        </w:rPr>
        <w:t>Over the years and by offering top quality logistics real estate, the Company was able to develop healthy business relationships with its clients, as evidenced by the long-term leases (committed lease maturity for own portfolio stood as at 30 June 2017 at 14.1 years on average</w:t>
      </w:r>
      <w:r>
        <w:rPr>
          <w:rStyle w:val="FootnoteReference"/>
          <w:sz w:val="18"/>
          <w:szCs w:val="18"/>
          <w:lang w:val="en-GB"/>
        </w:rPr>
        <w:footnoteReference w:id="21"/>
      </w:r>
      <w:r>
        <w:rPr>
          <w:sz w:val="18"/>
          <w:szCs w:val="18"/>
          <w:lang w:val="en-GB"/>
        </w:rPr>
        <w:t xml:space="preserve"> and for the JV at 8.1 years</w:t>
      </w:r>
      <w:r>
        <w:rPr>
          <w:rStyle w:val="FootnoteReference"/>
          <w:sz w:val="18"/>
          <w:szCs w:val="18"/>
          <w:lang w:val="en-GB"/>
        </w:rPr>
        <w:footnoteReference w:id="22"/>
      </w:r>
      <w:r>
        <w:rPr>
          <w:sz w:val="18"/>
          <w:szCs w:val="18"/>
          <w:lang w:val="en-GB"/>
        </w:rPr>
        <w:t>on average) and the rental portfolio that continuously evolved near maximum capacity (with an optimal occupancy rate of 100% of the portfolio as per 30 June 2017).</w:t>
      </w:r>
    </w:p>
    <w:p w14:paraId="43D20258" w14:textId="77777777" w:rsidR="00F76607" w:rsidRDefault="001863F0">
      <w:pPr>
        <w:pStyle w:val="NormalWeb"/>
        <w:rPr>
          <w:b/>
          <w:i/>
          <w:sz w:val="18"/>
          <w:szCs w:val="18"/>
          <w:lang w:val="en-GB"/>
        </w:rPr>
      </w:pPr>
      <w:r>
        <w:rPr>
          <w:b/>
          <w:i/>
          <w:sz w:val="18"/>
          <w:szCs w:val="18"/>
          <w:lang w:val="en-GB"/>
        </w:rPr>
        <w:t>Clear avenues of growth in strategic European markets</w:t>
      </w:r>
    </w:p>
    <w:p w14:paraId="34295C15" w14:textId="7679B139" w:rsidR="00A2769C" w:rsidRDefault="00A2769C" w:rsidP="00F06E87">
      <w:pPr>
        <w:pStyle w:val="VulcanIIbody"/>
        <w:rPr>
          <w:lang w:val="en-GB"/>
        </w:rPr>
      </w:pPr>
      <w:r>
        <w:rPr>
          <w:lang w:val="en-GB"/>
        </w:rPr>
        <w:t xml:space="preserve">As at 30 June 2017, VGP has a secured land bank </w:t>
      </w:r>
      <w:r w:rsidR="003318EC">
        <w:rPr>
          <w:lang w:val="en-GB"/>
        </w:rPr>
        <w:t xml:space="preserve">of </w:t>
      </w:r>
      <w:r>
        <w:rPr>
          <w:lang w:val="en-GB"/>
        </w:rPr>
        <w:t xml:space="preserve">3,512,636 m² of which 2,770,995 m² (79%) </w:t>
      </w:r>
      <w:r w:rsidR="003318EC">
        <w:rPr>
          <w:lang w:val="en-GB"/>
        </w:rPr>
        <w:t>is</w:t>
      </w:r>
      <w:r>
        <w:rPr>
          <w:lang w:val="en-GB"/>
        </w:rPr>
        <w:t xml:space="preserve"> in full ownership and 741,641 m² (21%) </w:t>
      </w:r>
      <w:r w:rsidR="003318EC">
        <w:rPr>
          <w:lang w:val="en-GB"/>
        </w:rPr>
        <w:t>is</w:t>
      </w:r>
      <w:r>
        <w:rPr>
          <w:lang w:val="en-GB"/>
        </w:rPr>
        <w:t xml:space="preserve"> subject to future purchase agreement and hence </w:t>
      </w:r>
      <w:r w:rsidR="009A2178">
        <w:rPr>
          <w:lang w:val="en-GB"/>
        </w:rPr>
        <w:t>would be</w:t>
      </w:r>
      <w:r>
        <w:rPr>
          <w:lang w:val="en-GB"/>
        </w:rPr>
        <w:t xml:space="preserve"> acquired and paid for upon the receipt of the necessary permits. These future purchase agreements are binding contracts for the VGP and the respective sellers whereby the effective purchase is always triggered once the necessary permits have been obtained.</w:t>
      </w:r>
      <w:r w:rsidR="003318EC">
        <w:rPr>
          <w:lang w:val="en-GB"/>
        </w:rPr>
        <w:t xml:space="preserve"> </w:t>
      </w:r>
    </w:p>
    <w:p w14:paraId="6AB0D1E4" w14:textId="187AA56F" w:rsidR="00F76607" w:rsidRDefault="001863F0">
      <w:pPr>
        <w:pStyle w:val="NormalWeb"/>
        <w:rPr>
          <w:sz w:val="18"/>
          <w:szCs w:val="18"/>
          <w:lang w:val="en-GB"/>
        </w:rPr>
      </w:pPr>
      <w:r>
        <w:rPr>
          <w:sz w:val="18"/>
          <w:szCs w:val="18"/>
          <w:lang w:val="en-GB"/>
        </w:rPr>
        <w:t xml:space="preserve">This land bank will allow VGP to develop, besides the current completed projects and projects under construction, approximately 1,142,000 m² of new lettable area. This gives the Company a clear path for growth in the near future, with high visibility on how the portfolio and earnings are expected to evolve in the next years. </w:t>
      </w:r>
    </w:p>
    <w:p w14:paraId="1C71158F" w14:textId="5BF37701" w:rsidR="00F76607" w:rsidRDefault="001863F0">
      <w:pPr>
        <w:pStyle w:val="NormalWeb"/>
        <w:rPr>
          <w:sz w:val="18"/>
          <w:szCs w:val="18"/>
          <w:lang w:val="en-GB"/>
        </w:rPr>
      </w:pPr>
      <w:r>
        <w:rPr>
          <w:sz w:val="18"/>
          <w:szCs w:val="18"/>
          <w:lang w:val="en-GB"/>
        </w:rPr>
        <w:t>In addition thereto, VGP has already been working extensively on identifying new land banks which meet VGP’s strict investment criteria (e.g. adjacent to highways, living concentration, good public transport, etc.). This dynamic exercise has led to an identified pipeline (i.e. under option or negotiations) of ca</w:t>
      </w:r>
      <w:r w:rsidRPr="00F479F2">
        <w:rPr>
          <w:sz w:val="18"/>
          <w:szCs w:val="18"/>
          <w:lang w:val="en-GB"/>
        </w:rPr>
        <w:t xml:space="preserve">. </w:t>
      </w:r>
      <w:r w:rsidR="00F479F2" w:rsidRPr="00F479F2">
        <w:rPr>
          <w:sz w:val="18"/>
          <w:szCs w:val="18"/>
          <w:lang w:val="en-GB"/>
        </w:rPr>
        <w:t xml:space="preserve">1.2 million m² of </w:t>
      </w:r>
      <w:r w:rsidRPr="00F479F2">
        <w:rPr>
          <w:sz w:val="18"/>
          <w:szCs w:val="18"/>
          <w:lang w:val="en-GB"/>
        </w:rPr>
        <w:t>GLA,</w:t>
      </w:r>
      <w:r>
        <w:rPr>
          <w:sz w:val="18"/>
          <w:szCs w:val="18"/>
          <w:lang w:val="en-GB"/>
        </w:rPr>
        <w:t xml:space="preserve"> mainly situated in Germany, Czech Republic and Slovakia. </w:t>
      </w:r>
    </w:p>
    <w:p w14:paraId="3954E0D9" w14:textId="77777777" w:rsidR="00F76607" w:rsidRDefault="001863F0">
      <w:pPr>
        <w:pStyle w:val="NormalWeb"/>
        <w:rPr>
          <w:sz w:val="18"/>
          <w:szCs w:val="18"/>
          <w:lang w:val="en-GB"/>
        </w:rPr>
      </w:pPr>
      <w:r>
        <w:rPr>
          <w:sz w:val="18"/>
          <w:szCs w:val="18"/>
          <w:lang w:val="en-GB"/>
        </w:rPr>
        <w:lastRenderedPageBreak/>
        <w:t>The Company also aims to enter a new geography every two years, which is expected to increase its options to find suitable land and further support its growth path.</w:t>
      </w:r>
    </w:p>
    <w:p w14:paraId="0842ACC4" w14:textId="77777777" w:rsidR="00F76607" w:rsidRDefault="001863F0">
      <w:pPr>
        <w:pStyle w:val="NormalWeb"/>
        <w:rPr>
          <w:b/>
          <w:i/>
          <w:sz w:val="18"/>
          <w:szCs w:val="18"/>
          <w:lang w:val="en-GB"/>
        </w:rPr>
      </w:pPr>
      <w:r>
        <w:rPr>
          <w:b/>
          <w:i/>
          <w:sz w:val="18"/>
          <w:szCs w:val="18"/>
          <w:lang w:val="en-GB"/>
        </w:rPr>
        <w:t>Experienced and highly committed management team with proven track record</w:t>
      </w:r>
    </w:p>
    <w:p w14:paraId="00EA9D12" w14:textId="14CE850F" w:rsidR="00F76607" w:rsidRDefault="001863F0">
      <w:pPr>
        <w:pStyle w:val="NormalWeb"/>
        <w:ind w:firstLine="720"/>
        <w:rPr>
          <w:sz w:val="18"/>
          <w:szCs w:val="18"/>
          <w:lang w:val="en-GB"/>
        </w:rPr>
      </w:pPr>
      <w:r>
        <w:rPr>
          <w:sz w:val="18"/>
          <w:szCs w:val="18"/>
          <w:lang w:val="en-GB"/>
        </w:rPr>
        <w:t xml:space="preserve">The Company has a multi-disciplined and experienced management team in place with a long-standing European real estate expertise. Jan Van Geet, CEO and reference shareholder of the Company, founded VGP NV in 1998 and has been since then fully devoted to translating the Company’s strategy into reality, enabling VGP to become a leading specialised developer and owner of high-quality logistic real estate in Europe. The CEO is supported by a top management team that has been working for VGP for many years with a high level of commitment, as reflected by the fact that no key-executive has ever left the company. Also, all members of top the management team have built up significant experience at large enterprises before joining the Company (e.g. </w:t>
      </w:r>
      <w:proofErr w:type="spellStart"/>
      <w:r>
        <w:rPr>
          <w:sz w:val="18"/>
          <w:szCs w:val="18"/>
          <w:lang w:val="en-GB"/>
        </w:rPr>
        <w:t>Ontex</w:t>
      </w:r>
      <w:proofErr w:type="spellEnd"/>
      <w:r>
        <w:rPr>
          <w:sz w:val="18"/>
          <w:szCs w:val="18"/>
          <w:lang w:val="en-GB"/>
        </w:rPr>
        <w:t xml:space="preserve">, Associated Weavers, Theobald…). </w:t>
      </w:r>
    </w:p>
    <w:p w14:paraId="4398620D" w14:textId="77777777" w:rsidR="00F76607" w:rsidRDefault="001863F0">
      <w:pPr>
        <w:pStyle w:val="NormalWeb"/>
        <w:ind w:firstLine="720"/>
        <w:rPr>
          <w:sz w:val="18"/>
          <w:szCs w:val="18"/>
          <w:lang w:val="en-GB"/>
        </w:rPr>
      </w:pPr>
      <w:r>
        <w:rPr>
          <w:sz w:val="18"/>
          <w:szCs w:val="18"/>
          <w:lang w:val="en-GB"/>
        </w:rPr>
        <w:t>The Group had, as of 30 June 2017, in aggregate 126 employees, most of them highly experienced professionals. The staff is composed according to the expertise required for each particular segment of the Group’s operations, with strong emphasis on personal competency and seniority. Thanks to the comprehensive team structure, the Group is able to internally control significant parts of its value creation chain, effectively maintaining costs and increasing operational flexibility.</w:t>
      </w:r>
    </w:p>
    <w:p w14:paraId="47F67480" w14:textId="77777777" w:rsidR="00F76607" w:rsidRDefault="001863F0">
      <w:pPr>
        <w:pStyle w:val="NormalWeb"/>
        <w:ind w:firstLine="720"/>
        <w:rPr>
          <w:sz w:val="18"/>
          <w:szCs w:val="18"/>
          <w:lang w:val="en-GB"/>
        </w:rPr>
      </w:pPr>
      <w:r>
        <w:rPr>
          <w:sz w:val="18"/>
          <w:szCs w:val="18"/>
          <w:lang w:val="en-GB"/>
        </w:rPr>
        <w:t>The overall management structure is relatively flat, which enables flexible decision-making, fast information flow and strong personal engagement. A matrix organizational structure is in place, where particular business segments are at the same time controlled by a functional manager as well as a manager responsible for the particular country (or countries).</w:t>
      </w:r>
    </w:p>
    <w:p w14:paraId="36541FD0" w14:textId="77777777" w:rsidR="00F76607" w:rsidRDefault="001863F0">
      <w:pPr>
        <w:pStyle w:val="VulcanIILevel1"/>
        <w:rPr>
          <w:lang w:val="en-GB"/>
        </w:rPr>
      </w:pPr>
      <w:r>
        <w:rPr>
          <w:lang w:val="en-GB"/>
        </w:rPr>
        <w:t>Litigation</w:t>
      </w:r>
    </w:p>
    <w:p w14:paraId="54554B66" w14:textId="77777777" w:rsidR="00F76607" w:rsidRDefault="001863F0">
      <w:pPr>
        <w:pStyle w:val="VulcanIIbody"/>
        <w:rPr>
          <w:lang w:val="en-GB"/>
        </w:rPr>
      </w:pPr>
      <w:r>
        <w:rPr>
          <w:lang w:val="en-GB"/>
        </w:rPr>
        <w:t>There are no governmental, legal or arbitration proceedings (including such proceedings which are pending or threatened of which the Company is aware) during the 12 months preceding the date of this Prospectus, which may have, or have had, a significant effect on the Company’s and/or the Group’s financial position or profitability.</w:t>
      </w:r>
    </w:p>
    <w:p w14:paraId="673A63EA" w14:textId="77777777" w:rsidR="00F76607" w:rsidRDefault="001863F0">
      <w:pPr>
        <w:pStyle w:val="VulcanIILevel1"/>
        <w:rPr>
          <w:lang w:val="en-GB"/>
        </w:rPr>
      </w:pPr>
      <w:r>
        <w:rPr>
          <w:lang w:val="en-GB"/>
        </w:rPr>
        <w:t>Insurance</w:t>
      </w:r>
    </w:p>
    <w:p w14:paraId="4617FC5F" w14:textId="77777777" w:rsidR="00F76607" w:rsidRDefault="001863F0">
      <w:pPr>
        <w:pStyle w:val="VulcanIIbody"/>
        <w:rPr>
          <w:lang w:val="en-GB"/>
        </w:rPr>
      </w:pPr>
      <w:r>
        <w:rPr>
          <w:lang w:val="en-GB"/>
        </w:rPr>
        <w:t xml:space="preserve">The Group cooperates with international insurance broker, currently AON, to purchase coverage. The Group maintains insurance of various types, including property all-risk insurance providing also business interruption coverage, standard third party liability insurance as well as insurance of liability that could arise from the Group providing professional services to third parties, in particular the Joint Venture. In addition, for construction projects where no general contractor is appointed, the Group purchases construction all-risk insurance to complement the insurance policies taken out by the particular contractors hired by the Group. Tenants are required to take out their own insurance for their property located in the buildings as well as for potential damages caused by them on the Group's or other tenants' property. </w:t>
      </w:r>
    </w:p>
    <w:p w14:paraId="2139A5BA" w14:textId="77777777" w:rsidR="00F76607" w:rsidRDefault="001863F0">
      <w:pPr>
        <w:pStyle w:val="VulcanIIbody"/>
        <w:rPr>
          <w:lang w:val="en-GB"/>
        </w:rPr>
      </w:pPr>
      <w:r>
        <w:rPr>
          <w:lang w:val="en-GB"/>
        </w:rPr>
        <w:t>The Group considers its insurance coverage to be adequate and in accordance with customary industry practice in the markets in which the Group operates.</w:t>
      </w:r>
    </w:p>
    <w:p w14:paraId="3B97828C" w14:textId="77777777" w:rsidR="00F76607" w:rsidRDefault="001863F0">
      <w:pPr>
        <w:pStyle w:val="VulcanIILevel1"/>
        <w:rPr>
          <w:lang w:val="en-GB"/>
        </w:rPr>
      </w:pPr>
      <w:r>
        <w:rPr>
          <w:lang w:val="en-GB"/>
        </w:rPr>
        <w:t>Environmental matters</w:t>
      </w:r>
    </w:p>
    <w:p w14:paraId="3E78149E" w14:textId="2E359951" w:rsidR="00F76607" w:rsidRDefault="001863F0">
      <w:pPr>
        <w:pStyle w:val="VulcanIIbody"/>
        <w:rPr>
          <w:lang w:val="en-GB"/>
        </w:rPr>
      </w:pPr>
      <w:r>
        <w:rPr>
          <w:lang w:val="en-GB"/>
        </w:rPr>
        <w:t>The Group’s operations are subject to a variety of environmental laws and regulations. These regulations impose liability on property owners and operators for costs and damages related to soil and water contaminations from hazardous or toxic substances, among other things, and often impose liability whether or not the owner or operator knew of, or was responsible for, the presence or release of such hazardous or toxic substances. See “</w:t>
      </w:r>
      <w:r>
        <w:rPr>
          <w:i/>
          <w:lang w:val="en-GB"/>
        </w:rPr>
        <w:t xml:space="preserve">Risk Factors – </w:t>
      </w:r>
      <w:r w:rsidR="00AF7864" w:rsidRPr="00AF7864">
        <w:rPr>
          <w:i/>
          <w:lang w:val="en-GB"/>
        </w:rPr>
        <w:t xml:space="preserve">Risks related to the Group’s industry, properties and operations </w:t>
      </w:r>
      <w:r w:rsidR="00AF7864">
        <w:rPr>
          <w:i/>
          <w:lang w:val="en-GB"/>
        </w:rPr>
        <w:t xml:space="preserve">- </w:t>
      </w:r>
      <w:r>
        <w:rPr>
          <w:i/>
          <w:lang w:val="en-GB"/>
        </w:rPr>
        <w:t>The Group may be liable for environmental remediation or may be exposed to environmental claims</w:t>
      </w:r>
      <w:r>
        <w:rPr>
          <w:lang w:val="en-GB"/>
        </w:rPr>
        <w:t>”. The Group continuously monitors and manages any exposure to environmental liability.</w:t>
      </w:r>
    </w:p>
    <w:p w14:paraId="1FBBD07C" w14:textId="77777777" w:rsidR="00F76607" w:rsidRDefault="001863F0">
      <w:pPr>
        <w:pStyle w:val="VulcanIIbody"/>
        <w:rPr>
          <w:lang w:val="en-GB"/>
        </w:rPr>
      </w:pPr>
      <w:r>
        <w:rPr>
          <w:lang w:val="en-GB"/>
        </w:rPr>
        <w:t>Furthermore, prior to acquiring land the Group generally conducts, in addition to technical, financial and legal due diligence, an environmental assessment (typically through independent third party consultants) for purposes of ensuring compliance with all applicable regulations.</w:t>
      </w:r>
      <w:r>
        <w:t xml:space="preserve"> </w:t>
      </w:r>
    </w:p>
    <w:p w14:paraId="0339EBC9" w14:textId="77777777" w:rsidR="00F76607" w:rsidRDefault="001863F0">
      <w:pPr>
        <w:pStyle w:val="VulcanIIbody"/>
        <w:rPr>
          <w:lang w:val="en-GB"/>
        </w:rPr>
      </w:pPr>
      <w:r>
        <w:rPr>
          <w:lang w:val="en-GB"/>
        </w:rPr>
        <w:t>As at the date of this Prospectus, the Company is not aware of any environmental issues that may affect the Group’s utilisation of its assets.</w:t>
      </w:r>
    </w:p>
    <w:p w14:paraId="60171D1D" w14:textId="77777777" w:rsidR="00F76607" w:rsidRDefault="001863F0">
      <w:pPr>
        <w:pStyle w:val="VulcanIILevel1"/>
        <w:rPr>
          <w:lang w:val="en-GB"/>
        </w:rPr>
      </w:pPr>
      <w:r>
        <w:rPr>
          <w:lang w:val="en-GB"/>
        </w:rPr>
        <w:t>Licenses, regulatory approvals and compliance</w:t>
      </w:r>
    </w:p>
    <w:p w14:paraId="71C4C9FC" w14:textId="77777777" w:rsidR="00F76607" w:rsidRDefault="001863F0">
      <w:pPr>
        <w:pStyle w:val="VulcanIIbody"/>
        <w:rPr>
          <w:lang w:val="en-GB"/>
        </w:rPr>
      </w:pPr>
      <w:r>
        <w:rPr>
          <w:lang w:val="en-GB"/>
        </w:rPr>
        <w:t xml:space="preserve">The Group operates primarily in the real estate development market, which is generally free from direct government regulation of operators, the focus of the regulation being instead on the town planning. Each of the projects requires specific approvals and the Group has a special function focused on compliance with all the relevant permitting procedures. </w:t>
      </w:r>
    </w:p>
    <w:p w14:paraId="2585C155" w14:textId="77777777" w:rsidR="00F76607" w:rsidRDefault="001863F0">
      <w:pPr>
        <w:pStyle w:val="VulcanIIbody"/>
        <w:rPr>
          <w:lang w:val="en-GB"/>
        </w:rPr>
      </w:pPr>
      <w:r>
        <w:rPr>
          <w:lang w:val="en-GB"/>
        </w:rPr>
        <w:t xml:space="preserve">The Group is required to carry real estate licenses for some of the property management services that it provides internally as well as to the Joint Venture. </w:t>
      </w:r>
    </w:p>
    <w:p w14:paraId="1756AC3A" w14:textId="77777777" w:rsidR="00F76607" w:rsidRDefault="001863F0">
      <w:pPr>
        <w:pStyle w:val="VulcanIIbody"/>
        <w:rPr>
          <w:lang w:val="en-GB"/>
        </w:rPr>
      </w:pPr>
      <w:r>
        <w:rPr>
          <w:lang w:val="en-GB"/>
        </w:rPr>
        <w:t xml:space="preserve">The Group is not subject to regulation relating to fund management or the provision of investment or financial services. </w:t>
      </w:r>
    </w:p>
    <w:p w14:paraId="7319F872" w14:textId="77777777" w:rsidR="00F76607" w:rsidRDefault="001863F0">
      <w:pPr>
        <w:pStyle w:val="VulcanIISectionTitle"/>
        <w:rPr>
          <w:rFonts w:ascii="Arial" w:hAnsi="Arial" w:cs="Arial"/>
          <w:i/>
          <w:iCs/>
        </w:rPr>
      </w:pPr>
      <w:bookmarkStart w:id="89" w:name="_Toc493194617"/>
      <w:r>
        <w:lastRenderedPageBreak/>
        <w:t>IndustRY</w:t>
      </w:r>
      <w:bookmarkEnd w:id="89"/>
    </w:p>
    <w:p w14:paraId="465D2347" w14:textId="77777777" w:rsidR="00F76607" w:rsidRDefault="001863F0">
      <w:pPr>
        <w:pStyle w:val="NormalWeb"/>
        <w:spacing w:before="240"/>
        <w:ind w:firstLine="857"/>
        <w:jc w:val="both"/>
        <w:rPr>
          <w:sz w:val="18"/>
          <w:szCs w:val="18"/>
          <w:lang w:val="en-GB"/>
        </w:rPr>
      </w:pPr>
      <w:r>
        <w:rPr>
          <w:i/>
          <w:iCs/>
          <w:sz w:val="18"/>
          <w:szCs w:val="18"/>
        </w:rPr>
        <w:t>The information presented in this section is taken or derived from the sources identified in section “Industry and Market Data”</w:t>
      </w:r>
      <w:r>
        <w:rPr>
          <w:sz w:val="18"/>
          <w:szCs w:val="18"/>
          <w:lang w:val="en-GB"/>
        </w:rPr>
        <w:t xml:space="preserve">. </w:t>
      </w:r>
      <w:r>
        <w:rPr>
          <w:i/>
          <w:sz w:val="18"/>
          <w:szCs w:val="18"/>
          <w:lang w:val="en-GB"/>
        </w:rPr>
        <w:t>In addition, certain statements below are based on the Company’s own proprietary information, insights, opinions or estimates, and not on any third party or independent source; these statements contain words such as ‘the Group believes’, ‘the Group expects’, ‘the Group sees’, and as such do not purport to cite, refer to or summarise any third party or independent source and should not be so read.</w:t>
      </w:r>
    </w:p>
    <w:p w14:paraId="7E1F29FD" w14:textId="77777777" w:rsidR="00F76607" w:rsidRDefault="001863F0">
      <w:pPr>
        <w:pStyle w:val="NormalWeb"/>
        <w:spacing w:before="240" w:after="0"/>
        <w:ind w:firstLine="857"/>
        <w:rPr>
          <w:b/>
          <w:bCs/>
          <w:sz w:val="18"/>
          <w:szCs w:val="18"/>
          <w:lang w:val="en-GB"/>
        </w:rPr>
      </w:pPr>
      <w:r>
        <w:rPr>
          <w:b/>
          <w:bCs/>
          <w:sz w:val="18"/>
          <w:szCs w:val="18"/>
          <w:lang w:val="en-GB"/>
        </w:rPr>
        <w:t>European macro-economic environment</w:t>
      </w:r>
    </w:p>
    <w:p w14:paraId="0C9ACEE4" w14:textId="77777777" w:rsidR="00F76607" w:rsidRDefault="001863F0">
      <w:pPr>
        <w:pStyle w:val="NormalWeb"/>
        <w:spacing w:before="240"/>
        <w:ind w:firstLine="851"/>
        <w:jc w:val="both"/>
        <w:rPr>
          <w:sz w:val="18"/>
          <w:szCs w:val="18"/>
          <w:lang w:val="en-GB"/>
        </w:rPr>
      </w:pPr>
      <w:r>
        <w:rPr>
          <w:sz w:val="18"/>
          <w:szCs w:val="18"/>
          <w:lang w:val="en-GB"/>
        </w:rPr>
        <w:t>Despite some continuing challenges, the overall European economy is performing well as supported by flexible macroeconomic policies, robust job creation, strong consumer confidence, a gradual improvement in world trade, and the euro’s relatively low exchange rate. Economic expansion has continued into 2017, thereby completing four years of moderate, uninterrupted GDP economic growth. Real GDP growth in Western Europe</w:t>
      </w:r>
      <w:r>
        <w:rPr>
          <w:rStyle w:val="FootnoteReference"/>
          <w:sz w:val="18"/>
          <w:szCs w:val="18"/>
          <w:lang w:val="en-GB"/>
        </w:rPr>
        <w:footnoteReference w:id="23"/>
      </w:r>
      <w:r>
        <w:rPr>
          <w:sz w:val="18"/>
          <w:szCs w:val="18"/>
          <w:lang w:val="en-GB"/>
        </w:rPr>
        <w:t xml:space="preserve"> is expected to continue to grow at a CAGR of 1.6% between 2017 and 2020, and at a solid annual rate of 3.2% in Eastern Europe</w:t>
      </w:r>
      <w:r>
        <w:rPr>
          <w:rStyle w:val="FootnoteReference"/>
          <w:sz w:val="18"/>
          <w:szCs w:val="18"/>
          <w:lang w:val="en-GB"/>
        </w:rPr>
        <w:footnoteReference w:id="24"/>
      </w:r>
      <w:r>
        <w:rPr>
          <w:sz w:val="18"/>
          <w:szCs w:val="18"/>
          <w:lang w:val="en-GB"/>
        </w:rPr>
        <w:t xml:space="preserve"> </w:t>
      </w:r>
      <w:r>
        <w:rPr>
          <w:i/>
          <w:sz w:val="18"/>
          <w:szCs w:val="18"/>
          <w:lang w:val="en-GB"/>
        </w:rPr>
        <w:t>(Source: European commission, Spring 2017, IHS Global Insight).</w:t>
      </w:r>
    </w:p>
    <w:p w14:paraId="29FFBD99" w14:textId="516992F2" w:rsidR="00F76607" w:rsidRDefault="001863F0">
      <w:pPr>
        <w:pStyle w:val="NormalWeb"/>
        <w:spacing w:before="240"/>
        <w:ind w:firstLine="851"/>
        <w:jc w:val="both"/>
        <w:rPr>
          <w:i/>
          <w:sz w:val="18"/>
          <w:szCs w:val="18"/>
          <w:lang w:val="en-GB"/>
        </w:rPr>
      </w:pPr>
      <w:r>
        <w:rPr>
          <w:sz w:val="18"/>
          <w:szCs w:val="18"/>
          <w:lang w:val="en-GB"/>
        </w:rPr>
        <w:t>Private consumption has been the main growth driver over the past few years, being at its 10-year high in 2016. In recent months, continued improvements in the labour market situation have fuelled consumer confidence, suggesting that the short-term outlook remains favourable. Employment in the euro area grew by 1.4% in 2016, its best performance over the past eight years. During 2017 and 2018, employment creation is expected to continue benefitting from growing domestic demand, relatively moderate wage growth, as well as past structural reforms and favourable policy measures in certain countries. With job creation significantly outpacing labour force growth, unemployment rates in both the euro area and the EU are set to continue declining. In 2018, the unemployment rate is expected to fall to its lowest level since 2008 in both the euro area and the EU, although still remaining above</w:t>
      </w:r>
      <w:r w:rsidR="00FF2ECC">
        <w:rPr>
          <w:sz w:val="18"/>
          <w:szCs w:val="18"/>
          <w:lang w:val="en-GB"/>
        </w:rPr>
        <w:t xml:space="preserve"> </w:t>
      </w:r>
      <w:r>
        <w:rPr>
          <w:sz w:val="18"/>
          <w:szCs w:val="18"/>
          <w:lang w:val="en-GB"/>
        </w:rPr>
        <w:t xml:space="preserve">pre-crisis levels </w:t>
      </w:r>
      <w:r>
        <w:rPr>
          <w:i/>
          <w:sz w:val="18"/>
          <w:szCs w:val="18"/>
          <w:lang w:val="en-GB"/>
        </w:rPr>
        <w:t>(Source: European commission, Spring 2017).</w:t>
      </w:r>
    </w:p>
    <w:p w14:paraId="531955F8" w14:textId="77777777" w:rsidR="00F76607" w:rsidRDefault="001863F0">
      <w:pPr>
        <w:pStyle w:val="NormalWeb"/>
        <w:spacing w:before="240"/>
        <w:ind w:firstLine="851"/>
        <w:jc w:val="both"/>
        <w:rPr>
          <w:i/>
          <w:sz w:val="18"/>
          <w:szCs w:val="18"/>
          <w:lang w:val="en-GB"/>
        </w:rPr>
      </w:pPr>
      <w:r>
        <w:rPr>
          <w:noProof/>
          <w:sz w:val="18"/>
          <w:szCs w:val="18"/>
          <w:lang w:val="nl-BE" w:eastAsia="nl-BE"/>
        </w:rPr>
        <w:drawing>
          <wp:anchor distT="0" distB="0" distL="114300" distR="114300" simplePos="0" relativeHeight="251660800" behindDoc="0" locked="0" layoutInCell="1" allowOverlap="1" wp14:anchorId="22892A7F" wp14:editId="03300BEE">
            <wp:simplePos x="0" y="0"/>
            <wp:positionH relativeFrom="column">
              <wp:posOffset>0</wp:posOffset>
            </wp:positionH>
            <wp:positionV relativeFrom="paragraph">
              <wp:posOffset>313690</wp:posOffset>
            </wp:positionV>
            <wp:extent cx="2933700" cy="2057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3FE90" w14:textId="77777777" w:rsidR="00F76607" w:rsidRDefault="001863F0">
      <w:pPr>
        <w:pStyle w:val="NormalWeb"/>
        <w:spacing w:before="240"/>
        <w:jc w:val="both"/>
        <w:rPr>
          <w:i/>
          <w:sz w:val="18"/>
          <w:szCs w:val="18"/>
          <w:lang w:val="en-GB"/>
        </w:rPr>
      </w:pPr>
      <w:r>
        <w:rPr>
          <w:noProof/>
          <w:sz w:val="18"/>
          <w:szCs w:val="18"/>
          <w:lang w:val="nl-BE" w:eastAsia="nl-BE"/>
        </w:rPr>
        <w:drawing>
          <wp:inline distT="0" distB="0" distL="0" distR="0" wp14:anchorId="65464901" wp14:editId="546B9743">
            <wp:extent cx="2715423" cy="1706880"/>
            <wp:effectExtent l="0" t="0" r="889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3750" cy="1743543"/>
                    </a:xfrm>
                    <a:prstGeom prst="rect">
                      <a:avLst/>
                    </a:prstGeom>
                    <a:noFill/>
                    <a:ln>
                      <a:noFill/>
                    </a:ln>
                  </pic:spPr>
                </pic:pic>
              </a:graphicData>
            </a:graphic>
          </wp:inline>
        </w:drawing>
      </w:r>
    </w:p>
    <w:p w14:paraId="4A498A44" w14:textId="77777777" w:rsidR="00F76607" w:rsidRDefault="00F76607">
      <w:pPr>
        <w:pStyle w:val="NormalWeb"/>
        <w:spacing w:before="240" w:after="0"/>
        <w:rPr>
          <w:b/>
          <w:bCs/>
          <w:sz w:val="18"/>
          <w:szCs w:val="18"/>
          <w:lang w:val="en-GB"/>
        </w:rPr>
      </w:pPr>
    </w:p>
    <w:p w14:paraId="024A3623" w14:textId="77777777" w:rsidR="00F76607" w:rsidRDefault="001863F0">
      <w:pPr>
        <w:pStyle w:val="NormalWeb"/>
        <w:spacing w:before="240" w:after="0"/>
        <w:ind w:firstLine="857"/>
        <w:rPr>
          <w:b/>
          <w:bCs/>
          <w:sz w:val="18"/>
          <w:szCs w:val="18"/>
          <w:lang w:val="en-GB"/>
        </w:rPr>
      </w:pPr>
      <w:r>
        <w:rPr>
          <w:b/>
          <w:bCs/>
          <w:sz w:val="18"/>
          <w:szCs w:val="18"/>
          <w:lang w:val="en-GB"/>
        </w:rPr>
        <w:t>E-commerce trends globally and in Europe</w:t>
      </w:r>
    </w:p>
    <w:p w14:paraId="740B919D" w14:textId="77777777" w:rsidR="00F76607" w:rsidRDefault="001863F0">
      <w:pPr>
        <w:pStyle w:val="NormalWeb"/>
        <w:spacing w:before="240"/>
        <w:ind w:firstLine="857"/>
        <w:jc w:val="both"/>
        <w:rPr>
          <w:sz w:val="18"/>
          <w:szCs w:val="18"/>
          <w:lang w:val="en-GB"/>
        </w:rPr>
      </w:pPr>
      <w:r>
        <w:rPr>
          <w:sz w:val="18"/>
          <w:szCs w:val="18"/>
          <w:lang w:val="en-GB"/>
        </w:rPr>
        <w:t xml:space="preserve">E-commerce is the fastest growing retail market in Europe and North America. The e-tailing revolution has only just begun with online retail sales growth strongly outweighing in-store retail sales growth. During 2015-2016, the online retail sector in the main Western European markets such as the UK, Germany, France and Spain have achieved growth rates of 12.6%, 18.3%, 16.7% and 18.8%, respectively. In contrast, annual growth rates for overall retailing across Europe (also including stores and online) ranged between an average of 1.5% and 3.5% pa. during the last years </w:t>
      </w:r>
      <w:r>
        <w:rPr>
          <w:i/>
          <w:sz w:val="18"/>
          <w:szCs w:val="18"/>
          <w:lang w:val="en-GB"/>
        </w:rPr>
        <w:t xml:space="preserve">(Source: </w:t>
      </w:r>
      <w:hyperlink r:id="rId40" w:history="1">
        <w:r>
          <w:rPr>
            <w:rStyle w:val="Hyperlink"/>
            <w:i/>
            <w:sz w:val="18"/>
            <w:szCs w:val="18"/>
            <w:lang w:val="en-GB"/>
          </w:rPr>
          <w:t>http://www.retailresearch.org/onlineretailing.php</w:t>
        </w:r>
      </w:hyperlink>
      <w:r>
        <w:rPr>
          <w:i/>
          <w:sz w:val="18"/>
          <w:szCs w:val="18"/>
          <w:lang w:val="en-GB"/>
        </w:rPr>
        <w:t>)</w:t>
      </w:r>
      <w:r>
        <w:rPr>
          <w:sz w:val="18"/>
          <w:szCs w:val="18"/>
          <w:lang w:val="en-GB"/>
        </w:rPr>
        <w:t xml:space="preserve">. Similarly, global e-commerce retail sales are also expected to show the same trend, growing at an expected strong CAGR of 20.1% between 2017 and 2020. </w:t>
      </w:r>
    </w:p>
    <w:p w14:paraId="2F0D4187" w14:textId="77777777" w:rsidR="00B848E4" w:rsidRDefault="00B848E4" w:rsidP="00B848E4">
      <w:pPr>
        <w:pStyle w:val="NormalWeb"/>
        <w:spacing w:before="240"/>
        <w:ind w:firstLine="857"/>
        <w:rPr>
          <w:sz w:val="18"/>
          <w:szCs w:val="18"/>
          <w:lang w:val="en-GB"/>
        </w:rPr>
      </w:pPr>
      <w:r>
        <w:rPr>
          <w:noProof/>
          <w:sz w:val="18"/>
          <w:szCs w:val="18"/>
          <w:lang w:val="nl-BE" w:eastAsia="nl-BE"/>
        </w:rPr>
        <w:lastRenderedPageBreak/>
        <w:drawing>
          <wp:inline distT="0" distB="0" distL="0" distR="0" wp14:anchorId="2A979423" wp14:editId="141AD01E">
            <wp:extent cx="2577465" cy="14261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35566" cy="1458340"/>
                    </a:xfrm>
                    <a:prstGeom prst="rect">
                      <a:avLst/>
                    </a:prstGeom>
                    <a:noFill/>
                  </pic:spPr>
                </pic:pic>
              </a:graphicData>
            </a:graphic>
          </wp:inline>
        </w:drawing>
      </w:r>
      <w:r>
        <w:rPr>
          <w:noProof/>
          <w:sz w:val="18"/>
          <w:szCs w:val="18"/>
          <w:lang w:val="nl-BE" w:eastAsia="nl-BE"/>
        </w:rPr>
        <w:drawing>
          <wp:inline distT="0" distB="0" distL="0" distR="0" wp14:anchorId="63AEDAB9" wp14:editId="4609E484">
            <wp:extent cx="2415540" cy="1411868"/>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9745" cy="1431861"/>
                    </a:xfrm>
                    <a:prstGeom prst="rect">
                      <a:avLst/>
                    </a:prstGeom>
                    <a:noFill/>
                  </pic:spPr>
                </pic:pic>
              </a:graphicData>
            </a:graphic>
          </wp:inline>
        </w:drawing>
      </w:r>
    </w:p>
    <w:p w14:paraId="7ADE1704" w14:textId="2DD19FF4" w:rsidR="00F76607" w:rsidRDefault="00F76607">
      <w:pPr>
        <w:pStyle w:val="NormalWeb"/>
        <w:spacing w:before="240"/>
        <w:ind w:firstLine="857"/>
        <w:rPr>
          <w:sz w:val="18"/>
          <w:szCs w:val="18"/>
          <w:lang w:val="en-GB"/>
        </w:rPr>
      </w:pPr>
    </w:p>
    <w:p w14:paraId="3525E346" w14:textId="77777777" w:rsidR="00F76607" w:rsidRDefault="001863F0">
      <w:pPr>
        <w:pStyle w:val="NormalWeb"/>
        <w:spacing w:before="240"/>
        <w:ind w:firstLine="857"/>
        <w:jc w:val="both"/>
        <w:rPr>
          <w:sz w:val="18"/>
          <w:szCs w:val="18"/>
          <w:lang w:val="en-GB"/>
        </w:rPr>
      </w:pPr>
      <w:r>
        <w:rPr>
          <w:sz w:val="18"/>
          <w:szCs w:val="18"/>
          <w:lang w:val="en-GB"/>
        </w:rPr>
        <w:t xml:space="preserve">One of the key characteristics of the e-commerce business model is to enhance product availability by streamlining the supply chain through multiple retail / storage points. An efficient footprint of logistic premises, as well as technological developments and innovations in logistics, is one of the factors underpinning the success of leading e-commerce operators such as Amazon and </w:t>
      </w:r>
      <w:proofErr w:type="spellStart"/>
      <w:r>
        <w:rPr>
          <w:sz w:val="18"/>
          <w:szCs w:val="18"/>
          <w:lang w:val="en-GB"/>
        </w:rPr>
        <w:t>Vente-privée</w:t>
      </w:r>
      <w:proofErr w:type="spellEnd"/>
      <w:r>
        <w:rPr>
          <w:sz w:val="18"/>
          <w:szCs w:val="18"/>
          <w:lang w:val="en-GB"/>
        </w:rPr>
        <w:t xml:space="preserve">. This is creating strong demand for warehousing space and distribution networks. Therefore, opportunities abound for investment in and development of warehouses to service the changing needs of Europe’s e-commerce sector </w:t>
      </w:r>
      <w:r>
        <w:rPr>
          <w:i/>
          <w:sz w:val="18"/>
          <w:szCs w:val="18"/>
          <w:lang w:val="en-GB"/>
        </w:rPr>
        <w:t>(Source: KPMG)</w:t>
      </w:r>
    </w:p>
    <w:p w14:paraId="098CC0C9" w14:textId="4485BFA9" w:rsidR="00F76607" w:rsidRDefault="001863F0">
      <w:pPr>
        <w:pStyle w:val="NormalWeb"/>
        <w:spacing w:before="240"/>
        <w:ind w:firstLine="857"/>
        <w:jc w:val="both"/>
        <w:rPr>
          <w:sz w:val="18"/>
          <w:szCs w:val="18"/>
          <w:lang w:val="en-GB"/>
        </w:rPr>
      </w:pPr>
      <w:r>
        <w:rPr>
          <w:sz w:val="18"/>
          <w:szCs w:val="18"/>
          <w:lang w:val="en-GB"/>
        </w:rPr>
        <w:t>For each €</w:t>
      </w:r>
      <w:r w:rsidR="00C92AC8">
        <w:rPr>
          <w:sz w:val="18"/>
          <w:szCs w:val="18"/>
          <w:lang w:val="en-GB"/>
        </w:rPr>
        <w:t xml:space="preserve"> </w:t>
      </w:r>
      <w:r>
        <w:rPr>
          <w:sz w:val="18"/>
          <w:szCs w:val="18"/>
          <w:lang w:val="en-GB"/>
        </w:rPr>
        <w:t>1 billion in e-commerce sales, it is estimated that Europe needs to add 77,000 m² of logistics space (</w:t>
      </w:r>
      <w:r>
        <w:rPr>
          <w:i/>
          <w:sz w:val="18"/>
          <w:szCs w:val="18"/>
          <w:lang w:val="en-GB"/>
        </w:rPr>
        <w:t>Source: Prologis)</w:t>
      </w:r>
      <w:r>
        <w:rPr>
          <w:sz w:val="18"/>
          <w:szCs w:val="18"/>
          <w:lang w:val="en-GB"/>
        </w:rPr>
        <w:t xml:space="preserve">. The all-pervasive rise of online retail is having a big impact on the volume of space being taken by tenants. Not only do those companies need about three times more space than traditional warehouse tenants per € 1 million of revenues, but also the total number of tenants is still rising </w:t>
      </w:r>
      <w:r>
        <w:rPr>
          <w:i/>
          <w:sz w:val="18"/>
          <w:szCs w:val="18"/>
          <w:lang w:val="en-GB"/>
        </w:rPr>
        <w:t>(Source: http://dc-am.co.uk/e-commerce-drives-value-and-opportunities-in-logistics-across-europe/).</w:t>
      </w:r>
    </w:p>
    <w:p w14:paraId="77CC9604" w14:textId="3F2EC099" w:rsidR="00F76607" w:rsidRDefault="001863F0">
      <w:pPr>
        <w:pStyle w:val="NormalWeb"/>
        <w:spacing w:before="240"/>
        <w:ind w:firstLine="857"/>
        <w:jc w:val="both"/>
        <w:rPr>
          <w:sz w:val="18"/>
          <w:szCs w:val="18"/>
          <w:lang w:val="en-GB"/>
        </w:rPr>
      </w:pPr>
      <w:r>
        <w:rPr>
          <w:sz w:val="18"/>
          <w:szCs w:val="18"/>
          <w:lang w:val="en-GB"/>
        </w:rPr>
        <w:t>It is expected that e-commerce growth could require an additional 15 million m² of logistics space in Europe in the next 5 years. Combining Prologis’ multiplier of logistics demand (77,000 m² /€</w:t>
      </w:r>
      <w:r w:rsidR="00C92AC8">
        <w:rPr>
          <w:sz w:val="18"/>
          <w:szCs w:val="18"/>
          <w:lang w:val="en-GB"/>
        </w:rPr>
        <w:t xml:space="preserve"> </w:t>
      </w:r>
      <w:r>
        <w:rPr>
          <w:sz w:val="18"/>
          <w:szCs w:val="18"/>
          <w:lang w:val="en-GB"/>
        </w:rPr>
        <w:t>1 billion) with an estimated growth of the e-commerce market in Europe (c. €</w:t>
      </w:r>
      <w:r w:rsidR="00C92AC8">
        <w:rPr>
          <w:sz w:val="18"/>
          <w:szCs w:val="18"/>
          <w:lang w:val="en-GB"/>
        </w:rPr>
        <w:t xml:space="preserve"> </w:t>
      </w:r>
      <w:r>
        <w:rPr>
          <w:sz w:val="18"/>
          <w:szCs w:val="18"/>
          <w:lang w:val="en-GB"/>
        </w:rPr>
        <w:t xml:space="preserve">200 billion over five years) translates into a potential incremental demand – either new requirements or expansion needs for additional space – amounting to c.15 million m² across Europe. However, factors such as lack of availability and omni-channel strategies could affect this estimate. In the past three years, e-commerce leases accounted for 15% of the total take-up. With anticipated sales growth projections, this ratio could rise further as more firms invest in e-fulfilment. </w:t>
      </w:r>
    </w:p>
    <w:p w14:paraId="7EA3FDBA" w14:textId="77777777" w:rsidR="00F76607" w:rsidRDefault="001863F0">
      <w:pPr>
        <w:pStyle w:val="NormalWeb"/>
        <w:spacing w:before="240"/>
        <w:ind w:firstLine="857"/>
        <w:jc w:val="both"/>
        <w:rPr>
          <w:sz w:val="18"/>
          <w:szCs w:val="18"/>
          <w:lang w:val="en-GB"/>
        </w:rPr>
      </w:pPr>
      <w:r>
        <w:rPr>
          <w:sz w:val="18"/>
          <w:szCs w:val="18"/>
          <w:lang w:val="en-GB"/>
        </w:rPr>
        <w:t>Most of the growth is expected to occur in Europe’s three largest e-commerce markets (U.K., Germany and France), which could account for approximately 10 million m² alone (</w:t>
      </w:r>
      <w:r>
        <w:rPr>
          <w:i/>
          <w:sz w:val="18"/>
          <w:szCs w:val="18"/>
          <w:lang w:val="en-GB"/>
        </w:rPr>
        <w:t>Source: Prologis)</w:t>
      </w:r>
      <w:r>
        <w:rPr>
          <w:sz w:val="18"/>
          <w:szCs w:val="18"/>
          <w:lang w:val="en-GB"/>
        </w:rPr>
        <w:t>.</w:t>
      </w:r>
    </w:p>
    <w:p w14:paraId="7449C686" w14:textId="77777777" w:rsidR="00F76607" w:rsidRDefault="001863F0">
      <w:pPr>
        <w:pStyle w:val="NormalWeb"/>
        <w:spacing w:before="240" w:after="0"/>
        <w:ind w:firstLine="857"/>
        <w:rPr>
          <w:b/>
          <w:bCs/>
          <w:sz w:val="18"/>
          <w:szCs w:val="18"/>
          <w:lang w:val="en-GB"/>
        </w:rPr>
      </w:pPr>
      <w:r>
        <w:rPr>
          <w:b/>
          <w:bCs/>
          <w:sz w:val="18"/>
          <w:szCs w:val="18"/>
          <w:lang w:val="en-GB"/>
        </w:rPr>
        <w:t>European logistics real estate market</w:t>
      </w:r>
    </w:p>
    <w:p w14:paraId="4D51E98E" w14:textId="77777777" w:rsidR="00F76607" w:rsidRDefault="001863F0">
      <w:pPr>
        <w:pStyle w:val="NormalWeb"/>
        <w:spacing w:before="240"/>
        <w:ind w:firstLine="857"/>
        <w:jc w:val="both"/>
        <w:rPr>
          <w:sz w:val="18"/>
          <w:szCs w:val="18"/>
          <w:lang w:val="en-GB"/>
        </w:rPr>
      </w:pPr>
      <w:r>
        <w:rPr>
          <w:sz w:val="18"/>
          <w:szCs w:val="18"/>
          <w:lang w:val="en-GB"/>
        </w:rPr>
        <w:t xml:space="preserve">Logistics real estate is an important element of the modern supply chain process and includes the value stream of raw materials and finished goods from suppliers, the storage and handling of products, distribution to industrial and trade customers, and associated services, e.g. picking, return management, packaging and commercial activities. As a result of globalisation, supply chain processes have become more complex and, due to customer requirements, even faster. Supply chain modernization is an important driver in mature economies, especially in Europe and Japan </w:t>
      </w:r>
      <w:r>
        <w:rPr>
          <w:i/>
          <w:sz w:val="18"/>
          <w:szCs w:val="18"/>
          <w:lang w:val="en-GB"/>
        </w:rPr>
        <w:t>(Source: Prologis)</w:t>
      </w:r>
      <w:r>
        <w:rPr>
          <w:sz w:val="18"/>
          <w:szCs w:val="18"/>
          <w:lang w:val="en-GB"/>
        </w:rPr>
        <w:t xml:space="preserve">. Mega-trends such as ‘Big Data’ and the ‘Internet of Things’ is expected to impact logistics real estate and result in demand for flexible, modern appointed ‘networked’ and modular spaces continuing to grow. </w:t>
      </w:r>
    </w:p>
    <w:p w14:paraId="5A79D58F" w14:textId="77777777" w:rsidR="00F76607" w:rsidRDefault="001863F0">
      <w:pPr>
        <w:pStyle w:val="NormalWeb"/>
        <w:spacing w:before="240"/>
        <w:ind w:firstLine="857"/>
        <w:jc w:val="both"/>
        <w:rPr>
          <w:sz w:val="18"/>
          <w:szCs w:val="18"/>
          <w:lang w:val="en-GB"/>
        </w:rPr>
      </w:pPr>
      <w:r>
        <w:rPr>
          <w:sz w:val="18"/>
          <w:szCs w:val="18"/>
          <w:lang w:val="en-GB"/>
        </w:rPr>
        <w:t xml:space="preserve">Despite a sluggish economic growth in the region, the European logistics real estate markets have experienced high occupier demand over the past five years. This is an indication that structural changes in the supply chain such as the growth of online retail are important drivers of demand. Last year, several countries in Europe recorded historic rises in logistics space take-up. Germany for example, reported a new record take-up of around 6.7 million m², over 30% of the total take-up across Europe. </w:t>
      </w:r>
    </w:p>
    <w:p w14:paraId="0F02BB26" w14:textId="77777777" w:rsidR="00F76607" w:rsidRDefault="001863F0">
      <w:pPr>
        <w:pStyle w:val="NormalWeb"/>
        <w:spacing w:before="240"/>
        <w:ind w:firstLine="851"/>
        <w:jc w:val="both"/>
        <w:rPr>
          <w:sz w:val="18"/>
          <w:szCs w:val="18"/>
          <w:lang w:val="en-GB"/>
        </w:rPr>
      </w:pPr>
      <w:r>
        <w:rPr>
          <w:sz w:val="18"/>
          <w:szCs w:val="18"/>
          <w:lang w:val="en-GB"/>
        </w:rPr>
        <w:t xml:space="preserve">Consumption is the main driver of demand for logistics real estate, and is outperforming overall economic growth. E-commerce, which is showing rapid growth, strong real estate use and space demand, and the increasing need for location within and adjacent to major population </w:t>
      </w:r>
      <w:proofErr w:type="spellStart"/>
      <w:r>
        <w:rPr>
          <w:sz w:val="18"/>
          <w:szCs w:val="18"/>
          <w:lang w:val="en-GB"/>
        </w:rPr>
        <w:t>centers</w:t>
      </w:r>
      <w:proofErr w:type="spellEnd"/>
      <w:r>
        <w:rPr>
          <w:sz w:val="18"/>
          <w:szCs w:val="18"/>
          <w:lang w:val="en-GB"/>
        </w:rPr>
        <w:t xml:space="preserve">, is causing a shift in how goods are distributed and augments this demand trend </w:t>
      </w:r>
      <w:r>
        <w:rPr>
          <w:i/>
          <w:sz w:val="18"/>
          <w:szCs w:val="18"/>
          <w:lang w:val="en-GB"/>
        </w:rPr>
        <w:t>(Source: Prologis)</w:t>
      </w:r>
      <w:r>
        <w:rPr>
          <w:sz w:val="18"/>
          <w:szCs w:val="18"/>
          <w:lang w:val="en-GB"/>
        </w:rPr>
        <w:t xml:space="preserve">. </w:t>
      </w:r>
    </w:p>
    <w:p w14:paraId="76D25F5E" w14:textId="77777777" w:rsidR="00F76607" w:rsidRDefault="001863F0">
      <w:pPr>
        <w:pStyle w:val="NormalWeb"/>
        <w:spacing w:before="240" w:after="0"/>
        <w:ind w:firstLine="857"/>
        <w:rPr>
          <w:b/>
          <w:bCs/>
          <w:sz w:val="18"/>
          <w:szCs w:val="18"/>
          <w:lang w:val="en-GB"/>
        </w:rPr>
      </w:pPr>
      <w:r>
        <w:rPr>
          <w:b/>
          <w:bCs/>
          <w:sz w:val="18"/>
          <w:szCs w:val="18"/>
          <w:lang w:val="en-GB"/>
        </w:rPr>
        <w:t>European logistics investment volumes</w:t>
      </w:r>
    </w:p>
    <w:p w14:paraId="7FA18CAF" w14:textId="77777777" w:rsidR="00F76607" w:rsidRDefault="001863F0">
      <w:pPr>
        <w:pStyle w:val="NormalWeb"/>
        <w:spacing w:before="240"/>
        <w:ind w:firstLine="857"/>
        <w:jc w:val="both"/>
        <w:rPr>
          <w:sz w:val="18"/>
          <w:szCs w:val="18"/>
          <w:lang w:val="en-GB"/>
        </w:rPr>
      </w:pPr>
      <w:r>
        <w:rPr>
          <w:sz w:val="18"/>
          <w:szCs w:val="18"/>
          <w:lang w:val="en-GB"/>
        </w:rPr>
        <w:t xml:space="preserve">Investment volumes in industrial and logistics premises reached pre-crises levels in 2016 (€ 25 billion) and remained relatively constant over the past three years. The fourth quarter of 2016 alone reached the second highest quarterly volume ever recorded, with more than € 9 billion of investment. Financial liquidities remain abundant and, besides pure players, the logistics market is now also attracting investors who start considering logistics assets to broaden their portfolio offer </w:t>
      </w:r>
      <w:r>
        <w:rPr>
          <w:i/>
          <w:sz w:val="18"/>
          <w:szCs w:val="18"/>
          <w:lang w:val="en-GB"/>
        </w:rPr>
        <w:t>(Source: BNP Paribas Real Estate Q4 2016).</w:t>
      </w:r>
    </w:p>
    <w:p w14:paraId="739F195F" w14:textId="77777777" w:rsidR="00F76607" w:rsidRDefault="001863F0">
      <w:pPr>
        <w:pStyle w:val="NormalWeb"/>
        <w:spacing w:before="240"/>
        <w:ind w:firstLine="857"/>
        <w:jc w:val="both"/>
        <w:rPr>
          <w:sz w:val="18"/>
          <w:szCs w:val="18"/>
          <w:lang w:val="en-GB"/>
        </w:rPr>
      </w:pPr>
      <w:r>
        <w:rPr>
          <w:sz w:val="18"/>
          <w:szCs w:val="18"/>
          <w:lang w:val="en-GB"/>
        </w:rPr>
        <w:t xml:space="preserve">A similar trend followed in 2017, with investor volumes up by 18% year-on-year during the first quarter. International capital flow was one of the main growth drivers. Purchases involving international capital rose by nearly 60% year-on-year in the first quarter while investment from purely European investors remained unchanged. Large-size portfolio and platform deals remained highly sought </w:t>
      </w:r>
      <w:r>
        <w:rPr>
          <w:sz w:val="18"/>
          <w:szCs w:val="18"/>
          <w:lang w:val="en-GB"/>
        </w:rPr>
        <w:lastRenderedPageBreak/>
        <w:t xml:space="preserve">after in Q1 2017 – total portfolio deals were up 9% year-on-year in value terms, whilst the volume of portfolio transactions exceeding € 100 million nearly doubled over the same period </w:t>
      </w:r>
      <w:r>
        <w:rPr>
          <w:i/>
          <w:sz w:val="18"/>
          <w:szCs w:val="18"/>
          <w:lang w:val="en-GB"/>
        </w:rPr>
        <w:t xml:space="preserve">(Source: JLL Q1 2017). </w:t>
      </w:r>
    </w:p>
    <w:p w14:paraId="399D3ED5" w14:textId="67509D62" w:rsidR="00F76607" w:rsidRDefault="00BD04CD">
      <w:pPr>
        <w:pStyle w:val="NormalWeb"/>
        <w:spacing w:before="240" w:after="0"/>
        <w:jc w:val="center"/>
        <w:rPr>
          <w:sz w:val="18"/>
          <w:szCs w:val="18"/>
          <w:lang w:val="en-GB"/>
        </w:rPr>
      </w:pPr>
      <w:r>
        <w:rPr>
          <w:noProof/>
          <w:lang w:val="nl-BE" w:eastAsia="nl-BE"/>
        </w:rPr>
        <w:drawing>
          <wp:inline distT="0" distB="0" distL="0" distR="0" wp14:anchorId="1AB2B0CA" wp14:editId="5434F658">
            <wp:extent cx="4743450" cy="2428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43450" cy="2428875"/>
                    </a:xfrm>
                    <a:prstGeom prst="rect">
                      <a:avLst/>
                    </a:prstGeom>
                  </pic:spPr>
                </pic:pic>
              </a:graphicData>
            </a:graphic>
          </wp:inline>
        </w:drawing>
      </w:r>
    </w:p>
    <w:p w14:paraId="60804BD1" w14:textId="77777777" w:rsidR="00F76607" w:rsidRDefault="001863F0">
      <w:pPr>
        <w:pStyle w:val="NormalWeb"/>
        <w:spacing w:before="240" w:after="0"/>
        <w:ind w:firstLine="857"/>
        <w:rPr>
          <w:b/>
          <w:bCs/>
          <w:sz w:val="18"/>
          <w:szCs w:val="18"/>
          <w:lang w:val="en-GB"/>
        </w:rPr>
      </w:pPr>
      <w:r>
        <w:rPr>
          <w:b/>
          <w:bCs/>
          <w:sz w:val="18"/>
          <w:szCs w:val="18"/>
          <w:lang w:val="en-GB"/>
        </w:rPr>
        <w:t>Effective prime yields</w:t>
      </w:r>
    </w:p>
    <w:p w14:paraId="34E973FB" w14:textId="77777777" w:rsidR="00F76607" w:rsidRDefault="001863F0">
      <w:pPr>
        <w:pStyle w:val="NormalWeb"/>
        <w:spacing w:before="240"/>
        <w:ind w:firstLine="857"/>
        <w:jc w:val="both"/>
        <w:rPr>
          <w:sz w:val="18"/>
          <w:szCs w:val="18"/>
          <w:lang w:val="en-GB"/>
        </w:rPr>
      </w:pPr>
      <w:r>
        <w:rPr>
          <w:sz w:val="18"/>
          <w:szCs w:val="18"/>
          <w:lang w:val="en-GB"/>
        </w:rPr>
        <w:t xml:space="preserve">Logistics prime yields reached their lowest level in most countries but are still well above the 10-year government bond yields which bottomed out to historical lows in 2016. Logistics prime yields remain attractive compared to other assets. The gap between offices and logistics yields exceeds 150 basis points in a number of countries including Spain, France, Sweden and Germany, with room for compression for large warehousing units located near large consumption areas </w:t>
      </w:r>
      <w:r>
        <w:rPr>
          <w:i/>
          <w:sz w:val="18"/>
          <w:szCs w:val="18"/>
          <w:lang w:val="en-GB"/>
        </w:rPr>
        <w:t>(Source: BNP Paribas Real Estate Q4 2016).</w:t>
      </w:r>
    </w:p>
    <w:p w14:paraId="7B1342F7" w14:textId="2B54B1EF" w:rsidR="00F76607" w:rsidRDefault="00BD04CD">
      <w:pPr>
        <w:pStyle w:val="NormalWeb"/>
        <w:spacing w:before="240"/>
        <w:ind w:firstLine="857"/>
        <w:jc w:val="center"/>
        <w:rPr>
          <w:sz w:val="18"/>
          <w:szCs w:val="18"/>
          <w:lang w:val="en-GB"/>
        </w:rPr>
      </w:pPr>
      <w:r>
        <w:rPr>
          <w:noProof/>
          <w:lang w:val="nl-BE" w:eastAsia="nl-BE"/>
        </w:rPr>
        <w:drawing>
          <wp:inline distT="0" distB="0" distL="0" distR="0" wp14:anchorId="6B3AFA0F" wp14:editId="5098024A">
            <wp:extent cx="4600575" cy="2409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00575" cy="2409825"/>
                    </a:xfrm>
                    <a:prstGeom prst="rect">
                      <a:avLst/>
                    </a:prstGeom>
                  </pic:spPr>
                </pic:pic>
              </a:graphicData>
            </a:graphic>
          </wp:inline>
        </w:drawing>
      </w:r>
    </w:p>
    <w:p w14:paraId="2CFCF551" w14:textId="77777777" w:rsidR="00F76607" w:rsidRDefault="001863F0">
      <w:pPr>
        <w:pStyle w:val="NormalWeb"/>
        <w:spacing w:before="240" w:after="0"/>
        <w:ind w:firstLine="857"/>
        <w:rPr>
          <w:b/>
          <w:bCs/>
          <w:sz w:val="18"/>
          <w:szCs w:val="18"/>
          <w:lang w:val="en-GB"/>
        </w:rPr>
      </w:pPr>
      <w:r>
        <w:rPr>
          <w:b/>
          <w:bCs/>
          <w:sz w:val="18"/>
          <w:szCs w:val="18"/>
          <w:lang w:val="en-GB"/>
        </w:rPr>
        <w:t xml:space="preserve">Effective logistics market rents </w:t>
      </w:r>
    </w:p>
    <w:p w14:paraId="7F5BFA5D" w14:textId="77777777" w:rsidR="00F76607" w:rsidRDefault="001863F0">
      <w:pPr>
        <w:pStyle w:val="NormalWeb"/>
        <w:spacing w:before="240"/>
        <w:ind w:firstLine="857"/>
        <w:jc w:val="both"/>
        <w:rPr>
          <w:sz w:val="18"/>
          <w:szCs w:val="18"/>
          <w:lang w:val="en-GB"/>
        </w:rPr>
      </w:pPr>
      <w:r>
        <w:rPr>
          <w:sz w:val="18"/>
          <w:szCs w:val="18"/>
          <w:lang w:val="en-GB"/>
        </w:rPr>
        <w:t>Effective logistics rents grew by 3% in Europe during 2016. The highest levels of rental growth occurred in Budapest, followed by Barcelona and Prague. The outperformance of market rental growth was mostly concentrated around the major population centres (</w:t>
      </w:r>
      <w:r>
        <w:rPr>
          <w:i/>
          <w:sz w:val="18"/>
          <w:szCs w:val="18"/>
          <w:lang w:val="en-GB"/>
        </w:rPr>
        <w:t>Source: Prologis rent index report</w:t>
      </w:r>
      <w:r>
        <w:rPr>
          <w:sz w:val="18"/>
          <w:szCs w:val="18"/>
          <w:lang w:val="en-GB"/>
        </w:rPr>
        <w:t xml:space="preserve">). </w:t>
      </w:r>
    </w:p>
    <w:p w14:paraId="06A0CF1B" w14:textId="77777777" w:rsidR="00F76607" w:rsidRDefault="001863F0">
      <w:pPr>
        <w:pStyle w:val="NormalWeb"/>
        <w:spacing w:before="240"/>
        <w:ind w:firstLine="857"/>
        <w:jc w:val="both"/>
        <w:rPr>
          <w:sz w:val="18"/>
          <w:szCs w:val="18"/>
          <w:lang w:val="en-GB"/>
        </w:rPr>
      </w:pPr>
      <w:r>
        <w:rPr>
          <w:sz w:val="18"/>
          <w:szCs w:val="18"/>
          <w:lang w:val="en-GB"/>
        </w:rPr>
        <w:t xml:space="preserve">A similar trend was followed in the first quarter of 2017, during which occupier demand in the European logistics market remained strong. Take-up in the first quarter of 2017 was at 5% year-on-year. Additionally, available supply remains limited. At the end of the first quarter of 2017, immediately available space equated to just 9 months’ supply compared with 2016 take-up rates. These strong fundamentals drive continued rental improvements. </w:t>
      </w:r>
    </w:p>
    <w:p w14:paraId="6235E219" w14:textId="77777777" w:rsidR="00F76607" w:rsidRDefault="001863F0">
      <w:pPr>
        <w:pStyle w:val="NormalWeb"/>
        <w:spacing w:before="240"/>
        <w:ind w:firstLine="857"/>
        <w:jc w:val="both"/>
        <w:rPr>
          <w:sz w:val="18"/>
          <w:szCs w:val="18"/>
          <w:lang w:val="en-GB"/>
        </w:rPr>
      </w:pPr>
      <w:r>
        <w:rPr>
          <w:sz w:val="18"/>
          <w:szCs w:val="18"/>
          <w:lang w:val="en-GB"/>
        </w:rPr>
        <w:t>Market vacancies are at or near historic lows in most markets around the world and customer demand is healthy. In many of the leading markets, replacement costs are rising quickly and changing the development cost equation. In turn, rising replacement costs further support market rents. Setting aside the potential for negative economic surprises, scarcity of available space creates the potential for strong rental growth as customers continue to compete for space (</w:t>
      </w:r>
      <w:r>
        <w:rPr>
          <w:i/>
          <w:sz w:val="18"/>
          <w:szCs w:val="18"/>
          <w:lang w:val="en-GB"/>
        </w:rPr>
        <w:t>source: Prologis rent index report</w:t>
      </w:r>
      <w:r>
        <w:rPr>
          <w:sz w:val="18"/>
          <w:szCs w:val="18"/>
          <w:lang w:val="en-GB"/>
        </w:rPr>
        <w:t>).</w:t>
      </w:r>
    </w:p>
    <w:p w14:paraId="482FC820" w14:textId="77777777" w:rsidR="00F76607" w:rsidRDefault="001863F0">
      <w:pPr>
        <w:pStyle w:val="NormalWeb"/>
        <w:spacing w:before="240"/>
        <w:ind w:firstLine="857"/>
        <w:rPr>
          <w:sz w:val="18"/>
          <w:szCs w:val="18"/>
          <w:lang w:val="en-GB"/>
        </w:rPr>
      </w:pPr>
      <w:r>
        <w:rPr>
          <w:sz w:val="18"/>
          <w:szCs w:val="18"/>
          <w:lang w:val="en-GB"/>
        </w:rPr>
        <w:t xml:space="preserve">Market rental growth in 2016 was steady in Europe, and its growth pace might surpass growth in the US during the next years. The principal driver of market rental recovery is the unwinding of lease concessions. The operating environment for logistics </w:t>
      </w:r>
      <w:r>
        <w:rPr>
          <w:sz w:val="18"/>
          <w:szCs w:val="18"/>
          <w:lang w:val="en-GB"/>
        </w:rPr>
        <w:lastRenderedPageBreak/>
        <w:t>real estate experienced a steady improvement during the last several years. Furthermore, the vacancy rate is at the lowest level on record, amounting to less than 6 percent. Net absorption reached its strongest level since 2007 and more markets experienced increases in net effective rents in 2016 versus prior years. Broadly, net effective rents remain however below prior cycle peaks providing significant growth potential (</w:t>
      </w:r>
      <w:r>
        <w:rPr>
          <w:i/>
          <w:sz w:val="18"/>
          <w:szCs w:val="18"/>
          <w:lang w:val="en-GB"/>
        </w:rPr>
        <w:t>source: Prologis rent index report</w:t>
      </w:r>
      <w:r>
        <w:rPr>
          <w:sz w:val="18"/>
          <w:szCs w:val="18"/>
          <w:lang w:val="en-GB"/>
        </w:rPr>
        <w:t>).</w:t>
      </w:r>
    </w:p>
    <w:p w14:paraId="6C1D54CE" w14:textId="51DC22F7" w:rsidR="00F76607" w:rsidRDefault="00BD04CD">
      <w:pPr>
        <w:pStyle w:val="NormalWeb"/>
        <w:spacing w:before="240"/>
        <w:ind w:firstLine="857"/>
        <w:jc w:val="center"/>
        <w:rPr>
          <w:sz w:val="18"/>
          <w:szCs w:val="18"/>
          <w:lang w:val="en-GB"/>
        </w:rPr>
      </w:pPr>
      <w:r>
        <w:rPr>
          <w:noProof/>
          <w:lang w:val="nl-BE" w:eastAsia="nl-BE"/>
        </w:rPr>
        <w:drawing>
          <wp:inline distT="0" distB="0" distL="0" distR="0" wp14:anchorId="05362CC9" wp14:editId="0A60C056">
            <wp:extent cx="4629150" cy="2409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29150" cy="2409825"/>
                    </a:xfrm>
                    <a:prstGeom prst="rect">
                      <a:avLst/>
                    </a:prstGeom>
                  </pic:spPr>
                </pic:pic>
              </a:graphicData>
            </a:graphic>
          </wp:inline>
        </w:drawing>
      </w:r>
    </w:p>
    <w:p w14:paraId="30C4C398" w14:textId="77777777" w:rsidR="00F76607" w:rsidRDefault="001863F0">
      <w:pPr>
        <w:pStyle w:val="NormalWeb"/>
        <w:spacing w:before="240" w:after="0"/>
        <w:ind w:firstLine="857"/>
        <w:rPr>
          <w:b/>
          <w:bCs/>
          <w:sz w:val="18"/>
          <w:szCs w:val="18"/>
          <w:lang w:val="en-GB"/>
        </w:rPr>
      </w:pPr>
      <w:r>
        <w:rPr>
          <w:b/>
          <w:bCs/>
          <w:sz w:val="18"/>
          <w:szCs w:val="18"/>
          <w:lang w:val="en-GB"/>
        </w:rPr>
        <w:t>Markets where VGP is active</w:t>
      </w:r>
    </w:p>
    <w:p w14:paraId="07906ACD" w14:textId="77777777" w:rsidR="00F76607" w:rsidRDefault="001863F0">
      <w:pPr>
        <w:pStyle w:val="NormalWeb"/>
        <w:spacing w:before="240" w:after="0"/>
        <w:ind w:firstLine="857"/>
        <w:jc w:val="both"/>
        <w:rPr>
          <w:sz w:val="18"/>
          <w:szCs w:val="18"/>
          <w:lang w:val="en-GB"/>
        </w:rPr>
      </w:pPr>
      <w:r>
        <w:rPr>
          <w:sz w:val="18"/>
          <w:szCs w:val="18"/>
          <w:lang w:val="en-GB"/>
        </w:rPr>
        <w:t xml:space="preserve">VGP has operations in seven countries in total. Its key markets include Germany and Spain in Western Europe, and Czech Republic in Central Europe. In addition, VGP also has operations in Slovakia, Hungary, Romania and Latvia. Of those seven countries, four are in the Joint-Venture’s scope: Germany, Czech Republic, Hungary and Slovakia. In 2017, VGP concluded an agreement for the sale of VGP Park </w:t>
      </w:r>
      <w:proofErr w:type="spellStart"/>
      <w:r>
        <w:rPr>
          <w:sz w:val="18"/>
          <w:szCs w:val="18"/>
          <w:lang w:val="en-GB"/>
        </w:rPr>
        <w:t>Nehatu</w:t>
      </w:r>
      <w:proofErr w:type="spellEnd"/>
      <w:r>
        <w:rPr>
          <w:sz w:val="18"/>
          <w:szCs w:val="18"/>
          <w:lang w:val="en-GB"/>
        </w:rPr>
        <w:t xml:space="preserve"> in Estonia. Pursuant to the completion of the sale in September 2017, VGP, as at the date of this Prospectus, has no further operations in Estonia.</w:t>
      </w:r>
    </w:p>
    <w:p w14:paraId="4A5DE003" w14:textId="77777777" w:rsidR="00F76607" w:rsidRDefault="001863F0">
      <w:pPr>
        <w:pStyle w:val="NormalWeb"/>
        <w:spacing w:before="240" w:after="0"/>
        <w:ind w:firstLine="857"/>
        <w:rPr>
          <w:b/>
          <w:bCs/>
          <w:sz w:val="18"/>
          <w:szCs w:val="18"/>
          <w:lang w:val="en-GB"/>
        </w:rPr>
      </w:pPr>
      <w:r>
        <w:rPr>
          <w:b/>
          <w:bCs/>
          <w:sz w:val="18"/>
          <w:szCs w:val="18"/>
          <w:lang w:val="en-GB"/>
        </w:rPr>
        <w:t>The logistics property market in Germany</w:t>
      </w:r>
    </w:p>
    <w:p w14:paraId="0E67AD02" w14:textId="77777777" w:rsidR="00F76607" w:rsidRDefault="001863F0">
      <w:pPr>
        <w:pStyle w:val="NormalWeb"/>
        <w:spacing w:before="240"/>
        <w:ind w:firstLine="720"/>
        <w:jc w:val="both"/>
        <w:rPr>
          <w:sz w:val="18"/>
          <w:szCs w:val="18"/>
          <w:lang w:val="en-GB"/>
        </w:rPr>
      </w:pPr>
      <w:r>
        <w:rPr>
          <w:sz w:val="18"/>
          <w:szCs w:val="18"/>
          <w:lang w:val="en-GB"/>
        </w:rPr>
        <w:t xml:space="preserve">Germany’s economy is performing well with 0.6% year-on-year growth in GDP in Q1 2017 and a buoyant sentiment among German businesses in Q2 2017. Moreover, the </w:t>
      </w:r>
      <w:proofErr w:type="spellStart"/>
      <w:r>
        <w:rPr>
          <w:sz w:val="18"/>
          <w:szCs w:val="18"/>
          <w:lang w:val="en-GB"/>
        </w:rPr>
        <w:t>ifo</w:t>
      </w:r>
      <w:proofErr w:type="spellEnd"/>
      <w:r>
        <w:rPr>
          <w:sz w:val="18"/>
          <w:szCs w:val="18"/>
          <w:lang w:val="en-GB"/>
        </w:rPr>
        <w:t xml:space="preserve"> business climate index</w:t>
      </w:r>
      <w:r>
        <w:rPr>
          <w:rStyle w:val="FootnoteReference"/>
          <w:sz w:val="18"/>
          <w:szCs w:val="18"/>
          <w:lang w:val="en-GB"/>
        </w:rPr>
        <w:footnoteReference w:id="25"/>
      </w:r>
      <w:r>
        <w:rPr>
          <w:sz w:val="18"/>
          <w:szCs w:val="18"/>
          <w:lang w:val="en-GB"/>
        </w:rPr>
        <w:t xml:space="preserve"> hit a new record at the end of June 2017 with companies expecting business to improve further. Industrial output has increased during the second quarter and from January to May, international trade was stronger compared to the same period in 2016. Solid private consumption and growth in e-commerce are supporting the industrial sector. The occupational sectors report robust activity and investment activity is outperforming (</w:t>
      </w:r>
      <w:r>
        <w:rPr>
          <w:i/>
          <w:sz w:val="18"/>
          <w:szCs w:val="18"/>
          <w:lang w:val="en-GB"/>
        </w:rPr>
        <w:t>Source: Cushman &amp; Wakefield</w:t>
      </w:r>
      <w:r>
        <w:rPr>
          <w:sz w:val="18"/>
          <w:szCs w:val="18"/>
          <w:lang w:val="en-GB"/>
        </w:rPr>
        <w:t>).</w:t>
      </w:r>
    </w:p>
    <w:p w14:paraId="3A64D801" w14:textId="77777777" w:rsidR="00F76607" w:rsidRDefault="001863F0">
      <w:pPr>
        <w:pStyle w:val="NormalWeb"/>
        <w:spacing w:before="240" w:after="0"/>
        <w:ind w:firstLine="857"/>
        <w:jc w:val="both"/>
        <w:rPr>
          <w:sz w:val="18"/>
          <w:szCs w:val="18"/>
          <w:lang w:val="en-GB"/>
        </w:rPr>
      </w:pPr>
      <w:r>
        <w:rPr>
          <w:sz w:val="18"/>
          <w:szCs w:val="18"/>
          <w:lang w:val="en-GB"/>
        </w:rPr>
        <w:t>During 2016, Germany saw the highest ever volume of space taken up in the markets for warehouse and logistic space. Around 6.7 million m² (owner-occupiers and lettings) was taken-up across Germany, 8% more than in 2015 which was also a record year and exceeding the 5-year average by 22%. Letting take-up increased by 10% year-on-year, exceeding the 4 million m² mark for the first time with 4.33 million m². Take-up by owner-occupiers increased by 5% to 2.70 million m² compared to the previous year, the second highest ever volume registered since 2014 (</w:t>
      </w:r>
      <w:r>
        <w:rPr>
          <w:i/>
          <w:sz w:val="18"/>
          <w:szCs w:val="18"/>
          <w:lang w:val="en-GB"/>
        </w:rPr>
        <w:t>Source: Jones Lang LaSalle</w:t>
      </w:r>
      <w:r>
        <w:rPr>
          <w:sz w:val="18"/>
          <w:szCs w:val="18"/>
          <w:lang w:val="en-GB"/>
        </w:rPr>
        <w:t>). Also in the first three months of 2017, take-up volume (owner-occupiers and lettings) for warehousing and logistic space reached a high level of around 1.48 million m² which exceeded the 10-year average by 20%. Due to the sustained demand for space and positive economic forecasts, it is expected that take-up will significantly exceed the 6 million m² mark similar to 2016 (</w:t>
      </w:r>
      <w:r>
        <w:rPr>
          <w:i/>
          <w:sz w:val="18"/>
          <w:szCs w:val="18"/>
          <w:lang w:val="en-GB"/>
        </w:rPr>
        <w:t>Source: Jones Lang LaSalle</w:t>
      </w:r>
      <w:r>
        <w:rPr>
          <w:sz w:val="18"/>
          <w:szCs w:val="18"/>
          <w:lang w:val="en-GB"/>
        </w:rPr>
        <w:t>).</w:t>
      </w:r>
    </w:p>
    <w:p w14:paraId="49BF73A2" w14:textId="77777777" w:rsidR="00F76607" w:rsidRDefault="001863F0">
      <w:pPr>
        <w:pStyle w:val="NormalWeb"/>
        <w:spacing w:before="240"/>
        <w:ind w:firstLine="720"/>
        <w:jc w:val="both"/>
        <w:rPr>
          <w:sz w:val="18"/>
          <w:szCs w:val="18"/>
          <w:lang w:val="en-GB"/>
        </w:rPr>
      </w:pPr>
      <w:r>
        <w:rPr>
          <w:sz w:val="18"/>
          <w:szCs w:val="18"/>
          <w:lang w:val="en-GB"/>
        </w:rPr>
        <w:t>Demand for industrial space remains at a high level in Q2 2017, both from owner occupiers and tenants. As a number of speculative construction projects have been completed or are ongoing, supply of modern space improved, however, not every individual large-area requirement can be fulfilled and the majority of take-up is still via pre-lets and building for owner occupation. Availability of land for logistics purpose remains very limited and land prices are increasing. New large-scale distribution centres have to be located outside the main economic hubs whereas older stock and light industrial buildings close to or in the economic hubs attract occupiers requiring smaller warehouse and distribution spaces to ensure same-day delivery (</w:t>
      </w:r>
      <w:r>
        <w:rPr>
          <w:i/>
          <w:sz w:val="18"/>
          <w:szCs w:val="18"/>
          <w:lang w:val="en-GB"/>
        </w:rPr>
        <w:t>Source: Cushman &amp; Wakefield</w:t>
      </w:r>
      <w:r>
        <w:rPr>
          <w:sz w:val="18"/>
          <w:szCs w:val="18"/>
          <w:lang w:val="en-GB"/>
        </w:rPr>
        <w:t>).</w:t>
      </w:r>
    </w:p>
    <w:p w14:paraId="50C3DC73" w14:textId="5D3A9A53" w:rsidR="00F76607" w:rsidRDefault="001863F0">
      <w:pPr>
        <w:pStyle w:val="NormalWeb"/>
        <w:spacing w:before="240"/>
        <w:ind w:firstLine="720"/>
        <w:jc w:val="both"/>
        <w:rPr>
          <w:sz w:val="18"/>
          <w:szCs w:val="18"/>
          <w:lang w:val="en-GB"/>
        </w:rPr>
      </w:pPr>
      <w:r>
        <w:rPr>
          <w:sz w:val="18"/>
          <w:szCs w:val="18"/>
          <w:lang w:val="en-GB"/>
        </w:rPr>
        <w:t xml:space="preserve">Q2 2017 saw the largest-ever industrial transaction in Germany with Blackstone exiting from its </w:t>
      </w:r>
      <w:proofErr w:type="spellStart"/>
      <w:r>
        <w:rPr>
          <w:sz w:val="18"/>
          <w:szCs w:val="18"/>
          <w:lang w:val="en-GB"/>
        </w:rPr>
        <w:t>Logicor</w:t>
      </w:r>
      <w:proofErr w:type="spellEnd"/>
      <w:r>
        <w:rPr>
          <w:sz w:val="18"/>
          <w:szCs w:val="18"/>
          <w:lang w:val="en-GB"/>
        </w:rPr>
        <w:t xml:space="preserve"> platform whereby 74 light-industrial assets in Germany were sold to China Investment Corporation for almost €</w:t>
      </w:r>
      <w:r w:rsidR="00C92AC8">
        <w:rPr>
          <w:sz w:val="18"/>
          <w:szCs w:val="18"/>
          <w:lang w:val="en-GB"/>
        </w:rPr>
        <w:t xml:space="preserve"> </w:t>
      </w:r>
      <w:r>
        <w:rPr>
          <w:sz w:val="18"/>
          <w:szCs w:val="18"/>
          <w:lang w:val="en-GB"/>
        </w:rPr>
        <w:t xml:space="preserve">2 </w:t>
      </w:r>
      <w:r w:rsidR="00C92AC8">
        <w:rPr>
          <w:sz w:val="18"/>
          <w:szCs w:val="18"/>
          <w:lang w:val="en-GB"/>
        </w:rPr>
        <w:t>billion</w:t>
      </w:r>
      <w:r>
        <w:rPr>
          <w:sz w:val="18"/>
          <w:szCs w:val="18"/>
          <w:lang w:val="en-GB"/>
        </w:rPr>
        <w:t>. Two other large-scale portfolios changed hands with an aggregated value of € 900 million reflecting the strong interest of investors in industrial assets. Yields compressed further (range from 4.95% to 6.05% in Q2 2017 vs 5.10% to 6.05% in Q1 2017) and are expected to remain under pressure over the remainder of 2017, as demand is strong (</w:t>
      </w:r>
      <w:r>
        <w:rPr>
          <w:i/>
          <w:sz w:val="18"/>
          <w:szCs w:val="18"/>
          <w:lang w:val="en-GB"/>
        </w:rPr>
        <w:t>Source: Cushman &amp; Wakefield</w:t>
      </w:r>
      <w:r>
        <w:rPr>
          <w:sz w:val="18"/>
          <w:szCs w:val="18"/>
          <w:lang w:val="en-GB"/>
        </w:rPr>
        <w:t>).</w:t>
      </w:r>
    </w:p>
    <w:p w14:paraId="04ED1660" w14:textId="77777777" w:rsidR="00F76607" w:rsidRDefault="001863F0">
      <w:pPr>
        <w:pStyle w:val="NormalWeb"/>
        <w:spacing w:before="240"/>
        <w:ind w:firstLine="720"/>
        <w:jc w:val="both"/>
        <w:rPr>
          <w:sz w:val="18"/>
          <w:szCs w:val="18"/>
          <w:lang w:val="en-GB"/>
        </w:rPr>
      </w:pPr>
      <w:r>
        <w:rPr>
          <w:sz w:val="18"/>
          <w:szCs w:val="18"/>
          <w:lang w:val="en-GB"/>
        </w:rPr>
        <w:lastRenderedPageBreak/>
        <w:t xml:space="preserve">Industrial production and international trade are expected to keep their strong level in the second half of 2017 and e-commerce will maintain its strong upward trend pushing retailers and online traders to optimize their distribution networks. This will also offer opportunities for investors. </w:t>
      </w:r>
    </w:p>
    <w:p w14:paraId="16801840" w14:textId="77777777" w:rsidR="00F76607" w:rsidRDefault="001863F0" w:rsidP="00411069">
      <w:pPr>
        <w:pStyle w:val="NormalWeb"/>
        <w:ind w:firstLine="857"/>
        <w:jc w:val="both"/>
        <w:rPr>
          <w:sz w:val="18"/>
          <w:szCs w:val="18"/>
          <w:lang w:val="en-GB"/>
        </w:rPr>
      </w:pPr>
      <w:r>
        <w:rPr>
          <w:sz w:val="18"/>
          <w:szCs w:val="18"/>
          <w:lang w:val="en-GB"/>
        </w:rPr>
        <w:t xml:space="preserve">Traditionally, three business sectors dominate the letting market for warehouse and logistics space exceeding space of more than 5,000 m²: retail, distribution/logistics and manufacturing. In 2016, these accounted for 96% of total take-up: retail and distribution / logistics each accounted for 36%, and manufacturing for 24%. In 2016 alone, e -commerce companies secured around 560,000 m², a substantial increase compared to 2015 (447,000 m²) and 43% higher than the 5-year average. </w:t>
      </w:r>
    </w:p>
    <w:p w14:paraId="4B2F0BA4" w14:textId="77777777" w:rsidR="00F76607" w:rsidRDefault="001863F0">
      <w:pPr>
        <w:pStyle w:val="NormalWeb"/>
        <w:spacing w:before="240"/>
        <w:ind w:firstLine="857"/>
        <w:jc w:val="both"/>
        <w:rPr>
          <w:sz w:val="18"/>
          <w:szCs w:val="18"/>
          <w:lang w:val="en-GB"/>
        </w:rPr>
      </w:pPr>
      <w:r>
        <w:rPr>
          <w:sz w:val="18"/>
          <w:szCs w:val="18"/>
          <w:lang w:val="en-GB"/>
        </w:rPr>
        <w:t>In the ‘Big 5’ conurbations (Berlin, Düsseldorf, Frankfurt, Hamburg and Munich), the 421,400 m²of space taken up in the first quarter of 2017 was 13% lower compared to the first quarter of the previous year. Although it was 6% down on the 5-year average, the 10-year average was exceeded by 4%. Most space in the ‘Big 5’ was taken up in the Hamburg region with 158,000 m², an increase of 13% year-on-year. This was followed by Frankfurt with 103,000 m², although the year-on-year comparison is negative (-43%). Around 850,000 m² of warehousing space is currently under construction in the ‘Big 5’, but just 19% of this is still available on the market. (</w:t>
      </w:r>
      <w:r>
        <w:rPr>
          <w:i/>
          <w:sz w:val="18"/>
          <w:szCs w:val="18"/>
          <w:lang w:val="en-GB"/>
        </w:rPr>
        <w:t>Source: Jones Lang LaSalle</w:t>
      </w:r>
      <w:r>
        <w:rPr>
          <w:sz w:val="18"/>
          <w:szCs w:val="18"/>
          <w:lang w:val="en-GB"/>
        </w:rPr>
        <w:t>).</w:t>
      </w:r>
    </w:p>
    <w:p w14:paraId="66DE7BDA" w14:textId="77777777" w:rsidR="00F76607" w:rsidRDefault="001863F0">
      <w:pPr>
        <w:pStyle w:val="NormalWeb"/>
        <w:spacing w:before="240"/>
        <w:ind w:firstLine="857"/>
        <w:jc w:val="both"/>
        <w:rPr>
          <w:sz w:val="18"/>
          <w:szCs w:val="18"/>
          <w:lang w:val="en-GB"/>
        </w:rPr>
      </w:pPr>
      <w:r>
        <w:rPr>
          <w:sz w:val="18"/>
          <w:szCs w:val="18"/>
          <w:lang w:val="en-GB"/>
        </w:rPr>
        <w:t>Outside the ‘Big 5’ conurbations, the 1 million m² mark was exceeded once again in the first quarter of 2017. With a space take-up of 1.05 million m², this was the third best start to the year of the past ten years (first quarter take-up was higher in just 2016 and 2013). The current result is 10% lower year-on-year, but matches the 5-year average and even exceeds the 10-year average for first quarters by 27%. Around 57% of the take-up was generated by lettings, 5% more than twelve months ago, whilst take-up by owner occupiers fell by 25% (</w:t>
      </w:r>
      <w:r>
        <w:rPr>
          <w:i/>
          <w:sz w:val="18"/>
          <w:szCs w:val="18"/>
          <w:lang w:val="en-GB"/>
        </w:rPr>
        <w:t>Source: Jones Lang LaSalle</w:t>
      </w:r>
      <w:r>
        <w:rPr>
          <w:sz w:val="18"/>
          <w:szCs w:val="18"/>
          <w:lang w:val="en-GB"/>
        </w:rPr>
        <w:t>)</w:t>
      </w:r>
    </w:p>
    <w:p w14:paraId="00423BE8" w14:textId="77777777" w:rsidR="00F76607" w:rsidRDefault="001863F0">
      <w:pPr>
        <w:pStyle w:val="NormalWeb"/>
        <w:spacing w:before="240"/>
        <w:ind w:firstLine="720"/>
        <w:jc w:val="both"/>
        <w:rPr>
          <w:sz w:val="18"/>
          <w:szCs w:val="18"/>
          <w:lang w:val="en-GB"/>
        </w:rPr>
      </w:pPr>
      <w:r>
        <w:rPr>
          <w:sz w:val="18"/>
          <w:szCs w:val="18"/>
          <w:lang w:val="en-GB"/>
        </w:rPr>
        <w:t>Prime rents for warehouses of ≥ 5,000 m² remained stable in all regions during the first three months of 2017. At € 6.75/ m²/month, the highest rents were paid in Munich. This was followed by the Frankfurt (€ 6.00/ m²/month), Hamburg (€ 5.60/ m²/month), Düsseldorf (€ 5.40/ m²/month) and Berlin (€ 5.00/ m²/month) regions (</w:t>
      </w:r>
      <w:r>
        <w:rPr>
          <w:i/>
          <w:sz w:val="18"/>
          <w:szCs w:val="18"/>
          <w:lang w:val="en-GB"/>
        </w:rPr>
        <w:t>Source: Jones Lang LaSalle</w:t>
      </w:r>
      <w:r>
        <w:rPr>
          <w:sz w:val="18"/>
          <w:szCs w:val="18"/>
          <w:lang w:val="en-GB"/>
        </w:rPr>
        <w:t>). Prime rents for large logistics assets are expected to hold firm across the key German hubs whereas rents for smaller distribution centres close to the cities will increase (</w:t>
      </w:r>
      <w:r>
        <w:rPr>
          <w:i/>
          <w:sz w:val="18"/>
          <w:szCs w:val="18"/>
          <w:lang w:val="en-GB"/>
        </w:rPr>
        <w:t>Source: Cushman &amp; Wakefield</w:t>
      </w:r>
      <w:r>
        <w:rPr>
          <w:sz w:val="18"/>
          <w:szCs w:val="18"/>
          <w:lang w:val="en-GB"/>
        </w:rPr>
        <w:t>).</w:t>
      </w:r>
    </w:p>
    <w:p w14:paraId="0800E15E" w14:textId="77777777" w:rsidR="00F76607" w:rsidRDefault="001863F0">
      <w:pPr>
        <w:pStyle w:val="NormalWeb"/>
        <w:spacing w:before="240" w:after="0"/>
        <w:ind w:firstLine="857"/>
        <w:rPr>
          <w:b/>
          <w:bCs/>
          <w:sz w:val="18"/>
          <w:szCs w:val="18"/>
          <w:lang w:val="en-GB"/>
        </w:rPr>
      </w:pPr>
      <w:r>
        <w:rPr>
          <w:b/>
          <w:bCs/>
          <w:sz w:val="18"/>
          <w:szCs w:val="18"/>
          <w:lang w:val="en-GB"/>
        </w:rPr>
        <w:t>The logistics property market in the Czech Republic</w:t>
      </w:r>
    </w:p>
    <w:p w14:paraId="24D27B77" w14:textId="77777777" w:rsidR="00F76607" w:rsidRDefault="001863F0">
      <w:pPr>
        <w:pStyle w:val="NormalWeb"/>
        <w:spacing w:before="240" w:after="0"/>
        <w:ind w:firstLine="857"/>
        <w:jc w:val="both"/>
        <w:rPr>
          <w:sz w:val="18"/>
          <w:szCs w:val="18"/>
          <w:lang w:val="en-GB"/>
        </w:rPr>
      </w:pPr>
      <w:r>
        <w:rPr>
          <w:sz w:val="18"/>
          <w:szCs w:val="18"/>
          <w:lang w:val="en-GB"/>
        </w:rPr>
        <w:t xml:space="preserve">The Czech economy continues to display strong performance in Q2 2017, placing its industrial, as well as other markets, in a superior position compared to its competitors. This performance of the Czech economy is expected to continue backed by prospects of GDP growth of 2.81% for the period 2017 – 2020 </w:t>
      </w:r>
      <w:r>
        <w:rPr>
          <w:i/>
          <w:sz w:val="18"/>
          <w:szCs w:val="18"/>
          <w:lang w:val="en-GB"/>
        </w:rPr>
        <w:t>(Source: IHS Global Insight)</w:t>
      </w:r>
      <w:r>
        <w:rPr>
          <w:sz w:val="18"/>
          <w:szCs w:val="18"/>
          <w:lang w:val="en-GB"/>
        </w:rPr>
        <w:t>. Its central geographical location allows the Czech Republic to attract more investment. Currently, the demand for industrial space exceeds available supply. (</w:t>
      </w:r>
      <w:r>
        <w:rPr>
          <w:i/>
          <w:sz w:val="18"/>
          <w:szCs w:val="18"/>
          <w:lang w:val="en-GB"/>
        </w:rPr>
        <w:t>Source: Cushman &amp; Wakefield</w:t>
      </w:r>
      <w:r>
        <w:rPr>
          <w:sz w:val="18"/>
          <w:szCs w:val="18"/>
          <w:lang w:val="en-GB"/>
        </w:rPr>
        <w:t>).</w:t>
      </w:r>
    </w:p>
    <w:p w14:paraId="39D73B72" w14:textId="77777777" w:rsidR="00F76607" w:rsidRDefault="001863F0">
      <w:pPr>
        <w:pStyle w:val="NormalWeb"/>
        <w:spacing w:before="240" w:after="0"/>
        <w:ind w:firstLine="857"/>
        <w:jc w:val="both"/>
        <w:rPr>
          <w:sz w:val="18"/>
          <w:szCs w:val="18"/>
          <w:lang w:val="en-GB"/>
        </w:rPr>
      </w:pPr>
      <w:r>
        <w:rPr>
          <w:sz w:val="18"/>
          <w:szCs w:val="18"/>
          <w:lang w:val="en-GB"/>
        </w:rPr>
        <w:t xml:space="preserve">The Industrial market in the Czech Republic is characterized by low vacancy rates, which influence rental levels and incentive packages offered to tenants. Pre-lease agreements remain popular due to the lack of available space. Speculative construction is slowly increasing and in the fourth quarter of 2016 the share of speculative construction represented approximately 40% of newly completed projects. The e-commerce and distribution sectors were the key drivers of take-up in 2016, and are expected to continue being so throughout 2017. </w:t>
      </w:r>
    </w:p>
    <w:p w14:paraId="111049FD" w14:textId="77777777" w:rsidR="00F76607" w:rsidRDefault="001863F0">
      <w:pPr>
        <w:pStyle w:val="NormalWeb"/>
        <w:spacing w:before="240" w:after="0"/>
        <w:ind w:firstLine="857"/>
        <w:jc w:val="both"/>
        <w:rPr>
          <w:sz w:val="18"/>
          <w:szCs w:val="18"/>
          <w:lang w:val="en-GB"/>
        </w:rPr>
      </w:pPr>
      <w:r>
        <w:rPr>
          <w:sz w:val="18"/>
          <w:szCs w:val="18"/>
          <w:lang w:val="en-GB"/>
        </w:rPr>
        <w:t xml:space="preserve">By the end of 2016, the total industrial warehouse stock in the Czech Republic was more than 6 million m² with new supply of almost 500,000 m² being delivered during the year. Annual industrial investment volume in the Czech Republic totalled almost € 850 million in 2016, making it a record year for the sector. The most significant deal was concluded in the fourth quarter with the acquisition of P3 by the GIC investment fund. Demand from both local and foreign investors is expected to remain strong in 2017, however there are very few opportunities in the sector at present. This situation will change in the coming years with new supply set to increase in response to demand. </w:t>
      </w:r>
    </w:p>
    <w:p w14:paraId="38F3284E" w14:textId="77777777" w:rsidR="00F76607" w:rsidRDefault="001863F0">
      <w:pPr>
        <w:pStyle w:val="NormalWeb"/>
        <w:spacing w:before="240" w:after="0"/>
        <w:ind w:firstLine="857"/>
        <w:jc w:val="both"/>
        <w:rPr>
          <w:sz w:val="18"/>
          <w:szCs w:val="18"/>
          <w:lang w:val="en-GB"/>
        </w:rPr>
      </w:pPr>
      <w:r>
        <w:rPr>
          <w:sz w:val="18"/>
          <w:szCs w:val="18"/>
          <w:lang w:val="en-GB"/>
        </w:rPr>
        <w:t xml:space="preserve">The industrial sector saw rental increases during the first quarter of 2017 across all regions of the country, with further rises expected in the coming quarters. Prime industrial yields also strengthened but are now expected to stabilize. The positive economic situation in the Czech Republic has contributed significantly to development in the sector. </w:t>
      </w:r>
    </w:p>
    <w:p w14:paraId="635E176B" w14:textId="77777777" w:rsidR="00F76607" w:rsidRDefault="001863F0">
      <w:pPr>
        <w:pStyle w:val="NormalWeb"/>
        <w:spacing w:before="240" w:after="0"/>
        <w:ind w:firstLine="857"/>
        <w:jc w:val="both"/>
        <w:rPr>
          <w:sz w:val="18"/>
          <w:szCs w:val="18"/>
          <w:lang w:val="en-GB"/>
        </w:rPr>
      </w:pPr>
      <w:r>
        <w:rPr>
          <w:sz w:val="18"/>
          <w:szCs w:val="18"/>
          <w:lang w:val="en-GB"/>
        </w:rPr>
        <w:t>Vacancy rates in the Czech Industrial market remain low which is putting positive pressure on rents. Market conditions favour landlords especially those with assets in prime locations. Rental growth is expected to continue during 2017. The most popular locations are Prague, Brno and Pilsen, as well as cities located close to major borders (e.g. Germany). Proximity to transport hubs is still the dominant factor in terms of industrial demand. New supply for 2017 is expected to be focused on meeting current demand with no surplus expected. Due to the limited space available to lease at present, pre-leases are expected to constitute the major share of the industrial pipeline.</w:t>
      </w:r>
    </w:p>
    <w:p w14:paraId="2BB550F8" w14:textId="77777777" w:rsidR="00F76607" w:rsidRDefault="001863F0">
      <w:pPr>
        <w:pStyle w:val="NormalWeb"/>
        <w:spacing w:before="240" w:after="0"/>
        <w:ind w:firstLine="857"/>
        <w:jc w:val="both"/>
        <w:rPr>
          <w:sz w:val="18"/>
          <w:szCs w:val="18"/>
          <w:lang w:val="en-GB"/>
        </w:rPr>
      </w:pPr>
      <w:r>
        <w:rPr>
          <w:sz w:val="18"/>
          <w:szCs w:val="18"/>
          <w:lang w:val="en-GB"/>
        </w:rPr>
        <w:t xml:space="preserve">Prime yields are stable at 6.00% in Prague in the second quarter of 2017, with yields in Brno hardening to 6.25%. Yields in secondary locations continue their convergence to prime rates. In Q2 2017, </w:t>
      </w:r>
      <w:proofErr w:type="spellStart"/>
      <w:r>
        <w:rPr>
          <w:sz w:val="18"/>
          <w:szCs w:val="18"/>
          <w:lang w:val="en-GB"/>
        </w:rPr>
        <w:t>Logicor</w:t>
      </w:r>
      <w:proofErr w:type="spellEnd"/>
      <w:r>
        <w:rPr>
          <w:sz w:val="18"/>
          <w:szCs w:val="18"/>
          <w:lang w:val="en-GB"/>
        </w:rPr>
        <w:t xml:space="preserve"> Prague Airport and Prologis Park Ostrava were the largest transactions </w:t>
      </w:r>
      <w:r>
        <w:rPr>
          <w:i/>
          <w:sz w:val="18"/>
          <w:szCs w:val="18"/>
          <w:lang w:val="en-GB"/>
        </w:rPr>
        <w:t>(Source: Cushman &amp; Wakefield)</w:t>
      </w:r>
      <w:r>
        <w:rPr>
          <w:sz w:val="18"/>
          <w:szCs w:val="18"/>
          <w:lang w:val="en-GB"/>
        </w:rPr>
        <w:t xml:space="preserve">. </w:t>
      </w:r>
    </w:p>
    <w:p w14:paraId="65EFFF8D" w14:textId="77777777" w:rsidR="00F76607" w:rsidRDefault="001863F0">
      <w:pPr>
        <w:pStyle w:val="NormalWeb"/>
        <w:spacing w:before="240" w:after="0"/>
        <w:ind w:firstLine="857"/>
        <w:rPr>
          <w:b/>
          <w:bCs/>
          <w:sz w:val="18"/>
          <w:szCs w:val="18"/>
          <w:lang w:val="en-GB"/>
        </w:rPr>
      </w:pPr>
      <w:r>
        <w:rPr>
          <w:b/>
          <w:bCs/>
          <w:sz w:val="18"/>
          <w:szCs w:val="18"/>
          <w:lang w:val="en-GB"/>
        </w:rPr>
        <w:t>The logistics property market in Spain</w:t>
      </w:r>
    </w:p>
    <w:p w14:paraId="432BACAC" w14:textId="77777777" w:rsidR="00F76607" w:rsidRDefault="001863F0">
      <w:pPr>
        <w:pStyle w:val="NormalWeb"/>
        <w:spacing w:before="240" w:after="0"/>
        <w:ind w:firstLine="857"/>
        <w:jc w:val="both"/>
        <w:rPr>
          <w:sz w:val="18"/>
          <w:szCs w:val="18"/>
          <w:lang w:val="en-GB"/>
        </w:rPr>
      </w:pPr>
      <w:r>
        <w:rPr>
          <w:sz w:val="18"/>
          <w:szCs w:val="18"/>
          <w:lang w:val="en-GB"/>
        </w:rPr>
        <w:lastRenderedPageBreak/>
        <w:t>In Spain, annual GDP growth in 2016 was close to 3%, in line with the previous year. Consumer confidence reflects domestic demand that now also includes appetite for house purchasing as well as mortgages applications. This is expected to support growth in 2017, with an expansion of total output of around 2% to 3% and occupier markets catching up with capital markets.</w:t>
      </w:r>
    </w:p>
    <w:p w14:paraId="7D8C2443" w14:textId="77777777" w:rsidR="00F76607" w:rsidRDefault="001863F0">
      <w:pPr>
        <w:pStyle w:val="NormalWeb"/>
        <w:spacing w:before="240" w:after="0"/>
        <w:ind w:firstLine="857"/>
        <w:jc w:val="both"/>
        <w:rPr>
          <w:sz w:val="18"/>
          <w:szCs w:val="18"/>
          <w:lang w:val="en-GB"/>
        </w:rPr>
      </w:pPr>
      <w:r>
        <w:rPr>
          <w:sz w:val="18"/>
          <w:szCs w:val="18"/>
          <w:lang w:val="en-GB"/>
        </w:rPr>
        <w:t>Logistics space has been intensively sought during 2016, resulting in take-up growth compared to 2015. With a regular pace on the demand side, supply is gently reacting. Logistics schemes under construction in Spain will bring in 2017 and 2018 a desired wave of quality space, with approximately 500,000 m² expected for Madrid and Barcelona. With vacancy rates in Madrid and Barcelona close to the equilibrium (7%), further rental increases are foreseen, resulting in prime rents increases by some 5% and 8% in Madrid and Barcelona, respectively.</w:t>
      </w:r>
    </w:p>
    <w:p w14:paraId="0458201F" w14:textId="77777777" w:rsidR="00F76607" w:rsidRDefault="001863F0">
      <w:pPr>
        <w:pStyle w:val="NormalWeb"/>
        <w:spacing w:before="240" w:after="0"/>
        <w:ind w:firstLine="857"/>
        <w:jc w:val="both"/>
      </w:pPr>
      <w:r>
        <w:rPr>
          <w:sz w:val="18"/>
          <w:szCs w:val="18"/>
          <w:lang w:val="en-GB"/>
        </w:rPr>
        <w:t>Demand is propelled by local industrial and retail activity that are performing particularly well in Catalonia. A bulky share of the space transacted last year (30%) was done under the shape of built-to-suit projects, given the scarcity of modern warehouses fitted to e-commerce as well as fashion distribution. The general trait of the market is of scant supply especially in locations close to both the port and the city of Barcelona. The impact on rents is direct and resulted in prime rents increasing by 9% throughout 2016.</w:t>
      </w:r>
      <w:r>
        <w:t xml:space="preserve"> </w:t>
      </w:r>
    </w:p>
    <w:p w14:paraId="43D4E974" w14:textId="77777777" w:rsidR="00F76607" w:rsidRDefault="001863F0">
      <w:pPr>
        <w:pStyle w:val="NormalWeb"/>
        <w:spacing w:before="240" w:after="0"/>
        <w:ind w:firstLine="857"/>
        <w:jc w:val="both"/>
        <w:rPr>
          <w:sz w:val="18"/>
          <w:szCs w:val="18"/>
          <w:lang w:val="en-GB"/>
        </w:rPr>
      </w:pPr>
      <w:r>
        <w:rPr>
          <w:sz w:val="18"/>
          <w:szCs w:val="18"/>
          <w:lang w:val="en-GB"/>
        </w:rPr>
        <w:t xml:space="preserve">In Madrid, 2016 witnessed the highest logistics space take-up since a couple of years, driven by improving retail sales and private consumption. Logistics providers are targeting high-quality warehouses that are progressively less available, due to the preference of demand and the low level of construction and deliveries over the last five years. As a result, there are a number of new schemes to be delivered in 2017, where it can be expected that demand will swiftly absorb this future supply. As a result, rents are forecast to grow over the next 12 months </w:t>
      </w:r>
      <w:r>
        <w:rPr>
          <w:i/>
          <w:sz w:val="18"/>
          <w:szCs w:val="18"/>
          <w:lang w:val="en-GB"/>
        </w:rPr>
        <w:t>(Source: Cushman &amp; Wakefield)</w:t>
      </w:r>
      <w:r>
        <w:rPr>
          <w:sz w:val="18"/>
          <w:szCs w:val="18"/>
          <w:lang w:val="en-GB"/>
        </w:rPr>
        <w:t>.</w:t>
      </w:r>
    </w:p>
    <w:p w14:paraId="5A0CD6B7" w14:textId="77777777" w:rsidR="00F76607" w:rsidRDefault="001863F0">
      <w:pPr>
        <w:pStyle w:val="NormalWeb"/>
        <w:spacing w:before="240" w:after="0"/>
        <w:ind w:firstLine="857"/>
        <w:jc w:val="both"/>
        <w:rPr>
          <w:sz w:val="18"/>
          <w:szCs w:val="18"/>
        </w:rPr>
      </w:pPr>
      <w:r>
        <w:rPr>
          <w:sz w:val="18"/>
          <w:szCs w:val="18"/>
          <w:lang w:val="en-GB"/>
        </w:rPr>
        <w:t xml:space="preserve">Economic drivers of industrial and logistics space markets continue to drive growth. Retail sales and industrial production increased in the first half of 2017, impelling the distribution business sector and its real estate component </w:t>
      </w:r>
      <w:r>
        <w:rPr>
          <w:i/>
          <w:sz w:val="18"/>
          <w:szCs w:val="18"/>
          <w:lang w:val="en-GB"/>
        </w:rPr>
        <w:t>(Source: Cushman &amp; Wakefield)</w:t>
      </w:r>
      <w:r>
        <w:rPr>
          <w:sz w:val="18"/>
          <w:szCs w:val="18"/>
          <w:lang w:val="en-GB"/>
        </w:rPr>
        <w:t>.</w:t>
      </w:r>
    </w:p>
    <w:p w14:paraId="39960093" w14:textId="77777777" w:rsidR="00F76607" w:rsidRDefault="001863F0">
      <w:pPr>
        <w:pStyle w:val="NormalWeb"/>
        <w:spacing w:before="240" w:after="0"/>
        <w:ind w:firstLine="857"/>
        <w:jc w:val="both"/>
        <w:rPr>
          <w:sz w:val="18"/>
          <w:szCs w:val="18"/>
          <w:lang w:val="en-GB"/>
        </w:rPr>
      </w:pPr>
      <w:r>
        <w:rPr>
          <w:sz w:val="18"/>
          <w:szCs w:val="18"/>
          <w:lang w:val="en-GB"/>
        </w:rPr>
        <w:t xml:space="preserve">Logistics operators keep active in their search of space in Madrid and Barcelona. Both cities registered in the first quarter of 2017 space take-up levels ahead of the average of the 2009-2016 period. A few large transactions helped gross absorption to position well in Q2 2017 compared to quarterly data of the last three years. The largest transaction in both cities represented more than one third of the surface transacted in the quarter: In the case of Barcelona, ID logistics, on behalf of the French fashion retailer </w:t>
      </w:r>
      <w:proofErr w:type="spellStart"/>
      <w:r>
        <w:rPr>
          <w:sz w:val="18"/>
          <w:szCs w:val="18"/>
          <w:lang w:val="en-GB"/>
        </w:rPr>
        <w:t>Kiabi</w:t>
      </w:r>
      <w:proofErr w:type="spellEnd"/>
      <w:r>
        <w:rPr>
          <w:sz w:val="18"/>
          <w:szCs w:val="18"/>
          <w:lang w:val="en-GB"/>
        </w:rPr>
        <w:t xml:space="preserve">, let 50,000 m² and in Madrid, the logistics provider XPO took up some 48,000 m². The second largest transaction in both cases was of 15,000 m², in line with the average deal size of those markets </w:t>
      </w:r>
      <w:r>
        <w:rPr>
          <w:i/>
          <w:sz w:val="18"/>
          <w:szCs w:val="18"/>
          <w:lang w:val="en-GB"/>
        </w:rPr>
        <w:t>(Source: Cushman &amp; Wakefield)</w:t>
      </w:r>
      <w:r>
        <w:rPr>
          <w:sz w:val="18"/>
          <w:szCs w:val="18"/>
          <w:lang w:val="en-GB"/>
        </w:rPr>
        <w:t>.</w:t>
      </w:r>
    </w:p>
    <w:p w14:paraId="4AA0D5ED" w14:textId="77777777" w:rsidR="00F76607" w:rsidRDefault="001863F0">
      <w:pPr>
        <w:pStyle w:val="NormalWeb"/>
        <w:spacing w:before="240" w:after="0"/>
        <w:ind w:firstLine="857"/>
        <w:jc w:val="both"/>
        <w:rPr>
          <w:sz w:val="18"/>
          <w:szCs w:val="18"/>
          <w:lang w:val="en-GB"/>
        </w:rPr>
      </w:pPr>
      <w:r>
        <w:rPr>
          <w:sz w:val="18"/>
          <w:szCs w:val="18"/>
          <w:lang w:val="en-GB"/>
        </w:rPr>
        <w:t>Rising investor appetite against a lack of supply is seeing yields compress as competition increases. Prime yields compressed in Madrid to just below 6% in Q2 2017, while yields remained unchanged in Barcelona at 6%. (</w:t>
      </w:r>
      <w:r>
        <w:rPr>
          <w:i/>
          <w:sz w:val="18"/>
          <w:szCs w:val="18"/>
          <w:lang w:val="en-GB"/>
        </w:rPr>
        <w:t>Source: Cushman &amp; Wakefield</w:t>
      </w:r>
      <w:r>
        <w:rPr>
          <w:sz w:val="18"/>
          <w:szCs w:val="18"/>
          <w:lang w:val="en-GB"/>
        </w:rPr>
        <w:t>).</w:t>
      </w:r>
    </w:p>
    <w:p w14:paraId="173BCCBA" w14:textId="77777777" w:rsidR="00F76607" w:rsidRDefault="001863F0">
      <w:pPr>
        <w:pStyle w:val="NormalWeb"/>
        <w:spacing w:before="240" w:after="0"/>
        <w:ind w:firstLine="857"/>
        <w:rPr>
          <w:b/>
          <w:bCs/>
          <w:sz w:val="18"/>
          <w:szCs w:val="18"/>
          <w:lang w:val="en-GB"/>
        </w:rPr>
      </w:pPr>
      <w:r>
        <w:rPr>
          <w:b/>
          <w:bCs/>
          <w:sz w:val="18"/>
          <w:szCs w:val="18"/>
          <w:lang w:val="en-GB"/>
        </w:rPr>
        <w:t>The logistics property markets in the Central European countries</w:t>
      </w:r>
      <w:r>
        <w:rPr>
          <w:rStyle w:val="FootnoteReference"/>
          <w:b/>
          <w:bCs/>
          <w:sz w:val="18"/>
          <w:szCs w:val="18"/>
          <w:lang w:val="en-GB"/>
        </w:rPr>
        <w:footnoteReference w:id="26"/>
      </w:r>
      <w:r>
        <w:rPr>
          <w:b/>
          <w:bCs/>
          <w:sz w:val="18"/>
          <w:szCs w:val="18"/>
          <w:lang w:val="en-GB"/>
        </w:rPr>
        <w:t xml:space="preserve"> </w:t>
      </w:r>
    </w:p>
    <w:p w14:paraId="6C29B710" w14:textId="77777777" w:rsidR="00F76607" w:rsidRDefault="001863F0">
      <w:pPr>
        <w:pStyle w:val="NormalWeb"/>
        <w:spacing w:before="240" w:after="0"/>
        <w:ind w:firstLine="857"/>
        <w:jc w:val="both"/>
        <w:rPr>
          <w:sz w:val="18"/>
          <w:szCs w:val="18"/>
          <w:lang w:val="en-GB"/>
        </w:rPr>
      </w:pPr>
      <w:r>
        <w:rPr>
          <w:sz w:val="18"/>
          <w:szCs w:val="18"/>
          <w:lang w:val="en-GB"/>
        </w:rPr>
        <w:t>In addition to Czech Republic, the Central European property markets in which the Group invests are Slovakia, Hungary, Romania and Latvia. These have all experienced a significant increase of investment activity over the last decade. A climate of falling interest rates, strong economic growth and increasing exchange rate stability has also fed through the logistic market segment in these countries. In general, the logistics segment to date has proven to be less responsive to the current changing economic environment, both in terms of supply generation as well as quality of the assets, and as a result attracting developers and investors. The liquidity of the logistics market segment is gradually catching up with the other real estate market segments that gained interest of investors and developers much earlier.</w:t>
      </w:r>
    </w:p>
    <w:p w14:paraId="1760C332" w14:textId="77777777" w:rsidR="00F76607" w:rsidRDefault="001863F0">
      <w:pPr>
        <w:pStyle w:val="NormalWeb"/>
        <w:spacing w:before="240" w:after="0"/>
        <w:ind w:firstLine="857"/>
        <w:rPr>
          <w:b/>
          <w:bCs/>
          <w:i/>
          <w:sz w:val="18"/>
          <w:szCs w:val="18"/>
          <w:lang w:val="en-GB"/>
        </w:rPr>
      </w:pPr>
      <w:r>
        <w:rPr>
          <w:b/>
          <w:bCs/>
          <w:i/>
          <w:sz w:val="18"/>
          <w:szCs w:val="18"/>
          <w:lang w:val="en-GB"/>
        </w:rPr>
        <w:t>The logistics property market in Slovakia</w:t>
      </w:r>
    </w:p>
    <w:p w14:paraId="762D1BAB" w14:textId="77777777" w:rsidR="00F76607" w:rsidRDefault="001863F0">
      <w:pPr>
        <w:pStyle w:val="NormalWeb"/>
        <w:spacing w:before="240" w:after="0"/>
        <w:ind w:firstLine="857"/>
        <w:jc w:val="both"/>
        <w:rPr>
          <w:sz w:val="18"/>
          <w:szCs w:val="18"/>
          <w:lang w:val="en-GB"/>
        </w:rPr>
      </w:pPr>
      <w:r>
        <w:rPr>
          <w:sz w:val="18"/>
          <w:szCs w:val="18"/>
          <w:lang w:val="en-GB"/>
        </w:rPr>
        <w:t xml:space="preserve">Due to positive economic trends in both Slovakia and the wider Eurozone, the Slovak industrial market continues to expand. GDP growth of 3.3% in 2016 was amongst the strongest in the Eurozone. GDP growth is expected to continue its robust trend and reach 3.0% in 2017. </w:t>
      </w:r>
      <w:r>
        <w:rPr>
          <w:i/>
          <w:sz w:val="18"/>
          <w:szCs w:val="18"/>
          <w:lang w:val="en-GB"/>
        </w:rPr>
        <w:t>(Source: Cushman &amp; Wakefield)</w:t>
      </w:r>
    </w:p>
    <w:p w14:paraId="3B8B6C67" w14:textId="77777777" w:rsidR="00F76607" w:rsidRDefault="001863F0">
      <w:pPr>
        <w:pStyle w:val="NormalWeb"/>
        <w:spacing w:before="240" w:after="0"/>
        <w:ind w:firstLine="857"/>
        <w:jc w:val="both"/>
        <w:rPr>
          <w:sz w:val="18"/>
          <w:szCs w:val="18"/>
          <w:lang w:val="en-GB"/>
        </w:rPr>
      </w:pPr>
      <w:r>
        <w:rPr>
          <w:sz w:val="18"/>
          <w:szCs w:val="18"/>
          <w:lang w:val="en-GB"/>
        </w:rPr>
        <w:t>Prime industrial rents and prime yields were stable over Q2 2017 (prime yields in Bratislava at 7.50%). Investor appetite for prime products has compressed yields to record levels in the last few months. Ongoing interest in acquiring long leased logistics schemes suggests that investors now consider the Slovak industrial market as an integral part of the wider (CEE) region. The stable economic performance in Slovakia continues to underpin healthy industrial activity. (</w:t>
      </w:r>
      <w:r>
        <w:rPr>
          <w:i/>
          <w:sz w:val="18"/>
          <w:szCs w:val="18"/>
          <w:lang w:val="en-GB"/>
        </w:rPr>
        <w:t>Source: Cushman &amp; Wakefield</w:t>
      </w:r>
      <w:r>
        <w:rPr>
          <w:sz w:val="18"/>
          <w:szCs w:val="18"/>
          <w:lang w:val="en-GB"/>
        </w:rPr>
        <w:t>)</w:t>
      </w:r>
    </w:p>
    <w:p w14:paraId="6ECA79DE" w14:textId="77777777" w:rsidR="00F76607" w:rsidRDefault="001863F0">
      <w:pPr>
        <w:pStyle w:val="NormalWeb"/>
        <w:spacing w:before="240" w:after="0"/>
        <w:ind w:firstLine="857"/>
        <w:jc w:val="both"/>
        <w:rPr>
          <w:sz w:val="18"/>
          <w:szCs w:val="18"/>
          <w:lang w:val="en-GB"/>
        </w:rPr>
      </w:pPr>
      <w:r>
        <w:rPr>
          <w:sz w:val="18"/>
          <w:szCs w:val="18"/>
          <w:lang w:val="en-GB"/>
        </w:rPr>
        <w:t xml:space="preserve">The main driver of the industrial market remains the flourishing automotive sector in addition to the retail segment which is also growing strongly. The Bratislava region shows highest activity, but demand in the neighbouring regions is also strong and has started to outstrip supply in some locations. Pre-lets continue to be popular and the majority of properties in the pipeline are already committed to future occupiers. Jaguar Land Rover continues to have a significant influence on the market. The Nitra region in particular is expected to develop over the course of 2017, with surrounding regions also likely to see a rise in demand for both land and developed premises. </w:t>
      </w:r>
    </w:p>
    <w:p w14:paraId="68B21A4E" w14:textId="77777777" w:rsidR="00F76607" w:rsidRDefault="001863F0" w:rsidP="00411069">
      <w:pPr>
        <w:pStyle w:val="NormalWeb"/>
        <w:ind w:firstLine="857"/>
        <w:jc w:val="both"/>
        <w:rPr>
          <w:sz w:val="18"/>
          <w:szCs w:val="18"/>
          <w:lang w:val="en-GB"/>
        </w:rPr>
      </w:pPr>
      <w:r>
        <w:rPr>
          <w:sz w:val="18"/>
          <w:szCs w:val="18"/>
          <w:lang w:val="en-GB"/>
        </w:rPr>
        <w:lastRenderedPageBreak/>
        <w:t xml:space="preserve">Demand from occupiers is strong with new supply being quickly absorbed by the market. Most ongoing developments are already subject to pre-leases. Investment activity, which has been limited by a lack of products in 2016, is likely to strengthen during 2017. Occupiers continue to search for new opportunities with the preference to be linked to the D1 and R1 highways. In addition to new market entrants, there is a general trend of growth within existing premises. Most occupiers are focused on the expanding automotive sector or on e-commerce. Increased consumer spending has boosted the retail sector which is turn is stimulating demand from more distribution spaces in new and existing facilities. </w:t>
      </w:r>
    </w:p>
    <w:p w14:paraId="13A80877" w14:textId="77777777" w:rsidR="00F76607" w:rsidRDefault="001863F0">
      <w:pPr>
        <w:pStyle w:val="NormalWeb"/>
        <w:spacing w:before="240" w:after="0"/>
        <w:ind w:firstLine="857"/>
        <w:jc w:val="both"/>
        <w:rPr>
          <w:sz w:val="18"/>
          <w:szCs w:val="18"/>
          <w:lang w:val="en-GB"/>
        </w:rPr>
      </w:pPr>
      <w:r>
        <w:rPr>
          <w:sz w:val="18"/>
          <w:szCs w:val="18"/>
          <w:lang w:val="en-GB"/>
        </w:rPr>
        <w:t xml:space="preserve">There is strong activity in the Slovak market in line with the general development in the Central and Eastern Europe region as a whole. In the second quarter of 2017, the sale of Prologis Park </w:t>
      </w:r>
      <w:proofErr w:type="spellStart"/>
      <w:r>
        <w:rPr>
          <w:sz w:val="18"/>
          <w:szCs w:val="18"/>
          <w:lang w:val="en-GB"/>
        </w:rPr>
        <w:t>Nove</w:t>
      </w:r>
      <w:proofErr w:type="spellEnd"/>
      <w:r>
        <w:rPr>
          <w:sz w:val="18"/>
          <w:szCs w:val="18"/>
          <w:lang w:val="en-GB"/>
        </w:rPr>
        <w:t xml:space="preserve"> </w:t>
      </w:r>
      <w:proofErr w:type="spellStart"/>
      <w:r>
        <w:rPr>
          <w:sz w:val="18"/>
          <w:szCs w:val="18"/>
          <w:lang w:val="en-GB"/>
        </w:rPr>
        <w:t>Město</w:t>
      </w:r>
      <w:proofErr w:type="spellEnd"/>
      <w:r>
        <w:rPr>
          <w:sz w:val="18"/>
          <w:szCs w:val="18"/>
          <w:lang w:val="en-GB"/>
        </w:rPr>
        <w:t xml:space="preserve"> </w:t>
      </w:r>
      <w:proofErr w:type="spellStart"/>
      <w:r>
        <w:rPr>
          <w:sz w:val="18"/>
          <w:szCs w:val="18"/>
          <w:lang w:val="en-GB"/>
        </w:rPr>
        <w:t>nad</w:t>
      </w:r>
      <w:proofErr w:type="spellEnd"/>
      <w:r>
        <w:rPr>
          <w:sz w:val="18"/>
          <w:szCs w:val="18"/>
          <w:lang w:val="en-GB"/>
        </w:rPr>
        <w:t xml:space="preserve"> </w:t>
      </w:r>
      <w:proofErr w:type="spellStart"/>
      <w:r>
        <w:rPr>
          <w:sz w:val="18"/>
          <w:szCs w:val="18"/>
          <w:lang w:val="en-GB"/>
        </w:rPr>
        <w:t>Vahom</w:t>
      </w:r>
      <w:proofErr w:type="spellEnd"/>
      <w:r>
        <w:rPr>
          <w:sz w:val="18"/>
          <w:szCs w:val="18"/>
          <w:lang w:val="en-GB"/>
        </w:rPr>
        <w:t xml:space="preserve"> in the </w:t>
      </w:r>
      <w:proofErr w:type="spellStart"/>
      <w:r>
        <w:rPr>
          <w:sz w:val="18"/>
          <w:szCs w:val="18"/>
          <w:lang w:val="en-GB"/>
        </w:rPr>
        <w:t>Trenčiansky</w:t>
      </w:r>
      <w:proofErr w:type="spellEnd"/>
      <w:r>
        <w:rPr>
          <w:sz w:val="18"/>
          <w:szCs w:val="18"/>
          <w:lang w:val="en-GB"/>
        </w:rPr>
        <w:t xml:space="preserve"> region was the largest transaction. There are a number of ongoing deals which are showing the market has demand from both domestic and international investors. As a result, further yield compression is expected going forward. </w:t>
      </w:r>
      <w:r>
        <w:rPr>
          <w:i/>
          <w:sz w:val="18"/>
          <w:szCs w:val="18"/>
          <w:lang w:val="en-GB"/>
        </w:rPr>
        <w:t>(Source: Cushman &amp; Wakefield)</w:t>
      </w:r>
      <w:r>
        <w:rPr>
          <w:sz w:val="18"/>
          <w:szCs w:val="18"/>
          <w:lang w:val="en-GB"/>
        </w:rPr>
        <w:t xml:space="preserve"> </w:t>
      </w:r>
    </w:p>
    <w:p w14:paraId="305986D0" w14:textId="77777777" w:rsidR="00F76607" w:rsidRDefault="001863F0">
      <w:pPr>
        <w:pStyle w:val="NormalWeb"/>
        <w:spacing w:before="240" w:after="0"/>
        <w:ind w:firstLine="857"/>
        <w:rPr>
          <w:b/>
          <w:bCs/>
          <w:sz w:val="18"/>
          <w:szCs w:val="18"/>
          <w:lang w:val="en-GB"/>
        </w:rPr>
      </w:pPr>
      <w:r>
        <w:rPr>
          <w:b/>
          <w:bCs/>
          <w:sz w:val="18"/>
          <w:szCs w:val="18"/>
          <w:lang w:val="en-GB"/>
        </w:rPr>
        <w:t>The logistics property market in Hungary</w:t>
      </w:r>
    </w:p>
    <w:p w14:paraId="75959B46" w14:textId="77777777" w:rsidR="00F76607" w:rsidRDefault="001863F0">
      <w:pPr>
        <w:pStyle w:val="NormalWeb"/>
        <w:spacing w:before="240"/>
        <w:ind w:firstLine="857"/>
        <w:jc w:val="both"/>
        <w:rPr>
          <w:sz w:val="18"/>
          <w:szCs w:val="18"/>
          <w:lang w:val="en-GB"/>
        </w:rPr>
      </w:pPr>
      <w:r>
        <w:rPr>
          <w:sz w:val="18"/>
          <w:szCs w:val="18"/>
          <w:lang w:val="en-GB"/>
        </w:rPr>
        <w:t xml:space="preserve">The Hungarian industrial market closed a particularly strong quarter in Q2 2017 with record high demand and falling availability. The overall vacancy rate stood at 5.5% at the end of the quarter, which is the lowest level ever registered on the Budapest market. After a strong first quarter in 2017, robust GDP growth of 3.6% is forecasted for 2017. GDP growth, together with continued monetary easing, is expected to further strengthen the positive business sentiment. Labour shortages, however are putting pressure on the Budapest market in particular </w:t>
      </w:r>
      <w:r>
        <w:rPr>
          <w:i/>
          <w:sz w:val="18"/>
          <w:szCs w:val="18"/>
          <w:lang w:val="en-GB"/>
        </w:rPr>
        <w:t>(Source: Cushman &amp; Wakefield)</w:t>
      </w:r>
    </w:p>
    <w:p w14:paraId="0772B1BD" w14:textId="77777777" w:rsidR="00F76607" w:rsidRDefault="001863F0">
      <w:pPr>
        <w:pStyle w:val="NormalWeb"/>
        <w:spacing w:before="240" w:after="0"/>
        <w:ind w:firstLine="857"/>
        <w:jc w:val="both"/>
        <w:rPr>
          <w:sz w:val="18"/>
          <w:szCs w:val="18"/>
          <w:lang w:val="en-GB"/>
        </w:rPr>
      </w:pPr>
      <w:r>
        <w:rPr>
          <w:sz w:val="18"/>
          <w:szCs w:val="18"/>
          <w:lang w:val="en-GB"/>
        </w:rPr>
        <w:t xml:space="preserve">As in previous quarters, the automotive sector, along with occupiers from the logistics and the dynamically expanding e-commerce segments, were the main drivers of demand in Q1 2017. Low vacancy rates and increasing construction costs have started increasing upwards pressure on rents; however, rental levels remained stable in the first quarter. </w:t>
      </w:r>
    </w:p>
    <w:p w14:paraId="561942F3" w14:textId="77777777" w:rsidR="00F76607" w:rsidRDefault="001863F0">
      <w:pPr>
        <w:pStyle w:val="NormalWeb"/>
        <w:spacing w:before="240"/>
        <w:ind w:firstLine="857"/>
        <w:jc w:val="both"/>
        <w:rPr>
          <w:sz w:val="18"/>
          <w:szCs w:val="18"/>
          <w:lang w:val="en-GB"/>
        </w:rPr>
      </w:pPr>
      <w:r>
        <w:rPr>
          <w:sz w:val="18"/>
          <w:szCs w:val="18"/>
          <w:lang w:val="en-GB"/>
        </w:rPr>
        <w:t xml:space="preserve">Total leasing activity in Q2 2017 reached a record high of 212,800 m². However, the underlying lack of available relocation options, due to the absence of new speculative supply, has seen renewals account for 75% of the occupational activity. In fact, the largest transaction was a renewal with </w:t>
      </w:r>
      <w:proofErr w:type="spellStart"/>
      <w:r>
        <w:rPr>
          <w:sz w:val="18"/>
          <w:szCs w:val="18"/>
          <w:lang w:val="en-GB"/>
        </w:rPr>
        <w:t>Waberer’s</w:t>
      </w:r>
      <w:proofErr w:type="spellEnd"/>
      <w:r>
        <w:rPr>
          <w:sz w:val="18"/>
          <w:szCs w:val="18"/>
          <w:lang w:val="en-GB"/>
        </w:rPr>
        <w:t xml:space="preserve"> committing for a new term on their 95,000 m²</w:t>
      </w:r>
      <w:r>
        <w:rPr>
          <w:b/>
          <w:sz w:val="18"/>
          <w:szCs w:val="18"/>
          <w:lang w:val="en-GB"/>
        </w:rPr>
        <w:t xml:space="preserve"> </w:t>
      </w:r>
      <w:r>
        <w:rPr>
          <w:sz w:val="18"/>
          <w:szCs w:val="18"/>
          <w:lang w:val="en-GB"/>
        </w:rPr>
        <w:t xml:space="preserve">facility at BILK. Supply, cannot accommodate the requirements of new entrants and expansions. The lack of available warehouse space around Budapest and the current strong demand trends are strengthening landlords’ negotiating positions. </w:t>
      </w:r>
      <w:r>
        <w:rPr>
          <w:i/>
          <w:sz w:val="18"/>
          <w:szCs w:val="18"/>
          <w:lang w:val="en-GB"/>
        </w:rPr>
        <w:t>(Source: Cushman &amp; Wakefield)</w:t>
      </w:r>
    </w:p>
    <w:p w14:paraId="222A5353" w14:textId="77777777" w:rsidR="00F76607" w:rsidRDefault="001863F0">
      <w:pPr>
        <w:pStyle w:val="NormalWeb"/>
        <w:spacing w:before="240" w:after="0"/>
        <w:ind w:firstLine="857"/>
        <w:jc w:val="both"/>
        <w:rPr>
          <w:sz w:val="18"/>
          <w:szCs w:val="18"/>
          <w:lang w:val="en-GB"/>
        </w:rPr>
      </w:pPr>
      <w:r>
        <w:rPr>
          <w:sz w:val="18"/>
          <w:szCs w:val="18"/>
          <w:lang w:val="en-GB"/>
        </w:rPr>
        <w:t xml:space="preserve">The industrial investment market recorded healthy activity levels in Q2 2017 with yields that remained stable over the quarter. A yield hardening is expected as 2017 progresses due to increased competition for the best assets, which are scarce. This may force investors to divert their attention to stable countryside projects. </w:t>
      </w:r>
    </w:p>
    <w:p w14:paraId="4CCB51F8" w14:textId="77777777" w:rsidR="00F76607" w:rsidRDefault="001863F0">
      <w:pPr>
        <w:pStyle w:val="NormalWeb"/>
        <w:spacing w:before="240" w:after="0"/>
        <w:ind w:firstLine="857"/>
        <w:rPr>
          <w:i/>
          <w:sz w:val="18"/>
          <w:szCs w:val="18"/>
          <w:lang w:val="en-GB"/>
        </w:rPr>
      </w:pPr>
      <w:r>
        <w:rPr>
          <w:sz w:val="18"/>
          <w:szCs w:val="18"/>
          <w:lang w:val="en-GB"/>
        </w:rPr>
        <w:t xml:space="preserve">There is around 80,000 m² of new space scheduled to enter the market by the end of this year, which should bring some temporary relief to the occupier market. </w:t>
      </w:r>
      <w:r>
        <w:rPr>
          <w:i/>
          <w:sz w:val="18"/>
          <w:szCs w:val="18"/>
          <w:lang w:val="en-GB"/>
        </w:rPr>
        <w:t>(Source: Cushman &amp; Wakefield)</w:t>
      </w:r>
    </w:p>
    <w:p w14:paraId="2F14877D" w14:textId="0FE33576" w:rsidR="00F76607" w:rsidRDefault="001863F0">
      <w:pPr>
        <w:pStyle w:val="NormalWeb"/>
        <w:spacing w:before="240" w:after="0"/>
        <w:ind w:firstLine="857"/>
        <w:jc w:val="both"/>
        <w:rPr>
          <w:sz w:val="18"/>
          <w:szCs w:val="18"/>
          <w:lang w:val="en-GB"/>
        </w:rPr>
      </w:pPr>
      <w:r>
        <w:rPr>
          <w:sz w:val="18"/>
          <w:szCs w:val="18"/>
          <w:lang w:val="en-GB"/>
        </w:rPr>
        <w:t>Limited available warehouse space is putting upwards pressure on prime rents (4.3% growth in Budapest). Prime yields remained unchanged in Q2 2017, ranging between 8.00%-9.75%. (</w:t>
      </w:r>
      <w:r>
        <w:rPr>
          <w:i/>
          <w:sz w:val="18"/>
          <w:szCs w:val="18"/>
          <w:lang w:val="en-GB"/>
        </w:rPr>
        <w:t>Source: Cushman &amp; Wakefield</w:t>
      </w:r>
      <w:r>
        <w:rPr>
          <w:sz w:val="18"/>
          <w:szCs w:val="18"/>
          <w:lang w:val="en-GB"/>
        </w:rPr>
        <w:t>)</w:t>
      </w:r>
      <w:r w:rsidR="00FF2ECC">
        <w:rPr>
          <w:sz w:val="18"/>
          <w:szCs w:val="18"/>
          <w:lang w:val="en-GB"/>
        </w:rPr>
        <w:t xml:space="preserve"> </w:t>
      </w:r>
    </w:p>
    <w:p w14:paraId="419E8B92" w14:textId="77777777" w:rsidR="00F76607" w:rsidRDefault="001863F0">
      <w:pPr>
        <w:pStyle w:val="NormalWeb"/>
        <w:spacing w:before="240" w:after="0"/>
        <w:ind w:firstLine="857"/>
        <w:rPr>
          <w:b/>
          <w:bCs/>
          <w:sz w:val="18"/>
          <w:szCs w:val="18"/>
          <w:lang w:val="en-GB"/>
        </w:rPr>
      </w:pPr>
      <w:r>
        <w:rPr>
          <w:b/>
          <w:bCs/>
          <w:sz w:val="18"/>
          <w:szCs w:val="18"/>
          <w:lang w:val="en-GB"/>
        </w:rPr>
        <w:t>The logistics property market in Romania</w:t>
      </w:r>
    </w:p>
    <w:p w14:paraId="7A5D2C9D" w14:textId="77777777" w:rsidR="00F76607" w:rsidRDefault="001863F0">
      <w:pPr>
        <w:pStyle w:val="NormalWeb"/>
        <w:spacing w:before="240" w:after="0"/>
        <w:ind w:firstLine="857"/>
        <w:jc w:val="both"/>
        <w:rPr>
          <w:sz w:val="18"/>
          <w:szCs w:val="18"/>
          <w:lang w:val="en-GB"/>
        </w:rPr>
      </w:pPr>
      <w:r>
        <w:rPr>
          <w:sz w:val="18"/>
          <w:szCs w:val="18"/>
          <w:lang w:val="en-GB"/>
        </w:rPr>
        <w:t xml:space="preserve">According to Eurostat, Romania recorded in Q2 2017 the largest industrial sector growth across the European Union countries (14.6% year-on-year). Demand for industrial and logistics spaces was higher by ~47% compared with the same period last year. Throughout the second quarter, approximately 50,000 m² of industrial and logistics spaces were delivered. However, for the second half of the year, new supply is expected to reach record highs. Rental levels remained stable, with prime headline rents around € 4.25 / m²/ month. </w:t>
      </w:r>
    </w:p>
    <w:p w14:paraId="6385754D" w14:textId="77777777" w:rsidR="00F76607" w:rsidRDefault="001863F0">
      <w:pPr>
        <w:pStyle w:val="NormalWeb"/>
        <w:spacing w:before="240" w:after="0"/>
        <w:ind w:firstLine="857"/>
        <w:jc w:val="both"/>
        <w:rPr>
          <w:sz w:val="18"/>
          <w:szCs w:val="18"/>
          <w:lang w:val="en-GB"/>
        </w:rPr>
      </w:pPr>
      <w:r>
        <w:rPr>
          <w:sz w:val="18"/>
          <w:szCs w:val="18"/>
          <w:lang w:val="en-GB"/>
        </w:rPr>
        <w:t xml:space="preserve">In Q2 2017, demand for industrial and logistics spaces in Romania was of approximately 195,000 m². Net take-up represented around 65%, with 125,000 m² transacted. Companies active in the logistics and distribution sectors were the most active tenants. Bucharest, the largest industrial and logistics market in the country, attracted 45% of the net take-up, followed by regional markets such as Pitesti and Timisoara, with a share of 26% and 10% of the net take-up respectively. Developers’ confidence is reflected in the large volume of new supply expected to be delivered. </w:t>
      </w:r>
      <w:r>
        <w:rPr>
          <w:i/>
          <w:sz w:val="18"/>
          <w:szCs w:val="18"/>
          <w:lang w:val="en-GB"/>
        </w:rPr>
        <w:t>(Source: Cushman &amp; Wakefield)</w:t>
      </w:r>
    </w:p>
    <w:p w14:paraId="11F1E4F7" w14:textId="77777777" w:rsidR="00F76607" w:rsidRDefault="001863F0">
      <w:pPr>
        <w:pStyle w:val="NormalWeb"/>
        <w:spacing w:before="240" w:after="0"/>
        <w:ind w:firstLine="857"/>
        <w:jc w:val="both"/>
        <w:rPr>
          <w:sz w:val="18"/>
          <w:szCs w:val="18"/>
          <w:lang w:val="en-GB"/>
        </w:rPr>
      </w:pPr>
      <w:r>
        <w:rPr>
          <w:sz w:val="18"/>
          <w:szCs w:val="18"/>
          <w:lang w:val="en-GB"/>
        </w:rPr>
        <w:t xml:space="preserve">The largest transaction was the purchase of Blackstone’s </w:t>
      </w:r>
      <w:proofErr w:type="spellStart"/>
      <w:r>
        <w:rPr>
          <w:sz w:val="18"/>
          <w:szCs w:val="18"/>
          <w:lang w:val="en-GB"/>
        </w:rPr>
        <w:t>Logicor</w:t>
      </w:r>
      <w:proofErr w:type="spellEnd"/>
      <w:r>
        <w:rPr>
          <w:sz w:val="18"/>
          <w:szCs w:val="18"/>
          <w:lang w:val="en-GB"/>
        </w:rPr>
        <w:t xml:space="preserve"> portfolio by China Investment Corporation, comprising four projects across Romania, with a total GLA of ~100,000 m². </w:t>
      </w:r>
    </w:p>
    <w:p w14:paraId="07E990FB" w14:textId="77777777" w:rsidR="00F76607" w:rsidRDefault="001863F0">
      <w:pPr>
        <w:pStyle w:val="NormalWeb"/>
        <w:ind w:firstLine="857"/>
        <w:jc w:val="both"/>
        <w:rPr>
          <w:sz w:val="18"/>
          <w:szCs w:val="18"/>
          <w:lang w:val="en-GB"/>
        </w:rPr>
      </w:pPr>
      <w:r>
        <w:rPr>
          <w:sz w:val="18"/>
          <w:szCs w:val="18"/>
          <w:lang w:val="en-GB"/>
        </w:rPr>
        <w:t>In the second quarter of 2017, prime industrial yields remained stable, varying between 8.75%-9.50% across cities</w:t>
      </w:r>
      <w:r>
        <w:rPr>
          <w:sz w:val="18"/>
          <w:szCs w:val="18"/>
        </w:rPr>
        <w:t>.</w:t>
      </w:r>
      <w:r>
        <w:t>.</w:t>
      </w:r>
      <w:r>
        <w:rPr>
          <w:sz w:val="18"/>
          <w:szCs w:val="18"/>
          <w:lang w:val="en-GB"/>
        </w:rPr>
        <w:t xml:space="preserve"> Given the economic growth is based on private consumption and investments, the industrial market in Romania is expected to continue witnessing the same upward trend. Considering the high level of demand, more than 400,000 m² of new industrial and logistics spaces are expected to be delivered in the following year </w:t>
      </w:r>
      <w:r>
        <w:rPr>
          <w:i/>
          <w:sz w:val="18"/>
          <w:szCs w:val="18"/>
          <w:lang w:val="en-GB"/>
        </w:rPr>
        <w:t>(Source: Cushman &amp; Wakefield)</w:t>
      </w:r>
    </w:p>
    <w:p w14:paraId="266B97F8" w14:textId="77777777" w:rsidR="00F76607" w:rsidRDefault="001863F0">
      <w:pPr>
        <w:pStyle w:val="NormalWeb"/>
        <w:spacing w:before="240" w:after="0"/>
        <w:ind w:firstLine="857"/>
        <w:rPr>
          <w:b/>
          <w:bCs/>
          <w:sz w:val="18"/>
          <w:szCs w:val="18"/>
          <w:lang w:val="en-GB"/>
        </w:rPr>
      </w:pPr>
      <w:r>
        <w:rPr>
          <w:b/>
          <w:bCs/>
          <w:sz w:val="18"/>
          <w:szCs w:val="18"/>
          <w:lang w:val="en-GB"/>
        </w:rPr>
        <w:t>The logistics property market in Latvia</w:t>
      </w:r>
    </w:p>
    <w:p w14:paraId="08B1D412" w14:textId="77777777" w:rsidR="00F76607" w:rsidRDefault="001863F0">
      <w:pPr>
        <w:pStyle w:val="NormalWeb"/>
        <w:spacing w:before="240" w:after="0"/>
        <w:ind w:firstLine="857"/>
        <w:jc w:val="both"/>
        <w:rPr>
          <w:sz w:val="18"/>
          <w:szCs w:val="18"/>
          <w:lang w:val="en-GB"/>
        </w:rPr>
      </w:pPr>
      <w:r>
        <w:rPr>
          <w:sz w:val="18"/>
          <w:szCs w:val="18"/>
          <w:lang w:val="en-GB"/>
        </w:rPr>
        <w:lastRenderedPageBreak/>
        <w:t>Latvia’s economy grew as the second fastest in the EU, with GDP growing at 4.8% in Q2 2017 (vs. Q2 2016). Despite modest completion of volumes in 2016, development activity continued with projects under active construction and even more in the planning pipeline. Stable demand for modern and end-user oriented premises encouraged developers to engage in speculative development even without pre-lease agreements. During 2016, the market saw a gradual shift of professional industrial property rent rates towards a differentiation between Riga and the Riga Region. Due to new project commissioning and a series of tenant activities, the market experienced an increase in vacancy, although a shortage of larger premises was observed.</w:t>
      </w:r>
      <w:r>
        <w:rPr>
          <w:i/>
          <w:sz w:val="18"/>
          <w:szCs w:val="18"/>
          <w:lang w:val="en-GB"/>
        </w:rPr>
        <w:t xml:space="preserve"> (Source: </w:t>
      </w:r>
      <w:r>
        <w:rPr>
          <w:i/>
          <w:sz w:val="18"/>
          <w:szCs w:val="18"/>
        </w:rPr>
        <w:t>Latvian Information Agency</w:t>
      </w:r>
      <w:r>
        <w:rPr>
          <w:i/>
          <w:sz w:val="18"/>
          <w:szCs w:val="18"/>
          <w:lang w:val="en-GB"/>
        </w:rPr>
        <w:t>)</w:t>
      </w:r>
    </w:p>
    <w:p w14:paraId="29217B40" w14:textId="77777777" w:rsidR="00F76607" w:rsidRDefault="001863F0">
      <w:pPr>
        <w:pStyle w:val="NormalWeb"/>
        <w:spacing w:before="240" w:after="0"/>
        <w:ind w:firstLine="857"/>
        <w:jc w:val="both"/>
        <w:rPr>
          <w:sz w:val="18"/>
          <w:szCs w:val="18"/>
          <w:lang w:val="en-GB"/>
        </w:rPr>
      </w:pPr>
      <w:r>
        <w:rPr>
          <w:sz w:val="18"/>
          <w:szCs w:val="18"/>
          <w:lang w:val="en-GB"/>
        </w:rPr>
        <w:t xml:space="preserve">By the end of 2016, total professional leasable industrial space, including all modern warehouse, logistic and industrial buildings in Riga and the Riga Region, amounted to approximately 944,100 m², consisting of 638,200 m² of speculative premises and 305,900 m² of built-to-suit premises. Around 42% of total professional space is located within Riga city limits. The other 58% is located around the Riga Ring Road (near </w:t>
      </w:r>
      <w:proofErr w:type="spellStart"/>
      <w:r>
        <w:rPr>
          <w:sz w:val="18"/>
          <w:szCs w:val="18"/>
          <w:lang w:val="en-GB"/>
        </w:rPr>
        <w:t>Kekava</w:t>
      </w:r>
      <w:proofErr w:type="spellEnd"/>
      <w:r>
        <w:rPr>
          <w:sz w:val="18"/>
          <w:szCs w:val="18"/>
          <w:lang w:val="en-GB"/>
        </w:rPr>
        <w:t xml:space="preserve">, </w:t>
      </w:r>
      <w:proofErr w:type="spellStart"/>
      <w:r>
        <w:rPr>
          <w:sz w:val="18"/>
          <w:szCs w:val="18"/>
          <w:lang w:val="en-GB"/>
        </w:rPr>
        <w:t>Olaine</w:t>
      </w:r>
      <w:proofErr w:type="spellEnd"/>
      <w:r>
        <w:rPr>
          <w:sz w:val="18"/>
          <w:szCs w:val="18"/>
          <w:lang w:val="en-GB"/>
        </w:rPr>
        <w:t xml:space="preserve">, </w:t>
      </w:r>
      <w:proofErr w:type="spellStart"/>
      <w:r>
        <w:rPr>
          <w:sz w:val="18"/>
          <w:szCs w:val="18"/>
          <w:lang w:val="en-GB"/>
        </w:rPr>
        <w:t>Marupe</w:t>
      </w:r>
      <w:proofErr w:type="spellEnd"/>
      <w:r>
        <w:rPr>
          <w:sz w:val="18"/>
          <w:szCs w:val="18"/>
          <w:lang w:val="en-GB"/>
        </w:rPr>
        <w:t xml:space="preserve">, </w:t>
      </w:r>
      <w:proofErr w:type="spellStart"/>
      <w:r>
        <w:rPr>
          <w:sz w:val="18"/>
          <w:szCs w:val="18"/>
          <w:lang w:val="en-GB"/>
        </w:rPr>
        <w:t>Salaspils</w:t>
      </w:r>
      <w:proofErr w:type="spellEnd"/>
      <w:r>
        <w:rPr>
          <w:sz w:val="18"/>
          <w:szCs w:val="18"/>
          <w:lang w:val="en-GB"/>
        </w:rPr>
        <w:t xml:space="preserve"> and Jelgava). </w:t>
      </w:r>
    </w:p>
    <w:p w14:paraId="04820F62" w14:textId="77777777" w:rsidR="00F76607" w:rsidRDefault="001863F0">
      <w:pPr>
        <w:pStyle w:val="NormalWeb"/>
        <w:spacing w:before="240" w:after="0"/>
        <w:ind w:firstLine="857"/>
        <w:jc w:val="both"/>
        <w:rPr>
          <w:sz w:val="18"/>
          <w:szCs w:val="18"/>
          <w:lang w:val="en-GB"/>
        </w:rPr>
      </w:pPr>
      <w:r>
        <w:rPr>
          <w:sz w:val="18"/>
          <w:szCs w:val="18"/>
          <w:lang w:val="en-GB"/>
        </w:rPr>
        <w:t xml:space="preserve">2016 was marked by active demand for industrial premises, which resulted in total take up of 61,100 m², with the typical average leased area of 1,500 – 2,000 m². During 2016, tenants seeking individual solutions were moving to new properties, while tenants with expiring rent agreements were looking for relocation at the same price to new properties or staying in their current location at a lower price. </w:t>
      </w:r>
    </w:p>
    <w:p w14:paraId="0C94E0DF" w14:textId="77777777" w:rsidR="00F76607" w:rsidRDefault="001863F0">
      <w:pPr>
        <w:pStyle w:val="NormalWeb"/>
        <w:spacing w:before="240" w:after="0"/>
        <w:ind w:firstLine="857"/>
        <w:jc w:val="both"/>
        <w:rPr>
          <w:sz w:val="18"/>
          <w:szCs w:val="18"/>
          <w:lang w:val="en-GB"/>
        </w:rPr>
      </w:pPr>
      <w:r>
        <w:rPr>
          <w:sz w:val="18"/>
          <w:szCs w:val="18"/>
          <w:lang w:val="en-GB"/>
        </w:rPr>
        <w:t xml:space="preserve">In line with the general e-commerce market development, the Latvian industrial real estate market has seen increasing activity from parcel delivery/distribution companies seeking professional premises matching their specific requirements. </w:t>
      </w:r>
    </w:p>
    <w:p w14:paraId="46837C51" w14:textId="77777777" w:rsidR="00F76607" w:rsidRDefault="001863F0">
      <w:pPr>
        <w:pStyle w:val="NormalWeb"/>
        <w:spacing w:before="240" w:after="0"/>
        <w:ind w:firstLine="857"/>
        <w:jc w:val="both"/>
        <w:rPr>
          <w:sz w:val="18"/>
          <w:szCs w:val="18"/>
          <w:lang w:val="en-GB"/>
        </w:rPr>
      </w:pPr>
      <w:r>
        <w:rPr>
          <w:sz w:val="18"/>
          <w:szCs w:val="18"/>
          <w:lang w:val="en-GB"/>
        </w:rPr>
        <w:t xml:space="preserve">New properties offer tailor made solutions for market rent rates, which means that older warehouse rent rates might decrease. In the second half of 2017, vacancy is expected to increase on rent rates for existing warehouses. Despite the high vacancy rate in 2016, Riga still experienced a shortage of premises within the 1,000 – 2,000 m² range. </w:t>
      </w:r>
    </w:p>
    <w:p w14:paraId="3D44F6D5" w14:textId="77777777" w:rsidR="00F76607" w:rsidRDefault="001863F0">
      <w:pPr>
        <w:pStyle w:val="NormalWeb"/>
        <w:spacing w:before="240" w:after="0"/>
        <w:ind w:firstLine="857"/>
        <w:rPr>
          <w:i/>
          <w:sz w:val="18"/>
          <w:szCs w:val="18"/>
          <w:lang w:val="en-GB"/>
        </w:rPr>
      </w:pPr>
      <w:r>
        <w:rPr>
          <w:sz w:val="18"/>
          <w:szCs w:val="18"/>
          <w:lang w:val="en-GB"/>
        </w:rPr>
        <w:t xml:space="preserve">During 2017, total professional leasable industrial space is anticipated to be supplemented by an additional 59,700 m² and start of construction work on even more projects is expected in the coming year. Logistic and distribution companies are expected to remain the main demand drivers. Prime yields compressed to 8.25% by the end of 2016. </w:t>
      </w:r>
      <w:r>
        <w:rPr>
          <w:i/>
          <w:sz w:val="18"/>
          <w:szCs w:val="18"/>
          <w:lang w:val="en-GB"/>
        </w:rPr>
        <w:t>(Source: Colliers)</w:t>
      </w:r>
    </w:p>
    <w:p w14:paraId="19BE2731" w14:textId="77777777" w:rsidR="00F76607" w:rsidRDefault="001863F0">
      <w:pPr>
        <w:pStyle w:val="NormalWeb"/>
        <w:spacing w:before="240" w:after="0"/>
        <w:ind w:firstLine="720"/>
        <w:rPr>
          <w:b/>
          <w:bCs/>
          <w:sz w:val="18"/>
          <w:szCs w:val="18"/>
          <w:lang w:val="en-GB"/>
        </w:rPr>
      </w:pPr>
      <w:r>
        <w:rPr>
          <w:b/>
          <w:bCs/>
          <w:sz w:val="18"/>
          <w:szCs w:val="18"/>
          <w:lang w:val="en-GB"/>
        </w:rPr>
        <w:t>Competition</w:t>
      </w:r>
    </w:p>
    <w:p w14:paraId="2EF2462A" w14:textId="77777777" w:rsidR="00F76607" w:rsidRDefault="001863F0">
      <w:pPr>
        <w:pStyle w:val="NormalWeb"/>
        <w:spacing w:before="240" w:after="0"/>
        <w:ind w:firstLine="857"/>
        <w:rPr>
          <w:sz w:val="18"/>
          <w:szCs w:val="18"/>
          <w:lang w:val="en-GB"/>
        </w:rPr>
      </w:pPr>
      <w:r>
        <w:rPr>
          <w:sz w:val="18"/>
          <w:szCs w:val="18"/>
          <w:lang w:val="en-GB"/>
        </w:rPr>
        <w:t>The markets in which the Group operates are exposed to local and international competition. Basically, there are 4 types of competitors i.e. small local players, large established real estate players, occasional new real estate players, and lease companies.</w:t>
      </w:r>
    </w:p>
    <w:p w14:paraId="1F7A780D" w14:textId="77777777" w:rsidR="00F76607" w:rsidRDefault="001863F0">
      <w:pPr>
        <w:pStyle w:val="NormalWeb"/>
        <w:spacing w:before="240" w:after="0"/>
        <w:ind w:firstLine="857"/>
        <w:rPr>
          <w:sz w:val="18"/>
          <w:szCs w:val="18"/>
          <w:lang w:val="en-GB"/>
        </w:rPr>
      </w:pPr>
      <w:r>
        <w:rPr>
          <w:sz w:val="18"/>
          <w:szCs w:val="18"/>
          <w:lang w:val="en-GB"/>
        </w:rPr>
        <w:t xml:space="preserve">In Germany and the countries in which VGP operates, </w:t>
      </w:r>
      <w:proofErr w:type="spellStart"/>
      <w:r>
        <w:rPr>
          <w:sz w:val="18"/>
          <w:szCs w:val="18"/>
          <w:lang w:val="en-GB"/>
        </w:rPr>
        <w:t>ProLogis</w:t>
      </w:r>
      <w:proofErr w:type="spellEnd"/>
      <w:r>
        <w:rPr>
          <w:sz w:val="18"/>
          <w:szCs w:val="18"/>
          <w:lang w:val="en-GB"/>
        </w:rPr>
        <w:t xml:space="preserve">, Segro, Goodman and </w:t>
      </w:r>
      <w:proofErr w:type="spellStart"/>
      <w:r>
        <w:rPr>
          <w:sz w:val="18"/>
          <w:szCs w:val="18"/>
          <w:lang w:val="en-GB"/>
        </w:rPr>
        <w:t>Pannatoni</w:t>
      </w:r>
      <w:proofErr w:type="spellEnd"/>
      <w:r>
        <w:rPr>
          <w:sz w:val="18"/>
          <w:szCs w:val="18"/>
          <w:lang w:val="en-GB"/>
        </w:rPr>
        <w:t xml:space="preserve"> are some of the largest market players. None of the above-mentioned developers, however, occupies a dominant position in Germany or in Central Europe as a whole. In Germany, a number of regional local developers are also active, typically developing in their respective Länder (i.e. German federal states).</w:t>
      </w:r>
    </w:p>
    <w:p w14:paraId="385C4671" w14:textId="77777777" w:rsidR="00F76607" w:rsidRDefault="001863F0">
      <w:pPr>
        <w:pStyle w:val="NormalWeb"/>
        <w:spacing w:before="240" w:after="0"/>
        <w:ind w:firstLine="720"/>
        <w:rPr>
          <w:sz w:val="18"/>
          <w:szCs w:val="18"/>
          <w:lang w:val="en-GB"/>
        </w:rPr>
      </w:pPr>
      <w:r>
        <w:rPr>
          <w:sz w:val="18"/>
          <w:szCs w:val="18"/>
          <w:lang w:val="en-GB"/>
        </w:rPr>
        <w:t xml:space="preserve">The competition in the Czech Republic comes mainly from large established real estate developers. These developers have land bank positions and established projects and business parks in the Czech Republic. The biggest competitors amongst them are: CTP Invest, P3, </w:t>
      </w:r>
      <w:proofErr w:type="spellStart"/>
      <w:r>
        <w:rPr>
          <w:sz w:val="18"/>
          <w:szCs w:val="18"/>
          <w:lang w:val="en-GB"/>
        </w:rPr>
        <w:t>ProLogis</w:t>
      </w:r>
      <w:proofErr w:type="spellEnd"/>
      <w:r>
        <w:rPr>
          <w:sz w:val="18"/>
          <w:szCs w:val="18"/>
          <w:lang w:val="en-GB"/>
        </w:rPr>
        <w:t xml:space="preserve">, Goodman and </w:t>
      </w:r>
      <w:proofErr w:type="spellStart"/>
      <w:r>
        <w:rPr>
          <w:sz w:val="18"/>
          <w:szCs w:val="18"/>
          <w:lang w:val="en-GB"/>
        </w:rPr>
        <w:t>Pannatoni</w:t>
      </w:r>
      <w:proofErr w:type="spellEnd"/>
      <w:r>
        <w:rPr>
          <w:sz w:val="18"/>
          <w:szCs w:val="18"/>
          <w:lang w:val="en-GB"/>
        </w:rPr>
        <w:t xml:space="preserve">. Besides these there are a number of investment funds who have bought existing stock from developers which may from time to time lose a tenant and promote the resulting vacancy in the market. The biggest competitors amongst them are Segro and </w:t>
      </w:r>
      <w:proofErr w:type="spellStart"/>
      <w:r>
        <w:rPr>
          <w:sz w:val="18"/>
          <w:szCs w:val="18"/>
          <w:lang w:val="en-GB"/>
        </w:rPr>
        <w:t>Heitman</w:t>
      </w:r>
      <w:proofErr w:type="spellEnd"/>
      <w:r>
        <w:rPr>
          <w:sz w:val="18"/>
          <w:szCs w:val="18"/>
          <w:lang w:val="en-GB"/>
        </w:rPr>
        <w:t>.</w:t>
      </w:r>
    </w:p>
    <w:p w14:paraId="47072DF9" w14:textId="77777777" w:rsidR="00F76607" w:rsidRDefault="001863F0">
      <w:pPr>
        <w:pStyle w:val="NormalWeb"/>
        <w:spacing w:before="240" w:after="0"/>
        <w:ind w:firstLine="857"/>
        <w:rPr>
          <w:rFonts w:eastAsiaTheme="minorEastAsia"/>
          <w:sz w:val="2"/>
          <w:szCs w:val="2"/>
          <w:lang w:val="en-GB"/>
        </w:rPr>
      </w:pPr>
      <w:r>
        <w:rPr>
          <w:sz w:val="18"/>
          <w:szCs w:val="18"/>
          <w:lang w:val="en-GB"/>
        </w:rPr>
        <w:t xml:space="preserve">The different real estate companies usually have different business models. Whereas the large real estate players will usually concentrate on “big box” logistic warehouses i.e. large buildings &gt;50,000 m², VGP operates in a niche market concentrating on smaller buildings 5,000 m² - 20,000 m² (up to around 50,000 m² </w:t>
      </w:r>
      <w:proofErr w:type="spellStart"/>
      <w:r>
        <w:rPr>
          <w:sz w:val="18"/>
          <w:szCs w:val="18"/>
        </w:rPr>
        <w:t>i</w:t>
      </w:r>
      <w:proofErr w:type="spellEnd"/>
      <w:r>
        <w:rPr>
          <w:sz w:val="18"/>
          <w:szCs w:val="18"/>
          <w:lang w:val="en-GB"/>
        </w:rPr>
        <w:t>n Germany) which attract more interest from end users. VGP experienced this model to be more resilient to the economic downturn of the past few years.</w:t>
      </w:r>
    </w:p>
    <w:p w14:paraId="797B89E3" w14:textId="77777777" w:rsidR="00F76607" w:rsidRDefault="00F76607">
      <w:pPr>
        <w:rPr>
          <w:b/>
          <w:bCs/>
          <w:caps/>
          <w:sz w:val="18"/>
          <w:szCs w:val="18"/>
          <w:lang w:val="en-GB"/>
        </w:rPr>
      </w:pPr>
    </w:p>
    <w:p w14:paraId="1365C0E7" w14:textId="77777777" w:rsidR="00F76607" w:rsidRDefault="001863F0">
      <w:pPr>
        <w:pStyle w:val="VulcanIISectionTitle"/>
      </w:pPr>
      <w:bookmarkStart w:id="90" w:name="_Toc493194618"/>
      <w:r>
        <w:lastRenderedPageBreak/>
        <w:t>Management and Corporate Governance</w:t>
      </w:r>
      <w:bookmarkEnd w:id="90"/>
      <w:r>
        <w:t xml:space="preserve"> </w:t>
      </w:r>
    </w:p>
    <w:p w14:paraId="41A62613" w14:textId="77777777" w:rsidR="00F76607" w:rsidRDefault="001863F0">
      <w:pPr>
        <w:keepNext/>
        <w:spacing w:before="240"/>
        <w:rPr>
          <w:b/>
          <w:bCs/>
          <w:sz w:val="18"/>
          <w:szCs w:val="18"/>
        </w:rPr>
      </w:pPr>
      <w:r>
        <w:rPr>
          <w:b/>
          <w:bCs/>
          <w:sz w:val="18"/>
          <w:szCs w:val="18"/>
        </w:rPr>
        <w:t>Board of Directors</w:t>
      </w:r>
    </w:p>
    <w:p w14:paraId="1E0F7DAC" w14:textId="77777777" w:rsidR="00F76607" w:rsidRDefault="001863F0">
      <w:pPr>
        <w:keepNext/>
        <w:spacing w:before="240"/>
        <w:rPr>
          <w:b/>
          <w:bCs/>
          <w:i/>
          <w:sz w:val="18"/>
          <w:szCs w:val="18"/>
        </w:rPr>
      </w:pPr>
      <w:r>
        <w:rPr>
          <w:b/>
          <w:bCs/>
          <w:i/>
          <w:sz w:val="18"/>
          <w:szCs w:val="18"/>
        </w:rPr>
        <w:t>Role and powers of the Board of Directors</w:t>
      </w:r>
    </w:p>
    <w:p w14:paraId="5354EFFF" w14:textId="77777777" w:rsidR="00F76607" w:rsidRDefault="001863F0">
      <w:pPr>
        <w:spacing w:before="240" w:beforeAutospacing="1" w:after="100" w:afterAutospacing="1"/>
        <w:ind w:firstLine="857"/>
        <w:rPr>
          <w:sz w:val="18"/>
          <w:szCs w:val="18"/>
        </w:rPr>
      </w:pPr>
      <w:r>
        <w:rPr>
          <w:sz w:val="18"/>
          <w:szCs w:val="18"/>
        </w:rPr>
        <w:t xml:space="preserve">As provided by article 521 of the Belgian Company Code, the Company is headed by a board of directors acting as a collegial body (the “Board of Directors” or the “Board”). </w:t>
      </w:r>
    </w:p>
    <w:p w14:paraId="7C87F288" w14:textId="77777777" w:rsidR="00F76607" w:rsidRDefault="001863F0">
      <w:pPr>
        <w:spacing w:before="240" w:beforeAutospacing="1" w:after="100" w:afterAutospacing="1"/>
        <w:ind w:firstLine="857"/>
        <w:rPr>
          <w:sz w:val="18"/>
          <w:szCs w:val="18"/>
        </w:rPr>
      </w:pPr>
      <w:r>
        <w:rPr>
          <w:sz w:val="18"/>
          <w:szCs w:val="18"/>
        </w:rPr>
        <w:t xml:space="preserve">The Board of Directors manages the Company with a view to the growth of turnover and productivity by providing entrepreneurial leadership and enabling risks to be assessed and managed. The Board of Directors is accountable to the shareholders' meeting. </w:t>
      </w:r>
    </w:p>
    <w:p w14:paraId="06705700" w14:textId="77777777" w:rsidR="00F76607" w:rsidRDefault="001863F0">
      <w:pPr>
        <w:spacing w:before="240" w:beforeAutospacing="1" w:after="100" w:afterAutospacing="1"/>
        <w:ind w:firstLine="857"/>
        <w:rPr>
          <w:sz w:val="18"/>
          <w:szCs w:val="18"/>
        </w:rPr>
      </w:pPr>
      <w:r>
        <w:rPr>
          <w:sz w:val="18"/>
          <w:szCs w:val="18"/>
        </w:rPr>
        <w:t>As provided for by article 522 of the Belgian Company Code the Board of Directors is empowered to perform all actions that are considered necessary or useful to achieve the Company’s purpose, except with respect to such areas which are reserved to the shareholders' meeting by law or by the Articles of Association.</w:t>
      </w:r>
    </w:p>
    <w:p w14:paraId="1EC65DC3" w14:textId="77777777" w:rsidR="00F76607" w:rsidRDefault="001863F0">
      <w:pPr>
        <w:spacing w:before="240" w:beforeAutospacing="1" w:after="100" w:afterAutospacing="1"/>
        <w:ind w:firstLine="857"/>
        <w:rPr>
          <w:sz w:val="18"/>
          <w:szCs w:val="18"/>
        </w:rPr>
      </w:pPr>
      <w:r>
        <w:rPr>
          <w:sz w:val="18"/>
          <w:szCs w:val="18"/>
        </w:rPr>
        <w:t>In this light, the main tasks of the Board of Directors include:</w:t>
      </w:r>
    </w:p>
    <w:p w14:paraId="3B07D59C" w14:textId="77777777" w:rsidR="00F76607" w:rsidRDefault="001863F0">
      <w:pPr>
        <w:pStyle w:val="VulcanIIbullet"/>
      </w:pPr>
      <w:r>
        <w:t>deciding on the executive management structure and determine the powers and duties entrusted to the executive management;</w:t>
      </w:r>
    </w:p>
    <w:p w14:paraId="369A9E5C" w14:textId="77777777" w:rsidR="00F76607" w:rsidRDefault="001863F0">
      <w:pPr>
        <w:pStyle w:val="VulcanIIbullet"/>
      </w:pPr>
      <w:r>
        <w:t>deciding on the Company’s strategy (as recommended by the CEO) and growth areas, the Company's main policy lines, its willingness to take risks and its values;</w:t>
      </w:r>
    </w:p>
    <w:p w14:paraId="64B9FD58" w14:textId="77777777" w:rsidR="00F76607" w:rsidRDefault="001863F0">
      <w:pPr>
        <w:pStyle w:val="VulcanIIbullet"/>
      </w:pPr>
      <w:r>
        <w:t>deciding on and monitoring the budget;</w:t>
      </w:r>
    </w:p>
    <w:p w14:paraId="4E391593" w14:textId="77777777" w:rsidR="00F76607" w:rsidRDefault="001863F0">
      <w:pPr>
        <w:pStyle w:val="VulcanIIbullet"/>
      </w:pPr>
      <w:r>
        <w:t>being responsible for the Company’s corporate governance structure and the compliance with the provisions of the Corporate Governance Code;</w:t>
      </w:r>
    </w:p>
    <w:p w14:paraId="7EFD84DC" w14:textId="77777777" w:rsidR="00F76607" w:rsidRDefault="001863F0">
      <w:pPr>
        <w:pStyle w:val="VulcanIIbullet"/>
      </w:pPr>
      <w:r>
        <w:t>the appointment and dismissal of the CEO and the senior management;</w:t>
      </w:r>
    </w:p>
    <w:p w14:paraId="5EDEF1AB" w14:textId="77777777" w:rsidR="00F76607" w:rsidRDefault="001863F0">
      <w:pPr>
        <w:pStyle w:val="VulcanIIbullet"/>
      </w:pPr>
      <w:r>
        <w:t>deciding on the Company’s remuneration policy as regards the CEO and the senior management (on the recommendation of the Remuneration Committee);</w:t>
      </w:r>
    </w:p>
    <w:p w14:paraId="29EA0FCE" w14:textId="77777777" w:rsidR="00F76607" w:rsidRDefault="001863F0">
      <w:pPr>
        <w:pStyle w:val="VulcanIIbullet"/>
      </w:pPr>
      <w:r>
        <w:t>the appointment and dismissal of the members of the board committees;</w:t>
      </w:r>
    </w:p>
    <w:p w14:paraId="136D0DC8" w14:textId="77777777" w:rsidR="00F76607" w:rsidRDefault="001863F0">
      <w:pPr>
        <w:pStyle w:val="VulcanIIbullet"/>
      </w:pPr>
      <w:r>
        <w:t>the appointment and dismissal of the Company secretary;</w:t>
      </w:r>
    </w:p>
    <w:p w14:paraId="59B6711F" w14:textId="77777777" w:rsidR="00F76607" w:rsidRDefault="001863F0">
      <w:pPr>
        <w:pStyle w:val="VulcanIIbullet"/>
      </w:pPr>
      <w:r>
        <w:t>reviewing and approving, after consultation of the Audit Committee, the annual and periodical financial statements;</w:t>
      </w:r>
    </w:p>
    <w:p w14:paraId="471E8655" w14:textId="77777777" w:rsidR="00F76607" w:rsidRDefault="001863F0">
      <w:pPr>
        <w:pStyle w:val="VulcanIIbullet"/>
      </w:pPr>
      <w:r>
        <w:t>taking all necessary and useful measures for effective and efficient execution of the Belgian rules on market abuse, preparing and evaluating the Company’s dealing code;</w:t>
      </w:r>
    </w:p>
    <w:p w14:paraId="79143D12" w14:textId="77777777" w:rsidR="00F76607" w:rsidRDefault="001863F0">
      <w:pPr>
        <w:pStyle w:val="VulcanIIbullet"/>
      </w:pPr>
      <w:r>
        <w:t>convening the shareholders' meetings and submitting resolutions for approval; and</w:t>
      </w:r>
    </w:p>
    <w:p w14:paraId="1877E5B6" w14:textId="77777777" w:rsidR="00F76607" w:rsidRDefault="001863F0">
      <w:pPr>
        <w:pStyle w:val="VulcanIIbullet"/>
      </w:pPr>
      <w:r>
        <w:t xml:space="preserve">designing and reviewing a disclosure and communication policy promoting an effective dialogue with the Company’s shareholders and potential shareholders and in general supervising the compliance with the obligations of the Company vis-à-vis its shareholders. In this regard the board shall </w:t>
      </w:r>
      <w:proofErr w:type="spellStart"/>
      <w:r>
        <w:t>endeavour</w:t>
      </w:r>
      <w:proofErr w:type="spellEnd"/>
      <w:r>
        <w:t xml:space="preserve"> to have the controlling shareholder(s) make a considered use of its/their position and respect the rights the interests of the minority stakeholders, whereby the board shall encourage the controlling shareholders to respect the Corporate Governance Code.</w:t>
      </w:r>
    </w:p>
    <w:p w14:paraId="4AB4287F" w14:textId="77777777" w:rsidR="00F76607" w:rsidRDefault="001863F0">
      <w:pPr>
        <w:spacing w:before="240" w:beforeAutospacing="1" w:after="100" w:afterAutospacing="1"/>
        <w:ind w:firstLine="857"/>
        <w:rPr>
          <w:sz w:val="18"/>
          <w:szCs w:val="18"/>
        </w:rPr>
      </w:pPr>
      <w:r>
        <w:rPr>
          <w:sz w:val="18"/>
          <w:szCs w:val="18"/>
        </w:rPr>
        <w:t>With respect to its monitoring responsibilities the Board of Directors shall:</w:t>
      </w:r>
    </w:p>
    <w:p w14:paraId="7C825E82" w14:textId="77777777" w:rsidR="00F76607" w:rsidRDefault="001863F0">
      <w:pPr>
        <w:pStyle w:val="VulcanIIbullet"/>
      </w:pPr>
      <w:r>
        <w:t>monitor and review the effectiveness of the Audit Committee and the Remuneration Committee;</w:t>
      </w:r>
    </w:p>
    <w:p w14:paraId="3070A148" w14:textId="77777777" w:rsidR="00F76607" w:rsidRDefault="001863F0">
      <w:pPr>
        <w:pStyle w:val="VulcanIIbullet"/>
      </w:pPr>
      <w:r>
        <w:t>approve a clear and well-defined framework of internal control and risk management set up by the executive management;</w:t>
      </w:r>
    </w:p>
    <w:p w14:paraId="6BE80AF7" w14:textId="77777777" w:rsidR="00F76607" w:rsidRDefault="001863F0">
      <w:pPr>
        <w:pStyle w:val="VulcanIIbullet"/>
      </w:pPr>
      <w:r>
        <w:t>review the implementation of this framework, taking into account the review made by the Audit Committee;</w:t>
      </w:r>
    </w:p>
    <w:p w14:paraId="3FF98E55" w14:textId="77777777" w:rsidR="00F76607" w:rsidRDefault="001863F0">
      <w:pPr>
        <w:pStyle w:val="VulcanIIbullet"/>
      </w:pPr>
      <w:r>
        <w:t>describe the main features of the Company's internal control and risk management systems, to be disclosed in the VGP Charter;</w:t>
      </w:r>
    </w:p>
    <w:p w14:paraId="63D61C3B" w14:textId="77777777" w:rsidR="00F76607" w:rsidRDefault="001863F0">
      <w:pPr>
        <w:pStyle w:val="VulcanIIbullet"/>
      </w:pPr>
      <w:r>
        <w:t>take all necessary measures to ensure the integrity and timely disclosure of the Company’s financial statements and other material financial and non-financial information disclosed to the shareholders and potential shareholders;</w:t>
      </w:r>
    </w:p>
    <w:p w14:paraId="2805FCF8" w14:textId="77777777" w:rsidR="00F76607" w:rsidRDefault="001863F0">
      <w:pPr>
        <w:pStyle w:val="VulcanIIbullet"/>
      </w:pPr>
      <w:r>
        <w:t xml:space="preserve">review executive management performance and the </w:t>
      </w:r>
      <w:proofErr w:type="spellStart"/>
      <w:r>
        <w:t>realisation</w:t>
      </w:r>
      <w:proofErr w:type="spellEnd"/>
      <w:r>
        <w:t xml:space="preserve"> of the Company’s strategy;</w:t>
      </w:r>
    </w:p>
    <w:p w14:paraId="08C68166" w14:textId="77777777" w:rsidR="00F76607" w:rsidRDefault="001863F0">
      <w:pPr>
        <w:pStyle w:val="VulcanIIbullet"/>
      </w:pPr>
      <w:r>
        <w:t>supervise the performance of the statutory auditor and supervise the internal audit function, taking into account the review made by the Audit Committee.</w:t>
      </w:r>
    </w:p>
    <w:p w14:paraId="425EEE96" w14:textId="77777777" w:rsidR="00F76607" w:rsidRDefault="001863F0">
      <w:pPr>
        <w:keepNext/>
        <w:spacing w:before="240"/>
        <w:rPr>
          <w:b/>
          <w:bCs/>
          <w:i/>
          <w:iCs/>
          <w:sz w:val="18"/>
          <w:szCs w:val="18"/>
        </w:rPr>
      </w:pPr>
      <w:r>
        <w:rPr>
          <w:b/>
          <w:bCs/>
          <w:i/>
          <w:iCs/>
          <w:sz w:val="18"/>
          <w:szCs w:val="18"/>
        </w:rPr>
        <w:lastRenderedPageBreak/>
        <w:t>Individual Requirements of the Directors</w:t>
      </w:r>
    </w:p>
    <w:p w14:paraId="4EF3C3BD" w14:textId="77777777" w:rsidR="00F76607" w:rsidRDefault="001863F0">
      <w:pPr>
        <w:spacing w:before="240" w:beforeAutospacing="1" w:after="100" w:afterAutospacing="1"/>
        <w:ind w:firstLine="857"/>
        <w:rPr>
          <w:bCs/>
          <w:iCs/>
          <w:sz w:val="18"/>
          <w:szCs w:val="18"/>
        </w:rPr>
      </w:pPr>
      <w:r>
        <w:rPr>
          <w:bCs/>
          <w:iCs/>
          <w:sz w:val="18"/>
          <w:szCs w:val="18"/>
        </w:rPr>
        <w:t>The directors shall be specifically chosen for their particular professional experience, knowledge and skills. Any proposal for the appointment of a director by the shareholders' meeting shall be accompanied by a recommendation from the Board of Directors.</w:t>
      </w:r>
    </w:p>
    <w:p w14:paraId="78A8FBEE" w14:textId="77777777" w:rsidR="00F76607" w:rsidRDefault="001863F0">
      <w:pPr>
        <w:spacing w:before="240" w:beforeAutospacing="1" w:after="100" w:afterAutospacing="1"/>
        <w:ind w:firstLine="857"/>
        <w:rPr>
          <w:bCs/>
          <w:iCs/>
          <w:sz w:val="18"/>
          <w:szCs w:val="18"/>
        </w:rPr>
      </w:pPr>
      <w:r>
        <w:rPr>
          <w:bCs/>
          <w:iCs/>
          <w:sz w:val="18"/>
          <w:szCs w:val="18"/>
        </w:rPr>
        <w:t>Directors undertake that they have sufficient time to exercise their duties, taking into consideration the number and importance of their other commitments. They shall not hold more than five (5) directorships in listed companies, including the directorship in the Company, provided that the Board of Directors can advise the shareholders to deviate from this rule. Changes in the directorships held by the directors shall immediately be reported to the chairman of the Board of Directors.</w:t>
      </w:r>
    </w:p>
    <w:p w14:paraId="05D5C43D" w14:textId="77777777" w:rsidR="00F76607" w:rsidRDefault="001863F0">
      <w:pPr>
        <w:keepNext/>
        <w:spacing w:before="240"/>
        <w:rPr>
          <w:szCs w:val="24"/>
        </w:rPr>
      </w:pPr>
      <w:r>
        <w:rPr>
          <w:b/>
          <w:bCs/>
          <w:i/>
          <w:iCs/>
          <w:sz w:val="18"/>
          <w:szCs w:val="18"/>
        </w:rPr>
        <w:t xml:space="preserve">Composition of the Board of Directors </w:t>
      </w:r>
    </w:p>
    <w:p w14:paraId="74D6057D" w14:textId="77777777" w:rsidR="00F76607" w:rsidRDefault="001863F0">
      <w:pPr>
        <w:spacing w:before="240" w:beforeAutospacing="1" w:after="100" w:afterAutospacing="1"/>
        <w:ind w:firstLine="857"/>
        <w:rPr>
          <w:sz w:val="18"/>
          <w:szCs w:val="18"/>
        </w:rPr>
      </w:pPr>
      <w:r>
        <w:rPr>
          <w:sz w:val="18"/>
          <w:szCs w:val="18"/>
        </w:rPr>
        <w:t>In accordance with article 15 of the Articles of Association and paragraph 2 of annex 1 to the VGP Charter, the Board of Directors is composed of at least three (3) members, who need not be shareholders. The actual number of directors may vary depending on the needs of the Company. At least half of the directors must be non-executive directors and at least three of them must be independent based on the criteria of independence drawn up by the Board of Directors and set forth in paragraph 3 of annex 1 to the VGP Charter.</w:t>
      </w:r>
    </w:p>
    <w:p w14:paraId="519D887E" w14:textId="77777777" w:rsidR="00F76607" w:rsidRDefault="001863F0">
      <w:pPr>
        <w:spacing w:before="240" w:beforeAutospacing="1" w:after="100" w:afterAutospacing="1"/>
        <w:ind w:firstLine="857"/>
        <w:rPr>
          <w:sz w:val="18"/>
          <w:szCs w:val="18"/>
        </w:rPr>
      </w:pPr>
      <w:r>
        <w:rPr>
          <w:sz w:val="18"/>
          <w:szCs w:val="18"/>
        </w:rPr>
        <w:t xml:space="preserve">The directors are appointed for a term of no more than four years by the shareholders’ meeting, and may be re-elected. </w:t>
      </w:r>
    </w:p>
    <w:p w14:paraId="238A1BD2" w14:textId="77777777" w:rsidR="00F76607" w:rsidRDefault="001863F0">
      <w:pPr>
        <w:spacing w:before="240" w:beforeAutospacing="1" w:after="100" w:afterAutospacing="1"/>
        <w:ind w:firstLine="857"/>
        <w:rPr>
          <w:sz w:val="18"/>
          <w:szCs w:val="18"/>
        </w:rPr>
      </w:pPr>
      <w:r>
        <w:rPr>
          <w:sz w:val="18"/>
          <w:szCs w:val="18"/>
        </w:rPr>
        <w:t xml:space="preserve">The Board of Directors must draw up nomination procedures and selection criteria for board members, including specific rules for executive and non-executive directors where appropriate. Based on these nomination procedures and the selection criteria, the Board of Directors recommends one or more candidates for nomination, taking into account the needs of the Company. </w:t>
      </w:r>
    </w:p>
    <w:p w14:paraId="045A1D29" w14:textId="77777777" w:rsidR="00F76607" w:rsidRDefault="001863F0">
      <w:pPr>
        <w:spacing w:before="240" w:beforeAutospacing="1" w:after="100" w:afterAutospacing="1"/>
        <w:ind w:firstLine="857"/>
        <w:rPr>
          <w:sz w:val="18"/>
          <w:szCs w:val="18"/>
        </w:rPr>
      </w:pPr>
      <w:r>
        <w:rPr>
          <w:sz w:val="18"/>
          <w:szCs w:val="18"/>
        </w:rPr>
        <w:t>Any proposal for the appointment of a director by the shareholders' meeting is accompanied by a recommendation from the Board of Directors.</w:t>
      </w:r>
    </w:p>
    <w:p w14:paraId="101D6785" w14:textId="77777777" w:rsidR="00F76607" w:rsidRDefault="001863F0">
      <w:pPr>
        <w:spacing w:before="240" w:beforeAutospacing="1" w:after="100" w:afterAutospacing="1"/>
        <w:ind w:firstLine="857"/>
        <w:rPr>
          <w:sz w:val="18"/>
          <w:szCs w:val="18"/>
        </w:rPr>
      </w:pPr>
      <w:r>
        <w:rPr>
          <w:sz w:val="18"/>
          <w:szCs w:val="18"/>
        </w:rPr>
        <w:t>Whenever a legal entity is appointed as a director, it must specifically appoint an individual as its permanent representative, chosen from among its shareholders, managers, directors or employees, and who will carry out the office of director in the name and on behalf of such legal entity. The legal entity may not revoke its permanent representative without simultaneously appointing a successor. The appointment and termination of the office of the permanent representative are governed by the same disclosure rules as if he/she were exercising the office on his/her own behalf.</w:t>
      </w:r>
    </w:p>
    <w:p w14:paraId="53190094" w14:textId="77777777" w:rsidR="00F76607" w:rsidRDefault="001863F0">
      <w:pPr>
        <w:spacing w:before="240" w:beforeAutospacing="1" w:after="100" w:afterAutospacing="1"/>
        <w:ind w:firstLine="857"/>
        <w:rPr>
          <w:sz w:val="18"/>
          <w:szCs w:val="18"/>
        </w:rPr>
      </w:pPr>
      <w:r>
        <w:rPr>
          <w:sz w:val="18"/>
          <w:szCs w:val="18"/>
        </w:rPr>
        <w:t xml:space="preserve">The directors may be re-elected for a new term subject to the provisions regarding independent directors. The duties of directors who are not appointed for a new term terminate immediately after the shareholders’ meeting which decided on any re-election. </w:t>
      </w:r>
    </w:p>
    <w:p w14:paraId="01380E81" w14:textId="7395A073" w:rsidR="00F76607" w:rsidRDefault="001863F0">
      <w:pPr>
        <w:spacing w:before="240" w:beforeAutospacing="1" w:after="100" w:afterAutospacing="1"/>
        <w:ind w:firstLine="857"/>
        <w:rPr>
          <w:sz w:val="18"/>
          <w:szCs w:val="18"/>
        </w:rPr>
      </w:pPr>
      <w:r>
        <w:rPr>
          <w:sz w:val="18"/>
          <w:szCs w:val="18"/>
        </w:rPr>
        <w:t>Gender diversity and diversity in general, as well as complementary skills, experience and knowledge must be given due consideration in the composition of the Board of Directors. In accordance with article 518bis of the Belgian Companies Code, the Company intends to comply with the gender diversity rules as set forth in such article</w:t>
      </w:r>
      <w:r w:rsidR="001237AF">
        <w:rPr>
          <w:sz w:val="18"/>
          <w:szCs w:val="18"/>
        </w:rPr>
        <w:t xml:space="preserve"> by 2019</w:t>
      </w:r>
      <w:r>
        <w:rPr>
          <w:sz w:val="18"/>
          <w:szCs w:val="18"/>
        </w:rPr>
        <w:t xml:space="preserve">. </w:t>
      </w:r>
      <w:r w:rsidR="001237AF">
        <w:rPr>
          <w:sz w:val="18"/>
          <w:szCs w:val="18"/>
        </w:rPr>
        <w:t>Following the outcome of the Offering, the composition of the Board of Directors may be changed, in the framework of which changes the Company may include female members in its Board.</w:t>
      </w:r>
    </w:p>
    <w:p w14:paraId="5E910B15" w14:textId="77777777" w:rsidR="00F76607" w:rsidRDefault="001863F0">
      <w:pPr>
        <w:spacing w:before="240" w:beforeAutospacing="1" w:after="100" w:afterAutospacing="1"/>
        <w:ind w:firstLine="857"/>
        <w:rPr>
          <w:sz w:val="18"/>
          <w:szCs w:val="18"/>
        </w:rPr>
      </w:pPr>
      <w:r>
        <w:rPr>
          <w:sz w:val="18"/>
          <w:szCs w:val="18"/>
        </w:rPr>
        <w:t>Adequacy of size and composition will be regularly assessed by the Board of Directors upon the initiative of the chairman.</w:t>
      </w:r>
    </w:p>
    <w:p w14:paraId="7D630283" w14:textId="77777777" w:rsidR="00F76607" w:rsidRDefault="001863F0">
      <w:pPr>
        <w:spacing w:before="240"/>
        <w:ind w:firstLine="857"/>
        <w:rPr>
          <w:sz w:val="18"/>
          <w:szCs w:val="18"/>
        </w:rPr>
      </w:pPr>
      <w:r>
        <w:rPr>
          <w:sz w:val="18"/>
          <w:szCs w:val="18"/>
        </w:rPr>
        <w:t>The Board of Directors does not intend to appoint a company secretary. By doing so the Company deviates from the recommendation in the provisions 2.9 of the Corporate Governance Code. The small size of the Company and its Board of Directors make such appointment not necessary.</w:t>
      </w:r>
    </w:p>
    <w:p w14:paraId="5A6457BF" w14:textId="77777777" w:rsidR="00F76607" w:rsidRDefault="001863F0">
      <w:pPr>
        <w:keepNext/>
        <w:spacing w:before="240"/>
        <w:rPr>
          <w:szCs w:val="24"/>
        </w:rPr>
      </w:pPr>
      <w:r>
        <w:rPr>
          <w:b/>
          <w:bCs/>
          <w:i/>
          <w:iCs/>
          <w:sz w:val="18"/>
          <w:szCs w:val="18"/>
        </w:rPr>
        <w:t xml:space="preserve">Current Composition of the Board of Directors </w:t>
      </w:r>
    </w:p>
    <w:p w14:paraId="5687137A" w14:textId="77777777" w:rsidR="00F76607" w:rsidRDefault="001863F0">
      <w:pPr>
        <w:keepNext/>
        <w:spacing w:before="240"/>
        <w:ind w:firstLine="857"/>
        <w:rPr>
          <w:szCs w:val="24"/>
        </w:rPr>
      </w:pPr>
      <w:r>
        <w:rPr>
          <w:iCs/>
          <w:sz w:val="18"/>
          <w:szCs w:val="18"/>
        </w:rPr>
        <w:t>The Company’s Board of Directors is currently composed of the following 5 members</w:t>
      </w:r>
      <w:r>
        <w:rPr>
          <w:sz w:val="18"/>
          <w:szCs w:val="18"/>
        </w:rPr>
        <w:t>:</w:t>
      </w:r>
    </w:p>
    <w:p w14:paraId="1703080A" w14:textId="77777777" w:rsidR="00F76607" w:rsidRDefault="001863F0">
      <w:pPr>
        <w:keepNext/>
        <w:rPr>
          <w:szCs w:val="24"/>
        </w:rPr>
      </w:pPr>
      <w:r>
        <w:rPr>
          <w:szCs w:val="24"/>
        </w:rPr>
        <w:t> </w:t>
      </w:r>
    </w:p>
    <w:tbl>
      <w:tblPr>
        <w:tblW w:w="4670" w:type="pct"/>
        <w:jc w:val="center"/>
        <w:tblCellMar>
          <w:left w:w="0" w:type="dxa"/>
          <w:right w:w="0" w:type="dxa"/>
        </w:tblCellMar>
        <w:tblLook w:val="04A0" w:firstRow="1" w:lastRow="0" w:firstColumn="1" w:lastColumn="0" w:noHBand="0" w:noVBand="1"/>
      </w:tblPr>
      <w:tblGrid>
        <w:gridCol w:w="5066"/>
        <w:gridCol w:w="2097"/>
        <w:gridCol w:w="953"/>
        <w:gridCol w:w="993"/>
      </w:tblGrid>
      <w:tr w:rsidR="00F76607" w14:paraId="4AC5A05D" w14:textId="77777777">
        <w:trPr>
          <w:tblHeader/>
          <w:jc w:val="center"/>
        </w:trPr>
        <w:tc>
          <w:tcPr>
            <w:tcW w:w="5064" w:type="dxa"/>
            <w:vAlign w:val="center"/>
            <w:hideMark/>
          </w:tcPr>
          <w:p w14:paraId="6A581D81" w14:textId="77777777" w:rsidR="00F76607" w:rsidRDefault="00F76607">
            <w:pPr>
              <w:rPr>
                <w:sz w:val="1"/>
                <w:szCs w:val="18"/>
              </w:rPr>
            </w:pPr>
          </w:p>
        </w:tc>
        <w:tc>
          <w:tcPr>
            <w:tcW w:w="2096" w:type="dxa"/>
            <w:vAlign w:val="center"/>
            <w:hideMark/>
          </w:tcPr>
          <w:p w14:paraId="5170CEB4" w14:textId="77777777" w:rsidR="00F76607" w:rsidRDefault="00F76607">
            <w:pPr>
              <w:rPr>
                <w:sz w:val="1"/>
                <w:szCs w:val="18"/>
              </w:rPr>
            </w:pPr>
          </w:p>
        </w:tc>
        <w:tc>
          <w:tcPr>
            <w:tcW w:w="952" w:type="dxa"/>
            <w:vAlign w:val="center"/>
            <w:hideMark/>
          </w:tcPr>
          <w:p w14:paraId="6FB6BE5B" w14:textId="77777777" w:rsidR="00F76607" w:rsidRDefault="00F76607">
            <w:pPr>
              <w:rPr>
                <w:sz w:val="1"/>
                <w:szCs w:val="18"/>
              </w:rPr>
            </w:pPr>
          </w:p>
        </w:tc>
        <w:tc>
          <w:tcPr>
            <w:tcW w:w="992" w:type="dxa"/>
            <w:vAlign w:val="center"/>
            <w:hideMark/>
          </w:tcPr>
          <w:p w14:paraId="50B1A9A3" w14:textId="77777777" w:rsidR="00F76607" w:rsidRDefault="00F76607">
            <w:pPr>
              <w:rPr>
                <w:sz w:val="1"/>
                <w:szCs w:val="18"/>
              </w:rPr>
            </w:pPr>
          </w:p>
        </w:tc>
      </w:tr>
      <w:tr w:rsidR="00F76607" w14:paraId="006609C9" w14:textId="77777777">
        <w:trPr>
          <w:cantSplit/>
          <w:tblHeader/>
          <w:jc w:val="center"/>
        </w:trPr>
        <w:tc>
          <w:tcPr>
            <w:tcW w:w="5064" w:type="dxa"/>
            <w:noWrap/>
            <w:vAlign w:val="bottom"/>
            <w:hideMark/>
          </w:tcPr>
          <w:p w14:paraId="1AA5FAEF" w14:textId="77777777" w:rsidR="00F76607" w:rsidRDefault="001863F0">
            <w:pPr>
              <w:keepNext/>
              <w:rPr>
                <w:rFonts w:eastAsiaTheme="minorEastAsia"/>
                <w:sz w:val="16"/>
                <w:szCs w:val="16"/>
              </w:rPr>
            </w:pPr>
            <w:r>
              <w:rPr>
                <w:b/>
                <w:bCs/>
                <w:sz w:val="16"/>
                <w:szCs w:val="16"/>
              </w:rPr>
              <w:t>Name</w:t>
            </w:r>
          </w:p>
          <w:p w14:paraId="6C9872EC" w14:textId="77777777" w:rsidR="00F76607" w:rsidRDefault="001863F0">
            <w:pPr>
              <w:keepNext/>
              <w:pBdr>
                <w:top w:val="single" w:sz="8" w:space="1" w:color="auto"/>
              </w:pBdr>
              <w:spacing w:before="20" w:line="20" w:lineRule="exact"/>
              <w:jc w:val="center"/>
              <w:rPr>
                <w:rFonts w:eastAsiaTheme="minorEastAsia"/>
                <w:sz w:val="16"/>
                <w:szCs w:val="16"/>
              </w:rPr>
            </w:pPr>
            <w:r>
              <w:rPr>
                <w:sz w:val="16"/>
                <w:szCs w:val="16"/>
              </w:rPr>
              <w:t> </w:t>
            </w:r>
          </w:p>
        </w:tc>
        <w:tc>
          <w:tcPr>
            <w:tcW w:w="2096" w:type="dxa"/>
            <w:tcMar>
              <w:top w:w="0" w:type="dxa"/>
              <w:left w:w="144" w:type="dxa"/>
              <w:bottom w:w="0" w:type="dxa"/>
              <w:right w:w="0" w:type="dxa"/>
            </w:tcMar>
            <w:vAlign w:val="bottom"/>
            <w:hideMark/>
          </w:tcPr>
          <w:p w14:paraId="2F7DA83E" w14:textId="77777777" w:rsidR="00F76607" w:rsidRDefault="001863F0">
            <w:pPr>
              <w:jc w:val="center"/>
              <w:rPr>
                <w:rFonts w:eastAsiaTheme="minorEastAsia"/>
                <w:sz w:val="16"/>
                <w:szCs w:val="16"/>
              </w:rPr>
            </w:pPr>
            <w:r>
              <w:rPr>
                <w:b/>
                <w:bCs/>
                <w:sz w:val="16"/>
                <w:szCs w:val="16"/>
              </w:rPr>
              <w:t>Position</w:t>
            </w:r>
          </w:p>
          <w:p w14:paraId="02AC2A91" w14:textId="77777777" w:rsidR="00F76607" w:rsidRDefault="001863F0">
            <w:pPr>
              <w:pBdr>
                <w:top w:val="single" w:sz="8" w:space="1" w:color="auto"/>
              </w:pBdr>
              <w:spacing w:line="20" w:lineRule="exact"/>
              <w:jc w:val="center"/>
              <w:rPr>
                <w:rFonts w:eastAsiaTheme="minorEastAsia"/>
                <w:sz w:val="16"/>
                <w:szCs w:val="16"/>
              </w:rPr>
            </w:pPr>
            <w:r>
              <w:rPr>
                <w:sz w:val="16"/>
                <w:szCs w:val="16"/>
              </w:rPr>
              <w:t> </w:t>
            </w:r>
          </w:p>
        </w:tc>
        <w:tc>
          <w:tcPr>
            <w:tcW w:w="952" w:type="dxa"/>
            <w:tcMar>
              <w:top w:w="0" w:type="dxa"/>
              <w:left w:w="144" w:type="dxa"/>
              <w:bottom w:w="0" w:type="dxa"/>
              <w:right w:w="0" w:type="dxa"/>
            </w:tcMar>
            <w:vAlign w:val="bottom"/>
            <w:hideMark/>
          </w:tcPr>
          <w:p w14:paraId="21E9C090" w14:textId="77777777" w:rsidR="00F76607" w:rsidRDefault="001863F0">
            <w:pPr>
              <w:jc w:val="center"/>
              <w:rPr>
                <w:sz w:val="16"/>
                <w:szCs w:val="16"/>
              </w:rPr>
            </w:pPr>
            <w:r>
              <w:rPr>
                <w:b/>
                <w:bCs/>
                <w:sz w:val="16"/>
                <w:szCs w:val="16"/>
              </w:rPr>
              <w:t>Director</w:t>
            </w:r>
            <w:r>
              <w:rPr>
                <w:b/>
                <w:bCs/>
                <w:sz w:val="16"/>
                <w:szCs w:val="16"/>
              </w:rPr>
              <w:br/>
              <w:t>since</w:t>
            </w:r>
            <w:r>
              <w:rPr>
                <w:sz w:val="16"/>
                <w:szCs w:val="16"/>
              </w:rPr>
              <w:t xml:space="preserve"> </w:t>
            </w:r>
          </w:p>
          <w:p w14:paraId="1F8D1D86" w14:textId="77777777" w:rsidR="00F76607" w:rsidRDefault="001863F0">
            <w:pPr>
              <w:pBdr>
                <w:top w:val="single" w:sz="8" w:space="1" w:color="auto"/>
              </w:pBdr>
              <w:spacing w:line="20" w:lineRule="exact"/>
              <w:jc w:val="center"/>
              <w:rPr>
                <w:rFonts w:eastAsiaTheme="minorEastAsia"/>
                <w:sz w:val="16"/>
                <w:szCs w:val="16"/>
              </w:rPr>
            </w:pPr>
            <w:r>
              <w:rPr>
                <w:sz w:val="16"/>
                <w:szCs w:val="16"/>
              </w:rPr>
              <w:t> </w:t>
            </w:r>
          </w:p>
        </w:tc>
        <w:tc>
          <w:tcPr>
            <w:tcW w:w="992" w:type="dxa"/>
            <w:tcMar>
              <w:top w:w="0" w:type="dxa"/>
              <w:left w:w="144" w:type="dxa"/>
              <w:bottom w:w="0" w:type="dxa"/>
              <w:right w:w="0" w:type="dxa"/>
            </w:tcMar>
            <w:vAlign w:val="bottom"/>
            <w:hideMark/>
          </w:tcPr>
          <w:p w14:paraId="03B2538F" w14:textId="77777777" w:rsidR="00F76607" w:rsidRDefault="001863F0">
            <w:pPr>
              <w:jc w:val="center"/>
              <w:rPr>
                <w:sz w:val="16"/>
                <w:szCs w:val="16"/>
              </w:rPr>
            </w:pPr>
            <w:r>
              <w:rPr>
                <w:b/>
                <w:bCs/>
                <w:sz w:val="16"/>
                <w:szCs w:val="16"/>
              </w:rPr>
              <w:t>Mandate</w:t>
            </w:r>
            <w:r>
              <w:rPr>
                <w:b/>
                <w:bCs/>
                <w:sz w:val="16"/>
                <w:szCs w:val="16"/>
              </w:rPr>
              <w:br/>
              <w:t>expires</w:t>
            </w:r>
            <w:r>
              <w:rPr>
                <w:sz w:val="16"/>
                <w:szCs w:val="16"/>
              </w:rPr>
              <w:t xml:space="preserve"> </w:t>
            </w:r>
          </w:p>
          <w:p w14:paraId="6B3C3910" w14:textId="77777777" w:rsidR="00F76607" w:rsidRDefault="001863F0">
            <w:pPr>
              <w:pBdr>
                <w:top w:val="single" w:sz="8" w:space="1" w:color="auto"/>
              </w:pBdr>
              <w:spacing w:line="20" w:lineRule="exact"/>
              <w:jc w:val="center"/>
              <w:rPr>
                <w:rFonts w:eastAsiaTheme="minorEastAsia"/>
                <w:sz w:val="16"/>
                <w:szCs w:val="16"/>
              </w:rPr>
            </w:pPr>
            <w:r>
              <w:rPr>
                <w:sz w:val="16"/>
                <w:szCs w:val="16"/>
              </w:rPr>
              <w:t> </w:t>
            </w:r>
          </w:p>
        </w:tc>
      </w:tr>
      <w:tr w:rsidR="00F76607" w14:paraId="48020D9A" w14:textId="77777777">
        <w:trPr>
          <w:cantSplit/>
          <w:jc w:val="center"/>
        </w:trPr>
        <w:tc>
          <w:tcPr>
            <w:tcW w:w="5064" w:type="dxa"/>
            <w:hideMark/>
          </w:tcPr>
          <w:p w14:paraId="659217F1" w14:textId="77777777" w:rsidR="00F76607" w:rsidRDefault="001863F0">
            <w:pPr>
              <w:keepNext/>
              <w:tabs>
                <w:tab w:val="right" w:leader="dot" w:pos="4660"/>
              </w:tabs>
              <w:ind w:left="240" w:hanging="240"/>
              <w:rPr>
                <w:rFonts w:eastAsiaTheme="minorEastAsia"/>
                <w:sz w:val="18"/>
                <w:szCs w:val="18"/>
              </w:rPr>
            </w:pPr>
            <w:r>
              <w:rPr>
                <w:sz w:val="18"/>
                <w:szCs w:val="18"/>
              </w:rPr>
              <w:t xml:space="preserve">Marek </w:t>
            </w:r>
            <w:proofErr w:type="spellStart"/>
            <w:r>
              <w:rPr>
                <w:sz w:val="18"/>
                <w:szCs w:val="18"/>
              </w:rPr>
              <w:t>Šebest’ák</w:t>
            </w:r>
            <w:proofErr w:type="spellEnd"/>
            <w:r>
              <w:rPr>
                <w:sz w:val="18"/>
                <w:szCs w:val="18"/>
              </w:rPr>
              <w:tab/>
            </w:r>
          </w:p>
        </w:tc>
        <w:tc>
          <w:tcPr>
            <w:tcW w:w="2096" w:type="dxa"/>
            <w:vAlign w:val="bottom"/>
            <w:hideMark/>
          </w:tcPr>
          <w:p w14:paraId="30AD7409" w14:textId="77777777" w:rsidR="00F76607" w:rsidRDefault="001863F0">
            <w:pPr>
              <w:rPr>
                <w:sz w:val="18"/>
                <w:szCs w:val="18"/>
              </w:rPr>
            </w:pPr>
            <w:r>
              <w:rPr>
                <w:sz w:val="18"/>
                <w:szCs w:val="18"/>
              </w:rPr>
              <w:t>Chairman and non-executive independent director</w:t>
            </w:r>
          </w:p>
        </w:tc>
        <w:tc>
          <w:tcPr>
            <w:tcW w:w="952" w:type="dxa"/>
            <w:noWrap/>
            <w:tcMar>
              <w:top w:w="0" w:type="dxa"/>
              <w:left w:w="144" w:type="dxa"/>
              <w:bottom w:w="0" w:type="dxa"/>
              <w:right w:w="0" w:type="dxa"/>
            </w:tcMar>
            <w:vAlign w:val="bottom"/>
            <w:hideMark/>
          </w:tcPr>
          <w:p w14:paraId="09494C53" w14:textId="77777777" w:rsidR="00F76607" w:rsidRDefault="001863F0">
            <w:pPr>
              <w:tabs>
                <w:tab w:val="right" w:pos="760"/>
                <w:tab w:val="decimal" w:pos="800"/>
              </w:tabs>
              <w:spacing w:after="20"/>
              <w:rPr>
                <w:rFonts w:eastAsiaTheme="minorEastAsia"/>
                <w:sz w:val="18"/>
                <w:szCs w:val="18"/>
              </w:rPr>
            </w:pPr>
            <w:r>
              <w:rPr>
                <w:sz w:val="18"/>
                <w:szCs w:val="18"/>
              </w:rPr>
              <w:tab/>
              <w:t>2007</w:t>
            </w:r>
            <w:r>
              <w:rPr>
                <w:sz w:val="18"/>
                <w:szCs w:val="18"/>
              </w:rPr>
              <w:tab/>
            </w:r>
          </w:p>
        </w:tc>
        <w:tc>
          <w:tcPr>
            <w:tcW w:w="992" w:type="dxa"/>
            <w:noWrap/>
            <w:tcMar>
              <w:top w:w="0" w:type="dxa"/>
              <w:left w:w="144" w:type="dxa"/>
              <w:bottom w:w="0" w:type="dxa"/>
              <w:right w:w="0" w:type="dxa"/>
            </w:tcMar>
            <w:vAlign w:val="bottom"/>
            <w:hideMark/>
          </w:tcPr>
          <w:p w14:paraId="5C01B177" w14:textId="77777777" w:rsidR="00F76607" w:rsidRDefault="001863F0">
            <w:pPr>
              <w:tabs>
                <w:tab w:val="right" w:pos="800"/>
                <w:tab w:val="decimal" w:pos="840"/>
              </w:tabs>
              <w:spacing w:after="20"/>
              <w:rPr>
                <w:rFonts w:eastAsiaTheme="minorEastAsia"/>
                <w:sz w:val="18"/>
                <w:szCs w:val="18"/>
              </w:rPr>
            </w:pPr>
            <w:r>
              <w:rPr>
                <w:sz w:val="18"/>
                <w:szCs w:val="18"/>
              </w:rPr>
              <w:tab/>
              <w:t>2019</w:t>
            </w:r>
            <w:r>
              <w:rPr>
                <w:sz w:val="18"/>
                <w:szCs w:val="18"/>
              </w:rPr>
              <w:tab/>
            </w:r>
          </w:p>
        </w:tc>
      </w:tr>
      <w:tr w:rsidR="00F76607" w14:paraId="1004B1C7" w14:textId="77777777">
        <w:trPr>
          <w:cantSplit/>
          <w:jc w:val="center"/>
        </w:trPr>
        <w:tc>
          <w:tcPr>
            <w:tcW w:w="5064" w:type="dxa"/>
            <w:hideMark/>
          </w:tcPr>
          <w:p w14:paraId="11D0B1F4" w14:textId="77777777" w:rsidR="00F76607" w:rsidRDefault="001863F0">
            <w:pPr>
              <w:keepNext/>
              <w:tabs>
                <w:tab w:val="right" w:leader="dot" w:pos="4660"/>
              </w:tabs>
              <w:ind w:left="240" w:hanging="240"/>
              <w:rPr>
                <w:rFonts w:eastAsiaTheme="minorEastAsia"/>
                <w:sz w:val="18"/>
                <w:szCs w:val="18"/>
              </w:rPr>
            </w:pPr>
            <w:r>
              <w:rPr>
                <w:sz w:val="18"/>
                <w:szCs w:val="18"/>
              </w:rPr>
              <w:t>Jan Van Geet</w:t>
            </w:r>
            <w:r>
              <w:rPr>
                <w:sz w:val="18"/>
                <w:szCs w:val="18"/>
                <w:vertAlign w:val="superscript"/>
              </w:rPr>
              <w:t>(1)</w:t>
            </w:r>
            <w:r>
              <w:rPr>
                <w:sz w:val="18"/>
                <w:szCs w:val="18"/>
              </w:rPr>
              <w:tab/>
            </w:r>
          </w:p>
        </w:tc>
        <w:tc>
          <w:tcPr>
            <w:tcW w:w="2096" w:type="dxa"/>
            <w:vAlign w:val="bottom"/>
            <w:hideMark/>
          </w:tcPr>
          <w:p w14:paraId="0E478B6D" w14:textId="77777777" w:rsidR="00F76607" w:rsidRDefault="001863F0">
            <w:pPr>
              <w:rPr>
                <w:sz w:val="18"/>
                <w:szCs w:val="18"/>
              </w:rPr>
            </w:pPr>
            <w:r>
              <w:rPr>
                <w:sz w:val="18"/>
                <w:szCs w:val="18"/>
              </w:rPr>
              <w:t>CEO, executive director and reference shareholder</w:t>
            </w:r>
          </w:p>
        </w:tc>
        <w:tc>
          <w:tcPr>
            <w:tcW w:w="952" w:type="dxa"/>
            <w:noWrap/>
            <w:tcMar>
              <w:top w:w="0" w:type="dxa"/>
              <w:left w:w="144" w:type="dxa"/>
              <w:bottom w:w="0" w:type="dxa"/>
              <w:right w:w="0" w:type="dxa"/>
            </w:tcMar>
            <w:vAlign w:val="bottom"/>
            <w:hideMark/>
          </w:tcPr>
          <w:p w14:paraId="69BC8766" w14:textId="77777777" w:rsidR="00F76607" w:rsidRDefault="001863F0">
            <w:pPr>
              <w:tabs>
                <w:tab w:val="right" w:pos="760"/>
                <w:tab w:val="decimal" w:pos="800"/>
              </w:tabs>
              <w:spacing w:after="20"/>
              <w:rPr>
                <w:rFonts w:eastAsiaTheme="minorEastAsia"/>
                <w:sz w:val="18"/>
                <w:szCs w:val="18"/>
              </w:rPr>
            </w:pPr>
            <w:r>
              <w:rPr>
                <w:sz w:val="18"/>
                <w:szCs w:val="18"/>
              </w:rPr>
              <w:tab/>
              <w:t>2007</w:t>
            </w:r>
            <w:r>
              <w:rPr>
                <w:sz w:val="18"/>
                <w:szCs w:val="18"/>
              </w:rPr>
              <w:tab/>
            </w:r>
          </w:p>
        </w:tc>
        <w:tc>
          <w:tcPr>
            <w:tcW w:w="992" w:type="dxa"/>
            <w:noWrap/>
            <w:tcMar>
              <w:top w:w="0" w:type="dxa"/>
              <w:left w:w="144" w:type="dxa"/>
              <w:bottom w:w="0" w:type="dxa"/>
              <w:right w:w="0" w:type="dxa"/>
            </w:tcMar>
            <w:vAlign w:val="bottom"/>
            <w:hideMark/>
          </w:tcPr>
          <w:p w14:paraId="00A333BE" w14:textId="77777777" w:rsidR="00F76607" w:rsidRDefault="001863F0">
            <w:pPr>
              <w:tabs>
                <w:tab w:val="right" w:pos="800"/>
                <w:tab w:val="decimal" w:pos="840"/>
              </w:tabs>
              <w:spacing w:after="20"/>
              <w:rPr>
                <w:rFonts w:eastAsiaTheme="minorEastAsia"/>
                <w:sz w:val="18"/>
                <w:szCs w:val="18"/>
              </w:rPr>
            </w:pPr>
            <w:r>
              <w:rPr>
                <w:sz w:val="18"/>
                <w:szCs w:val="18"/>
              </w:rPr>
              <w:tab/>
              <w:t>2021</w:t>
            </w:r>
            <w:r>
              <w:rPr>
                <w:sz w:val="18"/>
                <w:szCs w:val="18"/>
              </w:rPr>
              <w:tab/>
            </w:r>
          </w:p>
        </w:tc>
      </w:tr>
      <w:tr w:rsidR="00F76607" w14:paraId="5F9BA6DD" w14:textId="77777777">
        <w:trPr>
          <w:cantSplit/>
          <w:jc w:val="center"/>
        </w:trPr>
        <w:tc>
          <w:tcPr>
            <w:tcW w:w="5064" w:type="dxa"/>
            <w:hideMark/>
          </w:tcPr>
          <w:p w14:paraId="1F24EA26" w14:textId="77777777" w:rsidR="00F76607" w:rsidRDefault="001863F0">
            <w:pPr>
              <w:tabs>
                <w:tab w:val="right" w:leader="dot" w:pos="4660"/>
              </w:tabs>
              <w:ind w:left="240" w:hanging="240"/>
              <w:rPr>
                <w:rFonts w:eastAsiaTheme="minorEastAsia"/>
                <w:sz w:val="18"/>
                <w:szCs w:val="18"/>
              </w:rPr>
            </w:pPr>
            <w:r>
              <w:rPr>
                <w:sz w:val="18"/>
                <w:szCs w:val="18"/>
              </w:rPr>
              <w:t>Bart Van Malderen</w:t>
            </w:r>
            <w:r>
              <w:rPr>
                <w:sz w:val="18"/>
                <w:szCs w:val="18"/>
                <w:vertAlign w:val="superscript"/>
              </w:rPr>
              <w:t>(2)</w:t>
            </w:r>
            <w:r>
              <w:rPr>
                <w:sz w:val="18"/>
                <w:szCs w:val="18"/>
              </w:rPr>
              <w:tab/>
            </w:r>
          </w:p>
        </w:tc>
        <w:tc>
          <w:tcPr>
            <w:tcW w:w="2096" w:type="dxa"/>
            <w:vAlign w:val="bottom"/>
            <w:hideMark/>
          </w:tcPr>
          <w:p w14:paraId="66378463" w14:textId="77777777" w:rsidR="00F76607" w:rsidRDefault="001863F0">
            <w:pPr>
              <w:rPr>
                <w:sz w:val="18"/>
                <w:szCs w:val="18"/>
              </w:rPr>
            </w:pPr>
            <w:r>
              <w:rPr>
                <w:sz w:val="18"/>
                <w:szCs w:val="18"/>
              </w:rPr>
              <w:t>Non-executive director and reference shareholder</w:t>
            </w:r>
          </w:p>
        </w:tc>
        <w:tc>
          <w:tcPr>
            <w:tcW w:w="952" w:type="dxa"/>
            <w:noWrap/>
            <w:tcMar>
              <w:top w:w="0" w:type="dxa"/>
              <w:left w:w="144" w:type="dxa"/>
              <w:bottom w:w="0" w:type="dxa"/>
              <w:right w:w="0" w:type="dxa"/>
            </w:tcMar>
            <w:vAlign w:val="bottom"/>
            <w:hideMark/>
          </w:tcPr>
          <w:p w14:paraId="7ADEC495" w14:textId="77777777" w:rsidR="00F76607" w:rsidRDefault="001863F0">
            <w:pPr>
              <w:tabs>
                <w:tab w:val="right" w:pos="760"/>
                <w:tab w:val="decimal" w:pos="800"/>
              </w:tabs>
              <w:spacing w:after="20"/>
              <w:rPr>
                <w:rFonts w:eastAsiaTheme="minorEastAsia"/>
                <w:sz w:val="18"/>
                <w:szCs w:val="18"/>
              </w:rPr>
            </w:pPr>
            <w:r>
              <w:rPr>
                <w:sz w:val="18"/>
                <w:szCs w:val="18"/>
              </w:rPr>
              <w:tab/>
              <w:t>2007</w:t>
            </w:r>
            <w:r>
              <w:rPr>
                <w:sz w:val="18"/>
                <w:szCs w:val="18"/>
              </w:rPr>
              <w:tab/>
            </w:r>
          </w:p>
        </w:tc>
        <w:tc>
          <w:tcPr>
            <w:tcW w:w="992" w:type="dxa"/>
            <w:noWrap/>
            <w:tcMar>
              <w:top w:w="0" w:type="dxa"/>
              <w:left w:w="144" w:type="dxa"/>
              <w:bottom w:w="0" w:type="dxa"/>
              <w:right w:w="0" w:type="dxa"/>
            </w:tcMar>
            <w:vAlign w:val="bottom"/>
            <w:hideMark/>
          </w:tcPr>
          <w:p w14:paraId="4F287EF7" w14:textId="77777777" w:rsidR="00F76607" w:rsidRDefault="001863F0">
            <w:pPr>
              <w:tabs>
                <w:tab w:val="right" w:pos="800"/>
                <w:tab w:val="decimal" w:pos="840"/>
              </w:tabs>
              <w:spacing w:after="20"/>
              <w:rPr>
                <w:rFonts w:eastAsiaTheme="minorEastAsia"/>
                <w:sz w:val="18"/>
                <w:szCs w:val="18"/>
              </w:rPr>
            </w:pPr>
            <w:r>
              <w:rPr>
                <w:sz w:val="18"/>
                <w:szCs w:val="18"/>
              </w:rPr>
              <w:tab/>
              <w:t>2021</w:t>
            </w:r>
            <w:r>
              <w:rPr>
                <w:sz w:val="18"/>
                <w:szCs w:val="18"/>
              </w:rPr>
              <w:tab/>
            </w:r>
          </w:p>
        </w:tc>
      </w:tr>
      <w:tr w:rsidR="00F76607" w14:paraId="4BA784F1" w14:textId="77777777">
        <w:trPr>
          <w:cantSplit/>
          <w:jc w:val="center"/>
        </w:trPr>
        <w:tc>
          <w:tcPr>
            <w:tcW w:w="5064" w:type="dxa"/>
            <w:hideMark/>
          </w:tcPr>
          <w:p w14:paraId="715D6405" w14:textId="77777777" w:rsidR="00F76607" w:rsidRDefault="001863F0">
            <w:pPr>
              <w:tabs>
                <w:tab w:val="right" w:leader="dot" w:pos="4660"/>
              </w:tabs>
              <w:ind w:left="240" w:hanging="240"/>
              <w:rPr>
                <w:rFonts w:eastAsiaTheme="minorEastAsia"/>
                <w:sz w:val="18"/>
                <w:szCs w:val="18"/>
              </w:rPr>
            </w:pPr>
            <w:r>
              <w:rPr>
                <w:sz w:val="18"/>
                <w:szCs w:val="18"/>
              </w:rPr>
              <w:t>Alexander Saverys</w:t>
            </w:r>
            <w:r>
              <w:rPr>
                <w:sz w:val="18"/>
                <w:szCs w:val="18"/>
              </w:rPr>
              <w:tab/>
            </w:r>
          </w:p>
        </w:tc>
        <w:tc>
          <w:tcPr>
            <w:tcW w:w="2096" w:type="dxa"/>
            <w:vAlign w:val="bottom"/>
            <w:hideMark/>
          </w:tcPr>
          <w:p w14:paraId="26D2F7B3" w14:textId="77777777" w:rsidR="00F76607" w:rsidRDefault="001863F0">
            <w:pPr>
              <w:rPr>
                <w:sz w:val="18"/>
                <w:szCs w:val="18"/>
              </w:rPr>
            </w:pPr>
            <w:r>
              <w:rPr>
                <w:sz w:val="18"/>
                <w:szCs w:val="18"/>
              </w:rPr>
              <w:t>Non-executive independent director</w:t>
            </w:r>
          </w:p>
        </w:tc>
        <w:tc>
          <w:tcPr>
            <w:tcW w:w="952" w:type="dxa"/>
            <w:noWrap/>
            <w:tcMar>
              <w:top w:w="0" w:type="dxa"/>
              <w:left w:w="144" w:type="dxa"/>
              <w:bottom w:w="0" w:type="dxa"/>
              <w:right w:w="0" w:type="dxa"/>
            </w:tcMar>
            <w:vAlign w:val="bottom"/>
            <w:hideMark/>
          </w:tcPr>
          <w:p w14:paraId="06754674" w14:textId="77777777" w:rsidR="00F76607" w:rsidRDefault="001863F0">
            <w:pPr>
              <w:tabs>
                <w:tab w:val="right" w:pos="760"/>
                <w:tab w:val="decimal" w:pos="800"/>
              </w:tabs>
              <w:spacing w:after="20"/>
              <w:rPr>
                <w:rFonts w:eastAsiaTheme="minorEastAsia"/>
                <w:sz w:val="18"/>
                <w:szCs w:val="18"/>
              </w:rPr>
            </w:pPr>
            <w:r>
              <w:rPr>
                <w:sz w:val="18"/>
                <w:szCs w:val="18"/>
              </w:rPr>
              <w:tab/>
              <w:t>2007</w:t>
            </w:r>
            <w:r>
              <w:rPr>
                <w:sz w:val="18"/>
                <w:szCs w:val="18"/>
              </w:rPr>
              <w:tab/>
            </w:r>
          </w:p>
        </w:tc>
        <w:tc>
          <w:tcPr>
            <w:tcW w:w="992" w:type="dxa"/>
            <w:noWrap/>
            <w:tcMar>
              <w:top w:w="0" w:type="dxa"/>
              <w:left w:w="144" w:type="dxa"/>
              <w:bottom w:w="0" w:type="dxa"/>
              <w:right w:w="0" w:type="dxa"/>
            </w:tcMar>
            <w:vAlign w:val="bottom"/>
            <w:hideMark/>
          </w:tcPr>
          <w:p w14:paraId="5C1C7B00" w14:textId="77777777" w:rsidR="00F76607" w:rsidRDefault="001863F0">
            <w:pPr>
              <w:tabs>
                <w:tab w:val="right" w:pos="800"/>
                <w:tab w:val="decimal" w:pos="840"/>
              </w:tabs>
              <w:spacing w:after="20"/>
              <w:rPr>
                <w:rFonts w:eastAsiaTheme="minorEastAsia"/>
                <w:sz w:val="18"/>
                <w:szCs w:val="18"/>
              </w:rPr>
            </w:pPr>
            <w:r>
              <w:rPr>
                <w:sz w:val="18"/>
                <w:szCs w:val="18"/>
              </w:rPr>
              <w:tab/>
              <w:t>2019</w:t>
            </w:r>
            <w:r>
              <w:rPr>
                <w:sz w:val="18"/>
                <w:szCs w:val="18"/>
              </w:rPr>
              <w:tab/>
            </w:r>
          </w:p>
        </w:tc>
      </w:tr>
      <w:tr w:rsidR="00F76607" w14:paraId="42965ACE" w14:textId="77777777">
        <w:trPr>
          <w:cantSplit/>
          <w:trHeight w:val="355"/>
          <w:jc w:val="center"/>
        </w:trPr>
        <w:tc>
          <w:tcPr>
            <w:tcW w:w="5064" w:type="dxa"/>
            <w:hideMark/>
          </w:tcPr>
          <w:p w14:paraId="74A3F880" w14:textId="77777777" w:rsidR="00F76607" w:rsidRDefault="001863F0">
            <w:pPr>
              <w:tabs>
                <w:tab w:val="right" w:leader="dot" w:pos="4660"/>
              </w:tabs>
              <w:ind w:left="240" w:hanging="240"/>
              <w:rPr>
                <w:rFonts w:eastAsiaTheme="minorEastAsia"/>
                <w:sz w:val="18"/>
                <w:szCs w:val="18"/>
              </w:rPr>
            </w:pPr>
            <w:r>
              <w:rPr>
                <w:sz w:val="18"/>
                <w:szCs w:val="18"/>
              </w:rPr>
              <w:t>Jos Thys</w:t>
            </w:r>
            <w:r>
              <w:rPr>
                <w:sz w:val="18"/>
                <w:szCs w:val="18"/>
                <w:vertAlign w:val="superscript"/>
              </w:rPr>
              <w:t>(3)</w:t>
            </w:r>
            <w:r>
              <w:rPr>
                <w:sz w:val="18"/>
                <w:szCs w:val="18"/>
              </w:rPr>
              <w:tab/>
            </w:r>
          </w:p>
        </w:tc>
        <w:tc>
          <w:tcPr>
            <w:tcW w:w="2096" w:type="dxa"/>
            <w:vAlign w:val="bottom"/>
            <w:hideMark/>
          </w:tcPr>
          <w:p w14:paraId="5181365E" w14:textId="77777777" w:rsidR="00F76607" w:rsidRDefault="001863F0">
            <w:pPr>
              <w:rPr>
                <w:sz w:val="18"/>
                <w:szCs w:val="18"/>
              </w:rPr>
            </w:pPr>
            <w:r>
              <w:rPr>
                <w:sz w:val="18"/>
                <w:szCs w:val="18"/>
              </w:rPr>
              <w:t>Non-executive independent director</w:t>
            </w:r>
          </w:p>
        </w:tc>
        <w:tc>
          <w:tcPr>
            <w:tcW w:w="952" w:type="dxa"/>
            <w:noWrap/>
            <w:tcMar>
              <w:top w:w="0" w:type="dxa"/>
              <w:left w:w="144" w:type="dxa"/>
              <w:bottom w:w="0" w:type="dxa"/>
              <w:right w:w="0" w:type="dxa"/>
            </w:tcMar>
            <w:vAlign w:val="bottom"/>
            <w:hideMark/>
          </w:tcPr>
          <w:p w14:paraId="650F9554" w14:textId="77777777" w:rsidR="00F76607" w:rsidRDefault="001863F0">
            <w:pPr>
              <w:tabs>
                <w:tab w:val="right" w:pos="760"/>
                <w:tab w:val="decimal" w:pos="800"/>
              </w:tabs>
              <w:spacing w:after="20"/>
              <w:rPr>
                <w:rFonts w:eastAsiaTheme="minorEastAsia"/>
                <w:sz w:val="18"/>
                <w:szCs w:val="18"/>
              </w:rPr>
            </w:pPr>
            <w:r>
              <w:rPr>
                <w:sz w:val="18"/>
                <w:szCs w:val="18"/>
              </w:rPr>
              <w:tab/>
              <w:t>2007</w:t>
            </w:r>
            <w:r>
              <w:rPr>
                <w:sz w:val="18"/>
                <w:szCs w:val="18"/>
              </w:rPr>
              <w:tab/>
            </w:r>
          </w:p>
        </w:tc>
        <w:tc>
          <w:tcPr>
            <w:tcW w:w="992" w:type="dxa"/>
            <w:noWrap/>
            <w:tcMar>
              <w:top w:w="0" w:type="dxa"/>
              <w:left w:w="144" w:type="dxa"/>
              <w:bottom w:w="0" w:type="dxa"/>
              <w:right w:w="0" w:type="dxa"/>
            </w:tcMar>
            <w:vAlign w:val="bottom"/>
            <w:hideMark/>
          </w:tcPr>
          <w:p w14:paraId="21E0A7E9" w14:textId="77777777" w:rsidR="00F76607" w:rsidRDefault="001863F0">
            <w:pPr>
              <w:tabs>
                <w:tab w:val="right" w:pos="800"/>
                <w:tab w:val="decimal" w:pos="840"/>
              </w:tabs>
              <w:spacing w:after="20"/>
              <w:rPr>
                <w:rFonts w:eastAsiaTheme="minorEastAsia"/>
                <w:sz w:val="18"/>
                <w:szCs w:val="18"/>
              </w:rPr>
            </w:pPr>
            <w:r>
              <w:rPr>
                <w:sz w:val="18"/>
                <w:szCs w:val="18"/>
              </w:rPr>
              <w:tab/>
              <w:t>2019</w:t>
            </w:r>
            <w:r>
              <w:rPr>
                <w:sz w:val="18"/>
                <w:szCs w:val="18"/>
              </w:rPr>
              <w:tab/>
            </w:r>
          </w:p>
        </w:tc>
      </w:tr>
    </w:tbl>
    <w:p w14:paraId="1D265D6A" w14:textId="77777777" w:rsidR="00F76607" w:rsidRDefault="00F76607">
      <w:pPr>
        <w:pBdr>
          <w:bottom w:val="single" w:sz="6" w:space="1" w:color="auto"/>
        </w:pBdr>
        <w:spacing w:after="60" w:line="120" w:lineRule="exact"/>
        <w:ind w:right="7200"/>
        <w:rPr>
          <w:b/>
          <w:bCs/>
          <w:noProof/>
          <w:sz w:val="18"/>
          <w:szCs w:val="18"/>
        </w:rPr>
      </w:pPr>
    </w:p>
    <w:p w14:paraId="63DA7769" w14:textId="77777777" w:rsidR="00F76607" w:rsidRDefault="001863F0" w:rsidP="00411069">
      <w:pPr>
        <w:pStyle w:val="VulcanIIFootnote"/>
      </w:pPr>
      <w:r>
        <w:lastRenderedPageBreak/>
        <w:t xml:space="preserve">(1) As permanent representative of Jan Van Geet </w:t>
      </w:r>
      <w:proofErr w:type="spellStart"/>
      <w:r>
        <w:t>s.r.o</w:t>
      </w:r>
      <w:proofErr w:type="spellEnd"/>
      <w:r>
        <w:t>.</w:t>
      </w:r>
    </w:p>
    <w:p w14:paraId="4F23D10F" w14:textId="77777777" w:rsidR="00F76607" w:rsidRDefault="001863F0" w:rsidP="00411069">
      <w:pPr>
        <w:pStyle w:val="VulcanIIFootnote"/>
      </w:pPr>
      <w:r>
        <w:t>(2) As permanent representative of VM Invest NV.</w:t>
      </w:r>
    </w:p>
    <w:p w14:paraId="2C180517" w14:textId="77777777" w:rsidR="00F76607" w:rsidRDefault="001863F0">
      <w:pPr>
        <w:ind w:left="367" w:hanging="367"/>
        <w:rPr>
          <w:sz w:val="16"/>
          <w:szCs w:val="16"/>
        </w:rPr>
      </w:pPr>
      <w:r>
        <w:rPr>
          <w:sz w:val="16"/>
          <w:szCs w:val="16"/>
        </w:rPr>
        <w:t xml:space="preserve">(3) As permanent representative of </w:t>
      </w:r>
      <w:proofErr w:type="spellStart"/>
      <w:r>
        <w:rPr>
          <w:sz w:val="16"/>
          <w:szCs w:val="16"/>
        </w:rPr>
        <w:t>Rijo</w:t>
      </w:r>
      <w:proofErr w:type="spellEnd"/>
      <w:r>
        <w:rPr>
          <w:sz w:val="16"/>
          <w:szCs w:val="16"/>
        </w:rPr>
        <w:t xml:space="preserve"> </w:t>
      </w:r>
      <w:proofErr w:type="spellStart"/>
      <w:r>
        <w:rPr>
          <w:sz w:val="16"/>
          <w:szCs w:val="16"/>
        </w:rPr>
        <w:t>Advies</w:t>
      </w:r>
      <w:proofErr w:type="spellEnd"/>
      <w:r>
        <w:rPr>
          <w:sz w:val="16"/>
          <w:szCs w:val="16"/>
        </w:rPr>
        <w:t xml:space="preserve"> BVBA.</w:t>
      </w:r>
    </w:p>
    <w:p w14:paraId="308818A0" w14:textId="77777777" w:rsidR="00F76607" w:rsidRDefault="001863F0">
      <w:pPr>
        <w:spacing w:before="240" w:beforeAutospacing="1" w:after="100" w:afterAutospacing="1"/>
        <w:ind w:firstLine="857"/>
        <w:rPr>
          <w:bCs/>
          <w:sz w:val="18"/>
          <w:szCs w:val="18"/>
        </w:rPr>
      </w:pPr>
      <w:r>
        <w:rPr>
          <w:b/>
          <w:bCs/>
          <w:sz w:val="18"/>
          <w:szCs w:val="18"/>
        </w:rPr>
        <w:t xml:space="preserve">Marek </w:t>
      </w:r>
      <w:proofErr w:type="spellStart"/>
      <w:r>
        <w:rPr>
          <w:b/>
          <w:bCs/>
          <w:sz w:val="18"/>
          <w:szCs w:val="18"/>
        </w:rPr>
        <w:t>Šebest’ák</w:t>
      </w:r>
      <w:proofErr w:type="spellEnd"/>
      <w:r>
        <w:rPr>
          <w:bCs/>
          <w:sz w:val="18"/>
          <w:szCs w:val="18"/>
        </w:rPr>
        <w:t xml:space="preserve"> (b. 1954), is founder and former Chairman of BBDO-Czech Republic, one of the leading international advertising and communication agencies.</w:t>
      </w:r>
    </w:p>
    <w:p w14:paraId="702580B9" w14:textId="77777777" w:rsidR="00F76607" w:rsidRDefault="001863F0">
      <w:pPr>
        <w:spacing w:before="240" w:beforeAutospacing="1" w:after="100" w:afterAutospacing="1"/>
        <w:ind w:firstLine="857"/>
        <w:rPr>
          <w:bCs/>
          <w:sz w:val="18"/>
          <w:szCs w:val="18"/>
        </w:rPr>
      </w:pPr>
      <w:r>
        <w:rPr>
          <w:b/>
          <w:bCs/>
          <w:sz w:val="18"/>
          <w:szCs w:val="18"/>
        </w:rPr>
        <w:t>Jan Van Geet</w:t>
      </w:r>
      <w:r>
        <w:rPr>
          <w:bCs/>
          <w:sz w:val="18"/>
          <w:szCs w:val="18"/>
        </w:rPr>
        <w:t xml:space="preserve"> (b. 1971), is the founder of VGP. He has overall daily as well as strategic management responsibilities of the Group. He started in the Czech Republic in 1993 and was manager of </w:t>
      </w:r>
      <w:proofErr w:type="spellStart"/>
      <w:r>
        <w:rPr>
          <w:bCs/>
          <w:sz w:val="18"/>
          <w:szCs w:val="18"/>
        </w:rPr>
        <w:t>Ontex</w:t>
      </w:r>
      <w:proofErr w:type="spellEnd"/>
      <w:r>
        <w:rPr>
          <w:bCs/>
          <w:sz w:val="18"/>
          <w:szCs w:val="18"/>
        </w:rPr>
        <w:t xml:space="preserve"> in </w:t>
      </w:r>
      <w:proofErr w:type="spellStart"/>
      <w:r>
        <w:rPr>
          <w:bCs/>
          <w:sz w:val="18"/>
          <w:szCs w:val="18"/>
        </w:rPr>
        <w:t>Turnov</w:t>
      </w:r>
      <w:proofErr w:type="spellEnd"/>
      <w:r>
        <w:rPr>
          <w:bCs/>
          <w:sz w:val="18"/>
          <w:szCs w:val="18"/>
        </w:rPr>
        <w:t>, a producer of hygienic disposables. Until 2005, he was also managing director of WDP Czech Republic. WDP is a Belgian real estate investment trust.</w:t>
      </w:r>
    </w:p>
    <w:p w14:paraId="69C827CD" w14:textId="77777777" w:rsidR="00F76607" w:rsidRDefault="001863F0">
      <w:pPr>
        <w:spacing w:before="240" w:beforeAutospacing="1" w:after="100" w:afterAutospacing="1"/>
        <w:ind w:firstLine="857"/>
        <w:rPr>
          <w:bCs/>
          <w:sz w:val="18"/>
          <w:szCs w:val="18"/>
        </w:rPr>
      </w:pPr>
      <w:r>
        <w:rPr>
          <w:b/>
          <w:bCs/>
          <w:sz w:val="18"/>
          <w:szCs w:val="18"/>
        </w:rPr>
        <w:t>Bart Van Malderen</w:t>
      </w:r>
      <w:r>
        <w:rPr>
          <w:bCs/>
          <w:sz w:val="18"/>
          <w:szCs w:val="18"/>
        </w:rPr>
        <w:t xml:space="preserve"> (b. 1966). </w:t>
      </w:r>
      <w:proofErr w:type="spellStart"/>
      <w:r>
        <w:rPr>
          <w:bCs/>
          <w:sz w:val="18"/>
          <w:szCs w:val="18"/>
        </w:rPr>
        <w:t>Mr</w:t>
      </w:r>
      <w:proofErr w:type="spellEnd"/>
      <w:r>
        <w:rPr>
          <w:bCs/>
          <w:sz w:val="18"/>
          <w:szCs w:val="18"/>
        </w:rPr>
        <w:t xml:space="preserve"> Bart Van Malderen founded </w:t>
      </w:r>
      <w:proofErr w:type="spellStart"/>
      <w:r>
        <w:rPr>
          <w:bCs/>
          <w:sz w:val="18"/>
          <w:szCs w:val="18"/>
        </w:rPr>
        <w:t>Drylock</w:t>
      </w:r>
      <w:proofErr w:type="spellEnd"/>
      <w:r>
        <w:rPr>
          <w:bCs/>
          <w:sz w:val="18"/>
          <w:szCs w:val="18"/>
        </w:rPr>
        <w:t xml:space="preserve"> Technologies in 2012. </w:t>
      </w:r>
      <w:proofErr w:type="spellStart"/>
      <w:r>
        <w:rPr>
          <w:bCs/>
          <w:sz w:val="18"/>
          <w:szCs w:val="18"/>
        </w:rPr>
        <w:t>Drylock</w:t>
      </w:r>
      <w:proofErr w:type="spellEnd"/>
      <w:r>
        <w:rPr>
          <w:bCs/>
          <w:sz w:val="18"/>
          <w:szCs w:val="18"/>
        </w:rPr>
        <w:t xml:space="preserve"> Technologies is a new hygienic disposable products manufacturer which introduced the revolutionary fluff-less diaper in 2013. Prior to this Bart Van Malderen held different management positions at </w:t>
      </w:r>
      <w:proofErr w:type="spellStart"/>
      <w:r>
        <w:rPr>
          <w:bCs/>
          <w:sz w:val="18"/>
          <w:szCs w:val="18"/>
        </w:rPr>
        <w:t>Ontex</w:t>
      </w:r>
      <w:proofErr w:type="spellEnd"/>
      <w:r>
        <w:rPr>
          <w:bCs/>
          <w:sz w:val="18"/>
          <w:szCs w:val="18"/>
        </w:rPr>
        <w:t>, a leading European manufacturer of hygienic disposable products where he became CEO in 1996 and Chairman of the Board in 2003, a mandate which he occupied until mid-July 2007.</w:t>
      </w:r>
    </w:p>
    <w:p w14:paraId="3EABC135" w14:textId="77777777" w:rsidR="00F76607" w:rsidRDefault="001863F0">
      <w:pPr>
        <w:spacing w:before="240" w:beforeAutospacing="1" w:after="100" w:afterAutospacing="1"/>
        <w:ind w:firstLine="857"/>
        <w:rPr>
          <w:bCs/>
          <w:sz w:val="18"/>
          <w:szCs w:val="18"/>
        </w:rPr>
      </w:pPr>
      <w:r>
        <w:rPr>
          <w:b/>
          <w:bCs/>
          <w:sz w:val="18"/>
          <w:szCs w:val="18"/>
        </w:rPr>
        <w:t>Alexander Saverys</w:t>
      </w:r>
      <w:r>
        <w:rPr>
          <w:bCs/>
          <w:sz w:val="18"/>
          <w:szCs w:val="18"/>
        </w:rPr>
        <w:t xml:space="preserve"> (b. 1978). </w:t>
      </w:r>
      <w:proofErr w:type="spellStart"/>
      <w:r>
        <w:rPr>
          <w:bCs/>
          <w:sz w:val="18"/>
          <w:szCs w:val="18"/>
        </w:rPr>
        <w:t>Mr</w:t>
      </w:r>
      <w:proofErr w:type="spellEnd"/>
      <w:r>
        <w:rPr>
          <w:bCs/>
          <w:sz w:val="18"/>
          <w:szCs w:val="18"/>
        </w:rPr>
        <w:t xml:space="preserve"> Alexander Saverys holds a master of laws (University of Leuven and Madrid) and holds an MBA of the </w:t>
      </w:r>
      <w:proofErr w:type="spellStart"/>
      <w:r>
        <w:rPr>
          <w:bCs/>
          <w:sz w:val="18"/>
          <w:szCs w:val="18"/>
        </w:rPr>
        <w:t>Fachhochschule</w:t>
      </w:r>
      <w:proofErr w:type="spellEnd"/>
      <w:r>
        <w:rPr>
          <w:bCs/>
          <w:sz w:val="18"/>
          <w:szCs w:val="18"/>
        </w:rPr>
        <w:t xml:space="preserve"> </w:t>
      </w:r>
      <w:proofErr w:type="spellStart"/>
      <w:r>
        <w:rPr>
          <w:bCs/>
          <w:sz w:val="18"/>
          <w:szCs w:val="18"/>
        </w:rPr>
        <w:t>für</w:t>
      </w:r>
      <w:proofErr w:type="spellEnd"/>
      <w:r>
        <w:rPr>
          <w:bCs/>
          <w:sz w:val="18"/>
          <w:szCs w:val="18"/>
        </w:rPr>
        <w:t xml:space="preserve"> </w:t>
      </w:r>
      <w:proofErr w:type="spellStart"/>
      <w:r>
        <w:rPr>
          <w:bCs/>
          <w:sz w:val="18"/>
          <w:szCs w:val="18"/>
        </w:rPr>
        <w:t>Wirtschaft</w:t>
      </w:r>
      <w:proofErr w:type="spellEnd"/>
      <w:r>
        <w:rPr>
          <w:bCs/>
          <w:sz w:val="18"/>
          <w:szCs w:val="18"/>
        </w:rPr>
        <w:t xml:space="preserve"> Berlin. In 2004 he founded </w:t>
      </w:r>
      <w:proofErr w:type="spellStart"/>
      <w:r>
        <w:rPr>
          <w:bCs/>
          <w:sz w:val="18"/>
          <w:szCs w:val="18"/>
        </w:rPr>
        <w:t>Delphis</w:t>
      </w:r>
      <w:proofErr w:type="spellEnd"/>
      <w:r>
        <w:rPr>
          <w:bCs/>
          <w:sz w:val="18"/>
          <w:szCs w:val="18"/>
        </w:rPr>
        <w:t xml:space="preserve"> NV, a company offering multimodal transport solutions throughout Europe. He became a director of CMB (Compagnie Maritime </w:t>
      </w:r>
      <w:proofErr w:type="spellStart"/>
      <w:r>
        <w:rPr>
          <w:bCs/>
          <w:sz w:val="18"/>
          <w:szCs w:val="18"/>
        </w:rPr>
        <w:t>Belge</w:t>
      </w:r>
      <w:proofErr w:type="spellEnd"/>
      <w:r>
        <w:rPr>
          <w:bCs/>
          <w:sz w:val="18"/>
          <w:szCs w:val="18"/>
        </w:rPr>
        <w:t xml:space="preserve"> SA) in 2006 and was appointed CEO in September 2014.</w:t>
      </w:r>
    </w:p>
    <w:p w14:paraId="5E1FF102" w14:textId="77777777" w:rsidR="00F76607" w:rsidRDefault="001863F0">
      <w:pPr>
        <w:spacing w:before="240"/>
        <w:ind w:firstLine="857"/>
        <w:rPr>
          <w:bCs/>
          <w:sz w:val="18"/>
          <w:szCs w:val="18"/>
        </w:rPr>
      </w:pPr>
      <w:r>
        <w:rPr>
          <w:b/>
          <w:bCs/>
          <w:sz w:val="18"/>
          <w:szCs w:val="18"/>
        </w:rPr>
        <w:t>Jos Thys</w:t>
      </w:r>
      <w:r>
        <w:rPr>
          <w:bCs/>
          <w:sz w:val="18"/>
          <w:szCs w:val="18"/>
        </w:rPr>
        <w:t xml:space="preserve"> (b. 1962). </w:t>
      </w:r>
      <w:proofErr w:type="spellStart"/>
      <w:r>
        <w:rPr>
          <w:bCs/>
          <w:sz w:val="18"/>
          <w:szCs w:val="18"/>
        </w:rPr>
        <w:t>Mr</w:t>
      </w:r>
      <w:proofErr w:type="spellEnd"/>
      <w:r>
        <w:rPr>
          <w:bCs/>
          <w:sz w:val="18"/>
          <w:szCs w:val="18"/>
        </w:rPr>
        <w:t xml:space="preserve"> Jos Thys holds a Master’s Degree in Economics from the University of Antwerp (UFSIA). He is counsel to family owned businesses where he advises on strategic and structuring issues. He also acts as a counsel for the implementation of Corporate Governance at corporate and non-profit </w:t>
      </w:r>
      <w:proofErr w:type="spellStart"/>
      <w:r>
        <w:rPr>
          <w:bCs/>
          <w:sz w:val="18"/>
          <w:szCs w:val="18"/>
        </w:rPr>
        <w:t>organisations</w:t>
      </w:r>
      <w:proofErr w:type="spellEnd"/>
      <w:r>
        <w:rPr>
          <w:bCs/>
          <w:sz w:val="18"/>
          <w:szCs w:val="18"/>
        </w:rPr>
        <w:t xml:space="preserve">. Jos previously had a long career in corporate and investment banking with BNP Paribas, Artesia and </w:t>
      </w:r>
      <w:proofErr w:type="spellStart"/>
      <w:r>
        <w:rPr>
          <w:bCs/>
          <w:sz w:val="18"/>
          <w:szCs w:val="18"/>
        </w:rPr>
        <w:t>Dexia</w:t>
      </w:r>
      <w:proofErr w:type="spellEnd"/>
      <w:r>
        <w:rPr>
          <w:bCs/>
          <w:sz w:val="18"/>
          <w:szCs w:val="18"/>
        </w:rPr>
        <w:t>.</w:t>
      </w:r>
    </w:p>
    <w:p w14:paraId="0A6DC301" w14:textId="77777777" w:rsidR="00F76607" w:rsidRDefault="001863F0">
      <w:pPr>
        <w:spacing w:before="240"/>
        <w:ind w:firstLine="857"/>
        <w:rPr>
          <w:sz w:val="18"/>
          <w:szCs w:val="18"/>
        </w:rPr>
      </w:pPr>
      <w:r>
        <w:rPr>
          <w:sz w:val="18"/>
          <w:szCs w:val="18"/>
        </w:rPr>
        <w:t xml:space="preserve">The business address for all of the directors is Leonardo Da </w:t>
      </w:r>
      <w:proofErr w:type="spellStart"/>
      <w:r>
        <w:rPr>
          <w:sz w:val="18"/>
          <w:szCs w:val="18"/>
        </w:rPr>
        <w:t>Vincilaan</w:t>
      </w:r>
      <w:proofErr w:type="spellEnd"/>
      <w:r>
        <w:rPr>
          <w:sz w:val="18"/>
          <w:szCs w:val="18"/>
        </w:rPr>
        <w:t xml:space="preserve"> 19A, bus 6, 1831 </w:t>
      </w:r>
      <w:proofErr w:type="spellStart"/>
      <w:r>
        <w:rPr>
          <w:sz w:val="18"/>
          <w:szCs w:val="18"/>
        </w:rPr>
        <w:t>Machelen</w:t>
      </w:r>
      <w:proofErr w:type="spellEnd"/>
      <w:r>
        <w:rPr>
          <w:sz w:val="18"/>
          <w:szCs w:val="18"/>
        </w:rPr>
        <w:t xml:space="preserve"> (</w:t>
      </w:r>
      <w:proofErr w:type="spellStart"/>
      <w:r>
        <w:rPr>
          <w:sz w:val="18"/>
          <w:szCs w:val="18"/>
        </w:rPr>
        <w:t>Diegem</w:t>
      </w:r>
      <w:proofErr w:type="spellEnd"/>
      <w:r>
        <w:rPr>
          <w:sz w:val="18"/>
          <w:szCs w:val="18"/>
        </w:rPr>
        <w:t>).</w:t>
      </w:r>
    </w:p>
    <w:p w14:paraId="2FDEB8B5" w14:textId="77777777" w:rsidR="00F76607" w:rsidRDefault="001863F0">
      <w:pPr>
        <w:keepNext/>
        <w:spacing w:before="240"/>
        <w:rPr>
          <w:b/>
          <w:bCs/>
          <w:i/>
          <w:iCs/>
          <w:sz w:val="18"/>
          <w:szCs w:val="18"/>
        </w:rPr>
      </w:pPr>
      <w:r>
        <w:rPr>
          <w:b/>
          <w:bCs/>
          <w:i/>
          <w:iCs/>
          <w:sz w:val="18"/>
          <w:szCs w:val="18"/>
        </w:rPr>
        <w:t>Share Ownership of the Directors</w:t>
      </w:r>
    </w:p>
    <w:p w14:paraId="0E60CC34" w14:textId="78F12745" w:rsidR="00F76607" w:rsidRDefault="00323E6A">
      <w:pPr>
        <w:spacing w:before="240"/>
        <w:ind w:firstLine="857"/>
        <w:rPr>
          <w:sz w:val="18"/>
          <w:szCs w:val="18"/>
        </w:rPr>
      </w:pPr>
      <w:r>
        <w:rPr>
          <w:sz w:val="18"/>
          <w:szCs w:val="18"/>
        </w:rPr>
        <w:t xml:space="preserve">As </w:t>
      </w:r>
      <w:r w:rsidR="001863F0">
        <w:rPr>
          <w:sz w:val="18"/>
          <w:szCs w:val="18"/>
        </w:rPr>
        <w:t>the date of this Prospectus, the following directors (directly and/or indirectly) own shares in the Company:</w:t>
      </w:r>
    </w:p>
    <w:tbl>
      <w:tblPr>
        <w:tblStyle w:val="TableGrid"/>
        <w:tblW w:w="0" w:type="auto"/>
        <w:tblInd w:w="680" w:type="dxa"/>
        <w:tblLook w:val="04A0" w:firstRow="1" w:lastRow="0" w:firstColumn="1" w:lastColumn="0" w:noHBand="0" w:noVBand="1"/>
      </w:tblPr>
      <w:tblGrid>
        <w:gridCol w:w="3284"/>
        <w:gridCol w:w="2694"/>
        <w:gridCol w:w="2358"/>
      </w:tblGrid>
      <w:tr w:rsidR="00F76607" w14:paraId="3377013A" w14:textId="77777777">
        <w:tc>
          <w:tcPr>
            <w:tcW w:w="3284" w:type="dxa"/>
            <w:tcBorders>
              <w:left w:val="nil"/>
              <w:right w:val="nil"/>
            </w:tcBorders>
          </w:tcPr>
          <w:p w14:paraId="32868F34" w14:textId="77777777" w:rsidR="00F76607" w:rsidRDefault="001863F0">
            <w:pPr>
              <w:keepNext/>
              <w:rPr>
                <w:rFonts w:ascii="Times New Roman" w:hAnsi="Times New Roman"/>
                <w:b/>
                <w:kern w:val="20"/>
                <w:sz w:val="18"/>
                <w:szCs w:val="18"/>
                <w:lang w:val="en-GB"/>
              </w:rPr>
            </w:pPr>
            <w:r>
              <w:rPr>
                <w:rFonts w:ascii="Times New Roman" w:hAnsi="Times New Roman"/>
                <w:b/>
                <w:kern w:val="20"/>
                <w:sz w:val="18"/>
                <w:szCs w:val="18"/>
                <w:lang w:val="en-GB"/>
              </w:rPr>
              <w:t>Director</w:t>
            </w:r>
          </w:p>
        </w:tc>
        <w:tc>
          <w:tcPr>
            <w:tcW w:w="2694" w:type="dxa"/>
            <w:tcBorders>
              <w:left w:val="nil"/>
              <w:right w:val="nil"/>
            </w:tcBorders>
          </w:tcPr>
          <w:p w14:paraId="6F308D16" w14:textId="77777777" w:rsidR="00F76607" w:rsidRDefault="001863F0">
            <w:pPr>
              <w:keepNext/>
              <w:jc w:val="right"/>
              <w:rPr>
                <w:rFonts w:ascii="Times New Roman" w:hAnsi="Times New Roman"/>
                <w:b/>
                <w:kern w:val="20"/>
                <w:sz w:val="18"/>
                <w:szCs w:val="18"/>
                <w:lang w:val="en-GB"/>
              </w:rPr>
            </w:pPr>
            <w:r>
              <w:rPr>
                <w:rFonts w:ascii="Times New Roman" w:hAnsi="Times New Roman"/>
                <w:b/>
                <w:kern w:val="20"/>
                <w:sz w:val="18"/>
                <w:szCs w:val="18"/>
                <w:lang w:val="en-GB"/>
              </w:rPr>
              <w:t>Number of shares</w:t>
            </w:r>
          </w:p>
        </w:tc>
        <w:tc>
          <w:tcPr>
            <w:tcW w:w="2358" w:type="dxa"/>
            <w:tcBorders>
              <w:left w:val="nil"/>
              <w:right w:val="nil"/>
            </w:tcBorders>
          </w:tcPr>
          <w:p w14:paraId="34A184F9" w14:textId="77777777" w:rsidR="00F76607" w:rsidRDefault="001863F0">
            <w:pPr>
              <w:keepNext/>
              <w:jc w:val="right"/>
              <w:rPr>
                <w:rFonts w:ascii="Times New Roman" w:hAnsi="Times New Roman"/>
                <w:b/>
                <w:kern w:val="20"/>
                <w:sz w:val="18"/>
                <w:szCs w:val="18"/>
                <w:lang w:val="en-GB"/>
              </w:rPr>
            </w:pPr>
            <w:r>
              <w:rPr>
                <w:rFonts w:ascii="Times New Roman" w:hAnsi="Times New Roman"/>
                <w:b/>
                <w:kern w:val="20"/>
                <w:sz w:val="18"/>
                <w:szCs w:val="18"/>
                <w:lang w:val="en-GB"/>
              </w:rPr>
              <w:t>% of shares issued</w:t>
            </w:r>
          </w:p>
        </w:tc>
      </w:tr>
      <w:tr w:rsidR="00F76607" w14:paraId="15811373" w14:textId="77777777">
        <w:tc>
          <w:tcPr>
            <w:tcW w:w="3284" w:type="dxa"/>
            <w:tcBorders>
              <w:left w:val="nil"/>
              <w:bottom w:val="nil"/>
              <w:right w:val="nil"/>
            </w:tcBorders>
          </w:tcPr>
          <w:p w14:paraId="7776CD75" w14:textId="77777777" w:rsidR="00F76607" w:rsidRDefault="001863F0">
            <w:pPr>
              <w:rPr>
                <w:rFonts w:ascii="Times New Roman" w:hAnsi="Times New Roman"/>
                <w:kern w:val="20"/>
                <w:sz w:val="18"/>
                <w:szCs w:val="18"/>
                <w:lang w:val="en-GB"/>
              </w:rPr>
            </w:pPr>
            <w:r>
              <w:rPr>
                <w:rFonts w:ascii="Times New Roman" w:hAnsi="Times New Roman"/>
                <w:kern w:val="20"/>
                <w:sz w:val="18"/>
                <w:szCs w:val="18"/>
                <w:lang w:val="en-GB"/>
              </w:rPr>
              <w:t>VM Invest NV</w:t>
            </w:r>
          </w:p>
        </w:tc>
        <w:tc>
          <w:tcPr>
            <w:tcW w:w="2694" w:type="dxa"/>
            <w:tcBorders>
              <w:left w:val="nil"/>
              <w:bottom w:val="nil"/>
              <w:right w:val="nil"/>
            </w:tcBorders>
            <w:vAlign w:val="bottom"/>
          </w:tcPr>
          <w:p w14:paraId="23B4F4F8"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4,451,668</w:t>
            </w:r>
          </w:p>
        </w:tc>
        <w:tc>
          <w:tcPr>
            <w:tcW w:w="2358" w:type="dxa"/>
            <w:tcBorders>
              <w:left w:val="nil"/>
              <w:bottom w:val="nil"/>
              <w:right w:val="nil"/>
            </w:tcBorders>
            <w:vAlign w:val="bottom"/>
          </w:tcPr>
          <w:p w14:paraId="7026A47C"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rPr>
              <w:t>23.96</w:t>
            </w:r>
            <w:r>
              <w:rPr>
                <w:rFonts w:ascii="Times New Roman" w:hAnsi="Times New Roman"/>
                <w:color w:val="000000"/>
                <w:sz w:val="18"/>
                <w:szCs w:val="18"/>
                <w:lang w:val="en-US"/>
              </w:rPr>
              <w:t>%</w:t>
            </w:r>
          </w:p>
        </w:tc>
      </w:tr>
      <w:tr w:rsidR="00F76607" w14:paraId="658AEB91" w14:textId="77777777">
        <w:tc>
          <w:tcPr>
            <w:tcW w:w="3284" w:type="dxa"/>
            <w:tcBorders>
              <w:top w:val="nil"/>
              <w:left w:val="nil"/>
              <w:bottom w:val="nil"/>
              <w:right w:val="nil"/>
            </w:tcBorders>
          </w:tcPr>
          <w:p w14:paraId="13D3D38F" w14:textId="77777777" w:rsidR="00F76607" w:rsidRDefault="001863F0">
            <w:pPr>
              <w:rPr>
                <w:rFonts w:ascii="Times New Roman" w:hAnsi="Times New Roman"/>
                <w:kern w:val="20"/>
                <w:sz w:val="18"/>
                <w:szCs w:val="18"/>
                <w:lang w:val="en-GB"/>
              </w:rPr>
            </w:pPr>
            <w:r>
              <w:rPr>
                <w:rFonts w:ascii="Times New Roman" w:hAnsi="Times New Roman"/>
                <w:kern w:val="20"/>
                <w:sz w:val="18"/>
                <w:szCs w:val="18"/>
                <w:lang w:val="en-GB"/>
              </w:rPr>
              <w:t>Bart Van Malderen</w:t>
            </w:r>
          </w:p>
        </w:tc>
        <w:tc>
          <w:tcPr>
            <w:tcW w:w="2694" w:type="dxa"/>
            <w:tcBorders>
              <w:top w:val="nil"/>
              <w:left w:val="nil"/>
              <w:bottom w:val="nil"/>
              <w:right w:val="nil"/>
            </w:tcBorders>
            <w:vAlign w:val="bottom"/>
          </w:tcPr>
          <w:p w14:paraId="4067D1F1"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rPr>
              <w:t>3,545,250</w:t>
            </w:r>
          </w:p>
        </w:tc>
        <w:tc>
          <w:tcPr>
            <w:tcW w:w="2358" w:type="dxa"/>
            <w:tcBorders>
              <w:top w:val="nil"/>
              <w:left w:val="nil"/>
              <w:bottom w:val="nil"/>
              <w:right w:val="nil"/>
            </w:tcBorders>
            <w:vAlign w:val="bottom"/>
          </w:tcPr>
          <w:p w14:paraId="69EDDED8"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19.08%</w:t>
            </w:r>
          </w:p>
        </w:tc>
      </w:tr>
      <w:tr w:rsidR="00F76607" w14:paraId="54BA7E81" w14:textId="77777777">
        <w:tc>
          <w:tcPr>
            <w:tcW w:w="3284" w:type="dxa"/>
            <w:tcBorders>
              <w:top w:val="nil"/>
              <w:left w:val="nil"/>
              <w:bottom w:val="nil"/>
              <w:right w:val="nil"/>
            </w:tcBorders>
          </w:tcPr>
          <w:p w14:paraId="1D7C177C" w14:textId="77777777" w:rsidR="00F76607" w:rsidRDefault="001863F0">
            <w:pPr>
              <w:rPr>
                <w:kern w:val="20"/>
                <w:sz w:val="18"/>
                <w:szCs w:val="18"/>
                <w:lang w:val="en-GB"/>
              </w:rPr>
            </w:pPr>
            <w:r>
              <w:rPr>
                <w:rFonts w:ascii="Times New Roman" w:hAnsi="Times New Roman"/>
                <w:kern w:val="20"/>
                <w:sz w:val="18"/>
                <w:szCs w:val="18"/>
                <w:lang w:val="en-GB"/>
              </w:rPr>
              <w:t>VGP MISV Comm. VA</w:t>
            </w:r>
          </w:p>
        </w:tc>
        <w:tc>
          <w:tcPr>
            <w:tcW w:w="2694" w:type="dxa"/>
            <w:tcBorders>
              <w:top w:val="nil"/>
              <w:left w:val="nil"/>
              <w:bottom w:val="single" w:sz="12" w:space="0" w:color="auto"/>
              <w:right w:val="nil"/>
            </w:tcBorders>
            <w:vAlign w:val="bottom"/>
          </w:tcPr>
          <w:p w14:paraId="3C9DA28D" w14:textId="77777777" w:rsidR="00F76607" w:rsidRDefault="001863F0">
            <w:pPr>
              <w:jc w:val="right"/>
              <w:rPr>
                <w:color w:val="000000"/>
                <w:sz w:val="18"/>
                <w:szCs w:val="18"/>
              </w:rPr>
            </w:pPr>
            <w:r>
              <w:rPr>
                <w:rFonts w:ascii="Times New Roman" w:hAnsi="Times New Roman"/>
                <w:kern w:val="20"/>
                <w:sz w:val="18"/>
                <w:szCs w:val="18"/>
                <w:lang w:val="en-GB"/>
              </w:rPr>
              <w:t>929,153</w:t>
            </w:r>
          </w:p>
        </w:tc>
        <w:tc>
          <w:tcPr>
            <w:tcW w:w="2358" w:type="dxa"/>
            <w:tcBorders>
              <w:top w:val="nil"/>
              <w:left w:val="nil"/>
              <w:bottom w:val="single" w:sz="12" w:space="0" w:color="auto"/>
              <w:right w:val="nil"/>
            </w:tcBorders>
            <w:vAlign w:val="bottom"/>
          </w:tcPr>
          <w:p w14:paraId="0671BF09" w14:textId="77777777" w:rsidR="00F76607" w:rsidRDefault="001863F0">
            <w:pPr>
              <w:jc w:val="right"/>
              <w:rPr>
                <w:color w:val="000000"/>
                <w:sz w:val="18"/>
                <w:szCs w:val="18"/>
              </w:rPr>
            </w:pPr>
            <w:r>
              <w:rPr>
                <w:rFonts w:ascii="Times New Roman" w:hAnsi="Times New Roman"/>
                <w:kern w:val="20"/>
                <w:sz w:val="18"/>
                <w:szCs w:val="18"/>
                <w:lang w:val="en-GB"/>
              </w:rPr>
              <w:t>5.00%</w:t>
            </w:r>
          </w:p>
        </w:tc>
      </w:tr>
      <w:tr w:rsidR="00F76607" w14:paraId="28A51E66" w14:textId="77777777">
        <w:tc>
          <w:tcPr>
            <w:tcW w:w="3284" w:type="dxa"/>
            <w:tcBorders>
              <w:top w:val="nil"/>
              <w:left w:val="nil"/>
              <w:bottom w:val="nil"/>
              <w:right w:val="nil"/>
            </w:tcBorders>
          </w:tcPr>
          <w:p w14:paraId="11940A96" w14:textId="77777777" w:rsidR="00F76607" w:rsidRDefault="001863F0">
            <w:pPr>
              <w:keepNext/>
              <w:spacing w:line="256" w:lineRule="auto"/>
              <w:rPr>
                <w:rFonts w:ascii="Times New Roman" w:hAnsi="Times New Roman"/>
                <w:b/>
                <w:kern w:val="20"/>
                <w:sz w:val="18"/>
                <w:szCs w:val="18"/>
              </w:rPr>
            </w:pPr>
            <w:r>
              <w:rPr>
                <w:rFonts w:ascii="Times New Roman" w:hAnsi="Times New Roman"/>
                <w:b/>
                <w:kern w:val="20"/>
                <w:sz w:val="18"/>
                <w:szCs w:val="18"/>
              </w:rPr>
              <w:t>Total Bart Van Malderen Group</w:t>
            </w:r>
          </w:p>
        </w:tc>
        <w:tc>
          <w:tcPr>
            <w:tcW w:w="2694" w:type="dxa"/>
            <w:tcBorders>
              <w:top w:val="single" w:sz="12" w:space="0" w:color="auto"/>
              <w:left w:val="nil"/>
              <w:bottom w:val="single" w:sz="4" w:space="0" w:color="auto"/>
              <w:right w:val="nil"/>
            </w:tcBorders>
            <w:vAlign w:val="bottom"/>
          </w:tcPr>
          <w:p w14:paraId="7766C94C" w14:textId="77777777" w:rsidR="00F76607" w:rsidRDefault="001863F0">
            <w:pPr>
              <w:jc w:val="right"/>
              <w:rPr>
                <w:rFonts w:ascii="Times New Roman" w:hAnsi="Times New Roman"/>
                <w:b/>
                <w:i/>
                <w:color w:val="000000"/>
                <w:sz w:val="18"/>
                <w:szCs w:val="18"/>
              </w:rPr>
            </w:pPr>
            <w:r>
              <w:rPr>
                <w:rFonts w:ascii="Times New Roman" w:hAnsi="Times New Roman"/>
                <w:b/>
                <w:i/>
                <w:color w:val="000000"/>
                <w:sz w:val="18"/>
                <w:szCs w:val="18"/>
                <w:lang w:val="en-US"/>
              </w:rPr>
              <w:t>8,926,071</w:t>
            </w:r>
          </w:p>
        </w:tc>
        <w:tc>
          <w:tcPr>
            <w:tcW w:w="2358" w:type="dxa"/>
            <w:tcBorders>
              <w:top w:val="single" w:sz="12" w:space="0" w:color="auto"/>
              <w:left w:val="nil"/>
              <w:bottom w:val="single" w:sz="4" w:space="0" w:color="auto"/>
              <w:right w:val="nil"/>
            </w:tcBorders>
            <w:vAlign w:val="bottom"/>
          </w:tcPr>
          <w:p w14:paraId="3D455A47" w14:textId="77777777" w:rsidR="00F76607" w:rsidRDefault="001863F0">
            <w:pPr>
              <w:jc w:val="right"/>
              <w:rPr>
                <w:rFonts w:ascii="Times New Roman" w:hAnsi="Times New Roman"/>
                <w:b/>
                <w:color w:val="000000"/>
                <w:sz w:val="18"/>
                <w:szCs w:val="18"/>
              </w:rPr>
            </w:pPr>
            <w:r>
              <w:rPr>
                <w:rFonts w:ascii="Times New Roman" w:hAnsi="Times New Roman"/>
                <w:b/>
                <w:color w:val="000000"/>
                <w:sz w:val="18"/>
                <w:szCs w:val="18"/>
              </w:rPr>
              <w:t>48.03%</w:t>
            </w:r>
          </w:p>
        </w:tc>
      </w:tr>
      <w:tr w:rsidR="00F76607" w14:paraId="4618E116" w14:textId="77777777">
        <w:tc>
          <w:tcPr>
            <w:tcW w:w="3284" w:type="dxa"/>
            <w:tcBorders>
              <w:top w:val="nil"/>
              <w:left w:val="nil"/>
              <w:bottom w:val="nil"/>
              <w:right w:val="nil"/>
            </w:tcBorders>
          </w:tcPr>
          <w:p w14:paraId="618C0944" w14:textId="77777777" w:rsidR="00F76607" w:rsidRDefault="001863F0">
            <w:pPr>
              <w:rPr>
                <w:rFonts w:ascii="Times New Roman" w:hAnsi="Times New Roman"/>
                <w:kern w:val="20"/>
                <w:sz w:val="18"/>
                <w:szCs w:val="18"/>
                <w:lang w:val="en-GB"/>
              </w:rPr>
            </w:pPr>
            <w:r>
              <w:rPr>
                <w:rFonts w:ascii="Times New Roman" w:hAnsi="Times New Roman"/>
                <w:kern w:val="20"/>
                <w:sz w:val="18"/>
                <w:szCs w:val="18"/>
                <w:lang w:val="en-GB"/>
              </w:rPr>
              <w:t>Little Rock SA</w:t>
            </w:r>
          </w:p>
        </w:tc>
        <w:tc>
          <w:tcPr>
            <w:tcW w:w="2694" w:type="dxa"/>
            <w:tcBorders>
              <w:left w:val="nil"/>
              <w:bottom w:val="nil"/>
              <w:right w:val="nil"/>
            </w:tcBorders>
            <w:vAlign w:val="bottom"/>
          </w:tcPr>
          <w:p w14:paraId="544C6A37"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4,707,752</w:t>
            </w:r>
          </w:p>
        </w:tc>
        <w:tc>
          <w:tcPr>
            <w:tcW w:w="2358" w:type="dxa"/>
            <w:tcBorders>
              <w:left w:val="nil"/>
              <w:bottom w:val="nil"/>
              <w:right w:val="nil"/>
            </w:tcBorders>
            <w:vAlign w:val="bottom"/>
          </w:tcPr>
          <w:p w14:paraId="1293AB22"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25.33%</w:t>
            </w:r>
          </w:p>
        </w:tc>
      </w:tr>
      <w:tr w:rsidR="00F76607" w14:paraId="27F9F3CF" w14:textId="77777777">
        <w:tc>
          <w:tcPr>
            <w:tcW w:w="3284" w:type="dxa"/>
            <w:tcBorders>
              <w:top w:val="nil"/>
              <w:left w:val="nil"/>
              <w:bottom w:val="nil"/>
              <w:right w:val="nil"/>
            </w:tcBorders>
          </w:tcPr>
          <w:p w14:paraId="437FE980" w14:textId="77777777" w:rsidR="00F76607" w:rsidRDefault="001863F0">
            <w:pPr>
              <w:rPr>
                <w:rFonts w:ascii="Times New Roman" w:hAnsi="Times New Roman"/>
                <w:kern w:val="20"/>
                <w:sz w:val="18"/>
                <w:szCs w:val="18"/>
                <w:lang w:val="en-GB"/>
              </w:rPr>
            </w:pPr>
            <w:proofErr w:type="spellStart"/>
            <w:r>
              <w:rPr>
                <w:rFonts w:ascii="Times New Roman" w:hAnsi="Times New Roman"/>
                <w:kern w:val="20"/>
                <w:sz w:val="18"/>
                <w:szCs w:val="18"/>
                <w:lang w:val="en-GB"/>
              </w:rPr>
              <w:t>Alsgard</w:t>
            </w:r>
            <w:proofErr w:type="spellEnd"/>
            <w:r>
              <w:rPr>
                <w:rFonts w:ascii="Times New Roman" w:hAnsi="Times New Roman"/>
                <w:kern w:val="20"/>
                <w:sz w:val="18"/>
                <w:szCs w:val="18"/>
                <w:lang w:val="en-GB"/>
              </w:rPr>
              <w:t xml:space="preserve"> SA</w:t>
            </w:r>
          </w:p>
        </w:tc>
        <w:tc>
          <w:tcPr>
            <w:tcW w:w="2694" w:type="dxa"/>
            <w:tcBorders>
              <w:top w:val="nil"/>
              <w:left w:val="nil"/>
              <w:bottom w:val="nil"/>
              <w:right w:val="nil"/>
            </w:tcBorders>
            <w:vAlign w:val="bottom"/>
          </w:tcPr>
          <w:p w14:paraId="1D2DAB8B" w14:textId="77777777" w:rsidR="00F76607" w:rsidRDefault="001863F0">
            <w:pPr>
              <w:jc w:val="right"/>
              <w:rPr>
                <w:color w:val="000000"/>
                <w:sz w:val="18"/>
                <w:szCs w:val="18"/>
              </w:rPr>
            </w:pPr>
            <w:r>
              <w:rPr>
                <w:rFonts w:ascii="Times New Roman" w:hAnsi="Times New Roman"/>
                <w:color w:val="000000"/>
                <w:sz w:val="18"/>
                <w:szCs w:val="18"/>
                <w:lang w:val="en-US"/>
              </w:rPr>
              <w:t>2,409,914</w:t>
            </w:r>
          </w:p>
        </w:tc>
        <w:tc>
          <w:tcPr>
            <w:tcW w:w="2358" w:type="dxa"/>
            <w:tcBorders>
              <w:top w:val="nil"/>
              <w:left w:val="nil"/>
              <w:bottom w:val="nil"/>
              <w:right w:val="nil"/>
            </w:tcBorders>
            <w:vAlign w:val="bottom"/>
          </w:tcPr>
          <w:p w14:paraId="7C1AB761" w14:textId="77777777" w:rsidR="00F76607" w:rsidRDefault="001863F0">
            <w:pPr>
              <w:jc w:val="right"/>
              <w:rPr>
                <w:color w:val="000000"/>
                <w:sz w:val="18"/>
                <w:szCs w:val="18"/>
              </w:rPr>
            </w:pPr>
            <w:r>
              <w:rPr>
                <w:rFonts w:ascii="Times New Roman" w:hAnsi="Times New Roman"/>
                <w:color w:val="000000"/>
                <w:sz w:val="18"/>
                <w:szCs w:val="18"/>
                <w:lang w:val="en-US"/>
              </w:rPr>
              <w:t>12.97%</w:t>
            </w:r>
          </w:p>
        </w:tc>
      </w:tr>
      <w:tr w:rsidR="00F76607" w14:paraId="7DACF23C" w14:textId="77777777">
        <w:tc>
          <w:tcPr>
            <w:tcW w:w="3284" w:type="dxa"/>
            <w:tcBorders>
              <w:top w:val="nil"/>
              <w:left w:val="nil"/>
              <w:bottom w:val="nil"/>
              <w:right w:val="nil"/>
            </w:tcBorders>
          </w:tcPr>
          <w:p w14:paraId="3B0B1182" w14:textId="77777777" w:rsidR="00F76607" w:rsidRDefault="001863F0">
            <w:pPr>
              <w:rPr>
                <w:rFonts w:ascii="Times New Roman" w:hAnsi="Times New Roman"/>
                <w:b/>
                <w:kern w:val="20"/>
                <w:sz w:val="18"/>
                <w:szCs w:val="18"/>
              </w:rPr>
            </w:pPr>
            <w:r>
              <w:rPr>
                <w:rFonts w:ascii="Times New Roman" w:hAnsi="Times New Roman"/>
                <w:b/>
                <w:kern w:val="20"/>
                <w:sz w:val="18"/>
                <w:szCs w:val="18"/>
              </w:rPr>
              <w:t>Total Jan Van Geet Group</w:t>
            </w:r>
          </w:p>
        </w:tc>
        <w:tc>
          <w:tcPr>
            <w:tcW w:w="2694" w:type="dxa"/>
            <w:tcBorders>
              <w:top w:val="single" w:sz="12" w:space="0" w:color="auto"/>
              <w:left w:val="nil"/>
              <w:bottom w:val="single" w:sz="12" w:space="0" w:color="auto"/>
              <w:right w:val="nil"/>
            </w:tcBorders>
            <w:vAlign w:val="bottom"/>
          </w:tcPr>
          <w:p w14:paraId="32AB82BE" w14:textId="77777777" w:rsidR="00F76607" w:rsidRDefault="001863F0">
            <w:pPr>
              <w:jc w:val="right"/>
              <w:rPr>
                <w:rFonts w:ascii="Times New Roman" w:hAnsi="Times New Roman"/>
                <w:b/>
                <w:i/>
                <w:color w:val="000000"/>
                <w:sz w:val="18"/>
                <w:szCs w:val="18"/>
              </w:rPr>
            </w:pPr>
            <w:r>
              <w:rPr>
                <w:rFonts w:ascii="Times New Roman" w:hAnsi="Times New Roman"/>
                <w:b/>
                <w:i/>
                <w:color w:val="000000"/>
                <w:sz w:val="18"/>
                <w:szCs w:val="18"/>
              </w:rPr>
              <w:t>7,117,666</w:t>
            </w:r>
          </w:p>
        </w:tc>
        <w:tc>
          <w:tcPr>
            <w:tcW w:w="2358" w:type="dxa"/>
            <w:tcBorders>
              <w:top w:val="single" w:sz="12" w:space="0" w:color="auto"/>
              <w:left w:val="nil"/>
              <w:bottom w:val="single" w:sz="12" w:space="0" w:color="auto"/>
              <w:right w:val="nil"/>
            </w:tcBorders>
            <w:vAlign w:val="bottom"/>
          </w:tcPr>
          <w:p w14:paraId="78C376AE" w14:textId="77777777" w:rsidR="00F76607" w:rsidRDefault="001863F0">
            <w:pPr>
              <w:jc w:val="right"/>
              <w:rPr>
                <w:rFonts w:ascii="Times New Roman" w:hAnsi="Times New Roman"/>
                <w:b/>
                <w:color w:val="000000"/>
                <w:sz w:val="18"/>
                <w:szCs w:val="18"/>
              </w:rPr>
            </w:pPr>
            <w:r>
              <w:rPr>
                <w:rFonts w:ascii="Times New Roman" w:hAnsi="Times New Roman"/>
                <w:b/>
                <w:color w:val="000000"/>
                <w:sz w:val="18"/>
                <w:szCs w:val="18"/>
              </w:rPr>
              <w:t>38.30%</w:t>
            </w:r>
          </w:p>
        </w:tc>
      </w:tr>
      <w:tr w:rsidR="00F76607" w:rsidRPr="00C14CEE" w14:paraId="530694F0" w14:textId="77777777" w:rsidTr="00B322A7">
        <w:tc>
          <w:tcPr>
            <w:tcW w:w="3284" w:type="dxa"/>
            <w:tcBorders>
              <w:top w:val="nil"/>
              <w:left w:val="nil"/>
              <w:bottom w:val="nil"/>
              <w:right w:val="nil"/>
            </w:tcBorders>
          </w:tcPr>
          <w:p w14:paraId="1DFBA7B7" w14:textId="2EA422A9" w:rsidR="00F76607" w:rsidRDefault="00484735">
            <w:pPr>
              <w:ind w:right="-365"/>
              <w:rPr>
                <w:rFonts w:ascii="Times New Roman" w:hAnsi="Times New Roman"/>
                <w:b/>
                <w:kern w:val="20"/>
                <w:sz w:val="18"/>
                <w:szCs w:val="18"/>
                <w:lang w:val="en-US"/>
              </w:rPr>
            </w:pPr>
            <w:r>
              <w:rPr>
                <w:rFonts w:ascii="Times New Roman" w:hAnsi="Times New Roman"/>
                <w:b/>
                <w:kern w:val="20"/>
                <w:sz w:val="18"/>
                <w:szCs w:val="18"/>
                <w:lang w:val="en-US"/>
              </w:rPr>
              <w:t>J</w:t>
            </w:r>
            <w:r w:rsidR="00C14CEE">
              <w:rPr>
                <w:rFonts w:ascii="Times New Roman" w:hAnsi="Times New Roman"/>
                <w:b/>
                <w:kern w:val="20"/>
                <w:sz w:val="18"/>
                <w:szCs w:val="18"/>
                <w:lang w:val="en-US"/>
              </w:rPr>
              <w:t>os Thys</w:t>
            </w:r>
          </w:p>
        </w:tc>
        <w:tc>
          <w:tcPr>
            <w:tcW w:w="2694" w:type="dxa"/>
            <w:tcBorders>
              <w:top w:val="single" w:sz="12" w:space="0" w:color="auto"/>
              <w:left w:val="nil"/>
              <w:bottom w:val="single" w:sz="12" w:space="0" w:color="auto"/>
              <w:right w:val="nil"/>
            </w:tcBorders>
            <w:vAlign w:val="bottom"/>
          </w:tcPr>
          <w:p w14:paraId="5A5DE8A0" w14:textId="4226DDE9" w:rsidR="00F76607" w:rsidRPr="00484735" w:rsidRDefault="00484735">
            <w:pPr>
              <w:jc w:val="right"/>
              <w:rPr>
                <w:rFonts w:ascii="Times New Roman" w:hAnsi="Times New Roman"/>
                <w:color w:val="000000"/>
                <w:sz w:val="18"/>
                <w:szCs w:val="18"/>
                <w:lang w:val="en-US"/>
              </w:rPr>
            </w:pPr>
            <w:r w:rsidRPr="00484735">
              <w:rPr>
                <w:rFonts w:ascii="Times New Roman" w:hAnsi="Times New Roman"/>
                <w:color w:val="000000"/>
                <w:sz w:val="18"/>
                <w:szCs w:val="18"/>
                <w:lang w:val="en-US"/>
              </w:rPr>
              <w:t>1,965</w:t>
            </w:r>
          </w:p>
        </w:tc>
        <w:tc>
          <w:tcPr>
            <w:tcW w:w="2358" w:type="dxa"/>
            <w:tcBorders>
              <w:top w:val="single" w:sz="12" w:space="0" w:color="auto"/>
              <w:left w:val="nil"/>
              <w:bottom w:val="single" w:sz="12" w:space="0" w:color="auto"/>
              <w:right w:val="nil"/>
            </w:tcBorders>
            <w:vAlign w:val="bottom"/>
          </w:tcPr>
          <w:p w14:paraId="5FB23776" w14:textId="06A8E1A7" w:rsidR="00F76607" w:rsidRPr="00C14CEE" w:rsidRDefault="00B322A7">
            <w:pPr>
              <w:jc w:val="right"/>
              <w:rPr>
                <w:rFonts w:ascii="Times New Roman" w:hAnsi="Times New Roman"/>
                <w:color w:val="000000"/>
                <w:sz w:val="18"/>
                <w:szCs w:val="18"/>
                <w:lang w:val="en-US"/>
              </w:rPr>
            </w:pPr>
            <w:r>
              <w:rPr>
                <w:rFonts w:ascii="Times New Roman" w:hAnsi="Times New Roman"/>
                <w:color w:val="000000"/>
                <w:sz w:val="18"/>
                <w:szCs w:val="18"/>
                <w:lang w:val="en-US"/>
              </w:rPr>
              <w:t>0,01</w:t>
            </w:r>
            <w:r w:rsidR="00484735" w:rsidRPr="00C14CEE">
              <w:rPr>
                <w:rFonts w:ascii="Times New Roman" w:hAnsi="Times New Roman"/>
                <w:color w:val="000000"/>
                <w:sz w:val="18"/>
                <w:szCs w:val="18"/>
                <w:lang w:val="en-US"/>
              </w:rPr>
              <w:t>%</w:t>
            </w:r>
          </w:p>
        </w:tc>
      </w:tr>
      <w:tr w:rsidR="00B322A7" w:rsidRPr="00B322A7" w14:paraId="152D1659" w14:textId="77777777">
        <w:tc>
          <w:tcPr>
            <w:tcW w:w="3284" w:type="dxa"/>
            <w:tcBorders>
              <w:top w:val="nil"/>
              <w:left w:val="nil"/>
              <w:bottom w:val="nil"/>
              <w:right w:val="nil"/>
            </w:tcBorders>
          </w:tcPr>
          <w:p w14:paraId="19E22747" w14:textId="51AECC76" w:rsidR="00B322A7" w:rsidRDefault="00B322A7">
            <w:pPr>
              <w:ind w:right="-365"/>
              <w:rPr>
                <w:b/>
                <w:kern w:val="20"/>
                <w:sz w:val="18"/>
                <w:szCs w:val="18"/>
              </w:rPr>
            </w:pPr>
            <w:r w:rsidRPr="00B322A7">
              <w:rPr>
                <w:rFonts w:ascii="Times New Roman" w:hAnsi="Times New Roman"/>
                <w:b/>
                <w:kern w:val="20"/>
                <w:sz w:val="18"/>
                <w:szCs w:val="18"/>
                <w:lang w:val="en-US"/>
              </w:rPr>
              <w:t xml:space="preserve">Marek </w:t>
            </w:r>
            <w:proofErr w:type="spellStart"/>
            <w:r w:rsidRPr="00B322A7">
              <w:rPr>
                <w:rFonts w:ascii="Times New Roman" w:hAnsi="Times New Roman"/>
                <w:b/>
                <w:kern w:val="20"/>
                <w:sz w:val="18"/>
                <w:szCs w:val="18"/>
                <w:lang w:val="en-US"/>
              </w:rPr>
              <w:t>Šebest’ák</w:t>
            </w:r>
            <w:proofErr w:type="spellEnd"/>
          </w:p>
        </w:tc>
        <w:tc>
          <w:tcPr>
            <w:tcW w:w="2694" w:type="dxa"/>
            <w:tcBorders>
              <w:top w:val="single" w:sz="12" w:space="0" w:color="auto"/>
              <w:left w:val="nil"/>
              <w:bottom w:val="single" w:sz="4" w:space="0" w:color="auto"/>
              <w:right w:val="nil"/>
            </w:tcBorders>
            <w:vAlign w:val="bottom"/>
          </w:tcPr>
          <w:p w14:paraId="140980B3" w14:textId="402F2BFB" w:rsidR="00B322A7" w:rsidRPr="00B322A7" w:rsidRDefault="00B322A7">
            <w:pPr>
              <w:jc w:val="right"/>
              <w:rPr>
                <w:rFonts w:ascii="Times New Roman" w:hAnsi="Times New Roman"/>
                <w:color w:val="000000"/>
                <w:sz w:val="18"/>
                <w:szCs w:val="18"/>
                <w:lang w:val="en-US"/>
              </w:rPr>
            </w:pPr>
            <w:r w:rsidRPr="00B322A7">
              <w:rPr>
                <w:rFonts w:ascii="Times New Roman" w:hAnsi="Times New Roman"/>
                <w:color w:val="000000"/>
                <w:sz w:val="18"/>
                <w:szCs w:val="18"/>
                <w:lang w:val="en-US"/>
              </w:rPr>
              <w:t>1,922</w:t>
            </w:r>
          </w:p>
        </w:tc>
        <w:tc>
          <w:tcPr>
            <w:tcW w:w="2358" w:type="dxa"/>
            <w:tcBorders>
              <w:top w:val="single" w:sz="12" w:space="0" w:color="auto"/>
              <w:left w:val="nil"/>
              <w:bottom w:val="single" w:sz="4" w:space="0" w:color="auto"/>
              <w:right w:val="nil"/>
            </w:tcBorders>
            <w:vAlign w:val="bottom"/>
          </w:tcPr>
          <w:p w14:paraId="4B9B0574" w14:textId="630B3960" w:rsidR="00B322A7" w:rsidRPr="00B322A7" w:rsidRDefault="00B322A7">
            <w:pPr>
              <w:jc w:val="right"/>
              <w:rPr>
                <w:rFonts w:ascii="Times New Roman" w:hAnsi="Times New Roman"/>
                <w:color w:val="000000"/>
                <w:sz w:val="18"/>
                <w:szCs w:val="18"/>
                <w:lang w:val="en-US"/>
              </w:rPr>
            </w:pPr>
            <w:r w:rsidRPr="00B322A7">
              <w:rPr>
                <w:rFonts w:ascii="Times New Roman" w:hAnsi="Times New Roman"/>
                <w:color w:val="000000"/>
                <w:sz w:val="18"/>
                <w:szCs w:val="18"/>
                <w:lang w:val="en-US"/>
              </w:rPr>
              <w:t>0,01%</w:t>
            </w:r>
          </w:p>
        </w:tc>
      </w:tr>
    </w:tbl>
    <w:p w14:paraId="3E8CAAAE" w14:textId="77777777" w:rsidR="00F76607" w:rsidRDefault="001863F0">
      <w:pPr>
        <w:pStyle w:val="VulcanIIbody"/>
        <w:rPr>
          <w:rFonts w:eastAsiaTheme="minorHAnsi"/>
        </w:rPr>
      </w:pPr>
      <w:r>
        <w:rPr>
          <w:rFonts w:eastAsiaTheme="minorHAnsi"/>
        </w:rPr>
        <w:t>None of the directors own share options.</w:t>
      </w:r>
    </w:p>
    <w:p w14:paraId="357CB9D7" w14:textId="77777777" w:rsidR="00F76607" w:rsidRDefault="001863F0">
      <w:pPr>
        <w:spacing w:before="240"/>
        <w:ind w:firstLine="857"/>
        <w:rPr>
          <w:szCs w:val="24"/>
        </w:rPr>
      </w:pPr>
      <w:r>
        <w:rPr>
          <w:sz w:val="18"/>
          <w:szCs w:val="18"/>
        </w:rPr>
        <w:t xml:space="preserve">As set out in the section </w:t>
      </w:r>
      <w:r>
        <w:rPr>
          <w:i/>
          <w:sz w:val="18"/>
          <w:szCs w:val="18"/>
        </w:rPr>
        <w:t>“Offering”</w:t>
      </w:r>
      <w:r>
        <w:rPr>
          <w:sz w:val="18"/>
          <w:szCs w:val="18"/>
        </w:rPr>
        <w:t>, VM Invest NV, Bart Van Malderen and Little Rock SA offer to sell (a number of) their shares in the Company in the framework of the Offering. No other members of the Board of Directors intend to participate in the Offering as purchaser of any Offer Shares.</w:t>
      </w:r>
    </w:p>
    <w:p w14:paraId="0CF244C6" w14:textId="77777777" w:rsidR="00F76607" w:rsidRDefault="001863F0">
      <w:pPr>
        <w:keepNext/>
        <w:spacing w:before="240"/>
        <w:rPr>
          <w:szCs w:val="24"/>
        </w:rPr>
      </w:pPr>
      <w:r>
        <w:rPr>
          <w:b/>
          <w:bCs/>
          <w:i/>
          <w:iCs/>
          <w:sz w:val="18"/>
          <w:szCs w:val="18"/>
        </w:rPr>
        <w:t xml:space="preserve">General Information on the Directors </w:t>
      </w:r>
    </w:p>
    <w:p w14:paraId="45452756" w14:textId="77777777" w:rsidR="00F76607" w:rsidRDefault="001863F0">
      <w:pPr>
        <w:spacing w:before="240"/>
        <w:ind w:firstLine="857"/>
        <w:rPr>
          <w:szCs w:val="24"/>
        </w:rPr>
      </w:pPr>
      <w:r>
        <w:rPr>
          <w:sz w:val="18"/>
          <w:szCs w:val="18"/>
        </w:rPr>
        <w:t>In relation to each of the directors, there have been no (</w:t>
      </w:r>
      <w:proofErr w:type="spellStart"/>
      <w:r>
        <w:rPr>
          <w:sz w:val="18"/>
          <w:szCs w:val="18"/>
        </w:rPr>
        <w:t>i</w:t>
      </w:r>
      <w:proofErr w:type="spellEnd"/>
      <w:r>
        <w:rPr>
          <w:sz w:val="18"/>
          <w:szCs w:val="18"/>
        </w:rPr>
        <w:t xml:space="preserve">) convictions in relation to fraudulent offenses during the previous five years; (ii) bankruptcies, receiverships or liquidations of any entities in which such members held any office, directorships” or senior management positions during the previous five years; or (iii) official public incrimination and/or sanctions of such members by statutory or regulatory authorities (including designated professional bodies), or disqualification by a court from acting as a member of the administrative, management or supervisory bodies of an Company or from acting in the management or conduct of the affairs of any Company during the previous five years. </w:t>
      </w:r>
    </w:p>
    <w:p w14:paraId="0902EC0E" w14:textId="77777777" w:rsidR="00F76607" w:rsidRDefault="001863F0">
      <w:pPr>
        <w:spacing w:before="240"/>
        <w:ind w:firstLine="857"/>
        <w:rPr>
          <w:szCs w:val="24"/>
        </w:rPr>
      </w:pPr>
      <w:r>
        <w:rPr>
          <w:sz w:val="18"/>
          <w:szCs w:val="18"/>
        </w:rPr>
        <w:t>None of the directors has a potential conflict of interest between his/her duties to the Company and his/her private interests and/or any other duties he or she may have, except for the (potential) conflicts of interest set out in this Section (under “</w:t>
      </w:r>
      <w:r>
        <w:rPr>
          <w:i/>
          <w:sz w:val="18"/>
          <w:szCs w:val="18"/>
        </w:rPr>
        <w:t>Conflict of Interest</w:t>
      </w:r>
      <w:r>
        <w:rPr>
          <w:sz w:val="18"/>
          <w:szCs w:val="18"/>
        </w:rPr>
        <w:t>”) or under section “</w:t>
      </w:r>
      <w:r>
        <w:rPr>
          <w:i/>
          <w:sz w:val="18"/>
          <w:szCs w:val="18"/>
        </w:rPr>
        <w:t>Major Shareholders and Related Party Transactions</w:t>
      </w:r>
      <w:r>
        <w:rPr>
          <w:sz w:val="18"/>
          <w:szCs w:val="18"/>
        </w:rPr>
        <w:t xml:space="preserve">”. </w:t>
      </w:r>
    </w:p>
    <w:p w14:paraId="50269872" w14:textId="77777777" w:rsidR="00F76607" w:rsidRDefault="001863F0">
      <w:pPr>
        <w:spacing w:before="180"/>
        <w:rPr>
          <w:sz w:val="2"/>
          <w:szCs w:val="2"/>
        </w:rPr>
      </w:pPr>
      <w:r>
        <w:rPr>
          <w:sz w:val="2"/>
          <w:szCs w:val="2"/>
        </w:rPr>
        <w:t> </w:t>
      </w:r>
    </w:p>
    <w:p w14:paraId="73B33290" w14:textId="77777777" w:rsidR="00F76607" w:rsidRDefault="001863F0">
      <w:pPr>
        <w:ind w:firstLine="857"/>
        <w:rPr>
          <w:szCs w:val="24"/>
        </w:rPr>
      </w:pPr>
      <w:r>
        <w:rPr>
          <w:sz w:val="18"/>
          <w:szCs w:val="18"/>
        </w:rPr>
        <w:t xml:space="preserve">No director has a family relationship with any other director or member of executive management, except for CEO Jan Van Geet and Chief Commercial Officer Tomas Van Geet (who are related to each other as brothers). </w:t>
      </w:r>
    </w:p>
    <w:p w14:paraId="3CA7C6C2" w14:textId="77777777" w:rsidR="00F76607" w:rsidRDefault="001863F0">
      <w:pPr>
        <w:keepNext/>
        <w:spacing w:before="240"/>
        <w:ind w:firstLine="857"/>
        <w:rPr>
          <w:szCs w:val="24"/>
        </w:rPr>
      </w:pPr>
      <w:r>
        <w:rPr>
          <w:sz w:val="18"/>
          <w:szCs w:val="18"/>
        </w:rPr>
        <w:lastRenderedPageBreak/>
        <w:t xml:space="preserve">In the five years preceding the date of this Prospectus, the directors or their permanent representatives have held the following directorships or memberships of administrative, management or supervisory bodies and/or partnerships apart from mandates in the Company or its subsidiaries: </w:t>
      </w:r>
    </w:p>
    <w:p w14:paraId="0B80D17A" w14:textId="77777777" w:rsidR="00F76607" w:rsidRDefault="001863F0">
      <w:pPr>
        <w:keepNext/>
        <w:rPr>
          <w:szCs w:val="24"/>
        </w:rPr>
      </w:pPr>
      <w:r>
        <w:rPr>
          <w:szCs w:val="24"/>
        </w:rPr>
        <w:t> </w:t>
      </w:r>
    </w:p>
    <w:tbl>
      <w:tblPr>
        <w:tblW w:w="5000" w:type="pct"/>
        <w:jc w:val="center"/>
        <w:tblCellMar>
          <w:left w:w="0" w:type="dxa"/>
          <w:right w:w="0" w:type="dxa"/>
        </w:tblCellMar>
        <w:tblLook w:val="04A0" w:firstRow="1" w:lastRow="0" w:firstColumn="1" w:lastColumn="0" w:noHBand="0" w:noVBand="1"/>
      </w:tblPr>
      <w:tblGrid>
        <w:gridCol w:w="4125"/>
        <w:gridCol w:w="2779"/>
        <w:gridCol w:w="2849"/>
      </w:tblGrid>
      <w:tr w:rsidR="00F76607" w14:paraId="58D9DC49" w14:textId="77777777">
        <w:trPr>
          <w:tblHeader/>
          <w:jc w:val="center"/>
        </w:trPr>
        <w:tc>
          <w:tcPr>
            <w:tcW w:w="3917" w:type="dxa"/>
            <w:vAlign w:val="center"/>
            <w:hideMark/>
          </w:tcPr>
          <w:p w14:paraId="67F0F65B" w14:textId="77777777" w:rsidR="00F76607" w:rsidRDefault="00F76607">
            <w:pPr>
              <w:rPr>
                <w:sz w:val="1"/>
                <w:szCs w:val="18"/>
              </w:rPr>
            </w:pPr>
          </w:p>
        </w:tc>
        <w:tc>
          <w:tcPr>
            <w:tcW w:w="2881" w:type="dxa"/>
            <w:vAlign w:val="center"/>
            <w:hideMark/>
          </w:tcPr>
          <w:p w14:paraId="2227F460" w14:textId="77777777" w:rsidR="00F76607" w:rsidRDefault="00F76607">
            <w:pPr>
              <w:rPr>
                <w:sz w:val="1"/>
                <w:szCs w:val="18"/>
              </w:rPr>
            </w:pPr>
          </w:p>
        </w:tc>
        <w:tc>
          <w:tcPr>
            <w:tcW w:w="2949" w:type="dxa"/>
            <w:vAlign w:val="center"/>
            <w:hideMark/>
          </w:tcPr>
          <w:p w14:paraId="71D6CF41" w14:textId="77777777" w:rsidR="00F76607" w:rsidRDefault="00F76607">
            <w:pPr>
              <w:rPr>
                <w:sz w:val="1"/>
                <w:szCs w:val="18"/>
              </w:rPr>
            </w:pPr>
          </w:p>
        </w:tc>
      </w:tr>
      <w:tr w:rsidR="00F76607" w14:paraId="6AEF18C6" w14:textId="77777777">
        <w:trPr>
          <w:cantSplit/>
          <w:tblHeader/>
          <w:jc w:val="center"/>
        </w:trPr>
        <w:tc>
          <w:tcPr>
            <w:tcW w:w="3917" w:type="dxa"/>
            <w:noWrap/>
            <w:vAlign w:val="bottom"/>
            <w:hideMark/>
          </w:tcPr>
          <w:p w14:paraId="38E4B71C" w14:textId="77777777" w:rsidR="00F76607" w:rsidRDefault="001863F0">
            <w:pPr>
              <w:keepNext/>
              <w:rPr>
                <w:rFonts w:eastAsiaTheme="minorEastAsia"/>
                <w:sz w:val="16"/>
                <w:szCs w:val="16"/>
              </w:rPr>
            </w:pPr>
            <w:r>
              <w:rPr>
                <w:b/>
                <w:bCs/>
                <w:sz w:val="16"/>
                <w:szCs w:val="16"/>
              </w:rPr>
              <w:t>Name</w:t>
            </w:r>
          </w:p>
          <w:p w14:paraId="395177CD" w14:textId="77777777" w:rsidR="00F76607" w:rsidRDefault="001863F0">
            <w:pPr>
              <w:keepNext/>
              <w:pBdr>
                <w:top w:val="single" w:sz="8" w:space="1" w:color="auto"/>
              </w:pBdr>
              <w:spacing w:before="20" w:line="20" w:lineRule="exact"/>
              <w:jc w:val="center"/>
              <w:rPr>
                <w:rFonts w:eastAsiaTheme="minorEastAsia"/>
                <w:sz w:val="16"/>
                <w:szCs w:val="16"/>
              </w:rPr>
            </w:pPr>
            <w:r>
              <w:rPr>
                <w:sz w:val="16"/>
                <w:szCs w:val="16"/>
              </w:rPr>
              <w:t> </w:t>
            </w:r>
          </w:p>
        </w:tc>
        <w:tc>
          <w:tcPr>
            <w:tcW w:w="2881" w:type="dxa"/>
            <w:tcMar>
              <w:top w:w="0" w:type="dxa"/>
              <w:left w:w="144" w:type="dxa"/>
              <w:bottom w:w="0" w:type="dxa"/>
              <w:right w:w="0" w:type="dxa"/>
            </w:tcMar>
            <w:vAlign w:val="bottom"/>
            <w:hideMark/>
          </w:tcPr>
          <w:p w14:paraId="056DCA05" w14:textId="77777777" w:rsidR="00F76607" w:rsidRDefault="001863F0">
            <w:pPr>
              <w:jc w:val="center"/>
              <w:rPr>
                <w:rFonts w:eastAsiaTheme="minorEastAsia"/>
                <w:sz w:val="16"/>
                <w:szCs w:val="16"/>
              </w:rPr>
            </w:pPr>
            <w:r>
              <w:rPr>
                <w:b/>
                <w:bCs/>
                <w:sz w:val="16"/>
                <w:szCs w:val="16"/>
              </w:rPr>
              <w:t>Current</w:t>
            </w:r>
          </w:p>
          <w:p w14:paraId="5FEBCD6C" w14:textId="77777777" w:rsidR="00F76607" w:rsidRDefault="001863F0">
            <w:pPr>
              <w:pBdr>
                <w:top w:val="single" w:sz="8" w:space="1" w:color="auto"/>
              </w:pBdr>
              <w:spacing w:line="20" w:lineRule="exact"/>
              <w:jc w:val="center"/>
              <w:rPr>
                <w:rFonts w:eastAsiaTheme="minorEastAsia"/>
                <w:sz w:val="16"/>
                <w:szCs w:val="16"/>
              </w:rPr>
            </w:pPr>
            <w:r>
              <w:rPr>
                <w:sz w:val="16"/>
                <w:szCs w:val="16"/>
              </w:rPr>
              <w:t> </w:t>
            </w:r>
          </w:p>
        </w:tc>
        <w:tc>
          <w:tcPr>
            <w:tcW w:w="2949" w:type="dxa"/>
            <w:tcMar>
              <w:top w:w="0" w:type="dxa"/>
              <w:left w:w="144" w:type="dxa"/>
              <w:bottom w:w="0" w:type="dxa"/>
              <w:right w:w="0" w:type="dxa"/>
            </w:tcMar>
            <w:vAlign w:val="bottom"/>
            <w:hideMark/>
          </w:tcPr>
          <w:p w14:paraId="74349D7F" w14:textId="77777777" w:rsidR="00F76607" w:rsidRDefault="001863F0">
            <w:pPr>
              <w:jc w:val="center"/>
              <w:rPr>
                <w:rFonts w:eastAsiaTheme="minorEastAsia"/>
                <w:sz w:val="16"/>
                <w:szCs w:val="16"/>
              </w:rPr>
            </w:pPr>
            <w:r>
              <w:rPr>
                <w:b/>
                <w:bCs/>
                <w:sz w:val="16"/>
                <w:szCs w:val="16"/>
              </w:rPr>
              <w:t>Past</w:t>
            </w:r>
          </w:p>
          <w:p w14:paraId="218AF53E" w14:textId="77777777" w:rsidR="00F76607" w:rsidRDefault="001863F0">
            <w:pPr>
              <w:pBdr>
                <w:top w:val="single" w:sz="8" w:space="1" w:color="auto"/>
              </w:pBdr>
              <w:spacing w:line="20" w:lineRule="exact"/>
              <w:jc w:val="center"/>
              <w:rPr>
                <w:rFonts w:eastAsiaTheme="minorEastAsia"/>
                <w:sz w:val="16"/>
                <w:szCs w:val="16"/>
              </w:rPr>
            </w:pPr>
            <w:r>
              <w:rPr>
                <w:sz w:val="16"/>
                <w:szCs w:val="16"/>
              </w:rPr>
              <w:t> </w:t>
            </w:r>
          </w:p>
        </w:tc>
      </w:tr>
      <w:tr w:rsidR="00F76607" w14:paraId="3ABC9849" w14:textId="77777777">
        <w:trPr>
          <w:cantSplit/>
          <w:jc w:val="center"/>
        </w:trPr>
        <w:tc>
          <w:tcPr>
            <w:tcW w:w="3917" w:type="dxa"/>
            <w:hideMark/>
          </w:tcPr>
          <w:p w14:paraId="7196482E" w14:textId="77777777" w:rsidR="00F76607" w:rsidRDefault="001863F0">
            <w:pPr>
              <w:keepNext/>
              <w:tabs>
                <w:tab w:val="right" w:leader="dot" w:pos="4660"/>
              </w:tabs>
              <w:ind w:left="240" w:hanging="240"/>
              <w:rPr>
                <w:rFonts w:eastAsiaTheme="minorEastAsia"/>
                <w:sz w:val="18"/>
                <w:szCs w:val="18"/>
              </w:rPr>
            </w:pPr>
            <w:r>
              <w:rPr>
                <w:sz w:val="18"/>
                <w:szCs w:val="18"/>
              </w:rPr>
              <w:t xml:space="preserve">Marek </w:t>
            </w:r>
            <w:proofErr w:type="spellStart"/>
            <w:r>
              <w:rPr>
                <w:sz w:val="18"/>
                <w:szCs w:val="18"/>
              </w:rPr>
              <w:t>Šebest’ák</w:t>
            </w:r>
            <w:proofErr w:type="spellEnd"/>
            <w:r>
              <w:rPr>
                <w:sz w:val="18"/>
                <w:szCs w:val="18"/>
              </w:rPr>
              <w:tab/>
            </w:r>
          </w:p>
        </w:tc>
        <w:tc>
          <w:tcPr>
            <w:tcW w:w="2881" w:type="dxa"/>
          </w:tcPr>
          <w:p w14:paraId="2D5C0E6A" w14:textId="540363B0" w:rsidR="00F76607" w:rsidRDefault="00B322A7">
            <w:pPr>
              <w:spacing w:after="20"/>
              <w:rPr>
                <w:rFonts w:eastAsiaTheme="minorEastAsia"/>
                <w:sz w:val="18"/>
                <w:szCs w:val="18"/>
              </w:rPr>
            </w:pPr>
            <w:r>
              <w:rPr>
                <w:rFonts w:eastAsiaTheme="minorEastAsia"/>
                <w:sz w:val="18"/>
                <w:szCs w:val="18"/>
              </w:rPr>
              <w:t>none</w:t>
            </w:r>
          </w:p>
        </w:tc>
        <w:tc>
          <w:tcPr>
            <w:tcW w:w="2949" w:type="dxa"/>
          </w:tcPr>
          <w:p w14:paraId="3FA1BC2B" w14:textId="51F647D9" w:rsidR="00F76607" w:rsidRDefault="00B322A7">
            <w:pPr>
              <w:rPr>
                <w:sz w:val="18"/>
                <w:szCs w:val="18"/>
              </w:rPr>
            </w:pPr>
            <w:r>
              <w:rPr>
                <w:sz w:val="18"/>
                <w:szCs w:val="18"/>
              </w:rPr>
              <w:t>none</w:t>
            </w:r>
          </w:p>
        </w:tc>
      </w:tr>
      <w:tr w:rsidR="00F76607" w14:paraId="77E5B117" w14:textId="77777777">
        <w:trPr>
          <w:cantSplit/>
          <w:jc w:val="center"/>
        </w:trPr>
        <w:tc>
          <w:tcPr>
            <w:tcW w:w="3917" w:type="dxa"/>
            <w:hideMark/>
          </w:tcPr>
          <w:p w14:paraId="702AFA1D" w14:textId="77777777" w:rsidR="00F76607" w:rsidRDefault="001863F0">
            <w:pPr>
              <w:keepNext/>
              <w:tabs>
                <w:tab w:val="right" w:leader="dot" w:pos="4660"/>
              </w:tabs>
              <w:ind w:left="240" w:hanging="240"/>
              <w:rPr>
                <w:rFonts w:eastAsiaTheme="minorEastAsia"/>
                <w:sz w:val="18"/>
                <w:szCs w:val="18"/>
              </w:rPr>
            </w:pPr>
            <w:r>
              <w:rPr>
                <w:sz w:val="18"/>
                <w:szCs w:val="18"/>
              </w:rPr>
              <w:t>Jan Van Geet</w:t>
            </w:r>
            <w:r>
              <w:rPr>
                <w:sz w:val="18"/>
                <w:szCs w:val="18"/>
                <w:vertAlign w:val="superscript"/>
              </w:rPr>
              <w:t>(1)</w:t>
            </w:r>
            <w:r>
              <w:rPr>
                <w:sz w:val="18"/>
                <w:szCs w:val="18"/>
              </w:rPr>
              <w:tab/>
            </w:r>
          </w:p>
        </w:tc>
        <w:tc>
          <w:tcPr>
            <w:tcW w:w="2881" w:type="dxa"/>
          </w:tcPr>
          <w:p w14:paraId="3BCA2352" w14:textId="1ED4C7BA" w:rsidR="00F76607" w:rsidRDefault="00B322A7" w:rsidP="00B322A7">
            <w:pPr>
              <w:spacing w:after="20"/>
              <w:rPr>
                <w:rFonts w:eastAsiaTheme="minorEastAsia"/>
                <w:sz w:val="18"/>
                <w:szCs w:val="18"/>
              </w:rPr>
            </w:pPr>
            <w:r>
              <w:rPr>
                <w:rFonts w:eastAsiaTheme="minorEastAsia"/>
                <w:sz w:val="18"/>
                <w:szCs w:val="18"/>
              </w:rPr>
              <w:t xml:space="preserve">Director Little Rock SA, Director </w:t>
            </w:r>
            <w:proofErr w:type="spellStart"/>
            <w:r>
              <w:rPr>
                <w:rFonts w:eastAsiaTheme="minorEastAsia"/>
                <w:sz w:val="18"/>
                <w:szCs w:val="18"/>
              </w:rPr>
              <w:t>Alsgard</w:t>
            </w:r>
            <w:proofErr w:type="spellEnd"/>
            <w:r>
              <w:rPr>
                <w:rFonts w:eastAsiaTheme="minorEastAsia"/>
                <w:sz w:val="18"/>
                <w:szCs w:val="18"/>
              </w:rPr>
              <w:t xml:space="preserve"> SA</w:t>
            </w:r>
          </w:p>
        </w:tc>
        <w:tc>
          <w:tcPr>
            <w:tcW w:w="2949" w:type="dxa"/>
          </w:tcPr>
          <w:p w14:paraId="54B9D322" w14:textId="106F0D46" w:rsidR="00F76607" w:rsidRPr="00B322A7" w:rsidRDefault="001863F0">
            <w:pPr>
              <w:rPr>
                <w:sz w:val="18"/>
                <w:szCs w:val="18"/>
              </w:rPr>
            </w:pPr>
            <w:proofErr w:type="spellStart"/>
            <w:r w:rsidRPr="00D11DE1">
              <w:rPr>
                <w:sz w:val="18"/>
                <w:szCs w:val="18"/>
                <w:lang w:val="fr-FR"/>
              </w:rPr>
              <w:t>D</w:t>
            </w:r>
            <w:r w:rsidR="00B322A7" w:rsidRPr="00D11DE1">
              <w:rPr>
                <w:sz w:val="18"/>
                <w:szCs w:val="18"/>
                <w:lang w:val="fr-FR"/>
              </w:rPr>
              <w:t>irector</w:t>
            </w:r>
            <w:proofErr w:type="spellEnd"/>
            <w:r w:rsidR="00B322A7" w:rsidRPr="00D11DE1">
              <w:rPr>
                <w:sz w:val="18"/>
                <w:szCs w:val="18"/>
                <w:lang w:val="fr-FR"/>
              </w:rPr>
              <w:t xml:space="preserve"> </w:t>
            </w:r>
            <w:r w:rsidRPr="00D11DE1">
              <w:rPr>
                <w:sz w:val="18"/>
                <w:szCs w:val="18"/>
                <w:lang w:val="fr-FR"/>
              </w:rPr>
              <w:t xml:space="preserve">VGP MISV </w:t>
            </w:r>
            <w:proofErr w:type="spellStart"/>
            <w:r w:rsidRPr="00D11DE1">
              <w:rPr>
                <w:sz w:val="18"/>
                <w:szCs w:val="18"/>
                <w:lang w:val="fr-FR"/>
              </w:rPr>
              <w:t>Comm</w:t>
            </w:r>
            <w:proofErr w:type="spellEnd"/>
            <w:r w:rsidRPr="00D11DE1">
              <w:rPr>
                <w:sz w:val="18"/>
                <w:szCs w:val="18"/>
                <w:lang w:val="fr-FR"/>
              </w:rPr>
              <w:t>. VA</w:t>
            </w:r>
            <w:r w:rsidR="00B322A7" w:rsidRPr="00D11DE1">
              <w:rPr>
                <w:sz w:val="18"/>
                <w:szCs w:val="18"/>
                <w:lang w:val="fr-FR"/>
              </w:rPr>
              <w:t xml:space="preserve">, VGP FM Services Plus </w:t>
            </w:r>
            <w:proofErr w:type="spellStart"/>
            <w:r w:rsidR="00B322A7" w:rsidRPr="00D11DE1">
              <w:rPr>
                <w:sz w:val="18"/>
                <w:szCs w:val="18"/>
                <w:lang w:val="fr-FR"/>
              </w:rPr>
              <w:t>Comm</w:t>
            </w:r>
            <w:proofErr w:type="spellEnd"/>
            <w:r w:rsidR="00B322A7" w:rsidRPr="00D11DE1">
              <w:rPr>
                <w:sz w:val="18"/>
                <w:szCs w:val="18"/>
                <w:lang w:val="fr-FR"/>
              </w:rPr>
              <w:t xml:space="preserve">. </w:t>
            </w:r>
            <w:r w:rsidR="00B322A7" w:rsidRPr="00B322A7">
              <w:rPr>
                <w:sz w:val="18"/>
                <w:szCs w:val="18"/>
              </w:rPr>
              <w:t>VA, Director Little Rock SA,</w:t>
            </w:r>
            <w:r w:rsidRPr="00B322A7">
              <w:rPr>
                <w:sz w:val="18"/>
                <w:szCs w:val="18"/>
              </w:rPr>
              <w:t xml:space="preserve"> and </w:t>
            </w:r>
            <w:r w:rsidR="00B322A7">
              <w:rPr>
                <w:sz w:val="18"/>
                <w:szCs w:val="18"/>
              </w:rPr>
              <w:t xml:space="preserve">Director </w:t>
            </w:r>
            <w:proofErr w:type="spellStart"/>
            <w:r w:rsidRPr="00B322A7">
              <w:rPr>
                <w:sz w:val="18"/>
                <w:szCs w:val="18"/>
              </w:rPr>
              <w:t>Drylock</w:t>
            </w:r>
            <w:proofErr w:type="spellEnd"/>
            <w:r w:rsidRPr="00B322A7">
              <w:rPr>
                <w:sz w:val="18"/>
                <w:szCs w:val="18"/>
              </w:rPr>
              <w:t xml:space="preserve"> Technologies </w:t>
            </w:r>
            <w:proofErr w:type="spellStart"/>
            <w:r w:rsidRPr="00B322A7">
              <w:rPr>
                <w:sz w:val="18"/>
                <w:szCs w:val="18"/>
              </w:rPr>
              <w:t>s.r.o</w:t>
            </w:r>
            <w:proofErr w:type="spellEnd"/>
            <w:r w:rsidRPr="00B322A7">
              <w:rPr>
                <w:sz w:val="18"/>
                <w:szCs w:val="18"/>
              </w:rPr>
              <w:t>.</w:t>
            </w:r>
          </w:p>
        </w:tc>
      </w:tr>
      <w:tr w:rsidR="00F76607" w:rsidRPr="001146AD" w14:paraId="6ABBDF4D" w14:textId="77777777">
        <w:trPr>
          <w:cantSplit/>
          <w:jc w:val="center"/>
        </w:trPr>
        <w:tc>
          <w:tcPr>
            <w:tcW w:w="3917" w:type="dxa"/>
            <w:hideMark/>
          </w:tcPr>
          <w:p w14:paraId="41C7B538" w14:textId="77777777" w:rsidR="00F76607" w:rsidRDefault="001863F0">
            <w:pPr>
              <w:tabs>
                <w:tab w:val="right" w:leader="dot" w:pos="4660"/>
              </w:tabs>
              <w:ind w:left="240" w:hanging="240"/>
              <w:rPr>
                <w:rFonts w:eastAsiaTheme="minorEastAsia"/>
                <w:sz w:val="18"/>
                <w:szCs w:val="18"/>
              </w:rPr>
            </w:pPr>
            <w:r>
              <w:rPr>
                <w:sz w:val="18"/>
                <w:szCs w:val="18"/>
              </w:rPr>
              <w:t>Bart Van Malderen</w:t>
            </w:r>
            <w:r>
              <w:rPr>
                <w:sz w:val="18"/>
                <w:szCs w:val="18"/>
                <w:vertAlign w:val="superscript"/>
              </w:rPr>
              <w:t>(2)</w:t>
            </w:r>
            <w:r>
              <w:rPr>
                <w:sz w:val="18"/>
                <w:szCs w:val="18"/>
              </w:rPr>
              <w:tab/>
            </w:r>
          </w:p>
        </w:tc>
        <w:tc>
          <w:tcPr>
            <w:tcW w:w="2881" w:type="dxa"/>
          </w:tcPr>
          <w:p w14:paraId="257FF48B" w14:textId="739446C8" w:rsidR="00F76607" w:rsidRPr="00433AAA" w:rsidRDefault="00B322A7">
            <w:pPr>
              <w:spacing w:after="20"/>
              <w:rPr>
                <w:rFonts w:eastAsiaTheme="minorEastAsia"/>
                <w:sz w:val="18"/>
                <w:szCs w:val="18"/>
                <w:lang w:val="fr-FR"/>
              </w:rPr>
            </w:pPr>
            <w:r>
              <w:rPr>
                <w:rFonts w:eastAsiaTheme="minorEastAsia"/>
                <w:sz w:val="18"/>
                <w:szCs w:val="18"/>
                <w:lang w:val="nl-BE"/>
              </w:rPr>
              <w:t xml:space="preserve">Director </w:t>
            </w:r>
            <w:r w:rsidR="001863F0">
              <w:rPr>
                <w:rFonts w:eastAsiaTheme="minorEastAsia"/>
                <w:sz w:val="18"/>
                <w:szCs w:val="18"/>
                <w:lang w:val="nl-BE"/>
              </w:rPr>
              <w:t xml:space="preserve">Bart Van Malderen BVBA, VGP MISV </w:t>
            </w:r>
            <w:proofErr w:type="spellStart"/>
            <w:r w:rsidR="001863F0">
              <w:rPr>
                <w:rFonts w:eastAsiaTheme="minorEastAsia"/>
                <w:sz w:val="18"/>
                <w:szCs w:val="18"/>
                <w:lang w:val="nl-BE"/>
              </w:rPr>
              <w:t>Comm</w:t>
            </w:r>
            <w:proofErr w:type="spellEnd"/>
            <w:r w:rsidR="001863F0">
              <w:rPr>
                <w:rFonts w:eastAsiaTheme="minorEastAsia"/>
                <w:sz w:val="18"/>
                <w:szCs w:val="18"/>
                <w:lang w:val="nl-BE"/>
              </w:rPr>
              <w:t xml:space="preserve">. </w:t>
            </w:r>
            <w:r w:rsidR="001863F0">
              <w:rPr>
                <w:rFonts w:eastAsiaTheme="minorEastAsia"/>
                <w:sz w:val="18"/>
                <w:szCs w:val="18"/>
                <w:lang w:val="fr-FR"/>
              </w:rPr>
              <w:t xml:space="preserve">VA, </w:t>
            </w:r>
            <w:proofErr w:type="spellStart"/>
            <w:r w:rsidR="001863F0">
              <w:rPr>
                <w:rFonts w:eastAsiaTheme="minorEastAsia"/>
                <w:sz w:val="18"/>
                <w:szCs w:val="18"/>
                <w:lang w:val="fr-FR"/>
              </w:rPr>
              <w:t>Drylock</w:t>
            </w:r>
            <w:proofErr w:type="spellEnd"/>
            <w:r w:rsidR="001863F0">
              <w:rPr>
                <w:rFonts w:eastAsiaTheme="minorEastAsia"/>
                <w:sz w:val="18"/>
                <w:szCs w:val="18"/>
                <w:lang w:val="fr-FR"/>
              </w:rPr>
              <w:t xml:space="preserve"> Technologies NV, </w:t>
            </w:r>
            <w:proofErr w:type="spellStart"/>
            <w:r w:rsidR="001863F0">
              <w:rPr>
                <w:rFonts w:eastAsiaTheme="minorEastAsia"/>
                <w:sz w:val="18"/>
                <w:szCs w:val="18"/>
                <w:lang w:val="fr-FR"/>
              </w:rPr>
              <w:t>Vynka</w:t>
            </w:r>
            <w:proofErr w:type="spellEnd"/>
            <w:r w:rsidR="001863F0">
              <w:rPr>
                <w:rFonts w:eastAsiaTheme="minorEastAsia"/>
                <w:sz w:val="18"/>
                <w:szCs w:val="18"/>
                <w:lang w:val="fr-FR"/>
              </w:rPr>
              <w:t xml:space="preserve"> Plus </w:t>
            </w:r>
            <w:proofErr w:type="spellStart"/>
            <w:r w:rsidR="001863F0">
              <w:rPr>
                <w:rFonts w:eastAsiaTheme="minorEastAsia"/>
                <w:sz w:val="18"/>
                <w:szCs w:val="18"/>
                <w:lang w:val="fr-FR"/>
              </w:rPr>
              <w:t>Comm</w:t>
            </w:r>
            <w:proofErr w:type="spellEnd"/>
            <w:r w:rsidR="001863F0">
              <w:rPr>
                <w:rFonts w:eastAsiaTheme="minorEastAsia"/>
                <w:sz w:val="18"/>
                <w:szCs w:val="18"/>
                <w:lang w:val="fr-FR"/>
              </w:rPr>
              <w:t xml:space="preserve">. VA, </w:t>
            </w:r>
            <w:proofErr w:type="spellStart"/>
            <w:r w:rsidR="001863F0">
              <w:rPr>
                <w:rFonts w:eastAsiaTheme="minorEastAsia"/>
                <w:sz w:val="18"/>
                <w:szCs w:val="18"/>
                <w:lang w:val="fr-FR"/>
              </w:rPr>
              <w:t>Vynka</w:t>
            </w:r>
            <w:proofErr w:type="spellEnd"/>
            <w:r w:rsidR="001863F0">
              <w:rPr>
                <w:rFonts w:eastAsiaTheme="minorEastAsia"/>
                <w:sz w:val="18"/>
                <w:szCs w:val="18"/>
                <w:lang w:val="fr-FR"/>
              </w:rPr>
              <w:t xml:space="preserve"> Plus Ru </w:t>
            </w:r>
            <w:proofErr w:type="spellStart"/>
            <w:r w:rsidR="001863F0">
              <w:rPr>
                <w:rFonts w:eastAsiaTheme="minorEastAsia"/>
                <w:sz w:val="18"/>
                <w:szCs w:val="18"/>
                <w:lang w:val="fr-FR"/>
              </w:rPr>
              <w:t>Comm</w:t>
            </w:r>
            <w:proofErr w:type="spellEnd"/>
            <w:r w:rsidR="001863F0">
              <w:rPr>
                <w:rFonts w:eastAsiaTheme="minorEastAsia"/>
                <w:sz w:val="18"/>
                <w:szCs w:val="18"/>
                <w:lang w:val="fr-FR"/>
              </w:rPr>
              <w:t xml:space="preserve">. </w:t>
            </w:r>
            <w:r w:rsidR="001863F0" w:rsidRPr="00433AAA">
              <w:rPr>
                <w:rFonts w:eastAsiaTheme="minorEastAsia"/>
                <w:sz w:val="18"/>
                <w:szCs w:val="18"/>
                <w:lang w:val="fr-FR"/>
              </w:rPr>
              <w:t>VA</w:t>
            </w:r>
            <w:r w:rsidR="00433AAA" w:rsidRPr="00433AAA">
              <w:rPr>
                <w:rFonts w:eastAsiaTheme="minorEastAsia"/>
                <w:sz w:val="18"/>
                <w:szCs w:val="18"/>
                <w:lang w:val="fr-FR"/>
              </w:rPr>
              <w:t xml:space="preserve">, </w:t>
            </w:r>
            <w:proofErr w:type="spellStart"/>
            <w:r w:rsidR="00433AAA" w:rsidRPr="00433AAA">
              <w:rPr>
                <w:rFonts w:eastAsiaTheme="minorEastAsia"/>
                <w:sz w:val="18"/>
                <w:szCs w:val="18"/>
                <w:lang w:val="fr-FR"/>
              </w:rPr>
              <w:t>Vadebo</w:t>
            </w:r>
            <w:proofErr w:type="spellEnd"/>
            <w:r w:rsidR="00433AAA" w:rsidRPr="00433AAA">
              <w:rPr>
                <w:rFonts w:eastAsiaTheme="minorEastAsia"/>
                <w:sz w:val="18"/>
                <w:szCs w:val="18"/>
                <w:lang w:val="fr-FR"/>
              </w:rPr>
              <w:t xml:space="preserve"> France NV, PVM Invest Lux SA, VM Invest Arras S. </w:t>
            </w:r>
            <w:r w:rsidR="00433AAA">
              <w:rPr>
                <w:rFonts w:eastAsiaTheme="minorEastAsia"/>
                <w:sz w:val="18"/>
                <w:szCs w:val="18"/>
                <w:lang w:val="fr-FR"/>
              </w:rPr>
              <w:t xml:space="preserve">à </w:t>
            </w:r>
            <w:proofErr w:type="spellStart"/>
            <w:r w:rsidR="00433AAA" w:rsidRPr="00433AAA">
              <w:rPr>
                <w:rFonts w:eastAsiaTheme="minorEastAsia"/>
                <w:sz w:val="18"/>
                <w:szCs w:val="18"/>
                <w:lang w:val="fr-FR"/>
              </w:rPr>
              <w:t>r.l</w:t>
            </w:r>
            <w:proofErr w:type="spellEnd"/>
            <w:r w:rsidR="00433AAA" w:rsidRPr="00433AAA">
              <w:rPr>
                <w:rFonts w:eastAsiaTheme="minorEastAsia"/>
                <w:sz w:val="18"/>
                <w:szCs w:val="18"/>
                <w:lang w:val="fr-FR"/>
              </w:rPr>
              <w:t>.</w:t>
            </w:r>
            <w:r w:rsidR="00433AAA">
              <w:rPr>
                <w:rFonts w:eastAsiaTheme="minorEastAsia"/>
                <w:sz w:val="18"/>
                <w:szCs w:val="18"/>
                <w:lang w:val="fr-FR"/>
              </w:rPr>
              <w:t xml:space="preserve">, VM Invest </w:t>
            </w:r>
            <w:proofErr w:type="spellStart"/>
            <w:r w:rsidR="00433AAA">
              <w:rPr>
                <w:rFonts w:eastAsiaTheme="minorEastAsia"/>
                <w:sz w:val="18"/>
                <w:szCs w:val="18"/>
                <w:lang w:val="fr-FR"/>
              </w:rPr>
              <w:t>Peninsular</w:t>
            </w:r>
            <w:proofErr w:type="spellEnd"/>
            <w:r w:rsidR="00433AAA">
              <w:rPr>
                <w:rFonts w:eastAsiaTheme="minorEastAsia"/>
                <w:sz w:val="18"/>
                <w:szCs w:val="18"/>
                <w:lang w:val="fr-FR"/>
              </w:rPr>
              <w:t xml:space="preserve"> SL, VM Invest CZ </w:t>
            </w:r>
            <w:proofErr w:type="spellStart"/>
            <w:r w:rsidR="00433AAA">
              <w:rPr>
                <w:rFonts w:eastAsiaTheme="minorEastAsia"/>
                <w:sz w:val="18"/>
                <w:szCs w:val="18"/>
                <w:lang w:val="fr-FR"/>
              </w:rPr>
              <w:t>s.r.o</w:t>
            </w:r>
            <w:proofErr w:type="spellEnd"/>
            <w:r w:rsidR="00433AAA">
              <w:rPr>
                <w:rFonts w:eastAsiaTheme="minorEastAsia"/>
                <w:sz w:val="18"/>
                <w:szCs w:val="18"/>
                <w:lang w:val="fr-FR"/>
              </w:rPr>
              <w:t xml:space="preserve">., </w:t>
            </w:r>
            <w:proofErr w:type="spellStart"/>
            <w:r w:rsidR="00433AAA">
              <w:rPr>
                <w:rFonts w:eastAsiaTheme="minorEastAsia"/>
                <w:sz w:val="18"/>
                <w:szCs w:val="18"/>
                <w:lang w:val="fr-FR"/>
              </w:rPr>
              <w:t>Hastal</w:t>
            </w:r>
            <w:proofErr w:type="spellEnd"/>
            <w:r w:rsidR="00433AAA">
              <w:rPr>
                <w:rFonts w:eastAsiaTheme="minorEastAsia"/>
                <w:sz w:val="18"/>
                <w:szCs w:val="18"/>
                <w:lang w:val="fr-FR"/>
              </w:rPr>
              <w:t xml:space="preserve"> </w:t>
            </w:r>
            <w:proofErr w:type="spellStart"/>
            <w:r w:rsidR="00433AAA">
              <w:rPr>
                <w:rFonts w:eastAsiaTheme="minorEastAsia"/>
                <w:sz w:val="18"/>
                <w:szCs w:val="18"/>
                <w:lang w:val="fr-FR"/>
              </w:rPr>
              <w:t>Apartments</w:t>
            </w:r>
            <w:proofErr w:type="spellEnd"/>
            <w:r w:rsidR="00433AAA">
              <w:rPr>
                <w:rFonts w:eastAsiaTheme="minorEastAsia"/>
                <w:sz w:val="18"/>
                <w:szCs w:val="18"/>
                <w:lang w:val="fr-FR"/>
              </w:rPr>
              <w:t xml:space="preserve"> </w:t>
            </w:r>
            <w:proofErr w:type="spellStart"/>
            <w:r w:rsidR="00433AAA">
              <w:rPr>
                <w:rFonts w:eastAsiaTheme="minorEastAsia"/>
                <w:sz w:val="18"/>
                <w:szCs w:val="18"/>
                <w:lang w:val="fr-FR"/>
              </w:rPr>
              <w:t>s.r.o</w:t>
            </w:r>
            <w:proofErr w:type="spellEnd"/>
            <w:r w:rsidR="00433AAA">
              <w:rPr>
                <w:rFonts w:eastAsiaTheme="minorEastAsia"/>
                <w:sz w:val="18"/>
                <w:szCs w:val="18"/>
                <w:lang w:val="fr-FR"/>
              </w:rPr>
              <w:t xml:space="preserve">., </w:t>
            </w:r>
            <w:proofErr w:type="spellStart"/>
            <w:r w:rsidR="00433AAA">
              <w:rPr>
                <w:rFonts w:eastAsiaTheme="minorEastAsia"/>
                <w:sz w:val="18"/>
                <w:szCs w:val="18"/>
                <w:lang w:val="fr-FR"/>
              </w:rPr>
              <w:t>Lillydoo</w:t>
            </w:r>
            <w:proofErr w:type="spellEnd"/>
            <w:r w:rsidR="00433AAA">
              <w:rPr>
                <w:rFonts w:eastAsiaTheme="minorEastAsia"/>
                <w:sz w:val="18"/>
                <w:szCs w:val="18"/>
                <w:lang w:val="fr-FR"/>
              </w:rPr>
              <w:t xml:space="preserve"> GmbH, </w:t>
            </w:r>
            <w:proofErr w:type="spellStart"/>
            <w:r w:rsidR="00433AAA" w:rsidRPr="00433AAA">
              <w:rPr>
                <w:rFonts w:eastAsiaTheme="minorEastAsia"/>
                <w:sz w:val="18"/>
                <w:szCs w:val="18"/>
                <w:lang w:val="fr-FR"/>
              </w:rPr>
              <w:t>managing</w:t>
            </w:r>
            <w:proofErr w:type="spellEnd"/>
            <w:r w:rsidR="00433AAA" w:rsidRPr="00433AAA">
              <w:rPr>
                <w:rFonts w:eastAsiaTheme="minorEastAsia"/>
                <w:sz w:val="18"/>
                <w:szCs w:val="18"/>
                <w:lang w:val="fr-FR"/>
              </w:rPr>
              <w:t xml:space="preserve"> </w:t>
            </w:r>
            <w:proofErr w:type="spellStart"/>
            <w:r w:rsidR="00433AAA" w:rsidRPr="00433AAA">
              <w:rPr>
                <w:rFonts w:eastAsiaTheme="minorEastAsia"/>
                <w:sz w:val="18"/>
                <w:szCs w:val="18"/>
                <w:lang w:val="fr-FR"/>
              </w:rPr>
              <w:t>director</w:t>
            </w:r>
            <w:proofErr w:type="spellEnd"/>
            <w:r w:rsidR="00433AAA" w:rsidRPr="00433AAA">
              <w:rPr>
                <w:rFonts w:eastAsiaTheme="minorEastAsia"/>
                <w:sz w:val="18"/>
                <w:szCs w:val="18"/>
                <w:lang w:val="fr-FR"/>
              </w:rPr>
              <w:t xml:space="preserve"> VM Invest NV, </w:t>
            </w:r>
            <w:proofErr w:type="spellStart"/>
            <w:r w:rsidR="00433AAA" w:rsidRPr="00433AAA">
              <w:rPr>
                <w:rFonts w:eastAsiaTheme="minorEastAsia"/>
                <w:sz w:val="18"/>
                <w:szCs w:val="18"/>
                <w:lang w:val="fr-FR"/>
              </w:rPr>
              <w:t>deputy</w:t>
            </w:r>
            <w:proofErr w:type="spellEnd"/>
            <w:r w:rsidR="00433AAA" w:rsidRPr="00433AAA">
              <w:rPr>
                <w:rFonts w:eastAsiaTheme="minorEastAsia"/>
                <w:sz w:val="18"/>
                <w:szCs w:val="18"/>
                <w:lang w:val="fr-FR"/>
              </w:rPr>
              <w:t xml:space="preserve"> chairman </w:t>
            </w:r>
            <w:proofErr w:type="spellStart"/>
            <w:r w:rsidR="00433AAA" w:rsidRPr="00433AAA">
              <w:rPr>
                <w:rFonts w:eastAsiaTheme="minorEastAsia"/>
                <w:sz w:val="18"/>
                <w:szCs w:val="18"/>
                <w:lang w:val="fr-FR"/>
              </w:rPr>
              <w:t>Family</w:t>
            </w:r>
            <w:proofErr w:type="spellEnd"/>
            <w:r w:rsidR="00433AAA" w:rsidRPr="00433AAA">
              <w:rPr>
                <w:rFonts w:eastAsiaTheme="minorEastAsia"/>
                <w:sz w:val="18"/>
                <w:szCs w:val="18"/>
                <w:lang w:val="fr-FR"/>
              </w:rPr>
              <w:t xml:space="preserve"> PVM VZW</w:t>
            </w:r>
          </w:p>
        </w:tc>
        <w:tc>
          <w:tcPr>
            <w:tcW w:w="2949" w:type="dxa"/>
          </w:tcPr>
          <w:p w14:paraId="38D5521C" w14:textId="17BBCCA2" w:rsidR="00F76607" w:rsidRPr="00433AAA" w:rsidRDefault="00433AAA">
            <w:pPr>
              <w:rPr>
                <w:sz w:val="18"/>
                <w:szCs w:val="18"/>
                <w:lang w:val="fr-FR"/>
              </w:rPr>
            </w:pPr>
            <w:r w:rsidRPr="00433AAA">
              <w:rPr>
                <w:sz w:val="18"/>
                <w:szCs w:val="18"/>
                <w:lang w:val="nl-BE"/>
              </w:rPr>
              <w:t xml:space="preserve">Director Bart Van Malderen BVBA, VGP MISV </w:t>
            </w:r>
            <w:proofErr w:type="spellStart"/>
            <w:r w:rsidRPr="00433AAA">
              <w:rPr>
                <w:sz w:val="18"/>
                <w:szCs w:val="18"/>
                <w:lang w:val="nl-BE"/>
              </w:rPr>
              <w:t>Comm</w:t>
            </w:r>
            <w:proofErr w:type="spellEnd"/>
            <w:r w:rsidRPr="00433AAA">
              <w:rPr>
                <w:sz w:val="18"/>
                <w:szCs w:val="18"/>
                <w:lang w:val="nl-BE"/>
              </w:rPr>
              <w:t xml:space="preserve">. </w:t>
            </w:r>
            <w:r w:rsidRPr="00433AAA">
              <w:rPr>
                <w:sz w:val="18"/>
                <w:szCs w:val="18"/>
                <w:lang w:val="fr-FR"/>
              </w:rPr>
              <w:t xml:space="preserve">VA, </w:t>
            </w:r>
            <w:proofErr w:type="spellStart"/>
            <w:r w:rsidRPr="00433AAA">
              <w:rPr>
                <w:sz w:val="18"/>
                <w:szCs w:val="18"/>
                <w:lang w:val="fr-FR"/>
              </w:rPr>
              <w:t>Drylock</w:t>
            </w:r>
            <w:proofErr w:type="spellEnd"/>
            <w:r w:rsidRPr="00433AAA">
              <w:rPr>
                <w:sz w:val="18"/>
                <w:szCs w:val="18"/>
                <w:lang w:val="fr-FR"/>
              </w:rPr>
              <w:t xml:space="preserve"> Technologies NV, </w:t>
            </w:r>
            <w:proofErr w:type="spellStart"/>
            <w:r w:rsidRPr="00433AAA">
              <w:rPr>
                <w:sz w:val="18"/>
                <w:szCs w:val="18"/>
                <w:lang w:val="fr-FR"/>
              </w:rPr>
              <w:t>Vynka</w:t>
            </w:r>
            <w:proofErr w:type="spellEnd"/>
            <w:r w:rsidRPr="00433AAA">
              <w:rPr>
                <w:sz w:val="18"/>
                <w:szCs w:val="18"/>
                <w:lang w:val="fr-FR"/>
              </w:rPr>
              <w:t xml:space="preserve"> Plus </w:t>
            </w:r>
            <w:proofErr w:type="spellStart"/>
            <w:r w:rsidRPr="00433AAA">
              <w:rPr>
                <w:sz w:val="18"/>
                <w:szCs w:val="18"/>
                <w:lang w:val="fr-FR"/>
              </w:rPr>
              <w:t>Comm</w:t>
            </w:r>
            <w:proofErr w:type="spellEnd"/>
            <w:r w:rsidRPr="00433AAA">
              <w:rPr>
                <w:sz w:val="18"/>
                <w:szCs w:val="18"/>
                <w:lang w:val="fr-FR"/>
              </w:rPr>
              <w:t xml:space="preserve">. VA, </w:t>
            </w:r>
            <w:proofErr w:type="spellStart"/>
            <w:r w:rsidRPr="00433AAA">
              <w:rPr>
                <w:sz w:val="18"/>
                <w:szCs w:val="18"/>
                <w:lang w:val="fr-FR"/>
              </w:rPr>
              <w:t>Vynka</w:t>
            </w:r>
            <w:proofErr w:type="spellEnd"/>
            <w:r w:rsidRPr="00433AAA">
              <w:rPr>
                <w:sz w:val="18"/>
                <w:szCs w:val="18"/>
                <w:lang w:val="fr-FR"/>
              </w:rPr>
              <w:t xml:space="preserve"> Plus Ru </w:t>
            </w:r>
            <w:proofErr w:type="spellStart"/>
            <w:r w:rsidRPr="00433AAA">
              <w:rPr>
                <w:sz w:val="18"/>
                <w:szCs w:val="18"/>
                <w:lang w:val="fr-FR"/>
              </w:rPr>
              <w:t>Comm</w:t>
            </w:r>
            <w:proofErr w:type="spellEnd"/>
            <w:r w:rsidRPr="00433AAA">
              <w:rPr>
                <w:sz w:val="18"/>
                <w:szCs w:val="18"/>
                <w:lang w:val="fr-FR"/>
              </w:rPr>
              <w:t xml:space="preserve">. VA, </w:t>
            </w:r>
            <w:proofErr w:type="spellStart"/>
            <w:r w:rsidRPr="00433AAA">
              <w:rPr>
                <w:sz w:val="18"/>
                <w:szCs w:val="18"/>
                <w:lang w:val="fr-FR"/>
              </w:rPr>
              <w:t>Vadebo</w:t>
            </w:r>
            <w:proofErr w:type="spellEnd"/>
            <w:r w:rsidRPr="00433AAA">
              <w:rPr>
                <w:sz w:val="18"/>
                <w:szCs w:val="18"/>
                <w:lang w:val="fr-FR"/>
              </w:rPr>
              <w:t xml:space="preserve"> France NV, PVM Invest Lux SA, VM Invest Arras S. à </w:t>
            </w:r>
            <w:proofErr w:type="spellStart"/>
            <w:r w:rsidRPr="00433AAA">
              <w:rPr>
                <w:sz w:val="18"/>
                <w:szCs w:val="18"/>
                <w:lang w:val="fr-FR"/>
              </w:rPr>
              <w:t>r.l</w:t>
            </w:r>
            <w:proofErr w:type="spellEnd"/>
            <w:r w:rsidRPr="00433AAA">
              <w:rPr>
                <w:sz w:val="18"/>
                <w:szCs w:val="18"/>
                <w:lang w:val="fr-FR"/>
              </w:rPr>
              <w:t xml:space="preserve">., VM Invest </w:t>
            </w:r>
            <w:proofErr w:type="spellStart"/>
            <w:r w:rsidRPr="00433AAA">
              <w:rPr>
                <w:sz w:val="18"/>
                <w:szCs w:val="18"/>
                <w:lang w:val="fr-FR"/>
              </w:rPr>
              <w:t>Peninsular</w:t>
            </w:r>
            <w:proofErr w:type="spellEnd"/>
            <w:r w:rsidRPr="00433AAA">
              <w:rPr>
                <w:sz w:val="18"/>
                <w:szCs w:val="18"/>
                <w:lang w:val="fr-FR"/>
              </w:rPr>
              <w:t xml:space="preserve"> SL, VM Invest CZ </w:t>
            </w:r>
            <w:proofErr w:type="spellStart"/>
            <w:r w:rsidRPr="00433AAA">
              <w:rPr>
                <w:sz w:val="18"/>
                <w:szCs w:val="18"/>
                <w:lang w:val="fr-FR"/>
              </w:rPr>
              <w:t>s.r.o</w:t>
            </w:r>
            <w:proofErr w:type="spellEnd"/>
            <w:r w:rsidRPr="00433AAA">
              <w:rPr>
                <w:sz w:val="18"/>
                <w:szCs w:val="18"/>
                <w:lang w:val="fr-FR"/>
              </w:rPr>
              <w:t xml:space="preserve">., </w:t>
            </w:r>
            <w:proofErr w:type="spellStart"/>
            <w:r w:rsidRPr="00433AAA">
              <w:rPr>
                <w:sz w:val="18"/>
                <w:szCs w:val="18"/>
                <w:lang w:val="fr-FR"/>
              </w:rPr>
              <w:t>Hastal</w:t>
            </w:r>
            <w:proofErr w:type="spellEnd"/>
            <w:r w:rsidRPr="00433AAA">
              <w:rPr>
                <w:sz w:val="18"/>
                <w:szCs w:val="18"/>
                <w:lang w:val="fr-FR"/>
              </w:rPr>
              <w:t xml:space="preserve"> </w:t>
            </w:r>
            <w:proofErr w:type="spellStart"/>
            <w:r w:rsidRPr="00433AAA">
              <w:rPr>
                <w:sz w:val="18"/>
                <w:szCs w:val="18"/>
                <w:lang w:val="fr-FR"/>
              </w:rPr>
              <w:t>Apartments</w:t>
            </w:r>
            <w:proofErr w:type="spellEnd"/>
            <w:r w:rsidRPr="00433AAA">
              <w:rPr>
                <w:sz w:val="18"/>
                <w:szCs w:val="18"/>
                <w:lang w:val="fr-FR"/>
              </w:rPr>
              <w:t xml:space="preserve"> </w:t>
            </w:r>
            <w:proofErr w:type="spellStart"/>
            <w:r w:rsidRPr="00433AAA">
              <w:rPr>
                <w:sz w:val="18"/>
                <w:szCs w:val="18"/>
                <w:lang w:val="fr-FR"/>
              </w:rPr>
              <w:t>s.r.o</w:t>
            </w:r>
            <w:proofErr w:type="spellEnd"/>
            <w:r w:rsidRPr="00433AAA">
              <w:rPr>
                <w:sz w:val="18"/>
                <w:szCs w:val="18"/>
                <w:lang w:val="fr-FR"/>
              </w:rPr>
              <w:t xml:space="preserve">., </w:t>
            </w:r>
            <w:proofErr w:type="spellStart"/>
            <w:r w:rsidRPr="00433AAA">
              <w:rPr>
                <w:sz w:val="18"/>
                <w:szCs w:val="18"/>
                <w:lang w:val="fr-FR"/>
              </w:rPr>
              <w:t>Lillydoo</w:t>
            </w:r>
            <w:proofErr w:type="spellEnd"/>
            <w:r w:rsidRPr="00433AAA">
              <w:rPr>
                <w:sz w:val="18"/>
                <w:szCs w:val="18"/>
                <w:lang w:val="fr-FR"/>
              </w:rPr>
              <w:t xml:space="preserve"> GmbH, </w:t>
            </w:r>
            <w:r>
              <w:rPr>
                <w:sz w:val="18"/>
                <w:szCs w:val="18"/>
                <w:lang w:val="fr-FR"/>
              </w:rPr>
              <w:t xml:space="preserve">VM Invest </w:t>
            </w:r>
            <w:proofErr w:type="spellStart"/>
            <w:r>
              <w:rPr>
                <w:sz w:val="18"/>
                <w:szCs w:val="18"/>
                <w:lang w:val="fr-FR"/>
              </w:rPr>
              <w:t>Gayrimenkul</w:t>
            </w:r>
            <w:proofErr w:type="spellEnd"/>
            <w:r>
              <w:rPr>
                <w:sz w:val="18"/>
                <w:szCs w:val="18"/>
                <w:lang w:val="fr-FR"/>
              </w:rPr>
              <w:t xml:space="preserve"> AS, </w:t>
            </w:r>
            <w:proofErr w:type="spellStart"/>
            <w:r>
              <w:rPr>
                <w:sz w:val="18"/>
                <w:szCs w:val="18"/>
                <w:lang w:val="fr-FR"/>
              </w:rPr>
              <w:t>Cobehold</w:t>
            </w:r>
            <w:proofErr w:type="spellEnd"/>
            <w:r>
              <w:rPr>
                <w:sz w:val="18"/>
                <w:szCs w:val="18"/>
                <w:lang w:val="fr-FR"/>
              </w:rPr>
              <w:t xml:space="preserve"> SA, </w:t>
            </w:r>
            <w:proofErr w:type="spellStart"/>
            <w:r w:rsidRPr="00433AAA">
              <w:rPr>
                <w:sz w:val="18"/>
                <w:szCs w:val="18"/>
                <w:lang w:val="fr-FR"/>
              </w:rPr>
              <w:t>managing</w:t>
            </w:r>
            <w:proofErr w:type="spellEnd"/>
            <w:r w:rsidRPr="00433AAA">
              <w:rPr>
                <w:sz w:val="18"/>
                <w:szCs w:val="18"/>
                <w:lang w:val="fr-FR"/>
              </w:rPr>
              <w:t xml:space="preserve"> </w:t>
            </w:r>
            <w:proofErr w:type="spellStart"/>
            <w:r w:rsidRPr="00433AAA">
              <w:rPr>
                <w:sz w:val="18"/>
                <w:szCs w:val="18"/>
                <w:lang w:val="fr-FR"/>
              </w:rPr>
              <w:t>director</w:t>
            </w:r>
            <w:proofErr w:type="spellEnd"/>
            <w:r w:rsidRPr="00433AAA">
              <w:rPr>
                <w:sz w:val="18"/>
                <w:szCs w:val="18"/>
                <w:lang w:val="fr-FR"/>
              </w:rPr>
              <w:t xml:space="preserve"> VM Invest NV, </w:t>
            </w:r>
            <w:proofErr w:type="spellStart"/>
            <w:r w:rsidRPr="00433AAA">
              <w:rPr>
                <w:sz w:val="18"/>
                <w:szCs w:val="18"/>
                <w:lang w:val="fr-FR"/>
              </w:rPr>
              <w:t>deputy</w:t>
            </w:r>
            <w:proofErr w:type="spellEnd"/>
            <w:r w:rsidRPr="00433AAA">
              <w:rPr>
                <w:sz w:val="18"/>
                <w:szCs w:val="18"/>
                <w:lang w:val="fr-FR"/>
              </w:rPr>
              <w:t xml:space="preserve"> chairman </w:t>
            </w:r>
            <w:proofErr w:type="spellStart"/>
            <w:r w:rsidRPr="00433AAA">
              <w:rPr>
                <w:sz w:val="18"/>
                <w:szCs w:val="18"/>
                <w:lang w:val="fr-FR"/>
              </w:rPr>
              <w:t>Family</w:t>
            </w:r>
            <w:proofErr w:type="spellEnd"/>
            <w:r w:rsidRPr="00433AAA">
              <w:rPr>
                <w:sz w:val="18"/>
                <w:szCs w:val="18"/>
                <w:lang w:val="fr-FR"/>
              </w:rPr>
              <w:t xml:space="preserve"> PVM VZW</w:t>
            </w:r>
          </w:p>
        </w:tc>
      </w:tr>
      <w:tr w:rsidR="00F76607" w:rsidRPr="001146AD" w14:paraId="16918DE8" w14:textId="77777777">
        <w:trPr>
          <w:cantSplit/>
          <w:jc w:val="center"/>
        </w:trPr>
        <w:tc>
          <w:tcPr>
            <w:tcW w:w="3917" w:type="dxa"/>
            <w:hideMark/>
          </w:tcPr>
          <w:p w14:paraId="447272BA" w14:textId="77777777" w:rsidR="00F76607" w:rsidRPr="00433AAA" w:rsidRDefault="001863F0">
            <w:pPr>
              <w:tabs>
                <w:tab w:val="right" w:leader="dot" w:pos="4660"/>
              </w:tabs>
              <w:ind w:left="240" w:hanging="240"/>
              <w:rPr>
                <w:rFonts w:eastAsiaTheme="minorEastAsia"/>
                <w:sz w:val="18"/>
                <w:szCs w:val="18"/>
                <w:lang w:val="fr-FR"/>
              </w:rPr>
            </w:pPr>
            <w:r w:rsidRPr="00433AAA">
              <w:rPr>
                <w:sz w:val="18"/>
                <w:szCs w:val="18"/>
                <w:lang w:val="fr-FR"/>
              </w:rPr>
              <w:t>Alexander Saverys</w:t>
            </w:r>
            <w:r w:rsidRPr="00433AAA">
              <w:rPr>
                <w:sz w:val="18"/>
                <w:szCs w:val="18"/>
                <w:lang w:val="fr-FR"/>
              </w:rPr>
              <w:tab/>
            </w:r>
          </w:p>
        </w:tc>
        <w:tc>
          <w:tcPr>
            <w:tcW w:w="2881" w:type="dxa"/>
          </w:tcPr>
          <w:p w14:paraId="75A816AB" w14:textId="458AD885" w:rsidR="00F76607" w:rsidRPr="005622A5" w:rsidRDefault="001863F0">
            <w:pPr>
              <w:spacing w:after="20"/>
              <w:rPr>
                <w:rFonts w:eastAsiaTheme="minorEastAsia"/>
                <w:sz w:val="18"/>
                <w:szCs w:val="18"/>
                <w:lang w:val="fr-FR"/>
              </w:rPr>
            </w:pPr>
            <w:proofErr w:type="spellStart"/>
            <w:r w:rsidRPr="00433AAA">
              <w:rPr>
                <w:rFonts w:eastAsiaTheme="minorEastAsia"/>
                <w:sz w:val="18"/>
                <w:szCs w:val="18"/>
                <w:lang w:val="fr-FR"/>
              </w:rPr>
              <w:t>Managing</w:t>
            </w:r>
            <w:proofErr w:type="spellEnd"/>
            <w:r w:rsidRPr="00433AAA">
              <w:rPr>
                <w:rFonts w:eastAsiaTheme="minorEastAsia"/>
                <w:sz w:val="18"/>
                <w:szCs w:val="18"/>
                <w:lang w:val="fr-FR"/>
              </w:rPr>
              <w:t xml:space="preserve"> </w:t>
            </w:r>
            <w:proofErr w:type="spellStart"/>
            <w:r w:rsidRPr="00433AAA">
              <w:rPr>
                <w:rFonts w:eastAsiaTheme="minorEastAsia"/>
                <w:sz w:val="18"/>
                <w:szCs w:val="18"/>
                <w:lang w:val="fr-FR"/>
              </w:rPr>
              <w:t>director</w:t>
            </w:r>
            <w:proofErr w:type="spellEnd"/>
            <w:r w:rsidRPr="00433AAA">
              <w:rPr>
                <w:rFonts w:eastAsiaTheme="minorEastAsia"/>
                <w:sz w:val="18"/>
                <w:szCs w:val="18"/>
                <w:lang w:val="fr-FR"/>
              </w:rPr>
              <w:t xml:space="preserve"> CMB NV, </w:t>
            </w:r>
            <w:proofErr w:type="spellStart"/>
            <w:r w:rsidRPr="00433AAA">
              <w:rPr>
                <w:rFonts w:eastAsiaTheme="minorEastAsia"/>
                <w:sz w:val="18"/>
                <w:szCs w:val="18"/>
                <w:lang w:val="fr-FR"/>
              </w:rPr>
              <w:t>Delphis</w:t>
            </w:r>
            <w:proofErr w:type="spellEnd"/>
            <w:r w:rsidRPr="00433AAA">
              <w:rPr>
                <w:rFonts w:eastAsiaTheme="minorEastAsia"/>
                <w:sz w:val="18"/>
                <w:szCs w:val="18"/>
                <w:lang w:val="fr-FR"/>
              </w:rPr>
              <w:t xml:space="preserve"> NV, Team Lines Benelux NV; </w:t>
            </w:r>
            <w:proofErr w:type="spellStart"/>
            <w:r w:rsidRPr="00433AAA">
              <w:rPr>
                <w:rFonts w:eastAsiaTheme="minorEastAsia"/>
                <w:sz w:val="18"/>
                <w:szCs w:val="18"/>
                <w:lang w:val="fr-FR"/>
              </w:rPr>
              <w:t>direct</w:t>
            </w:r>
            <w:r w:rsidRPr="005622A5">
              <w:rPr>
                <w:rFonts w:eastAsiaTheme="minorEastAsia"/>
                <w:sz w:val="18"/>
                <w:szCs w:val="18"/>
                <w:lang w:val="fr-FR"/>
              </w:rPr>
              <w:t>or</w:t>
            </w:r>
            <w:proofErr w:type="spellEnd"/>
            <w:r w:rsidRPr="005622A5">
              <w:rPr>
                <w:rFonts w:eastAsiaTheme="minorEastAsia"/>
                <w:sz w:val="18"/>
                <w:szCs w:val="18"/>
                <w:lang w:val="fr-FR"/>
              </w:rPr>
              <w:t xml:space="preserve"> </w:t>
            </w:r>
            <w:proofErr w:type="spellStart"/>
            <w:r w:rsidRPr="005622A5">
              <w:rPr>
                <w:rFonts w:eastAsiaTheme="minorEastAsia"/>
                <w:sz w:val="18"/>
                <w:szCs w:val="18"/>
                <w:lang w:val="fr-FR"/>
              </w:rPr>
              <w:t>Bocimar</w:t>
            </w:r>
            <w:proofErr w:type="spellEnd"/>
            <w:r w:rsidRPr="005622A5">
              <w:rPr>
                <w:rFonts w:eastAsiaTheme="minorEastAsia"/>
                <w:sz w:val="18"/>
                <w:szCs w:val="18"/>
                <w:lang w:val="fr-FR"/>
              </w:rPr>
              <w:t xml:space="preserve"> NV, </w:t>
            </w:r>
            <w:proofErr w:type="spellStart"/>
            <w:r w:rsidRPr="005622A5">
              <w:rPr>
                <w:rFonts w:eastAsiaTheme="minorEastAsia"/>
                <w:sz w:val="18"/>
                <w:szCs w:val="18"/>
                <w:lang w:val="fr-FR"/>
              </w:rPr>
              <w:t>Bocimar</w:t>
            </w:r>
            <w:proofErr w:type="spellEnd"/>
            <w:r w:rsidRPr="005622A5">
              <w:rPr>
                <w:rFonts w:eastAsiaTheme="minorEastAsia"/>
                <w:sz w:val="18"/>
                <w:szCs w:val="18"/>
                <w:lang w:val="fr-FR"/>
              </w:rPr>
              <w:t xml:space="preserve"> Hunter NV, CMB Technologies BVBA, De </w:t>
            </w:r>
            <w:proofErr w:type="spellStart"/>
            <w:r w:rsidRPr="005622A5">
              <w:rPr>
                <w:rFonts w:eastAsiaTheme="minorEastAsia"/>
                <w:sz w:val="18"/>
                <w:szCs w:val="18"/>
                <w:lang w:val="fr-FR"/>
              </w:rPr>
              <w:t>NIeuwe</w:t>
            </w:r>
            <w:proofErr w:type="spellEnd"/>
            <w:r w:rsidRPr="005622A5">
              <w:rPr>
                <w:rFonts w:eastAsiaTheme="minorEastAsia"/>
                <w:sz w:val="18"/>
                <w:szCs w:val="18"/>
                <w:lang w:val="fr-FR"/>
              </w:rPr>
              <w:t xml:space="preserve"> </w:t>
            </w:r>
            <w:proofErr w:type="spellStart"/>
            <w:r w:rsidRPr="005622A5">
              <w:rPr>
                <w:rFonts w:eastAsiaTheme="minorEastAsia"/>
                <w:sz w:val="18"/>
                <w:szCs w:val="18"/>
                <w:lang w:val="fr-FR"/>
              </w:rPr>
              <w:t>Karpel</w:t>
            </w:r>
            <w:proofErr w:type="spellEnd"/>
            <w:r w:rsidRPr="005622A5">
              <w:rPr>
                <w:rFonts w:eastAsiaTheme="minorEastAsia"/>
                <w:sz w:val="18"/>
                <w:szCs w:val="18"/>
                <w:lang w:val="fr-FR"/>
              </w:rPr>
              <w:t xml:space="preserve"> BVBA, Gantoise Dunant BVBA, </w:t>
            </w:r>
            <w:proofErr w:type="spellStart"/>
            <w:r w:rsidRPr="005622A5">
              <w:rPr>
                <w:rFonts w:eastAsiaTheme="minorEastAsia"/>
                <w:sz w:val="18"/>
                <w:szCs w:val="18"/>
                <w:lang w:val="fr-FR"/>
              </w:rPr>
              <w:t>Hamburg</w:t>
            </w:r>
            <w:proofErr w:type="spellEnd"/>
            <w:r w:rsidRPr="005622A5">
              <w:rPr>
                <w:rFonts w:eastAsiaTheme="minorEastAsia"/>
                <w:sz w:val="18"/>
                <w:szCs w:val="18"/>
                <w:lang w:val="fr-FR"/>
              </w:rPr>
              <w:t xml:space="preserve"> Maritime NV, Hof ter Polder BVBA, Koninklijke </w:t>
            </w:r>
            <w:proofErr w:type="spellStart"/>
            <w:r w:rsidRPr="005622A5">
              <w:rPr>
                <w:rFonts w:eastAsiaTheme="minorEastAsia"/>
                <w:sz w:val="18"/>
                <w:szCs w:val="18"/>
                <w:lang w:val="fr-FR"/>
              </w:rPr>
              <w:t>Belgische</w:t>
            </w:r>
            <w:proofErr w:type="spellEnd"/>
            <w:r w:rsidRPr="005622A5">
              <w:rPr>
                <w:rFonts w:eastAsiaTheme="minorEastAsia"/>
                <w:sz w:val="18"/>
                <w:szCs w:val="18"/>
                <w:lang w:val="fr-FR"/>
              </w:rPr>
              <w:t xml:space="preserve"> </w:t>
            </w:r>
            <w:proofErr w:type="spellStart"/>
            <w:r w:rsidRPr="005622A5">
              <w:rPr>
                <w:rFonts w:eastAsiaTheme="minorEastAsia"/>
                <w:sz w:val="18"/>
                <w:szCs w:val="18"/>
                <w:lang w:val="fr-FR"/>
              </w:rPr>
              <w:t>Redersvereniging</w:t>
            </w:r>
            <w:proofErr w:type="spellEnd"/>
            <w:r w:rsidRPr="005622A5">
              <w:rPr>
                <w:rFonts w:eastAsiaTheme="minorEastAsia"/>
                <w:sz w:val="18"/>
                <w:szCs w:val="18"/>
                <w:lang w:val="fr-FR"/>
              </w:rPr>
              <w:t xml:space="preserve"> VZW, Maritime </w:t>
            </w:r>
            <w:proofErr w:type="spellStart"/>
            <w:r w:rsidRPr="005622A5">
              <w:rPr>
                <w:rFonts w:eastAsiaTheme="minorEastAsia"/>
                <w:sz w:val="18"/>
                <w:szCs w:val="18"/>
                <w:lang w:val="fr-FR"/>
              </w:rPr>
              <w:t>Partners</w:t>
            </w:r>
            <w:proofErr w:type="spellEnd"/>
            <w:r w:rsidRPr="005622A5">
              <w:rPr>
                <w:rFonts w:eastAsiaTheme="minorEastAsia"/>
                <w:sz w:val="18"/>
                <w:szCs w:val="18"/>
                <w:lang w:val="fr-FR"/>
              </w:rPr>
              <w:t xml:space="preserve"> BVBA, </w:t>
            </w:r>
            <w:proofErr w:type="spellStart"/>
            <w:r w:rsidRPr="005622A5">
              <w:rPr>
                <w:rFonts w:eastAsiaTheme="minorEastAsia"/>
                <w:sz w:val="18"/>
                <w:szCs w:val="18"/>
                <w:lang w:val="fr-FR"/>
              </w:rPr>
              <w:t>Saverco</w:t>
            </w:r>
            <w:proofErr w:type="spellEnd"/>
            <w:r w:rsidRPr="005622A5">
              <w:rPr>
                <w:rFonts w:eastAsiaTheme="minorEastAsia"/>
                <w:sz w:val="18"/>
                <w:szCs w:val="18"/>
                <w:lang w:val="fr-FR"/>
              </w:rPr>
              <w:t xml:space="preserve"> NV, Vivier du Chevalier BVBA, </w:t>
            </w:r>
            <w:proofErr w:type="spellStart"/>
            <w:r w:rsidRPr="005622A5">
              <w:rPr>
                <w:rFonts w:eastAsiaTheme="minorEastAsia"/>
                <w:sz w:val="18"/>
                <w:szCs w:val="18"/>
                <w:lang w:val="fr-FR"/>
              </w:rPr>
              <w:t>Walbos</w:t>
            </w:r>
            <w:proofErr w:type="spellEnd"/>
            <w:r w:rsidRPr="005622A5">
              <w:rPr>
                <w:rFonts w:eastAsiaTheme="minorEastAsia"/>
                <w:sz w:val="18"/>
                <w:szCs w:val="18"/>
                <w:lang w:val="fr-FR"/>
              </w:rPr>
              <w:t xml:space="preserve"> BVBA</w:t>
            </w:r>
          </w:p>
        </w:tc>
        <w:tc>
          <w:tcPr>
            <w:tcW w:w="2949" w:type="dxa"/>
          </w:tcPr>
          <w:p w14:paraId="4C7A9ACD" w14:textId="753FD975" w:rsidR="00F76607" w:rsidRPr="005622A5" w:rsidRDefault="00607C03">
            <w:pPr>
              <w:rPr>
                <w:sz w:val="18"/>
                <w:szCs w:val="18"/>
                <w:lang w:val="fr-FR"/>
              </w:rPr>
            </w:pPr>
            <w:proofErr w:type="spellStart"/>
            <w:r w:rsidRPr="005622A5">
              <w:rPr>
                <w:sz w:val="18"/>
                <w:szCs w:val="18"/>
                <w:lang w:val="fr-FR"/>
              </w:rPr>
              <w:t>Managing</w:t>
            </w:r>
            <w:proofErr w:type="spellEnd"/>
            <w:r w:rsidRPr="005622A5">
              <w:rPr>
                <w:sz w:val="18"/>
                <w:szCs w:val="18"/>
                <w:lang w:val="fr-FR"/>
              </w:rPr>
              <w:t xml:space="preserve"> </w:t>
            </w:r>
            <w:proofErr w:type="spellStart"/>
            <w:r w:rsidRPr="005622A5">
              <w:rPr>
                <w:sz w:val="18"/>
                <w:szCs w:val="18"/>
                <w:lang w:val="fr-FR"/>
              </w:rPr>
              <w:t>director</w:t>
            </w:r>
            <w:proofErr w:type="spellEnd"/>
            <w:r w:rsidRPr="005622A5">
              <w:rPr>
                <w:sz w:val="18"/>
                <w:szCs w:val="18"/>
                <w:lang w:val="fr-FR"/>
              </w:rPr>
              <w:t xml:space="preserve"> CMB NV, </w:t>
            </w:r>
            <w:proofErr w:type="spellStart"/>
            <w:r w:rsidRPr="005622A5">
              <w:rPr>
                <w:sz w:val="18"/>
                <w:szCs w:val="18"/>
                <w:lang w:val="fr-FR"/>
              </w:rPr>
              <w:t>Delphis</w:t>
            </w:r>
            <w:proofErr w:type="spellEnd"/>
            <w:r w:rsidRPr="005622A5">
              <w:rPr>
                <w:sz w:val="18"/>
                <w:szCs w:val="18"/>
                <w:lang w:val="fr-FR"/>
              </w:rPr>
              <w:t xml:space="preserve"> NV, Team Lines Benelux NV; </w:t>
            </w:r>
            <w:proofErr w:type="spellStart"/>
            <w:r w:rsidRPr="005622A5">
              <w:rPr>
                <w:sz w:val="18"/>
                <w:szCs w:val="18"/>
                <w:lang w:val="fr-FR"/>
              </w:rPr>
              <w:t>director</w:t>
            </w:r>
            <w:proofErr w:type="spellEnd"/>
            <w:r w:rsidRPr="005622A5">
              <w:rPr>
                <w:sz w:val="18"/>
                <w:szCs w:val="18"/>
                <w:lang w:val="fr-FR"/>
              </w:rPr>
              <w:t xml:space="preserve"> </w:t>
            </w:r>
            <w:proofErr w:type="spellStart"/>
            <w:r w:rsidRPr="005622A5">
              <w:rPr>
                <w:sz w:val="18"/>
                <w:szCs w:val="18"/>
                <w:lang w:val="fr-FR"/>
              </w:rPr>
              <w:t>Bocimar</w:t>
            </w:r>
            <w:proofErr w:type="spellEnd"/>
            <w:r w:rsidRPr="005622A5">
              <w:rPr>
                <w:sz w:val="18"/>
                <w:szCs w:val="18"/>
                <w:lang w:val="fr-FR"/>
              </w:rPr>
              <w:t xml:space="preserve"> NV, </w:t>
            </w:r>
            <w:proofErr w:type="spellStart"/>
            <w:r w:rsidRPr="005622A5">
              <w:rPr>
                <w:sz w:val="18"/>
                <w:szCs w:val="18"/>
                <w:lang w:val="fr-FR"/>
              </w:rPr>
              <w:t>Bocimar</w:t>
            </w:r>
            <w:proofErr w:type="spellEnd"/>
            <w:r w:rsidRPr="005622A5">
              <w:rPr>
                <w:sz w:val="18"/>
                <w:szCs w:val="18"/>
                <w:lang w:val="fr-FR"/>
              </w:rPr>
              <w:t xml:space="preserve"> Hunter NV, CMB Technologies BVBA, De </w:t>
            </w:r>
            <w:proofErr w:type="spellStart"/>
            <w:r w:rsidRPr="005622A5">
              <w:rPr>
                <w:sz w:val="18"/>
                <w:szCs w:val="18"/>
                <w:lang w:val="fr-FR"/>
              </w:rPr>
              <w:t>NIeuwe</w:t>
            </w:r>
            <w:proofErr w:type="spellEnd"/>
            <w:r w:rsidRPr="005622A5">
              <w:rPr>
                <w:sz w:val="18"/>
                <w:szCs w:val="18"/>
                <w:lang w:val="fr-FR"/>
              </w:rPr>
              <w:t xml:space="preserve"> </w:t>
            </w:r>
            <w:proofErr w:type="spellStart"/>
            <w:r w:rsidRPr="005622A5">
              <w:rPr>
                <w:sz w:val="18"/>
                <w:szCs w:val="18"/>
                <w:lang w:val="fr-FR"/>
              </w:rPr>
              <w:t>Karpel</w:t>
            </w:r>
            <w:proofErr w:type="spellEnd"/>
            <w:r w:rsidRPr="005622A5">
              <w:rPr>
                <w:sz w:val="18"/>
                <w:szCs w:val="18"/>
                <w:lang w:val="fr-FR"/>
              </w:rPr>
              <w:t xml:space="preserve"> BVBA, Gantoise Dunant BVBA, </w:t>
            </w:r>
            <w:proofErr w:type="spellStart"/>
            <w:r w:rsidRPr="005622A5">
              <w:rPr>
                <w:sz w:val="18"/>
                <w:szCs w:val="18"/>
                <w:lang w:val="fr-FR"/>
              </w:rPr>
              <w:t>Hamburg</w:t>
            </w:r>
            <w:proofErr w:type="spellEnd"/>
            <w:r w:rsidRPr="005622A5">
              <w:rPr>
                <w:sz w:val="18"/>
                <w:szCs w:val="18"/>
                <w:lang w:val="fr-FR"/>
              </w:rPr>
              <w:t xml:space="preserve"> Maritime NV, Hof ter Polder BVBA, Koninklijke </w:t>
            </w:r>
            <w:proofErr w:type="spellStart"/>
            <w:r w:rsidRPr="005622A5">
              <w:rPr>
                <w:sz w:val="18"/>
                <w:szCs w:val="18"/>
                <w:lang w:val="fr-FR"/>
              </w:rPr>
              <w:t>Belgische</w:t>
            </w:r>
            <w:proofErr w:type="spellEnd"/>
            <w:r w:rsidRPr="005622A5">
              <w:rPr>
                <w:sz w:val="18"/>
                <w:szCs w:val="18"/>
                <w:lang w:val="fr-FR"/>
              </w:rPr>
              <w:t xml:space="preserve"> </w:t>
            </w:r>
            <w:proofErr w:type="spellStart"/>
            <w:r w:rsidRPr="005622A5">
              <w:rPr>
                <w:sz w:val="18"/>
                <w:szCs w:val="18"/>
                <w:lang w:val="fr-FR"/>
              </w:rPr>
              <w:t>Redersvereniging</w:t>
            </w:r>
            <w:proofErr w:type="spellEnd"/>
            <w:r w:rsidRPr="005622A5">
              <w:rPr>
                <w:sz w:val="18"/>
                <w:szCs w:val="18"/>
                <w:lang w:val="fr-FR"/>
              </w:rPr>
              <w:t xml:space="preserve"> VZW, Maritime </w:t>
            </w:r>
            <w:proofErr w:type="spellStart"/>
            <w:r w:rsidRPr="005622A5">
              <w:rPr>
                <w:sz w:val="18"/>
                <w:szCs w:val="18"/>
                <w:lang w:val="fr-FR"/>
              </w:rPr>
              <w:t>Partners</w:t>
            </w:r>
            <w:proofErr w:type="spellEnd"/>
            <w:r w:rsidRPr="005622A5">
              <w:rPr>
                <w:sz w:val="18"/>
                <w:szCs w:val="18"/>
                <w:lang w:val="fr-FR"/>
              </w:rPr>
              <w:t xml:space="preserve"> BVBA, </w:t>
            </w:r>
            <w:proofErr w:type="spellStart"/>
            <w:r w:rsidRPr="005622A5">
              <w:rPr>
                <w:sz w:val="18"/>
                <w:szCs w:val="18"/>
                <w:lang w:val="fr-FR"/>
              </w:rPr>
              <w:t>Saverco</w:t>
            </w:r>
            <w:proofErr w:type="spellEnd"/>
            <w:r w:rsidRPr="005622A5">
              <w:rPr>
                <w:sz w:val="18"/>
                <w:szCs w:val="18"/>
                <w:lang w:val="fr-FR"/>
              </w:rPr>
              <w:t xml:space="preserve"> NV, Vivier du Chevalier BVBA, </w:t>
            </w:r>
            <w:proofErr w:type="spellStart"/>
            <w:r w:rsidRPr="005622A5">
              <w:rPr>
                <w:sz w:val="18"/>
                <w:szCs w:val="18"/>
                <w:lang w:val="fr-FR"/>
              </w:rPr>
              <w:t>Walbos</w:t>
            </w:r>
            <w:proofErr w:type="spellEnd"/>
            <w:r w:rsidRPr="005622A5">
              <w:rPr>
                <w:sz w:val="18"/>
                <w:szCs w:val="18"/>
                <w:lang w:val="fr-FR"/>
              </w:rPr>
              <w:t xml:space="preserve"> BVBA</w:t>
            </w:r>
          </w:p>
        </w:tc>
      </w:tr>
      <w:tr w:rsidR="00F76607" w:rsidRPr="001146AD" w14:paraId="1BC9333F" w14:textId="77777777">
        <w:trPr>
          <w:cantSplit/>
          <w:jc w:val="center"/>
        </w:trPr>
        <w:tc>
          <w:tcPr>
            <w:tcW w:w="3917" w:type="dxa"/>
            <w:hideMark/>
          </w:tcPr>
          <w:p w14:paraId="68FDB22E" w14:textId="77777777" w:rsidR="00F76607" w:rsidRDefault="001863F0">
            <w:pPr>
              <w:tabs>
                <w:tab w:val="right" w:leader="dot" w:pos="4660"/>
              </w:tabs>
              <w:ind w:left="240" w:hanging="240"/>
              <w:rPr>
                <w:rFonts w:eastAsiaTheme="minorEastAsia"/>
                <w:sz w:val="18"/>
                <w:szCs w:val="18"/>
              </w:rPr>
            </w:pPr>
            <w:r>
              <w:rPr>
                <w:sz w:val="18"/>
                <w:szCs w:val="18"/>
              </w:rPr>
              <w:t>Jos Thys</w:t>
            </w:r>
            <w:r>
              <w:rPr>
                <w:sz w:val="18"/>
                <w:szCs w:val="18"/>
                <w:vertAlign w:val="superscript"/>
              </w:rPr>
              <w:t>(3)</w:t>
            </w:r>
            <w:r>
              <w:rPr>
                <w:sz w:val="18"/>
                <w:szCs w:val="18"/>
              </w:rPr>
              <w:tab/>
            </w:r>
          </w:p>
        </w:tc>
        <w:tc>
          <w:tcPr>
            <w:tcW w:w="2881" w:type="dxa"/>
          </w:tcPr>
          <w:p w14:paraId="67A971B0" w14:textId="51E6A311" w:rsidR="00F76607" w:rsidRDefault="001863F0" w:rsidP="00E712C0">
            <w:pPr>
              <w:spacing w:after="20"/>
              <w:rPr>
                <w:rFonts w:eastAsiaTheme="minorEastAsia"/>
                <w:sz w:val="18"/>
                <w:szCs w:val="18"/>
                <w:lang w:val="nl-BE"/>
              </w:rPr>
            </w:pPr>
            <w:r>
              <w:rPr>
                <w:rFonts w:eastAsiaTheme="minorEastAsia"/>
                <w:sz w:val="18"/>
                <w:szCs w:val="18"/>
                <w:lang w:val="nl-BE"/>
              </w:rPr>
              <w:t xml:space="preserve">Managing director Thijs </w:t>
            </w:r>
            <w:proofErr w:type="spellStart"/>
            <w:r>
              <w:rPr>
                <w:rFonts w:eastAsiaTheme="minorEastAsia"/>
                <w:sz w:val="18"/>
                <w:szCs w:val="18"/>
                <w:lang w:val="nl-BE"/>
              </w:rPr>
              <w:t>Invest</w:t>
            </w:r>
            <w:proofErr w:type="spellEnd"/>
            <w:r>
              <w:rPr>
                <w:rFonts w:eastAsiaTheme="minorEastAsia"/>
                <w:sz w:val="18"/>
                <w:szCs w:val="18"/>
                <w:lang w:val="nl-BE"/>
              </w:rPr>
              <w:t xml:space="preserve"> NV; Director </w:t>
            </w:r>
            <w:proofErr w:type="spellStart"/>
            <w:r>
              <w:rPr>
                <w:rFonts w:eastAsiaTheme="minorEastAsia"/>
                <w:sz w:val="18"/>
                <w:szCs w:val="18"/>
                <w:lang w:val="nl-BE"/>
              </w:rPr>
              <w:t>Remant</w:t>
            </w:r>
            <w:proofErr w:type="spellEnd"/>
            <w:r>
              <w:rPr>
                <w:rFonts w:eastAsiaTheme="minorEastAsia"/>
                <w:sz w:val="18"/>
                <w:szCs w:val="18"/>
                <w:lang w:val="nl-BE"/>
              </w:rPr>
              <w:t xml:space="preserve"> NV, </w:t>
            </w:r>
            <w:r w:rsidR="00C14CEE">
              <w:rPr>
                <w:rFonts w:eastAsiaTheme="minorEastAsia"/>
                <w:sz w:val="18"/>
                <w:szCs w:val="18"/>
                <w:lang w:val="nl-BE"/>
              </w:rPr>
              <w:t xml:space="preserve">Director </w:t>
            </w:r>
            <w:proofErr w:type="spellStart"/>
            <w:r w:rsidR="00C14CEE">
              <w:rPr>
                <w:rFonts w:eastAsiaTheme="minorEastAsia"/>
                <w:sz w:val="18"/>
                <w:szCs w:val="18"/>
                <w:lang w:val="nl-BE"/>
              </w:rPr>
              <w:t>Merlaux</w:t>
            </w:r>
            <w:proofErr w:type="spellEnd"/>
            <w:r w:rsidR="00C14CEE">
              <w:rPr>
                <w:rFonts w:eastAsiaTheme="minorEastAsia"/>
                <w:sz w:val="18"/>
                <w:szCs w:val="18"/>
                <w:lang w:val="nl-BE"/>
              </w:rPr>
              <w:t xml:space="preserve"> SA</w:t>
            </w:r>
          </w:p>
        </w:tc>
        <w:tc>
          <w:tcPr>
            <w:tcW w:w="2949" w:type="dxa"/>
          </w:tcPr>
          <w:p w14:paraId="6A7B6B1D" w14:textId="730A7147" w:rsidR="00F76607" w:rsidRPr="00C14CEE" w:rsidRDefault="00C14CEE">
            <w:pPr>
              <w:rPr>
                <w:sz w:val="18"/>
                <w:szCs w:val="18"/>
                <w:lang w:val="nl-BE"/>
              </w:rPr>
            </w:pPr>
            <w:r w:rsidRPr="00C14CEE">
              <w:rPr>
                <w:sz w:val="18"/>
                <w:szCs w:val="18"/>
                <w:lang w:val="nl-BE"/>
              </w:rPr>
              <w:t xml:space="preserve">Managing director Thijs </w:t>
            </w:r>
            <w:proofErr w:type="spellStart"/>
            <w:r w:rsidRPr="00C14CEE">
              <w:rPr>
                <w:sz w:val="18"/>
                <w:szCs w:val="18"/>
                <w:lang w:val="nl-BE"/>
              </w:rPr>
              <w:t>Invest</w:t>
            </w:r>
            <w:proofErr w:type="spellEnd"/>
            <w:r w:rsidRPr="00C14CEE">
              <w:rPr>
                <w:sz w:val="18"/>
                <w:szCs w:val="18"/>
                <w:lang w:val="nl-BE"/>
              </w:rPr>
              <w:t xml:space="preserve"> NV; Director </w:t>
            </w:r>
            <w:proofErr w:type="spellStart"/>
            <w:r w:rsidRPr="00C14CEE">
              <w:rPr>
                <w:sz w:val="18"/>
                <w:szCs w:val="18"/>
                <w:lang w:val="nl-BE"/>
              </w:rPr>
              <w:t>Remant</w:t>
            </w:r>
            <w:proofErr w:type="spellEnd"/>
            <w:r w:rsidRPr="00C14CEE">
              <w:rPr>
                <w:sz w:val="18"/>
                <w:szCs w:val="18"/>
                <w:lang w:val="nl-BE"/>
              </w:rPr>
              <w:t xml:space="preserve"> NV, Vlaamse Volksbeweging VZW, Director </w:t>
            </w:r>
            <w:proofErr w:type="spellStart"/>
            <w:r w:rsidRPr="00C14CEE">
              <w:rPr>
                <w:sz w:val="18"/>
                <w:szCs w:val="18"/>
                <w:lang w:val="nl-BE"/>
              </w:rPr>
              <w:t>Merlaux</w:t>
            </w:r>
            <w:proofErr w:type="spellEnd"/>
            <w:r w:rsidRPr="00C14CEE">
              <w:rPr>
                <w:sz w:val="18"/>
                <w:szCs w:val="18"/>
                <w:lang w:val="nl-BE"/>
              </w:rPr>
              <w:t xml:space="preserve"> SA</w:t>
            </w:r>
          </w:p>
        </w:tc>
      </w:tr>
    </w:tbl>
    <w:p w14:paraId="10BFA718" w14:textId="77777777" w:rsidR="00F76607" w:rsidRPr="00C14CEE" w:rsidRDefault="001863F0">
      <w:pPr>
        <w:pBdr>
          <w:bottom w:val="single" w:sz="6" w:space="1" w:color="auto"/>
        </w:pBdr>
        <w:spacing w:after="60" w:line="120" w:lineRule="exact"/>
        <w:ind w:right="7200"/>
        <w:rPr>
          <w:rFonts w:eastAsiaTheme="minorEastAsia"/>
          <w:noProof/>
          <w:sz w:val="16"/>
          <w:szCs w:val="16"/>
          <w:lang w:val="nl-BE"/>
        </w:rPr>
      </w:pPr>
      <w:r w:rsidRPr="00C14CEE">
        <w:rPr>
          <w:noProof/>
          <w:sz w:val="16"/>
          <w:szCs w:val="16"/>
          <w:lang w:val="nl-BE"/>
        </w:rPr>
        <w:t> </w:t>
      </w:r>
    </w:p>
    <w:p w14:paraId="237A07D5" w14:textId="77777777" w:rsidR="00F76607" w:rsidRDefault="001863F0">
      <w:pPr>
        <w:ind w:left="367" w:hanging="367"/>
        <w:rPr>
          <w:sz w:val="16"/>
          <w:szCs w:val="16"/>
        </w:rPr>
      </w:pPr>
      <w:r>
        <w:rPr>
          <w:sz w:val="16"/>
          <w:szCs w:val="16"/>
        </w:rPr>
        <w:t xml:space="preserve">(1) Either directly or as permanent representative of Jan Van Geet </w:t>
      </w:r>
      <w:proofErr w:type="spellStart"/>
      <w:r>
        <w:rPr>
          <w:sz w:val="16"/>
          <w:szCs w:val="16"/>
        </w:rPr>
        <w:t>s.r.o</w:t>
      </w:r>
      <w:proofErr w:type="spellEnd"/>
      <w:r>
        <w:rPr>
          <w:sz w:val="16"/>
          <w:szCs w:val="16"/>
        </w:rPr>
        <w:t>.</w:t>
      </w:r>
    </w:p>
    <w:p w14:paraId="1B8B2E21" w14:textId="77777777" w:rsidR="00F76607" w:rsidRDefault="001863F0">
      <w:pPr>
        <w:ind w:left="367" w:hanging="367"/>
        <w:rPr>
          <w:sz w:val="16"/>
          <w:szCs w:val="16"/>
        </w:rPr>
      </w:pPr>
      <w:r>
        <w:rPr>
          <w:sz w:val="16"/>
          <w:szCs w:val="16"/>
        </w:rPr>
        <w:t>(2) Either directly or as permanent representative of VM Invest NV.</w:t>
      </w:r>
    </w:p>
    <w:p w14:paraId="457560DC" w14:textId="7C5A9FFB" w:rsidR="00F76607" w:rsidRDefault="001863F0">
      <w:pPr>
        <w:ind w:left="367" w:hanging="367"/>
        <w:rPr>
          <w:sz w:val="16"/>
          <w:szCs w:val="16"/>
        </w:rPr>
      </w:pPr>
      <w:r>
        <w:rPr>
          <w:sz w:val="16"/>
          <w:szCs w:val="16"/>
        </w:rPr>
        <w:t xml:space="preserve">(3) Either directly or as permanent representative of </w:t>
      </w:r>
      <w:proofErr w:type="spellStart"/>
      <w:r>
        <w:rPr>
          <w:sz w:val="16"/>
          <w:szCs w:val="16"/>
        </w:rPr>
        <w:t>Rijo</w:t>
      </w:r>
      <w:proofErr w:type="spellEnd"/>
      <w:r>
        <w:rPr>
          <w:sz w:val="16"/>
          <w:szCs w:val="16"/>
        </w:rPr>
        <w:t xml:space="preserve"> </w:t>
      </w:r>
      <w:proofErr w:type="spellStart"/>
      <w:r>
        <w:rPr>
          <w:sz w:val="16"/>
          <w:szCs w:val="16"/>
        </w:rPr>
        <w:t>Advies</w:t>
      </w:r>
      <w:proofErr w:type="spellEnd"/>
      <w:r w:rsidR="000B1B63">
        <w:rPr>
          <w:sz w:val="16"/>
          <w:szCs w:val="16"/>
        </w:rPr>
        <w:t xml:space="preserve"> BVBA.</w:t>
      </w:r>
    </w:p>
    <w:p w14:paraId="4311AC97" w14:textId="77777777" w:rsidR="00F76607" w:rsidRDefault="001863F0">
      <w:pPr>
        <w:keepNext/>
        <w:spacing w:before="240"/>
        <w:rPr>
          <w:szCs w:val="24"/>
        </w:rPr>
      </w:pPr>
      <w:r>
        <w:rPr>
          <w:b/>
          <w:bCs/>
          <w:i/>
          <w:iCs/>
          <w:sz w:val="18"/>
          <w:szCs w:val="18"/>
        </w:rPr>
        <w:t>Board Committees</w:t>
      </w:r>
    </w:p>
    <w:p w14:paraId="18170070" w14:textId="77777777" w:rsidR="00F76607" w:rsidRDefault="001863F0">
      <w:pPr>
        <w:keepNext/>
        <w:spacing w:before="240"/>
        <w:rPr>
          <w:szCs w:val="24"/>
        </w:rPr>
      </w:pPr>
      <w:r>
        <w:rPr>
          <w:i/>
          <w:iCs/>
          <w:sz w:val="18"/>
          <w:szCs w:val="18"/>
        </w:rPr>
        <w:t xml:space="preserve">Audit Committee </w:t>
      </w:r>
    </w:p>
    <w:p w14:paraId="45788B86" w14:textId="77777777" w:rsidR="00F76607" w:rsidRDefault="001863F0">
      <w:pPr>
        <w:keepNext/>
        <w:spacing w:before="240" w:beforeAutospacing="1" w:after="100" w:afterAutospacing="1"/>
        <w:ind w:firstLine="857"/>
        <w:rPr>
          <w:sz w:val="18"/>
          <w:szCs w:val="18"/>
          <w:lang w:val="en-GB"/>
        </w:rPr>
      </w:pPr>
      <w:r>
        <w:rPr>
          <w:sz w:val="18"/>
          <w:szCs w:val="18"/>
          <w:lang w:val="en-GB"/>
        </w:rPr>
        <w:t>The audit committee of the Company (the “Audit Committee”) supervises the integrity of the financial information provided by the Company, and is more in particular responsible for, as set forth in paragraph 2 of annex 3 to the VGP Charter:</w:t>
      </w:r>
    </w:p>
    <w:p w14:paraId="3C8D6E6B" w14:textId="77777777" w:rsidR="00F76607" w:rsidRDefault="001863F0">
      <w:pPr>
        <w:pStyle w:val="VulcanIIbullet"/>
      </w:pPr>
      <w:r>
        <w:t>ensuring that financial reporting gives a truthful, honest and clear picture of the situation and prospects of the Company, on both an individual and a consolidated basis, as the case may be;</w:t>
      </w:r>
    </w:p>
    <w:p w14:paraId="18D1D770" w14:textId="77777777" w:rsidR="00F76607" w:rsidRDefault="001863F0">
      <w:pPr>
        <w:pStyle w:val="VulcanIIbullet"/>
      </w:pPr>
      <w:r>
        <w:t xml:space="preserve">checking the accuracy, completeness and consistency of financial information, including the verification of the periodical information before it is announced; </w:t>
      </w:r>
    </w:p>
    <w:p w14:paraId="4542B1FD" w14:textId="77777777" w:rsidR="00F76607" w:rsidRDefault="001863F0">
      <w:pPr>
        <w:pStyle w:val="VulcanIIbullet"/>
      </w:pPr>
      <w:r>
        <w:t>assessing the relevance and consistency of the Accounting Standards.</w:t>
      </w:r>
    </w:p>
    <w:p w14:paraId="2AB309A2" w14:textId="77777777" w:rsidR="00F76607" w:rsidRDefault="001863F0">
      <w:pPr>
        <w:spacing w:before="240"/>
        <w:ind w:firstLine="857"/>
        <w:rPr>
          <w:sz w:val="18"/>
          <w:szCs w:val="18"/>
        </w:rPr>
      </w:pPr>
      <w:r>
        <w:rPr>
          <w:sz w:val="18"/>
          <w:szCs w:val="18"/>
        </w:rPr>
        <w:t>The composition of the Audit Committee is determined by paragraph 3 of annex 3 of the VGP Charter. The members of the Audit Committee are appointed by the Board of Directors. They may be dismissed by the Board of Directors at any time.</w:t>
      </w:r>
    </w:p>
    <w:p w14:paraId="318553B6" w14:textId="77777777" w:rsidR="00F76607" w:rsidRDefault="001863F0">
      <w:pPr>
        <w:spacing w:before="240"/>
        <w:ind w:firstLine="857"/>
        <w:rPr>
          <w:sz w:val="18"/>
          <w:szCs w:val="18"/>
        </w:rPr>
      </w:pPr>
      <w:r>
        <w:rPr>
          <w:sz w:val="18"/>
          <w:szCs w:val="18"/>
        </w:rPr>
        <w:t>The Audit Committee consists out of at least three directors. The members of the Audit Committee must be non-executive directors, with a majority of independent directors. At least one of them must have accounting and auditing experience.</w:t>
      </w:r>
    </w:p>
    <w:p w14:paraId="62E92802" w14:textId="77777777" w:rsidR="00F76607" w:rsidRDefault="001863F0">
      <w:pPr>
        <w:spacing w:before="240"/>
        <w:ind w:firstLine="857"/>
        <w:rPr>
          <w:sz w:val="18"/>
          <w:szCs w:val="18"/>
        </w:rPr>
      </w:pPr>
      <w:r>
        <w:rPr>
          <w:sz w:val="18"/>
          <w:szCs w:val="18"/>
        </w:rPr>
        <w:t>The members of the Audit Committee have sufficient relevant expertise, especially in accounting, auditing and financial matters, to effectively perform their functions.</w:t>
      </w:r>
    </w:p>
    <w:p w14:paraId="25B0CC17" w14:textId="77777777" w:rsidR="00F76607" w:rsidRDefault="001863F0">
      <w:pPr>
        <w:spacing w:before="240"/>
        <w:ind w:firstLine="857"/>
        <w:rPr>
          <w:sz w:val="18"/>
          <w:szCs w:val="18"/>
        </w:rPr>
      </w:pPr>
      <w:r>
        <w:rPr>
          <w:sz w:val="18"/>
          <w:szCs w:val="18"/>
        </w:rPr>
        <w:t>The duration of the appointment of a member of the Audit Committee may not exceed the duration of his/her directorship.</w:t>
      </w:r>
    </w:p>
    <w:p w14:paraId="0A924F66" w14:textId="77777777" w:rsidR="00F76607" w:rsidRDefault="001863F0">
      <w:pPr>
        <w:spacing w:before="240"/>
        <w:ind w:firstLine="857"/>
        <w:rPr>
          <w:sz w:val="18"/>
          <w:szCs w:val="18"/>
        </w:rPr>
      </w:pPr>
      <w:r>
        <w:rPr>
          <w:sz w:val="18"/>
          <w:szCs w:val="18"/>
        </w:rPr>
        <w:t>The Audit Committee is currently composed as follows:</w:t>
      </w:r>
    </w:p>
    <w:tbl>
      <w:tblPr>
        <w:tblW w:w="3489" w:type="pct"/>
        <w:tblCellMar>
          <w:left w:w="0" w:type="dxa"/>
          <w:right w:w="0" w:type="dxa"/>
        </w:tblCellMar>
        <w:tblLook w:val="04A0" w:firstRow="1" w:lastRow="0" w:firstColumn="1" w:lastColumn="0" w:noHBand="0" w:noVBand="1"/>
      </w:tblPr>
      <w:tblGrid>
        <w:gridCol w:w="3989"/>
        <w:gridCol w:w="2817"/>
      </w:tblGrid>
      <w:tr w:rsidR="00F76607" w14:paraId="61FAA176" w14:textId="77777777">
        <w:trPr>
          <w:tblHeader/>
        </w:trPr>
        <w:tc>
          <w:tcPr>
            <w:tcW w:w="3973" w:type="dxa"/>
            <w:vAlign w:val="center"/>
            <w:hideMark/>
          </w:tcPr>
          <w:p w14:paraId="29FCA2A5" w14:textId="77777777" w:rsidR="00F76607" w:rsidRDefault="00F76607">
            <w:pPr>
              <w:rPr>
                <w:sz w:val="1"/>
                <w:szCs w:val="18"/>
              </w:rPr>
            </w:pPr>
          </w:p>
        </w:tc>
        <w:tc>
          <w:tcPr>
            <w:tcW w:w="2828" w:type="dxa"/>
            <w:vAlign w:val="center"/>
            <w:hideMark/>
          </w:tcPr>
          <w:p w14:paraId="5BF85C52" w14:textId="77777777" w:rsidR="00F76607" w:rsidRDefault="00F76607">
            <w:pPr>
              <w:rPr>
                <w:sz w:val="1"/>
                <w:szCs w:val="18"/>
              </w:rPr>
            </w:pPr>
          </w:p>
        </w:tc>
      </w:tr>
      <w:tr w:rsidR="00F76607" w14:paraId="634D5CDD" w14:textId="77777777">
        <w:trPr>
          <w:cantSplit/>
          <w:tblHeader/>
        </w:trPr>
        <w:tc>
          <w:tcPr>
            <w:tcW w:w="3973" w:type="dxa"/>
            <w:noWrap/>
            <w:vAlign w:val="bottom"/>
            <w:hideMark/>
          </w:tcPr>
          <w:p w14:paraId="67110661" w14:textId="77777777" w:rsidR="00F76607" w:rsidRDefault="001863F0">
            <w:pPr>
              <w:keepNext/>
              <w:rPr>
                <w:rFonts w:eastAsiaTheme="minorEastAsia"/>
                <w:sz w:val="16"/>
                <w:szCs w:val="16"/>
              </w:rPr>
            </w:pPr>
            <w:r>
              <w:rPr>
                <w:b/>
                <w:bCs/>
                <w:sz w:val="16"/>
                <w:szCs w:val="16"/>
              </w:rPr>
              <w:t>Name</w:t>
            </w:r>
          </w:p>
          <w:p w14:paraId="132EA144" w14:textId="77777777" w:rsidR="00F76607" w:rsidRDefault="001863F0">
            <w:pPr>
              <w:keepNext/>
              <w:pBdr>
                <w:top w:val="single" w:sz="8" w:space="1" w:color="auto"/>
              </w:pBdr>
              <w:spacing w:before="20" w:line="20" w:lineRule="exact"/>
              <w:jc w:val="center"/>
              <w:rPr>
                <w:rFonts w:eastAsiaTheme="minorEastAsia"/>
                <w:sz w:val="16"/>
                <w:szCs w:val="16"/>
              </w:rPr>
            </w:pPr>
            <w:r>
              <w:rPr>
                <w:sz w:val="16"/>
                <w:szCs w:val="16"/>
              </w:rPr>
              <w:t> </w:t>
            </w:r>
          </w:p>
        </w:tc>
        <w:tc>
          <w:tcPr>
            <w:tcW w:w="2828" w:type="dxa"/>
            <w:tcMar>
              <w:top w:w="0" w:type="dxa"/>
              <w:left w:w="144" w:type="dxa"/>
              <w:bottom w:w="0" w:type="dxa"/>
              <w:right w:w="0" w:type="dxa"/>
            </w:tcMar>
            <w:vAlign w:val="bottom"/>
            <w:hideMark/>
          </w:tcPr>
          <w:p w14:paraId="7EED6200" w14:textId="77777777" w:rsidR="00F76607" w:rsidRDefault="001863F0">
            <w:pPr>
              <w:jc w:val="center"/>
              <w:rPr>
                <w:rFonts w:eastAsiaTheme="minorEastAsia"/>
                <w:sz w:val="16"/>
                <w:szCs w:val="16"/>
              </w:rPr>
            </w:pPr>
            <w:r>
              <w:rPr>
                <w:b/>
                <w:bCs/>
                <w:sz w:val="16"/>
                <w:szCs w:val="16"/>
              </w:rPr>
              <w:t>Expiration of mandate</w:t>
            </w:r>
          </w:p>
          <w:p w14:paraId="73D591F5" w14:textId="77777777" w:rsidR="00F76607" w:rsidRDefault="001863F0">
            <w:pPr>
              <w:pBdr>
                <w:top w:val="single" w:sz="8" w:space="1" w:color="auto"/>
              </w:pBdr>
              <w:spacing w:line="20" w:lineRule="exact"/>
              <w:jc w:val="center"/>
              <w:rPr>
                <w:rFonts w:eastAsiaTheme="minorEastAsia"/>
                <w:sz w:val="16"/>
                <w:szCs w:val="16"/>
              </w:rPr>
            </w:pPr>
            <w:r>
              <w:rPr>
                <w:sz w:val="16"/>
                <w:szCs w:val="16"/>
              </w:rPr>
              <w:t> </w:t>
            </w:r>
          </w:p>
        </w:tc>
      </w:tr>
      <w:tr w:rsidR="00F76607" w14:paraId="7BB84EA7" w14:textId="77777777">
        <w:trPr>
          <w:cantSplit/>
        </w:trPr>
        <w:tc>
          <w:tcPr>
            <w:tcW w:w="3973" w:type="dxa"/>
            <w:hideMark/>
          </w:tcPr>
          <w:p w14:paraId="29F063AD" w14:textId="77777777" w:rsidR="00F76607" w:rsidRDefault="001863F0">
            <w:pPr>
              <w:keepNext/>
              <w:tabs>
                <w:tab w:val="right" w:leader="dot" w:pos="4660"/>
              </w:tabs>
              <w:ind w:left="240" w:hanging="240"/>
              <w:rPr>
                <w:rFonts w:eastAsiaTheme="minorEastAsia"/>
                <w:sz w:val="18"/>
                <w:szCs w:val="18"/>
              </w:rPr>
            </w:pPr>
            <w:r>
              <w:rPr>
                <w:sz w:val="18"/>
                <w:szCs w:val="18"/>
              </w:rPr>
              <w:t xml:space="preserve">Marek </w:t>
            </w:r>
            <w:proofErr w:type="spellStart"/>
            <w:r>
              <w:rPr>
                <w:sz w:val="18"/>
                <w:szCs w:val="18"/>
              </w:rPr>
              <w:t>Šebest’ák</w:t>
            </w:r>
            <w:proofErr w:type="spellEnd"/>
            <w:r>
              <w:rPr>
                <w:sz w:val="18"/>
                <w:szCs w:val="18"/>
              </w:rPr>
              <w:tab/>
            </w:r>
          </w:p>
        </w:tc>
        <w:tc>
          <w:tcPr>
            <w:tcW w:w="2828" w:type="dxa"/>
          </w:tcPr>
          <w:p w14:paraId="062CB214" w14:textId="77777777" w:rsidR="00F76607" w:rsidRDefault="001863F0">
            <w:pPr>
              <w:spacing w:after="20"/>
              <w:jc w:val="center"/>
              <w:rPr>
                <w:rFonts w:eastAsiaTheme="minorEastAsia"/>
                <w:sz w:val="18"/>
                <w:szCs w:val="18"/>
              </w:rPr>
            </w:pPr>
            <w:r>
              <w:rPr>
                <w:rFonts w:eastAsiaTheme="minorEastAsia"/>
                <w:sz w:val="18"/>
                <w:szCs w:val="18"/>
              </w:rPr>
              <w:t>2019</w:t>
            </w:r>
          </w:p>
        </w:tc>
      </w:tr>
      <w:tr w:rsidR="00F76607" w14:paraId="35D054EF" w14:textId="77777777">
        <w:trPr>
          <w:cantSplit/>
        </w:trPr>
        <w:tc>
          <w:tcPr>
            <w:tcW w:w="3973" w:type="dxa"/>
            <w:hideMark/>
          </w:tcPr>
          <w:p w14:paraId="68AE4F02" w14:textId="77777777" w:rsidR="00F76607" w:rsidRDefault="001863F0">
            <w:pPr>
              <w:tabs>
                <w:tab w:val="right" w:leader="dot" w:pos="4660"/>
              </w:tabs>
              <w:ind w:left="240" w:hanging="240"/>
              <w:rPr>
                <w:rFonts w:eastAsiaTheme="minorEastAsia"/>
                <w:sz w:val="18"/>
                <w:szCs w:val="18"/>
              </w:rPr>
            </w:pPr>
            <w:r>
              <w:rPr>
                <w:sz w:val="18"/>
                <w:szCs w:val="18"/>
              </w:rPr>
              <w:t>Bart Van Malderen</w:t>
            </w:r>
            <w:r>
              <w:rPr>
                <w:sz w:val="18"/>
                <w:szCs w:val="18"/>
                <w:vertAlign w:val="superscript"/>
              </w:rPr>
              <w:t>(1)</w:t>
            </w:r>
            <w:r>
              <w:rPr>
                <w:sz w:val="18"/>
                <w:szCs w:val="18"/>
              </w:rPr>
              <w:tab/>
            </w:r>
          </w:p>
        </w:tc>
        <w:tc>
          <w:tcPr>
            <w:tcW w:w="2828" w:type="dxa"/>
          </w:tcPr>
          <w:p w14:paraId="0219E0C3" w14:textId="77777777" w:rsidR="00F76607" w:rsidRDefault="001863F0">
            <w:pPr>
              <w:spacing w:after="20"/>
              <w:jc w:val="center"/>
              <w:rPr>
                <w:rFonts w:eastAsiaTheme="minorEastAsia"/>
                <w:sz w:val="18"/>
                <w:szCs w:val="18"/>
              </w:rPr>
            </w:pPr>
            <w:r>
              <w:rPr>
                <w:rFonts w:eastAsiaTheme="minorEastAsia"/>
                <w:sz w:val="18"/>
                <w:szCs w:val="18"/>
              </w:rPr>
              <w:t>2021</w:t>
            </w:r>
          </w:p>
        </w:tc>
      </w:tr>
      <w:tr w:rsidR="00F76607" w14:paraId="505B80CC" w14:textId="77777777">
        <w:trPr>
          <w:cantSplit/>
        </w:trPr>
        <w:tc>
          <w:tcPr>
            <w:tcW w:w="3973" w:type="dxa"/>
            <w:hideMark/>
          </w:tcPr>
          <w:p w14:paraId="1457223B" w14:textId="77777777" w:rsidR="00F76607" w:rsidRDefault="001863F0">
            <w:pPr>
              <w:tabs>
                <w:tab w:val="right" w:leader="dot" w:pos="4660"/>
              </w:tabs>
              <w:ind w:left="240" w:hanging="240"/>
              <w:rPr>
                <w:rFonts w:eastAsiaTheme="minorEastAsia"/>
                <w:sz w:val="18"/>
                <w:szCs w:val="18"/>
              </w:rPr>
            </w:pPr>
            <w:r>
              <w:rPr>
                <w:sz w:val="18"/>
                <w:szCs w:val="18"/>
              </w:rPr>
              <w:t>Jos Thys</w:t>
            </w:r>
            <w:r>
              <w:rPr>
                <w:sz w:val="18"/>
                <w:szCs w:val="18"/>
                <w:vertAlign w:val="superscript"/>
              </w:rPr>
              <w:t xml:space="preserve">(2) </w:t>
            </w:r>
            <w:r>
              <w:rPr>
                <w:sz w:val="18"/>
                <w:szCs w:val="18"/>
              </w:rPr>
              <w:t>(</w:t>
            </w:r>
            <w:r>
              <w:rPr>
                <w:i/>
                <w:sz w:val="18"/>
                <w:szCs w:val="18"/>
              </w:rPr>
              <w:t>Chairman)</w:t>
            </w:r>
            <w:r>
              <w:rPr>
                <w:sz w:val="18"/>
                <w:szCs w:val="18"/>
              </w:rPr>
              <w:tab/>
            </w:r>
          </w:p>
        </w:tc>
        <w:tc>
          <w:tcPr>
            <w:tcW w:w="2828" w:type="dxa"/>
          </w:tcPr>
          <w:p w14:paraId="6DC8EDE6" w14:textId="77777777" w:rsidR="00F76607" w:rsidRDefault="001863F0">
            <w:pPr>
              <w:spacing w:after="20"/>
              <w:jc w:val="center"/>
              <w:rPr>
                <w:rFonts w:eastAsiaTheme="minorEastAsia"/>
                <w:sz w:val="18"/>
                <w:szCs w:val="18"/>
              </w:rPr>
            </w:pPr>
            <w:r>
              <w:rPr>
                <w:rFonts w:eastAsiaTheme="minorEastAsia"/>
                <w:sz w:val="18"/>
                <w:szCs w:val="18"/>
              </w:rPr>
              <w:t>2019</w:t>
            </w:r>
          </w:p>
        </w:tc>
      </w:tr>
    </w:tbl>
    <w:p w14:paraId="6168EFD8" w14:textId="77777777" w:rsidR="00F76607" w:rsidRDefault="00F76607">
      <w:pPr>
        <w:pBdr>
          <w:bottom w:val="single" w:sz="6" w:space="1" w:color="auto"/>
        </w:pBdr>
        <w:spacing w:after="60" w:line="120" w:lineRule="exact"/>
        <w:ind w:right="7200"/>
        <w:rPr>
          <w:rFonts w:eastAsiaTheme="minorEastAsia"/>
          <w:noProof/>
          <w:sz w:val="16"/>
          <w:szCs w:val="16"/>
        </w:rPr>
      </w:pPr>
    </w:p>
    <w:p w14:paraId="11C6143A" w14:textId="77777777" w:rsidR="00F76607" w:rsidRDefault="001863F0" w:rsidP="00411069">
      <w:pPr>
        <w:pStyle w:val="VulcanIIFootnote"/>
        <w:rPr>
          <w:szCs w:val="24"/>
        </w:rPr>
      </w:pPr>
      <w:r>
        <w:t>(1)</w:t>
      </w:r>
      <w:r>
        <w:tab/>
        <w:t>As permanent representative of VM Invest NV.</w:t>
      </w:r>
    </w:p>
    <w:p w14:paraId="7702B7FA" w14:textId="77777777" w:rsidR="00F76607" w:rsidRDefault="001863F0" w:rsidP="00411069">
      <w:pPr>
        <w:pStyle w:val="VulcanIIFootnote"/>
        <w:rPr>
          <w:szCs w:val="24"/>
        </w:rPr>
      </w:pPr>
      <w:r>
        <w:t>(2)</w:t>
      </w:r>
      <w:r>
        <w:tab/>
        <w:t xml:space="preserve">As permanent representative of </w:t>
      </w:r>
      <w:proofErr w:type="spellStart"/>
      <w:r>
        <w:t>Rijo</w:t>
      </w:r>
      <w:proofErr w:type="spellEnd"/>
      <w:r>
        <w:t xml:space="preserve"> </w:t>
      </w:r>
      <w:proofErr w:type="spellStart"/>
      <w:r>
        <w:t>Advies</w:t>
      </w:r>
      <w:proofErr w:type="spellEnd"/>
      <w:r>
        <w:t xml:space="preserve"> BVBA.</w:t>
      </w:r>
    </w:p>
    <w:p w14:paraId="3E58F9E4" w14:textId="77777777" w:rsidR="00F76607" w:rsidRDefault="001863F0">
      <w:pPr>
        <w:spacing w:before="240" w:beforeAutospacing="1" w:after="100" w:afterAutospacing="1"/>
        <w:ind w:firstLine="857"/>
        <w:rPr>
          <w:sz w:val="18"/>
          <w:szCs w:val="18"/>
        </w:rPr>
      </w:pPr>
      <w:r>
        <w:rPr>
          <w:sz w:val="18"/>
          <w:szCs w:val="18"/>
        </w:rPr>
        <w:t>In accordance with paragraph 5 of annex 3 to the VGP Charter, the Audit Committee meets at least twice a year. By doing so the Company deviates from the recommendation in the provisions 5.2/28 of the Corporate Governance Code that requires the Audit Committee to convene at least four times a year. The deviation is justified considering the smaller size of the Company.</w:t>
      </w:r>
    </w:p>
    <w:p w14:paraId="76777445" w14:textId="77777777" w:rsidR="00F76607" w:rsidRDefault="001863F0">
      <w:pPr>
        <w:spacing w:before="240" w:beforeAutospacing="1" w:after="100" w:afterAutospacing="1"/>
        <w:ind w:firstLine="857"/>
        <w:rPr>
          <w:sz w:val="18"/>
          <w:szCs w:val="18"/>
        </w:rPr>
      </w:pPr>
      <w:r>
        <w:rPr>
          <w:sz w:val="18"/>
          <w:szCs w:val="18"/>
        </w:rPr>
        <w:t xml:space="preserve">Given the size of the Group no internal audit function has currently been created. </w:t>
      </w:r>
    </w:p>
    <w:p w14:paraId="5FB4701A" w14:textId="77777777" w:rsidR="00F76607" w:rsidRDefault="001863F0">
      <w:pPr>
        <w:spacing w:before="240" w:beforeAutospacing="1" w:after="100" w:afterAutospacing="1"/>
        <w:ind w:firstLine="857"/>
        <w:rPr>
          <w:sz w:val="18"/>
          <w:szCs w:val="18"/>
        </w:rPr>
      </w:pPr>
      <w:r>
        <w:rPr>
          <w:sz w:val="18"/>
          <w:szCs w:val="18"/>
        </w:rPr>
        <w:t>The Statutory Auditor has direct and unlimited access to the chairman of the Audit Committee and the chairman of the Board of Directors.</w:t>
      </w:r>
    </w:p>
    <w:p w14:paraId="283D8B29" w14:textId="77777777" w:rsidR="00F76607" w:rsidRDefault="001863F0">
      <w:pPr>
        <w:spacing w:before="240" w:beforeAutospacing="1" w:after="100" w:afterAutospacing="1"/>
        <w:ind w:firstLine="857"/>
        <w:rPr>
          <w:sz w:val="18"/>
          <w:szCs w:val="18"/>
        </w:rPr>
      </w:pPr>
      <w:r>
        <w:rPr>
          <w:sz w:val="18"/>
          <w:szCs w:val="18"/>
        </w:rPr>
        <w:t>The Chief Executive Officer and the Chief Financial Officer attend all the meetings.</w:t>
      </w:r>
    </w:p>
    <w:p w14:paraId="5C106515" w14:textId="77777777" w:rsidR="00F76607" w:rsidRDefault="001863F0">
      <w:pPr>
        <w:spacing w:before="240"/>
        <w:ind w:firstLine="857"/>
        <w:rPr>
          <w:sz w:val="18"/>
          <w:szCs w:val="18"/>
        </w:rPr>
      </w:pPr>
      <w:r>
        <w:rPr>
          <w:sz w:val="18"/>
          <w:szCs w:val="18"/>
        </w:rPr>
        <w:t>The Audit Committee can, at its discretion, request any of the Company’s executives, employees, external legal advisors, or the Statutory Auditor, the CEO or the head of internal audit of the Company (if and when appointed) to attend a meeting of the Audit Committee or request such persons to confer with the members or advisors of the Audit Committee.</w:t>
      </w:r>
    </w:p>
    <w:p w14:paraId="7C02B183" w14:textId="77777777" w:rsidR="00F76607" w:rsidRDefault="001863F0">
      <w:pPr>
        <w:keepNext/>
        <w:spacing w:before="240"/>
        <w:rPr>
          <w:i/>
          <w:iCs/>
          <w:sz w:val="18"/>
          <w:szCs w:val="18"/>
        </w:rPr>
      </w:pPr>
      <w:r>
        <w:rPr>
          <w:i/>
          <w:iCs/>
          <w:sz w:val="18"/>
          <w:szCs w:val="18"/>
        </w:rPr>
        <w:t>Remuneration Committee</w:t>
      </w:r>
    </w:p>
    <w:p w14:paraId="0E60FB75" w14:textId="77777777" w:rsidR="00F76607" w:rsidRDefault="001863F0">
      <w:pPr>
        <w:spacing w:before="240"/>
        <w:ind w:firstLine="857"/>
        <w:rPr>
          <w:sz w:val="18"/>
          <w:szCs w:val="18"/>
        </w:rPr>
      </w:pPr>
      <w:r>
        <w:rPr>
          <w:sz w:val="18"/>
          <w:szCs w:val="18"/>
        </w:rPr>
        <w:t>In accordance with paragraph 2 of annex 2 to the VGP Charter, the remuneration committee of the Company (the “Remuneration Committee”) is responsible for the following tasks with respect to the remuneration:</w:t>
      </w:r>
    </w:p>
    <w:p w14:paraId="399B7D90" w14:textId="77777777" w:rsidR="00F76607" w:rsidRDefault="001863F0">
      <w:pPr>
        <w:pStyle w:val="VulcanIIbullet"/>
      </w:pPr>
      <w:r>
        <w:t>drawing up and evaluating proposals to the Board of Directors concerning the remuneration policy to be pursued for directors, members of the management committee, other leaders (“</w:t>
      </w:r>
      <w:proofErr w:type="spellStart"/>
      <w:r>
        <w:rPr>
          <w:i/>
        </w:rPr>
        <w:t>andere</w:t>
      </w:r>
      <w:proofErr w:type="spellEnd"/>
      <w:r>
        <w:rPr>
          <w:i/>
        </w:rPr>
        <w:t xml:space="preserve"> </w:t>
      </w:r>
      <w:proofErr w:type="spellStart"/>
      <w:r>
        <w:rPr>
          <w:i/>
        </w:rPr>
        <w:t>leiders</w:t>
      </w:r>
      <w:proofErr w:type="spellEnd"/>
      <w:r>
        <w:rPr>
          <w:i/>
        </w:rPr>
        <w:t>”</w:t>
      </w:r>
      <w:r>
        <w:t xml:space="preserve"> / ”</w:t>
      </w:r>
      <w:proofErr w:type="spellStart"/>
      <w:r>
        <w:rPr>
          <w:i/>
        </w:rPr>
        <w:t>autres</w:t>
      </w:r>
      <w:proofErr w:type="spellEnd"/>
      <w:r>
        <w:rPr>
          <w:i/>
        </w:rPr>
        <w:t xml:space="preserve"> </w:t>
      </w:r>
      <w:proofErr w:type="spellStart"/>
      <w:r>
        <w:rPr>
          <w:i/>
        </w:rPr>
        <w:t>dirigeants</w:t>
      </w:r>
      <w:proofErr w:type="spellEnd"/>
      <w:r>
        <w:rPr>
          <w:i/>
        </w:rPr>
        <w:t>”</w:t>
      </w:r>
      <w:r>
        <w:t xml:space="preserve">) and the executive managers and, where appropriate, on the resulting proposals to be submitted by the Board to the general shareholders’ meeting; </w:t>
      </w:r>
    </w:p>
    <w:p w14:paraId="1D2CD0C9" w14:textId="77777777" w:rsidR="00F76607" w:rsidRDefault="001863F0">
      <w:pPr>
        <w:pStyle w:val="VulcanIIbullet"/>
      </w:pPr>
      <w:r>
        <w:t>drawing up and evaluating proposals to the Board regarding the individual remuneration of directors, members of the management committee, other leaders (“</w:t>
      </w:r>
      <w:proofErr w:type="spellStart"/>
      <w:r>
        <w:rPr>
          <w:i/>
        </w:rPr>
        <w:t>andere</w:t>
      </w:r>
      <w:proofErr w:type="spellEnd"/>
      <w:r>
        <w:rPr>
          <w:i/>
        </w:rPr>
        <w:t xml:space="preserve"> </w:t>
      </w:r>
      <w:proofErr w:type="spellStart"/>
      <w:r>
        <w:rPr>
          <w:i/>
        </w:rPr>
        <w:t>leiders</w:t>
      </w:r>
      <w:proofErr w:type="spellEnd"/>
      <w:r>
        <w:rPr>
          <w:i/>
        </w:rPr>
        <w:t>”</w:t>
      </w:r>
      <w:r>
        <w:t xml:space="preserve"> / “</w:t>
      </w:r>
      <w:proofErr w:type="spellStart"/>
      <w:r>
        <w:rPr>
          <w:i/>
        </w:rPr>
        <w:t>autres</w:t>
      </w:r>
      <w:proofErr w:type="spellEnd"/>
      <w:r>
        <w:rPr>
          <w:i/>
        </w:rPr>
        <w:t xml:space="preserve"> </w:t>
      </w:r>
      <w:proofErr w:type="spellStart"/>
      <w:r>
        <w:rPr>
          <w:i/>
        </w:rPr>
        <w:t>dirigeants</w:t>
      </w:r>
      <w:proofErr w:type="spellEnd"/>
      <w:r>
        <w:rPr>
          <w:i/>
        </w:rPr>
        <w:t>”</w:t>
      </w:r>
      <w:r>
        <w:t xml:space="preserve">) and the executive managers, including variable remuneration and long-term incentives, whether or not stock-related, in the form of stock options or other financial instruments, and regarding the arrangements on early termination, and where applicable, on the resulting proposals to be submitted by the Board to the general shareholders’ meeting; </w:t>
      </w:r>
    </w:p>
    <w:p w14:paraId="5B526FD5" w14:textId="77777777" w:rsidR="00F76607" w:rsidRDefault="001863F0">
      <w:pPr>
        <w:pStyle w:val="VulcanIIbullet"/>
      </w:pPr>
      <w:r>
        <w:t>drawing up and submitting of a remuneration report to the Board of Directors, to be included in the corporate governance statement of the annual report;</w:t>
      </w:r>
    </w:p>
    <w:p w14:paraId="04991CCB" w14:textId="77777777" w:rsidR="00F76607" w:rsidRDefault="001863F0">
      <w:pPr>
        <w:pStyle w:val="VulcanIIbullet"/>
      </w:pPr>
      <w:r>
        <w:t>explaining the remuneration report at the general shareholders’ meeting;</w:t>
      </w:r>
    </w:p>
    <w:p w14:paraId="00F24622" w14:textId="77777777" w:rsidR="00F76607" w:rsidRDefault="001863F0">
      <w:pPr>
        <w:pStyle w:val="VulcanIIbullet"/>
      </w:pPr>
      <w:r>
        <w:t>giving a motivated advice to the Board of Directors, every time when a severance payment equal to or in excess of 18 months is proposed in an agreement with an executive director, a member of the management committee, another leader (“</w:t>
      </w:r>
      <w:proofErr w:type="spellStart"/>
      <w:r>
        <w:rPr>
          <w:i/>
        </w:rPr>
        <w:t>andere</w:t>
      </w:r>
      <w:proofErr w:type="spellEnd"/>
      <w:r>
        <w:rPr>
          <w:i/>
        </w:rPr>
        <w:t xml:space="preserve"> </w:t>
      </w:r>
      <w:proofErr w:type="spellStart"/>
      <w:r>
        <w:rPr>
          <w:i/>
        </w:rPr>
        <w:t>leider</w:t>
      </w:r>
      <w:proofErr w:type="spellEnd"/>
      <w:r>
        <w:t xml:space="preserve"> “/ ”</w:t>
      </w:r>
      <w:proofErr w:type="spellStart"/>
      <w:r>
        <w:rPr>
          <w:i/>
        </w:rPr>
        <w:t>autre</w:t>
      </w:r>
      <w:proofErr w:type="spellEnd"/>
      <w:r>
        <w:rPr>
          <w:i/>
        </w:rPr>
        <w:t xml:space="preserve"> </w:t>
      </w:r>
      <w:proofErr w:type="spellStart"/>
      <w:r>
        <w:rPr>
          <w:i/>
        </w:rPr>
        <w:t>dirigeant</w:t>
      </w:r>
      <w:proofErr w:type="spellEnd"/>
      <w:r>
        <w:rPr>
          <w:i/>
        </w:rPr>
        <w:t>”</w:t>
      </w:r>
      <w:r>
        <w:t xml:space="preserve">) or an executive manager. </w:t>
      </w:r>
    </w:p>
    <w:p w14:paraId="6979242C" w14:textId="77777777" w:rsidR="00F76607" w:rsidRDefault="001863F0">
      <w:pPr>
        <w:spacing w:before="240"/>
        <w:ind w:firstLine="857"/>
        <w:rPr>
          <w:sz w:val="18"/>
          <w:szCs w:val="18"/>
        </w:rPr>
      </w:pPr>
      <w:r>
        <w:rPr>
          <w:sz w:val="18"/>
          <w:szCs w:val="18"/>
        </w:rPr>
        <w:t xml:space="preserve">The Remuneration Committee comprises at least three directors, in accordance with paragraph 3 of annex 2 to the VGP Charter. All members of the Remuneration Committee must be non-executive directors, a majority of whom are independent. </w:t>
      </w:r>
    </w:p>
    <w:p w14:paraId="676D9110" w14:textId="77777777" w:rsidR="00F76607" w:rsidRDefault="001863F0">
      <w:pPr>
        <w:spacing w:before="240"/>
        <w:ind w:firstLine="857"/>
        <w:rPr>
          <w:sz w:val="18"/>
          <w:szCs w:val="18"/>
        </w:rPr>
      </w:pPr>
      <w:r>
        <w:rPr>
          <w:sz w:val="18"/>
          <w:szCs w:val="18"/>
        </w:rPr>
        <w:t>The members of the Remuneration Committee are appointed and may be dismissed at any time by the Board of Directors. The duration of the appointment of a member of the Remuneration Committee must not exceed the duration of his/her directorship.</w:t>
      </w:r>
    </w:p>
    <w:p w14:paraId="7162F963" w14:textId="77777777" w:rsidR="00F76607" w:rsidRDefault="001863F0">
      <w:pPr>
        <w:spacing w:before="240"/>
        <w:ind w:firstLine="857"/>
        <w:rPr>
          <w:sz w:val="18"/>
          <w:szCs w:val="18"/>
        </w:rPr>
      </w:pPr>
      <w:r>
        <w:rPr>
          <w:sz w:val="18"/>
          <w:szCs w:val="18"/>
        </w:rPr>
        <w:t xml:space="preserve">The CEO and CFO participate in the meetings when the remuneration plan proposed by the CEO for members of the management team is discussed, but not when their own remunerations are being decided. </w:t>
      </w:r>
    </w:p>
    <w:p w14:paraId="7D063E5A" w14:textId="77777777" w:rsidR="00F76607" w:rsidRDefault="001863F0">
      <w:pPr>
        <w:spacing w:before="240"/>
        <w:ind w:firstLine="857"/>
        <w:rPr>
          <w:sz w:val="18"/>
          <w:szCs w:val="18"/>
        </w:rPr>
      </w:pPr>
      <w:r>
        <w:rPr>
          <w:sz w:val="18"/>
          <w:szCs w:val="18"/>
        </w:rPr>
        <w:t>In fulfilling its responsibilities, the Remuneration Committee has access to all resources that it deems appropriate, including external advice or benchmarking as appropriate.</w:t>
      </w:r>
    </w:p>
    <w:p w14:paraId="7392F868" w14:textId="77777777" w:rsidR="00F76607" w:rsidRDefault="001863F0">
      <w:pPr>
        <w:spacing w:before="240"/>
        <w:ind w:firstLine="857"/>
        <w:rPr>
          <w:sz w:val="18"/>
          <w:szCs w:val="18"/>
        </w:rPr>
      </w:pPr>
      <w:r>
        <w:rPr>
          <w:sz w:val="18"/>
          <w:szCs w:val="18"/>
        </w:rPr>
        <w:t>The Remuneration Committee is currently composed as follows:</w:t>
      </w:r>
    </w:p>
    <w:tbl>
      <w:tblPr>
        <w:tblW w:w="3489" w:type="pct"/>
        <w:tblInd w:w="720" w:type="dxa"/>
        <w:tblCellMar>
          <w:left w:w="0" w:type="dxa"/>
          <w:right w:w="0" w:type="dxa"/>
        </w:tblCellMar>
        <w:tblLook w:val="04A0" w:firstRow="1" w:lastRow="0" w:firstColumn="1" w:lastColumn="0" w:noHBand="0" w:noVBand="1"/>
      </w:tblPr>
      <w:tblGrid>
        <w:gridCol w:w="4125"/>
        <w:gridCol w:w="2681"/>
      </w:tblGrid>
      <w:tr w:rsidR="00F76607" w14:paraId="3E6F6778" w14:textId="77777777">
        <w:trPr>
          <w:tblHeader/>
        </w:trPr>
        <w:tc>
          <w:tcPr>
            <w:tcW w:w="4021" w:type="dxa"/>
            <w:vAlign w:val="center"/>
            <w:hideMark/>
          </w:tcPr>
          <w:p w14:paraId="68509568" w14:textId="77777777" w:rsidR="00F76607" w:rsidRDefault="00F76607">
            <w:pPr>
              <w:rPr>
                <w:sz w:val="1"/>
                <w:szCs w:val="18"/>
              </w:rPr>
            </w:pPr>
          </w:p>
        </w:tc>
        <w:tc>
          <w:tcPr>
            <w:tcW w:w="2780" w:type="dxa"/>
            <w:vAlign w:val="center"/>
            <w:hideMark/>
          </w:tcPr>
          <w:p w14:paraId="768098B6" w14:textId="77777777" w:rsidR="00F76607" w:rsidRDefault="00F76607">
            <w:pPr>
              <w:rPr>
                <w:sz w:val="1"/>
                <w:szCs w:val="18"/>
              </w:rPr>
            </w:pPr>
          </w:p>
        </w:tc>
      </w:tr>
      <w:tr w:rsidR="00F76607" w14:paraId="04801732" w14:textId="77777777">
        <w:trPr>
          <w:cantSplit/>
          <w:tblHeader/>
        </w:trPr>
        <w:tc>
          <w:tcPr>
            <w:tcW w:w="4021" w:type="dxa"/>
            <w:noWrap/>
            <w:vAlign w:val="bottom"/>
            <w:hideMark/>
          </w:tcPr>
          <w:p w14:paraId="52E1290E" w14:textId="77777777" w:rsidR="00F76607" w:rsidRDefault="001863F0">
            <w:pPr>
              <w:keepNext/>
              <w:rPr>
                <w:rFonts w:eastAsiaTheme="minorEastAsia"/>
                <w:sz w:val="16"/>
                <w:szCs w:val="16"/>
              </w:rPr>
            </w:pPr>
            <w:r>
              <w:rPr>
                <w:b/>
                <w:bCs/>
                <w:sz w:val="16"/>
                <w:szCs w:val="16"/>
              </w:rPr>
              <w:t>Name</w:t>
            </w:r>
          </w:p>
          <w:p w14:paraId="22F0DC59" w14:textId="77777777" w:rsidR="00F76607" w:rsidRDefault="001863F0">
            <w:pPr>
              <w:keepNext/>
              <w:pBdr>
                <w:top w:val="single" w:sz="8" w:space="1" w:color="auto"/>
              </w:pBdr>
              <w:spacing w:before="20" w:line="20" w:lineRule="exact"/>
              <w:jc w:val="center"/>
              <w:rPr>
                <w:rFonts w:eastAsiaTheme="minorEastAsia"/>
                <w:sz w:val="16"/>
                <w:szCs w:val="16"/>
              </w:rPr>
            </w:pPr>
            <w:r>
              <w:rPr>
                <w:sz w:val="16"/>
                <w:szCs w:val="16"/>
              </w:rPr>
              <w:t> </w:t>
            </w:r>
          </w:p>
        </w:tc>
        <w:tc>
          <w:tcPr>
            <w:tcW w:w="2780" w:type="dxa"/>
            <w:tcMar>
              <w:top w:w="0" w:type="dxa"/>
              <w:left w:w="144" w:type="dxa"/>
              <w:bottom w:w="0" w:type="dxa"/>
              <w:right w:w="0" w:type="dxa"/>
            </w:tcMar>
            <w:vAlign w:val="bottom"/>
            <w:hideMark/>
          </w:tcPr>
          <w:p w14:paraId="0D420925" w14:textId="77777777" w:rsidR="00F76607" w:rsidRDefault="001863F0">
            <w:pPr>
              <w:jc w:val="center"/>
              <w:rPr>
                <w:rFonts w:eastAsiaTheme="minorEastAsia"/>
                <w:sz w:val="16"/>
                <w:szCs w:val="16"/>
              </w:rPr>
            </w:pPr>
            <w:r>
              <w:rPr>
                <w:b/>
                <w:bCs/>
                <w:sz w:val="16"/>
                <w:szCs w:val="16"/>
              </w:rPr>
              <w:t>Expiration of mandate</w:t>
            </w:r>
          </w:p>
          <w:p w14:paraId="39657681" w14:textId="77777777" w:rsidR="00F76607" w:rsidRDefault="001863F0">
            <w:pPr>
              <w:pBdr>
                <w:top w:val="single" w:sz="8" w:space="1" w:color="auto"/>
              </w:pBdr>
              <w:spacing w:line="20" w:lineRule="exact"/>
              <w:jc w:val="center"/>
              <w:rPr>
                <w:rFonts w:eastAsiaTheme="minorEastAsia"/>
                <w:sz w:val="16"/>
                <w:szCs w:val="16"/>
              </w:rPr>
            </w:pPr>
            <w:r>
              <w:rPr>
                <w:sz w:val="16"/>
                <w:szCs w:val="16"/>
              </w:rPr>
              <w:t> </w:t>
            </w:r>
          </w:p>
        </w:tc>
      </w:tr>
      <w:tr w:rsidR="00F76607" w14:paraId="2CB1F781" w14:textId="77777777">
        <w:trPr>
          <w:cantSplit/>
        </w:trPr>
        <w:tc>
          <w:tcPr>
            <w:tcW w:w="4021" w:type="dxa"/>
            <w:hideMark/>
          </w:tcPr>
          <w:p w14:paraId="410694F5" w14:textId="77777777" w:rsidR="00F76607" w:rsidRDefault="001863F0">
            <w:pPr>
              <w:tabs>
                <w:tab w:val="right" w:leader="dot" w:pos="4660"/>
              </w:tabs>
              <w:ind w:left="240" w:hanging="240"/>
              <w:rPr>
                <w:rFonts w:eastAsiaTheme="minorEastAsia"/>
                <w:sz w:val="18"/>
                <w:szCs w:val="18"/>
              </w:rPr>
            </w:pPr>
            <w:r>
              <w:rPr>
                <w:sz w:val="18"/>
                <w:szCs w:val="18"/>
              </w:rPr>
              <w:t>Bart Van Malderen (</w:t>
            </w:r>
            <w:r>
              <w:rPr>
                <w:i/>
                <w:sz w:val="18"/>
                <w:szCs w:val="18"/>
              </w:rPr>
              <w:t>Chairman</w:t>
            </w:r>
            <w:r>
              <w:rPr>
                <w:sz w:val="18"/>
                <w:szCs w:val="18"/>
              </w:rPr>
              <w:t xml:space="preserve">) </w:t>
            </w:r>
            <w:r>
              <w:rPr>
                <w:sz w:val="18"/>
                <w:szCs w:val="18"/>
                <w:vertAlign w:val="superscript"/>
              </w:rPr>
              <w:t>(1)</w:t>
            </w:r>
            <w:r>
              <w:rPr>
                <w:sz w:val="18"/>
                <w:szCs w:val="18"/>
              </w:rPr>
              <w:tab/>
            </w:r>
          </w:p>
        </w:tc>
        <w:tc>
          <w:tcPr>
            <w:tcW w:w="2780" w:type="dxa"/>
          </w:tcPr>
          <w:p w14:paraId="348D52E5" w14:textId="77777777" w:rsidR="00F76607" w:rsidRDefault="001863F0">
            <w:pPr>
              <w:spacing w:after="20"/>
              <w:jc w:val="center"/>
              <w:rPr>
                <w:rFonts w:eastAsiaTheme="minorEastAsia"/>
                <w:sz w:val="18"/>
                <w:szCs w:val="18"/>
              </w:rPr>
            </w:pPr>
            <w:r>
              <w:rPr>
                <w:rFonts w:eastAsiaTheme="minorEastAsia"/>
                <w:sz w:val="18"/>
                <w:szCs w:val="18"/>
              </w:rPr>
              <w:t>2021</w:t>
            </w:r>
          </w:p>
        </w:tc>
      </w:tr>
      <w:tr w:rsidR="00F76607" w14:paraId="7F839B72" w14:textId="77777777">
        <w:trPr>
          <w:cantSplit/>
        </w:trPr>
        <w:tc>
          <w:tcPr>
            <w:tcW w:w="4021" w:type="dxa"/>
            <w:hideMark/>
          </w:tcPr>
          <w:p w14:paraId="4270E14F" w14:textId="77777777" w:rsidR="00F76607" w:rsidRDefault="001863F0">
            <w:pPr>
              <w:tabs>
                <w:tab w:val="right" w:leader="dot" w:pos="4660"/>
              </w:tabs>
              <w:ind w:left="240" w:hanging="240"/>
              <w:rPr>
                <w:rFonts w:eastAsiaTheme="minorEastAsia"/>
                <w:sz w:val="18"/>
                <w:szCs w:val="18"/>
              </w:rPr>
            </w:pPr>
            <w:r>
              <w:rPr>
                <w:sz w:val="18"/>
                <w:szCs w:val="18"/>
              </w:rPr>
              <w:t>Alexander Saverys</w:t>
            </w:r>
            <w:r>
              <w:rPr>
                <w:sz w:val="18"/>
                <w:szCs w:val="18"/>
              </w:rPr>
              <w:tab/>
            </w:r>
          </w:p>
        </w:tc>
        <w:tc>
          <w:tcPr>
            <w:tcW w:w="2780" w:type="dxa"/>
          </w:tcPr>
          <w:p w14:paraId="7F807E8B" w14:textId="77777777" w:rsidR="00F76607" w:rsidRDefault="001863F0">
            <w:pPr>
              <w:spacing w:after="20"/>
              <w:jc w:val="center"/>
              <w:rPr>
                <w:rFonts w:eastAsiaTheme="minorEastAsia"/>
                <w:sz w:val="18"/>
                <w:szCs w:val="18"/>
              </w:rPr>
            </w:pPr>
            <w:r>
              <w:rPr>
                <w:rFonts w:eastAsiaTheme="minorEastAsia"/>
                <w:sz w:val="18"/>
                <w:szCs w:val="18"/>
              </w:rPr>
              <w:t>2019</w:t>
            </w:r>
          </w:p>
        </w:tc>
      </w:tr>
      <w:tr w:rsidR="00F76607" w14:paraId="196884F6" w14:textId="77777777">
        <w:trPr>
          <w:cantSplit/>
        </w:trPr>
        <w:tc>
          <w:tcPr>
            <w:tcW w:w="4021" w:type="dxa"/>
            <w:hideMark/>
          </w:tcPr>
          <w:p w14:paraId="76EF557A" w14:textId="77777777" w:rsidR="00F76607" w:rsidRDefault="001863F0">
            <w:pPr>
              <w:tabs>
                <w:tab w:val="right" w:leader="dot" w:pos="4660"/>
              </w:tabs>
              <w:ind w:left="240" w:hanging="240"/>
              <w:rPr>
                <w:rFonts w:eastAsiaTheme="minorEastAsia"/>
                <w:sz w:val="18"/>
                <w:szCs w:val="18"/>
              </w:rPr>
            </w:pPr>
            <w:r>
              <w:rPr>
                <w:sz w:val="18"/>
                <w:szCs w:val="18"/>
              </w:rPr>
              <w:t>Jos Thys</w:t>
            </w:r>
            <w:r>
              <w:rPr>
                <w:sz w:val="18"/>
                <w:szCs w:val="18"/>
                <w:vertAlign w:val="superscript"/>
              </w:rPr>
              <w:t>(2)</w:t>
            </w:r>
            <w:r>
              <w:rPr>
                <w:sz w:val="18"/>
                <w:szCs w:val="18"/>
              </w:rPr>
              <w:tab/>
            </w:r>
          </w:p>
        </w:tc>
        <w:tc>
          <w:tcPr>
            <w:tcW w:w="2780" w:type="dxa"/>
          </w:tcPr>
          <w:p w14:paraId="56AF2D45" w14:textId="77777777" w:rsidR="00F76607" w:rsidRDefault="001863F0">
            <w:pPr>
              <w:spacing w:after="20"/>
              <w:jc w:val="center"/>
              <w:rPr>
                <w:rFonts w:eastAsiaTheme="minorEastAsia"/>
                <w:sz w:val="18"/>
                <w:szCs w:val="18"/>
              </w:rPr>
            </w:pPr>
            <w:r>
              <w:rPr>
                <w:rFonts w:eastAsiaTheme="minorEastAsia"/>
                <w:sz w:val="18"/>
                <w:szCs w:val="18"/>
              </w:rPr>
              <w:t>2019</w:t>
            </w:r>
          </w:p>
        </w:tc>
      </w:tr>
    </w:tbl>
    <w:p w14:paraId="59C1A37D" w14:textId="77777777" w:rsidR="00F76607" w:rsidRDefault="00F76607">
      <w:pPr>
        <w:pBdr>
          <w:bottom w:val="single" w:sz="6" w:space="1" w:color="auto"/>
        </w:pBdr>
        <w:spacing w:after="60" w:line="120" w:lineRule="exact"/>
        <w:ind w:left="720" w:right="7200"/>
        <w:rPr>
          <w:rFonts w:eastAsiaTheme="minorEastAsia"/>
          <w:noProof/>
          <w:sz w:val="16"/>
          <w:szCs w:val="16"/>
        </w:rPr>
      </w:pPr>
    </w:p>
    <w:p w14:paraId="74A9CF3E" w14:textId="77777777" w:rsidR="00F76607" w:rsidRDefault="001863F0">
      <w:pPr>
        <w:ind w:left="1089" w:hanging="369"/>
        <w:contextualSpacing/>
        <w:rPr>
          <w:szCs w:val="24"/>
        </w:rPr>
      </w:pPr>
      <w:r>
        <w:rPr>
          <w:sz w:val="16"/>
          <w:szCs w:val="16"/>
        </w:rPr>
        <w:t>(1)</w:t>
      </w:r>
      <w:r>
        <w:rPr>
          <w:sz w:val="16"/>
          <w:szCs w:val="16"/>
        </w:rPr>
        <w:tab/>
        <w:t>As permanent representative of VM Invest NV.</w:t>
      </w:r>
    </w:p>
    <w:p w14:paraId="31807FC0" w14:textId="77777777" w:rsidR="00F76607" w:rsidRDefault="001863F0">
      <w:pPr>
        <w:spacing w:before="120"/>
        <w:ind w:left="1089" w:hanging="369"/>
        <w:contextualSpacing/>
        <w:rPr>
          <w:szCs w:val="24"/>
        </w:rPr>
      </w:pPr>
      <w:r>
        <w:rPr>
          <w:sz w:val="16"/>
          <w:szCs w:val="16"/>
        </w:rPr>
        <w:t>(2)</w:t>
      </w:r>
      <w:r>
        <w:rPr>
          <w:sz w:val="16"/>
          <w:szCs w:val="16"/>
        </w:rPr>
        <w:tab/>
        <w:t xml:space="preserve">As permanent representative of </w:t>
      </w:r>
      <w:proofErr w:type="spellStart"/>
      <w:r>
        <w:rPr>
          <w:sz w:val="16"/>
          <w:szCs w:val="16"/>
        </w:rPr>
        <w:t>Rijo</w:t>
      </w:r>
      <w:proofErr w:type="spellEnd"/>
      <w:r>
        <w:rPr>
          <w:sz w:val="16"/>
          <w:szCs w:val="16"/>
        </w:rPr>
        <w:t xml:space="preserve"> </w:t>
      </w:r>
      <w:proofErr w:type="spellStart"/>
      <w:r>
        <w:rPr>
          <w:sz w:val="16"/>
          <w:szCs w:val="16"/>
        </w:rPr>
        <w:t>Advies</w:t>
      </w:r>
      <w:proofErr w:type="spellEnd"/>
      <w:r>
        <w:rPr>
          <w:sz w:val="16"/>
          <w:szCs w:val="16"/>
        </w:rPr>
        <w:t xml:space="preserve"> BVBA.</w:t>
      </w:r>
    </w:p>
    <w:p w14:paraId="29B1B6E7" w14:textId="77777777" w:rsidR="00F76607" w:rsidRDefault="001863F0">
      <w:pPr>
        <w:keepNext/>
        <w:spacing w:before="240"/>
        <w:rPr>
          <w:i/>
          <w:sz w:val="18"/>
          <w:szCs w:val="18"/>
        </w:rPr>
      </w:pPr>
      <w:r>
        <w:rPr>
          <w:i/>
          <w:sz w:val="18"/>
          <w:szCs w:val="18"/>
        </w:rPr>
        <w:lastRenderedPageBreak/>
        <w:t>Nomination Committee</w:t>
      </w:r>
    </w:p>
    <w:p w14:paraId="21C280B4" w14:textId="77777777" w:rsidR="00F76607" w:rsidRDefault="001863F0">
      <w:pPr>
        <w:spacing w:before="240"/>
        <w:ind w:firstLine="857"/>
        <w:rPr>
          <w:bCs/>
          <w:iCs/>
          <w:sz w:val="18"/>
          <w:szCs w:val="18"/>
        </w:rPr>
      </w:pPr>
      <w:r>
        <w:rPr>
          <w:bCs/>
          <w:iCs/>
          <w:sz w:val="18"/>
          <w:szCs w:val="18"/>
        </w:rPr>
        <w:t>The Company has not set up a nomination committee. By doing so the Company deviates from the recommendation in provision 5.3 of the Corporate Governance Code. The deviation is justified considering the smaller size of the Company.</w:t>
      </w:r>
    </w:p>
    <w:p w14:paraId="3DD0497D" w14:textId="77777777" w:rsidR="00F76607" w:rsidRDefault="001863F0">
      <w:pPr>
        <w:keepNext/>
        <w:spacing w:before="240"/>
        <w:rPr>
          <w:b/>
          <w:bCs/>
          <w:i/>
          <w:iCs/>
          <w:sz w:val="18"/>
          <w:szCs w:val="18"/>
        </w:rPr>
      </w:pPr>
      <w:r>
        <w:rPr>
          <w:b/>
          <w:bCs/>
          <w:i/>
          <w:iCs/>
          <w:sz w:val="18"/>
          <w:szCs w:val="18"/>
        </w:rPr>
        <w:t>Executive Management</w:t>
      </w:r>
    </w:p>
    <w:p w14:paraId="7AA020EA" w14:textId="77777777" w:rsidR="00F76607" w:rsidRDefault="001863F0">
      <w:pPr>
        <w:keepNext/>
        <w:spacing w:before="240"/>
        <w:rPr>
          <w:bCs/>
          <w:i/>
          <w:iCs/>
          <w:sz w:val="18"/>
          <w:szCs w:val="18"/>
        </w:rPr>
      </w:pPr>
      <w:r>
        <w:rPr>
          <w:bCs/>
          <w:i/>
          <w:iCs/>
          <w:sz w:val="18"/>
          <w:szCs w:val="18"/>
        </w:rPr>
        <w:t>Management Committee</w:t>
      </w:r>
    </w:p>
    <w:p w14:paraId="6C1BAF69" w14:textId="77777777" w:rsidR="00F76607" w:rsidRDefault="001863F0">
      <w:pPr>
        <w:spacing w:before="240"/>
        <w:ind w:firstLine="857"/>
        <w:rPr>
          <w:bCs/>
          <w:iCs/>
          <w:sz w:val="18"/>
          <w:szCs w:val="18"/>
        </w:rPr>
      </w:pPr>
      <w:r>
        <w:rPr>
          <w:bCs/>
          <w:iCs/>
          <w:sz w:val="18"/>
          <w:szCs w:val="18"/>
        </w:rPr>
        <w:t xml:space="preserve">Since no management committee in the meaning of article 524bis et </w:t>
      </w:r>
      <w:proofErr w:type="spellStart"/>
      <w:r>
        <w:rPr>
          <w:bCs/>
          <w:iCs/>
          <w:sz w:val="18"/>
          <w:szCs w:val="18"/>
        </w:rPr>
        <w:t>seq</w:t>
      </w:r>
      <w:proofErr w:type="spellEnd"/>
      <w:r>
        <w:rPr>
          <w:bCs/>
          <w:iCs/>
          <w:sz w:val="18"/>
          <w:szCs w:val="18"/>
        </w:rPr>
        <w:t xml:space="preserve"> of the Belgian Company Code has been established, the Company has not included specific terms of reference of the executive management. The tasks, responsibilities and powers of the CEO and the executive management are set out in the terms of reference of the Board of Directors, as set forth in paragraph 19 of annex 1 to the VGP Charter. By doing so, the Company as a smaller listed company deviates from the recommendation in provision 6.1 of the Corporate Governance Code.</w:t>
      </w:r>
    </w:p>
    <w:p w14:paraId="7D253977" w14:textId="77777777" w:rsidR="00F76607" w:rsidRDefault="001863F0">
      <w:pPr>
        <w:keepNext/>
        <w:spacing w:before="240"/>
        <w:rPr>
          <w:bCs/>
          <w:i/>
          <w:iCs/>
          <w:sz w:val="18"/>
          <w:szCs w:val="18"/>
        </w:rPr>
      </w:pPr>
      <w:r>
        <w:rPr>
          <w:bCs/>
          <w:i/>
          <w:iCs/>
          <w:sz w:val="18"/>
          <w:szCs w:val="18"/>
        </w:rPr>
        <w:t xml:space="preserve">Executive Management </w:t>
      </w:r>
    </w:p>
    <w:p w14:paraId="181A80D8" w14:textId="77777777" w:rsidR="00F76607" w:rsidRDefault="001863F0">
      <w:pPr>
        <w:spacing w:before="240" w:beforeAutospacing="1" w:after="100" w:afterAutospacing="1"/>
        <w:ind w:firstLine="857"/>
        <w:rPr>
          <w:bCs/>
          <w:iCs/>
          <w:sz w:val="18"/>
          <w:szCs w:val="18"/>
          <w:lang w:val="en-GB"/>
        </w:rPr>
      </w:pPr>
      <w:r>
        <w:rPr>
          <w:bCs/>
          <w:iCs/>
          <w:sz w:val="18"/>
          <w:szCs w:val="18"/>
          <w:lang w:val="en-GB"/>
        </w:rPr>
        <w:t>The executive management is composed of the following members:</w:t>
      </w:r>
    </w:p>
    <w:tbl>
      <w:tblPr>
        <w:tblW w:w="4650" w:type="pct"/>
        <w:jc w:val="center"/>
        <w:tblCellMar>
          <w:left w:w="0" w:type="dxa"/>
          <w:right w:w="0" w:type="dxa"/>
        </w:tblCellMar>
        <w:tblLook w:val="04A0" w:firstRow="1" w:lastRow="0" w:firstColumn="1" w:lastColumn="0" w:noHBand="0" w:noVBand="1"/>
      </w:tblPr>
      <w:tblGrid>
        <w:gridCol w:w="3671"/>
        <w:gridCol w:w="5399"/>
      </w:tblGrid>
      <w:tr w:rsidR="00F76607" w14:paraId="2073F7B5" w14:textId="77777777">
        <w:trPr>
          <w:tblHeader/>
          <w:jc w:val="center"/>
        </w:trPr>
        <w:tc>
          <w:tcPr>
            <w:tcW w:w="3655" w:type="dxa"/>
            <w:vAlign w:val="center"/>
            <w:hideMark/>
          </w:tcPr>
          <w:p w14:paraId="4BCDA6A0" w14:textId="77777777" w:rsidR="00F76607" w:rsidRDefault="00F76607">
            <w:pPr>
              <w:rPr>
                <w:sz w:val="1"/>
                <w:szCs w:val="18"/>
              </w:rPr>
            </w:pPr>
          </w:p>
        </w:tc>
        <w:tc>
          <w:tcPr>
            <w:tcW w:w="5410" w:type="dxa"/>
            <w:vAlign w:val="center"/>
            <w:hideMark/>
          </w:tcPr>
          <w:p w14:paraId="2B7E1EE5" w14:textId="77777777" w:rsidR="00F76607" w:rsidRDefault="00F76607">
            <w:pPr>
              <w:rPr>
                <w:sz w:val="1"/>
                <w:szCs w:val="18"/>
              </w:rPr>
            </w:pPr>
          </w:p>
        </w:tc>
      </w:tr>
      <w:tr w:rsidR="00F76607" w14:paraId="29BD4309" w14:textId="77777777">
        <w:trPr>
          <w:cantSplit/>
          <w:tblHeader/>
          <w:jc w:val="center"/>
        </w:trPr>
        <w:tc>
          <w:tcPr>
            <w:tcW w:w="3655" w:type="dxa"/>
            <w:noWrap/>
            <w:vAlign w:val="bottom"/>
            <w:hideMark/>
          </w:tcPr>
          <w:p w14:paraId="1BF29D4B" w14:textId="77777777" w:rsidR="00F76607" w:rsidRDefault="001863F0">
            <w:pPr>
              <w:keepNext/>
              <w:rPr>
                <w:rFonts w:eastAsiaTheme="minorEastAsia"/>
                <w:sz w:val="16"/>
                <w:szCs w:val="16"/>
              </w:rPr>
            </w:pPr>
            <w:r>
              <w:rPr>
                <w:b/>
                <w:bCs/>
                <w:sz w:val="16"/>
                <w:szCs w:val="16"/>
              </w:rPr>
              <w:t>Name</w:t>
            </w:r>
          </w:p>
          <w:p w14:paraId="4589051C" w14:textId="77777777" w:rsidR="00F76607" w:rsidRDefault="001863F0">
            <w:pPr>
              <w:keepNext/>
              <w:pBdr>
                <w:top w:val="single" w:sz="8" w:space="1" w:color="auto"/>
              </w:pBdr>
              <w:spacing w:before="20" w:line="20" w:lineRule="exact"/>
              <w:jc w:val="center"/>
              <w:rPr>
                <w:rFonts w:eastAsiaTheme="minorEastAsia"/>
                <w:sz w:val="16"/>
                <w:szCs w:val="16"/>
              </w:rPr>
            </w:pPr>
            <w:r>
              <w:rPr>
                <w:sz w:val="16"/>
                <w:szCs w:val="16"/>
              </w:rPr>
              <w:t> </w:t>
            </w:r>
          </w:p>
        </w:tc>
        <w:tc>
          <w:tcPr>
            <w:tcW w:w="5410" w:type="dxa"/>
            <w:tcMar>
              <w:top w:w="0" w:type="dxa"/>
              <w:left w:w="144" w:type="dxa"/>
              <w:bottom w:w="0" w:type="dxa"/>
              <w:right w:w="0" w:type="dxa"/>
            </w:tcMar>
            <w:vAlign w:val="bottom"/>
            <w:hideMark/>
          </w:tcPr>
          <w:p w14:paraId="3495EC39" w14:textId="77777777" w:rsidR="00F76607" w:rsidRDefault="001863F0">
            <w:pPr>
              <w:jc w:val="center"/>
              <w:rPr>
                <w:rFonts w:eastAsiaTheme="minorEastAsia"/>
                <w:sz w:val="16"/>
                <w:szCs w:val="16"/>
              </w:rPr>
            </w:pPr>
            <w:r>
              <w:rPr>
                <w:b/>
                <w:bCs/>
                <w:sz w:val="16"/>
                <w:szCs w:val="16"/>
              </w:rPr>
              <w:t>Position</w:t>
            </w:r>
          </w:p>
          <w:p w14:paraId="76941381" w14:textId="77777777" w:rsidR="00F76607" w:rsidRDefault="001863F0">
            <w:pPr>
              <w:pBdr>
                <w:top w:val="single" w:sz="8" w:space="1" w:color="auto"/>
              </w:pBdr>
              <w:spacing w:line="20" w:lineRule="exact"/>
              <w:jc w:val="center"/>
              <w:rPr>
                <w:rFonts w:eastAsiaTheme="minorEastAsia"/>
                <w:sz w:val="16"/>
                <w:szCs w:val="16"/>
              </w:rPr>
            </w:pPr>
            <w:r>
              <w:rPr>
                <w:sz w:val="16"/>
                <w:szCs w:val="16"/>
              </w:rPr>
              <w:t> </w:t>
            </w:r>
          </w:p>
        </w:tc>
      </w:tr>
      <w:tr w:rsidR="00F76607" w14:paraId="7E88D2C9" w14:textId="77777777">
        <w:trPr>
          <w:cantSplit/>
          <w:jc w:val="center"/>
        </w:trPr>
        <w:tc>
          <w:tcPr>
            <w:tcW w:w="3655" w:type="dxa"/>
            <w:hideMark/>
          </w:tcPr>
          <w:p w14:paraId="5CC17DD2" w14:textId="77777777" w:rsidR="00F76607" w:rsidRDefault="001863F0">
            <w:pPr>
              <w:keepNext/>
              <w:tabs>
                <w:tab w:val="right" w:leader="dot" w:pos="3460"/>
              </w:tabs>
              <w:ind w:left="240" w:hanging="240"/>
              <w:rPr>
                <w:rFonts w:eastAsiaTheme="minorEastAsia"/>
                <w:sz w:val="18"/>
                <w:szCs w:val="18"/>
              </w:rPr>
            </w:pPr>
            <w:r>
              <w:rPr>
                <w:sz w:val="18"/>
                <w:szCs w:val="18"/>
              </w:rPr>
              <w:t>Jan Van Geet</w:t>
            </w:r>
            <w:r>
              <w:rPr>
                <w:sz w:val="15"/>
                <w:szCs w:val="15"/>
                <w:vertAlign w:val="superscript"/>
              </w:rPr>
              <w:t>(1)</w:t>
            </w:r>
            <w:r>
              <w:rPr>
                <w:sz w:val="18"/>
                <w:szCs w:val="18"/>
              </w:rPr>
              <w:tab/>
            </w:r>
          </w:p>
        </w:tc>
        <w:tc>
          <w:tcPr>
            <w:tcW w:w="5410" w:type="dxa"/>
            <w:vAlign w:val="bottom"/>
            <w:hideMark/>
          </w:tcPr>
          <w:p w14:paraId="0604BB0F" w14:textId="77777777" w:rsidR="00F76607" w:rsidRDefault="001863F0">
            <w:pPr>
              <w:rPr>
                <w:sz w:val="18"/>
                <w:szCs w:val="18"/>
              </w:rPr>
            </w:pPr>
            <w:r>
              <w:rPr>
                <w:sz w:val="18"/>
                <w:szCs w:val="18"/>
              </w:rPr>
              <w:t>Chief Executive Officer</w:t>
            </w:r>
          </w:p>
        </w:tc>
      </w:tr>
      <w:tr w:rsidR="00F76607" w14:paraId="777A8444" w14:textId="77777777">
        <w:trPr>
          <w:cantSplit/>
          <w:jc w:val="center"/>
        </w:trPr>
        <w:tc>
          <w:tcPr>
            <w:tcW w:w="3655" w:type="dxa"/>
            <w:hideMark/>
          </w:tcPr>
          <w:p w14:paraId="620B6CE4" w14:textId="77777777" w:rsidR="00F76607" w:rsidRDefault="001863F0">
            <w:pPr>
              <w:keepNext/>
              <w:tabs>
                <w:tab w:val="right" w:leader="dot" w:pos="3460"/>
              </w:tabs>
              <w:ind w:left="240" w:hanging="240"/>
              <w:rPr>
                <w:rFonts w:eastAsiaTheme="minorEastAsia"/>
                <w:sz w:val="18"/>
                <w:szCs w:val="18"/>
              </w:rPr>
            </w:pPr>
            <w:r>
              <w:rPr>
                <w:sz w:val="18"/>
                <w:szCs w:val="18"/>
              </w:rPr>
              <w:t xml:space="preserve">Jan </w:t>
            </w:r>
            <w:proofErr w:type="spellStart"/>
            <w:r>
              <w:rPr>
                <w:sz w:val="18"/>
                <w:szCs w:val="18"/>
              </w:rPr>
              <w:t>Procházka</w:t>
            </w:r>
            <w:proofErr w:type="spellEnd"/>
            <w:r>
              <w:rPr>
                <w:sz w:val="18"/>
                <w:szCs w:val="18"/>
              </w:rPr>
              <w:tab/>
            </w:r>
          </w:p>
        </w:tc>
        <w:tc>
          <w:tcPr>
            <w:tcW w:w="5410" w:type="dxa"/>
            <w:vAlign w:val="bottom"/>
            <w:hideMark/>
          </w:tcPr>
          <w:p w14:paraId="6B5D5B0A" w14:textId="77777777" w:rsidR="00F76607" w:rsidRDefault="001863F0">
            <w:pPr>
              <w:rPr>
                <w:sz w:val="18"/>
                <w:szCs w:val="18"/>
              </w:rPr>
            </w:pPr>
            <w:r>
              <w:rPr>
                <w:sz w:val="18"/>
                <w:szCs w:val="18"/>
              </w:rPr>
              <w:t>Chief Operating Officer</w:t>
            </w:r>
          </w:p>
        </w:tc>
      </w:tr>
      <w:tr w:rsidR="00F76607" w14:paraId="3912BCD8" w14:textId="77777777">
        <w:trPr>
          <w:cantSplit/>
          <w:jc w:val="center"/>
        </w:trPr>
        <w:tc>
          <w:tcPr>
            <w:tcW w:w="3655" w:type="dxa"/>
            <w:hideMark/>
          </w:tcPr>
          <w:p w14:paraId="32312BCD" w14:textId="77777777" w:rsidR="00F76607" w:rsidRDefault="001863F0">
            <w:pPr>
              <w:tabs>
                <w:tab w:val="right" w:leader="dot" w:pos="3460"/>
              </w:tabs>
              <w:ind w:left="240" w:hanging="240"/>
              <w:rPr>
                <w:rFonts w:eastAsiaTheme="minorEastAsia"/>
                <w:sz w:val="18"/>
                <w:szCs w:val="18"/>
              </w:rPr>
            </w:pPr>
            <w:r>
              <w:rPr>
                <w:sz w:val="18"/>
                <w:szCs w:val="18"/>
              </w:rPr>
              <w:t>Dirk Stoop</w:t>
            </w:r>
            <w:r>
              <w:rPr>
                <w:sz w:val="15"/>
                <w:szCs w:val="15"/>
                <w:vertAlign w:val="superscript"/>
              </w:rPr>
              <w:t>(2)</w:t>
            </w:r>
            <w:r>
              <w:rPr>
                <w:sz w:val="18"/>
                <w:szCs w:val="18"/>
              </w:rPr>
              <w:tab/>
            </w:r>
          </w:p>
        </w:tc>
        <w:tc>
          <w:tcPr>
            <w:tcW w:w="5410" w:type="dxa"/>
            <w:vAlign w:val="bottom"/>
            <w:hideMark/>
          </w:tcPr>
          <w:p w14:paraId="236A1E22" w14:textId="77777777" w:rsidR="00F76607" w:rsidRDefault="001863F0">
            <w:pPr>
              <w:rPr>
                <w:sz w:val="18"/>
                <w:szCs w:val="18"/>
              </w:rPr>
            </w:pPr>
            <w:r>
              <w:rPr>
                <w:sz w:val="18"/>
                <w:szCs w:val="18"/>
              </w:rPr>
              <w:t>Chief Financial Officer</w:t>
            </w:r>
          </w:p>
        </w:tc>
      </w:tr>
      <w:tr w:rsidR="00F76607" w14:paraId="7506628B" w14:textId="77777777">
        <w:trPr>
          <w:cantSplit/>
          <w:jc w:val="center"/>
        </w:trPr>
        <w:tc>
          <w:tcPr>
            <w:tcW w:w="3655" w:type="dxa"/>
            <w:hideMark/>
          </w:tcPr>
          <w:p w14:paraId="1EE370AE" w14:textId="77777777" w:rsidR="00F76607" w:rsidRDefault="001863F0">
            <w:pPr>
              <w:tabs>
                <w:tab w:val="right" w:leader="dot" w:pos="3460"/>
              </w:tabs>
              <w:ind w:left="240" w:hanging="240"/>
              <w:rPr>
                <w:rFonts w:eastAsiaTheme="minorEastAsia"/>
                <w:sz w:val="18"/>
                <w:szCs w:val="18"/>
              </w:rPr>
            </w:pPr>
            <w:r>
              <w:rPr>
                <w:sz w:val="18"/>
                <w:szCs w:val="18"/>
              </w:rPr>
              <w:t>Tomas Van Geet</w:t>
            </w:r>
            <w:r>
              <w:rPr>
                <w:sz w:val="15"/>
                <w:szCs w:val="15"/>
                <w:vertAlign w:val="superscript"/>
              </w:rPr>
              <w:t>(3)</w:t>
            </w:r>
            <w:r>
              <w:rPr>
                <w:sz w:val="18"/>
                <w:szCs w:val="18"/>
              </w:rPr>
              <w:tab/>
            </w:r>
          </w:p>
        </w:tc>
        <w:tc>
          <w:tcPr>
            <w:tcW w:w="5410" w:type="dxa"/>
            <w:vAlign w:val="bottom"/>
            <w:hideMark/>
          </w:tcPr>
          <w:p w14:paraId="16667E42" w14:textId="77777777" w:rsidR="00F76607" w:rsidRDefault="001863F0">
            <w:pPr>
              <w:rPr>
                <w:sz w:val="18"/>
                <w:szCs w:val="18"/>
              </w:rPr>
            </w:pPr>
            <w:r>
              <w:rPr>
                <w:sz w:val="18"/>
                <w:szCs w:val="18"/>
              </w:rPr>
              <w:t>Chief Commercial Officer</w:t>
            </w:r>
          </w:p>
        </w:tc>
      </w:tr>
      <w:tr w:rsidR="00F76607" w14:paraId="6F36BC65" w14:textId="77777777">
        <w:trPr>
          <w:cantSplit/>
          <w:jc w:val="center"/>
        </w:trPr>
        <w:tc>
          <w:tcPr>
            <w:tcW w:w="3655" w:type="dxa"/>
            <w:hideMark/>
          </w:tcPr>
          <w:p w14:paraId="10FF7406" w14:textId="77777777" w:rsidR="00F76607" w:rsidRDefault="001863F0">
            <w:pPr>
              <w:tabs>
                <w:tab w:val="right" w:leader="dot" w:pos="3460"/>
              </w:tabs>
              <w:ind w:left="240" w:hanging="240"/>
              <w:rPr>
                <w:rFonts w:eastAsiaTheme="minorEastAsia"/>
                <w:sz w:val="18"/>
                <w:szCs w:val="18"/>
              </w:rPr>
            </w:pPr>
            <w:r>
              <w:rPr>
                <w:sz w:val="18"/>
                <w:szCs w:val="18"/>
              </w:rPr>
              <w:t xml:space="preserve">Jan </w:t>
            </w:r>
            <w:proofErr w:type="spellStart"/>
            <w:r>
              <w:rPr>
                <w:sz w:val="18"/>
                <w:szCs w:val="18"/>
              </w:rPr>
              <w:t>Papoušek</w:t>
            </w:r>
            <w:proofErr w:type="spellEnd"/>
            <w:r>
              <w:rPr>
                <w:sz w:val="18"/>
                <w:szCs w:val="18"/>
                <w:vertAlign w:val="superscript"/>
              </w:rPr>
              <w:t>(4)</w:t>
            </w:r>
            <w:r>
              <w:rPr>
                <w:sz w:val="18"/>
                <w:szCs w:val="18"/>
              </w:rPr>
              <w:tab/>
            </w:r>
          </w:p>
        </w:tc>
        <w:tc>
          <w:tcPr>
            <w:tcW w:w="5410" w:type="dxa"/>
            <w:vAlign w:val="bottom"/>
            <w:hideMark/>
          </w:tcPr>
          <w:p w14:paraId="3312B1AB" w14:textId="77777777" w:rsidR="00F76607" w:rsidRDefault="001863F0">
            <w:pPr>
              <w:rPr>
                <w:sz w:val="18"/>
                <w:szCs w:val="18"/>
              </w:rPr>
            </w:pPr>
            <w:r>
              <w:rPr>
                <w:sz w:val="18"/>
                <w:szCs w:val="18"/>
              </w:rPr>
              <w:t>Chief Operating Officer (outside CZ)</w:t>
            </w:r>
          </w:p>
        </w:tc>
      </w:tr>
    </w:tbl>
    <w:p w14:paraId="21E64F47" w14:textId="77777777" w:rsidR="00F76607" w:rsidRDefault="00F76607">
      <w:pPr>
        <w:pBdr>
          <w:bottom w:val="single" w:sz="6" w:space="1" w:color="auto"/>
        </w:pBdr>
        <w:spacing w:after="60" w:line="120" w:lineRule="exact"/>
        <w:ind w:left="369" w:right="7200"/>
        <w:rPr>
          <w:rFonts w:eastAsiaTheme="minorEastAsia"/>
          <w:noProof/>
          <w:sz w:val="16"/>
          <w:szCs w:val="16"/>
        </w:rPr>
      </w:pPr>
    </w:p>
    <w:p w14:paraId="1B7C0F84" w14:textId="77777777" w:rsidR="00F76607" w:rsidRDefault="001863F0">
      <w:pPr>
        <w:ind w:left="738" w:hanging="369"/>
        <w:contextualSpacing/>
        <w:rPr>
          <w:szCs w:val="24"/>
        </w:rPr>
      </w:pPr>
      <w:r>
        <w:rPr>
          <w:sz w:val="16"/>
          <w:szCs w:val="16"/>
        </w:rPr>
        <w:t>(1)</w:t>
      </w:r>
      <w:r>
        <w:rPr>
          <w:sz w:val="16"/>
          <w:szCs w:val="16"/>
        </w:rPr>
        <w:tab/>
        <w:t xml:space="preserve">As permanent representative of Jan Van Geet </w:t>
      </w:r>
      <w:proofErr w:type="spellStart"/>
      <w:r>
        <w:rPr>
          <w:sz w:val="16"/>
          <w:szCs w:val="16"/>
        </w:rPr>
        <w:t>s.r.o</w:t>
      </w:r>
      <w:proofErr w:type="spellEnd"/>
      <w:r>
        <w:rPr>
          <w:sz w:val="16"/>
          <w:szCs w:val="16"/>
        </w:rPr>
        <w:t>.</w:t>
      </w:r>
    </w:p>
    <w:p w14:paraId="016C01B1" w14:textId="77777777" w:rsidR="00F76607" w:rsidRDefault="001863F0">
      <w:pPr>
        <w:spacing w:before="120"/>
        <w:ind w:left="738" w:hanging="369"/>
        <w:contextualSpacing/>
        <w:rPr>
          <w:szCs w:val="24"/>
        </w:rPr>
      </w:pPr>
      <w:r>
        <w:rPr>
          <w:sz w:val="16"/>
          <w:szCs w:val="16"/>
        </w:rPr>
        <w:t>(2)</w:t>
      </w:r>
      <w:r>
        <w:rPr>
          <w:sz w:val="16"/>
          <w:szCs w:val="16"/>
        </w:rPr>
        <w:tab/>
        <w:t>As permanent representative of Dirk Stoop BVBA.</w:t>
      </w:r>
    </w:p>
    <w:p w14:paraId="27898266" w14:textId="77777777" w:rsidR="00F76607" w:rsidRDefault="001863F0">
      <w:pPr>
        <w:spacing w:before="120"/>
        <w:ind w:left="738" w:hanging="369"/>
        <w:contextualSpacing/>
        <w:rPr>
          <w:szCs w:val="24"/>
        </w:rPr>
      </w:pPr>
      <w:r>
        <w:rPr>
          <w:sz w:val="16"/>
          <w:szCs w:val="16"/>
        </w:rPr>
        <w:t>(3)</w:t>
      </w:r>
      <w:r>
        <w:rPr>
          <w:sz w:val="16"/>
          <w:szCs w:val="16"/>
        </w:rPr>
        <w:tab/>
        <w:t xml:space="preserve">As permanent representative of Tomas Van Geet </w:t>
      </w:r>
      <w:proofErr w:type="spellStart"/>
      <w:r>
        <w:rPr>
          <w:sz w:val="16"/>
          <w:szCs w:val="16"/>
        </w:rPr>
        <w:t>s.r.o</w:t>
      </w:r>
      <w:proofErr w:type="spellEnd"/>
      <w:r>
        <w:rPr>
          <w:sz w:val="16"/>
          <w:szCs w:val="16"/>
        </w:rPr>
        <w:t>.</w:t>
      </w:r>
    </w:p>
    <w:p w14:paraId="615C4524" w14:textId="77777777" w:rsidR="00F76607" w:rsidRDefault="001863F0">
      <w:pPr>
        <w:spacing w:before="120"/>
        <w:ind w:left="738" w:hanging="369"/>
        <w:contextualSpacing/>
        <w:rPr>
          <w:szCs w:val="24"/>
        </w:rPr>
      </w:pPr>
      <w:r>
        <w:rPr>
          <w:sz w:val="16"/>
          <w:szCs w:val="16"/>
        </w:rPr>
        <w:t>(4)</w:t>
      </w:r>
      <w:r>
        <w:rPr>
          <w:sz w:val="16"/>
          <w:szCs w:val="16"/>
        </w:rPr>
        <w:tab/>
        <w:t xml:space="preserve">As permanent representative of Jan </w:t>
      </w:r>
      <w:proofErr w:type="spellStart"/>
      <w:r>
        <w:rPr>
          <w:sz w:val="16"/>
          <w:szCs w:val="16"/>
        </w:rPr>
        <w:t>Papoušek</w:t>
      </w:r>
      <w:proofErr w:type="spellEnd"/>
      <w:r>
        <w:rPr>
          <w:sz w:val="16"/>
          <w:szCs w:val="16"/>
        </w:rPr>
        <w:t xml:space="preserve"> </w:t>
      </w:r>
      <w:proofErr w:type="spellStart"/>
      <w:r>
        <w:rPr>
          <w:sz w:val="16"/>
          <w:szCs w:val="16"/>
        </w:rPr>
        <w:t>s.r.o</w:t>
      </w:r>
      <w:proofErr w:type="spellEnd"/>
      <w:r>
        <w:rPr>
          <w:sz w:val="16"/>
          <w:szCs w:val="16"/>
        </w:rPr>
        <w:t>.</w:t>
      </w:r>
    </w:p>
    <w:p w14:paraId="2BD5635D" w14:textId="77777777" w:rsidR="00F76607" w:rsidRDefault="001863F0">
      <w:pPr>
        <w:spacing w:before="240" w:beforeAutospacing="1" w:after="100" w:afterAutospacing="1"/>
        <w:ind w:firstLine="857"/>
        <w:rPr>
          <w:bCs/>
          <w:iCs/>
          <w:sz w:val="18"/>
          <w:szCs w:val="18"/>
          <w:lang w:val="en-GB"/>
        </w:rPr>
      </w:pPr>
      <w:r>
        <w:rPr>
          <w:bCs/>
          <w:iCs/>
          <w:sz w:val="18"/>
          <w:szCs w:val="18"/>
          <w:lang w:val="en-GB"/>
        </w:rPr>
        <w:t xml:space="preserve">The curriculum vitae of the members of the executive management (except for the CEO – cf. </w:t>
      </w:r>
      <w:r>
        <w:rPr>
          <w:bCs/>
          <w:i/>
          <w:iCs/>
          <w:sz w:val="18"/>
          <w:szCs w:val="18"/>
          <w:lang w:val="en-GB"/>
        </w:rPr>
        <w:t>supra</w:t>
      </w:r>
      <w:r>
        <w:rPr>
          <w:bCs/>
          <w:iCs/>
          <w:sz w:val="18"/>
          <w:szCs w:val="18"/>
          <w:lang w:val="en-GB"/>
        </w:rPr>
        <w:t>) may be summarised as follows:</w:t>
      </w:r>
    </w:p>
    <w:p w14:paraId="3451AA85" w14:textId="77777777" w:rsidR="00F76607" w:rsidRDefault="001863F0">
      <w:pPr>
        <w:spacing w:before="240" w:beforeAutospacing="1" w:after="100" w:afterAutospacing="1"/>
        <w:ind w:firstLine="857"/>
        <w:rPr>
          <w:bCs/>
          <w:iCs/>
          <w:sz w:val="18"/>
          <w:szCs w:val="18"/>
          <w:lang w:val="en-GB"/>
        </w:rPr>
      </w:pPr>
      <w:r>
        <w:rPr>
          <w:b/>
          <w:bCs/>
          <w:iCs/>
          <w:sz w:val="18"/>
          <w:szCs w:val="18"/>
          <w:lang w:val="en-GB"/>
        </w:rPr>
        <w:t xml:space="preserve">Jan </w:t>
      </w:r>
      <w:proofErr w:type="spellStart"/>
      <w:r>
        <w:rPr>
          <w:b/>
          <w:bCs/>
          <w:iCs/>
          <w:sz w:val="18"/>
          <w:szCs w:val="18"/>
          <w:lang w:val="en-GB"/>
        </w:rPr>
        <w:t>Procházka</w:t>
      </w:r>
      <w:proofErr w:type="spellEnd"/>
      <w:r>
        <w:rPr>
          <w:bCs/>
          <w:iCs/>
          <w:sz w:val="18"/>
          <w:szCs w:val="18"/>
          <w:lang w:val="en-GB"/>
        </w:rPr>
        <w:t xml:space="preserve"> (b. 1964), is civil engineer and architect and joined VGP’s team in 2002. He takes responsibility for technical concepts and contract execution. Prior to this position, Jan was the managing director of </w:t>
      </w:r>
      <w:proofErr w:type="spellStart"/>
      <w:r>
        <w:rPr>
          <w:bCs/>
          <w:iCs/>
          <w:sz w:val="18"/>
          <w:szCs w:val="18"/>
          <w:lang w:val="en-GB"/>
        </w:rPr>
        <w:t>Dvořák</w:t>
      </w:r>
      <w:proofErr w:type="spellEnd"/>
      <w:r>
        <w:rPr>
          <w:bCs/>
          <w:iCs/>
          <w:sz w:val="18"/>
          <w:szCs w:val="18"/>
          <w:lang w:val="en-GB"/>
        </w:rPr>
        <w:t xml:space="preserve">, a civil contracting company, at his time one of the major players in the Czech market. Well known projects realised under his management are the airport terminal Sever 1 in Prague, the cargo terminal, as well as the headquarters of </w:t>
      </w:r>
      <w:proofErr w:type="spellStart"/>
      <w:r>
        <w:rPr>
          <w:bCs/>
          <w:iCs/>
          <w:sz w:val="18"/>
          <w:szCs w:val="18"/>
          <w:lang w:val="en-GB"/>
        </w:rPr>
        <w:t>Česká</w:t>
      </w:r>
      <w:proofErr w:type="spellEnd"/>
      <w:r>
        <w:rPr>
          <w:bCs/>
          <w:iCs/>
          <w:sz w:val="18"/>
          <w:szCs w:val="18"/>
          <w:lang w:val="en-GB"/>
        </w:rPr>
        <w:t xml:space="preserve"> </w:t>
      </w:r>
      <w:proofErr w:type="spellStart"/>
      <w:r>
        <w:rPr>
          <w:bCs/>
          <w:iCs/>
          <w:sz w:val="18"/>
          <w:szCs w:val="18"/>
          <w:lang w:val="en-GB"/>
        </w:rPr>
        <w:t>Spořitelna</w:t>
      </w:r>
      <w:proofErr w:type="spellEnd"/>
      <w:r>
        <w:rPr>
          <w:bCs/>
          <w:iCs/>
          <w:sz w:val="18"/>
          <w:szCs w:val="18"/>
          <w:lang w:val="en-GB"/>
        </w:rPr>
        <w:t>.</w:t>
      </w:r>
    </w:p>
    <w:p w14:paraId="3C0791F3" w14:textId="77777777" w:rsidR="00F76607" w:rsidRDefault="001863F0">
      <w:pPr>
        <w:spacing w:before="240" w:beforeAutospacing="1" w:after="100" w:afterAutospacing="1"/>
        <w:ind w:firstLine="857"/>
        <w:rPr>
          <w:bCs/>
          <w:iCs/>
          <w:sz w:val="18"/>
          <w:szCs w:val="18"/>
          <w:lang w:val="en-GB"/>
        </w:rPr>
      </w:pPr>
      <w:r>
        <w:rPr>
          <w:b/>
          <w:bCs/>
          <w:iCs/>
          <w:sz w:val="18"/>
          <w:szCs w:val="18"/>
          <w:lang w:val="en-GB"/>
        </w:rPr>
        <w:t>Dirk Stoop</w:t>
      </w:r>
      <w:r>
        <w:rPr>
          <w:bCs/>
          <w:iCs/>
          <w:sz w:val="18"/>
          <w:szCs w:val="18"/>
          <w:lang w:val="en-GB"/>
        </w:rPr>
        <w:t xml:space="preserve"> (b. 1961), joined VGP in 2007. He is responsible for all finance matters, i.e. financial planning, control, forecasting, treasury, tax and insurance for all the countries where VGP is / will be active, as well as investor relations. Dirk worked at </w:t>
      </w:r>
      <w:proofErr w:type="spellStart"/>
      <w:r>
        <w:rPr>
          <w:bCs/>
          <w:iCs/>
          <w:sz w:val="18"/>
          <w:szCs w:val="18"/>
          <w:lang w:val="en-GB"/>
        </w:rPr>
        <w:t>Ontex</w:t>
      </w:r>
      <w:proofErr w:type="spellEnd"/>
      <w:r>
        <w:rPr>
          <w:bCs/>
          <w:iCs/>
          <w:sz w:val="18"/>
          <w:szCs w:val="18"/>
          <w:lang w:val="en-GB"/>
        </w:rPr>
        <w:t xml:space="preserve"> for 5 years as Group Treasurer where he was also responsible for tax and insurance matters. Prior to this he worked at </w:t>
      </w:r>
      <w:proofErr w:type="spellStart"/>
      <w:r>
        <w:rPr>
          <w:bCs/>
          <w:iCs/>
          <w:sz w:val="18"/>
          <w:szCs w:val="18"/>
          <w:lang w:val="en-GB"/>
        </w:rPr>
        <w:t>Chep</w:t>
      </w:r>
      <w:proofErr w:type="spellEnd"/>
      <w:r>
        <w:rPr>
          <w:bCs/>
          <w:iCs/>
          <w:sz w:val="18"/>
          <w:szCs w:val="18"/>
          <w:lang w:val="en-GB"/>
        </w:rPr>
        <w:t xml:space="preserve"> Europe based in London as Treasurer Europe, South America &amp; Asia. Dirk Stoop holds a </w:t>
      </w:r>
      <w:proofErr w:type="spellStart"/>
      <w:r>
        <w:rPr>
          <w:bCs/>
          <w:iCs/>
          <w:sz w:val="18"/>
          <w:szCs w:val="18"/>
          <w:lang w:val="en-GB"/>
        </w:rPr>
        <w:t>Masters</w:t>
      </w:r>
      <w:proofErr w:type="spellEnd"/>
      <w:r>
        <w:rPr>
          <w:bCs/>
          <w:iCs/>
          <w:sz w:val="18"/>
          <w:szCs w:val="18"/>
          <w:lang w:val="en-GB"/>
        </w:rPr>
        <w:t xml:space="preserve"> Degree in Financial and Commercial Sciences from VLEKHO (HUB) in Belgium.</w:t>
      </w:r>
    </w:p>
    <w:p w14:paraId="0976E4C2" w14:textId="77777777" w:rsidR="00F76607" w:rsidRDefault="001863F0">
      <w:pPr>
        <w:spacing w:before="240" w:beforeAutospacing="1" w:after="100" w:afterAutospacing="1"/>
        <w:ind w:firstLine="857"/>
        <w:rPr>
          <w:bCs/>
          <w:iCs/>
          <w:sz w:val="18"/>
          <w:szCs w:val="18"/>
          <w:lang w:val="en-GB"/>
        </w:rPr>
      </w:pPr>
      <w:r>
        <w:rPr>
          <w:b/>
          <w:bCs/>
          <w:iCs/>
          <w:sz w:val="18"/>
          <w:szCs w:val="18"/>
          <w:lang w:val="en-GB"/>
        </w:rPr>
        <w:t>Tomas Van Geet</w:t>
      </w:r>
      <w:r>
        <w:rPr>
          <w:bCs/>
          <w:iCs/>
          <w:sz w:val="18"/>
          <w:szCs w:val="18"/>
          <w:lang w:val="en-GB"/>
        </w:rPr>
        <w:t xml:space="preserve"> (b. 1976) joined VGP in 2005. He takes responsibility for all commercial strategic matters and commercial co-ordination of VGP’s key accounts. Prior to joining VGP, Tomas held several positions in the planning and logistics departments of Domo in Germany, Spain, Czech Republic and South Africa, Associated Weavers and </w:t>
      </w:r>
      <w:proofErr w:type="spellStart"/>
      <w:r>
        <w:rPr>
          <w:bCs/>
          <w:iCs/>
          <w:sz w:val="18"/>
          <w:szCs w:val="18"/>
          <w:lang w:val="en-GB"/>
        </w:rPr>
        <w:t>Ontex</w:t>
      </w:r>
      <w:proofErr w:type="spellEnd"/>
      <w:r>
        <w:rPr>
          <w:bCs/>
          <w:iCs/>
          <w:sz w:val="18"/>
          <w:szCs w:val="18"/>
          <w:lang w:val="en-GB"/>
        </w:rPr>
        <w:t>.</w:t>
      </w:r>
    </w:p>
    <w:p w14:paraId="313292E9" w14:textId="77777777" w:rsidR="00F76607" w:rsidRDefault="001863F0">
      <w:pPr>
        <w:spacing w:before="240"/>
        <w:ind w:firstLine="857"/>
        <w:rPr>
          <w:bCs/>
          <w:iCs/>
          <w:sz w:val="18"/>
          <w:szCs w:val="18"/>
          <w:lang w:val="en-GB"/>
        </w:rPr>
      </w:pPr>
      <w:r>
        <w:rPr>
          <w:b/>
          <w:bCs/>
          <w:iCs/>
          <w:sz w:val="18"/>
          <w:szCs w:val="18"/>
          <w:lang w:val="en-GB"/>
        </w:rPr>
        <w:t xml:space="preserve">Jan </w:t>
      </w:r>
      <w:proofErr w:type="spellStart"/>
      <w:r>
        <w:rPr>
          <w:b/>
          <w:bCs/>
          <w:iCs/>
          <w:sz w:val="18"/>
          <w:szCs w:val="18"/>
          <w:lang w:val="en-GB"/>
        </w:rPr>
        <w:t>Papoušek</w:t>
      </w:r>
      <w:proofErr w:type="spellEnd"/>
      <w:r>
        <w:rPr>
          <w:bCs/>
          <w:iCs/>
          <w:sz w:val="18"/>
          <w:szCs w:val="18"/>
          <w:lang w:val="en-GB"/>
        </w:rPr>
        <w:t xml:space="preserve"> (b. 1974) is a civil engineer and joined VGP’s team in 2007. He takes responsibility for technical concepts and contract execution for all projects outside the Czech Republic. Jan formerly worked for Gardiner and Theobald, a UK based well known cost controlling company with international activities, where he occupied the function of cost and project manager.</w:t>
      </w:r>
    </w:p>
    <w:p w14:paraId="7C3AC377" w14:textId="77777777" w:rsidR="00F76607" w:rsidRDefault="001863F0">
      <w:pPr>
        <w:keepNext/>
        <w:spacing w:before="240"/>
        <w:rPr>
          <w:b/>
          <w:bCs/>
          <w:i/>
          <w:iCs/>
          <w:sz w:val="18"/>
          <w:szCs w:val="18"/>
          <w:lang w:val="en-GB"/>
        </w:rPr>
      </w:pPr>
      <w:r>
        <w:rPr>
          <w:b/>
          <w:bCs/>
          <w:i/>
          <w:iCs/>
          <w:sz w:val="18"/>
          <w:szCs w:val="18"/>
        </w:rPr>
        <w:t>Share Ownership of Executive Management</w:t>
      </w:r>
      <w:r>
        <w:rPr>
          <w:rFonts w:ascii="Arial" w:hAnsi="Arial"/>
          <w:b/>
          <w:lang w:val="en-GB"/>
        </w:rPr>
        <w:t xml:space="preserve"> </w:t>
      </w:r>
    </w:p>
    <w:p w14:paraId="7569AFBA" w14:textId="77777777" w:rsidR="00F76607" w:rsidRDefault="001863F0">
      <w:pPr>
        <w:spacing w:before="240"/>
        <w:ind w:firstLine="857"/>
        <w:rPr>
          <w:sz w:val="18"/>
          <w:szCs w:val="18"/>
        </w:rPr>
      </w:pPr>
      <w:r>
        <w:rPr>
          <w:sz w:val="18"/>
          <w:szCs w:val="18"/>
        </w:rPr>
        <w:t xml:space="preserve">On the date of this Prospectus, the following members of Executive Management (other than the CEO – cf. </w:t>
      </w:r>
      <w:r>
        <w:rPr>
          <w:i/>
          <w:sz w:val="18"/>
          <w:szCs w:val="18"/>
        </w:rPr>
        <w:t>supra</w:t>
      </w:r>
      <w:r>
        <w:rPr>
          <w:sz w:val="18"/>
          <w:szCs w:val="18"/>
        </w:rPr>
        <w:t>) directly and/or indirectly own shares in the Company:</w:t>
      </w:r>
    </w:p>
    <w:tbl>
      <w:tblPr>
        <w:tblStyle w:val="TableGrid"/>
        <w:tblW w:w="0" w:type="auto"/>
        <w:tblInd w:w="680" w:type="dxa"/>
        <w:tblLook w:val="04A0" w:firstRow="1" w:lastRow="0" w:firstColumn="1" w:lastColumn="0" w:noHBand="0" w:noVBand="1"/>
      </w:tblPr>
      <w:tblGrid>
        <w:gridCol w:w="3284"/>
        <w:gridCol w:w="2694"/>
        <w:gridCol w:w="2358"/>
      </w:tblGrid>
      <w:tr w:rsidR="00F76607" w14:paraId="42955C85" w14:textId="77777777">
        <w:tc>
          <w:tcPr>
            <w:tcW w:w="3284" w:type="dxa"/>
            <w:tcBorders>
              <w:left w:val="nil"/>
              <w:right w:val="nil"/>
            </w:tcBorders>
          </w:tcPr>
          <w:p w14:paraId="72876A61" w14:textId="77777777" w:rsidR="00F76607" w:rsidRDefault="001863F0">
            <w:pPr>
              <w:keepNext/>
              <w:rPr>
                <w:rFonts w:ascii="Times New Roman" w:hAnsi="Times New Roman" w:cs="Times New Roman"/>
                <w:b/>
                <w:kern w:val="20"/>
                <w:sz w:val="18"/>
                <w:szCs w:val="18"/>
                <w:lang w:val="en-GB"/>
              </w:rPr>
            </w:pPr>
            <w:r>
              <w:rPr>
                <w:rFonts w:ascii="Times New Roman" w:hAnsi="Times New Roman" w:cs="Times New Roman"/>
                <w:b/>
                <w:kern w:val="20"/>
                <w:sz w:val="18"/>
                <w:szCs w:val="18"/>
                <w:lang w:val="en-GB"/>
              </w:rPr>
              <w:t>Director</w:t>
            </w:r>
          </w:p>
        </w:tc>
        <w:tc>
          <w:tcPr>
            <w:tcW w:w="2694" w:type="dxa"/>
            <w:tcBorders>
              <w:left w:val="nil"/>
              <w:right w:val="nil"/>
            </w:tcBorders>
          </w:tcPr>
          <w:p w14:paraId="5008F629" w14:textId="77777777" w:rsidR="00F76607" w:rsidRDefault="001863F0">
            <w:pPr>
              <w:keepNext/>
              <w:jc w:val="right"/>
              <w:rPr>
                <w:rFonts w:ascii="Times New Roman" w:hAnsi="Times New Roman" w:cs="Times New Roman"/>
                <w:b/>
                <w:kern w:val="20"/>
                <w:sz w:val="18"/>
                <w:szCs w:val="18"/>
                <w:lang w:val="en-GB"/>
              </w:rPr>
            </w:pPr>
            <w:r>
              <w:rPr>
                <w:rFonts w:ascii="Times New Roman" w:hAnsi="Times New Roman" w:cs="Times New Roman"/>
                <w:b/>
                <w:kern w:val="20"/>
                <w:sz w:val="18"/>
                <w:szCs w:val="18"/>
                <w:lang w:val="en-GB"/>
              </w:rPr>
              <w:t>Number of shares</w:t>
            </w:r>
          </w:p>
        </w:tc>
        <w:tc>
          <w:tcPr>
            <w:tcW w:w="2358" w:type="dxa"/>
            <w:tcBorders>
              <w:left w:val="nil"/>
              <w:right w:val="nil"/>
            </w:tcBorders>
          </w:tcPr>
          <w:p w14:paraId="02D86488" w14:textId="77777777" w:rsidR="00F76607" w:rsidRDefault="001863F0">
            <w:pPr>
              <w:keepNext/>
              <w:jc w:val="right"/>
              <w:rPr>
                <w:rFonts w:ascii="Times New Roman" w:hAnsi="Times New Roman" w:cs="Times New Roman"/>
                <w:b/>
                <w:kern w:val="20"/>
                <w:sz w:val="18"/>
                <w:szCs w:val="18"/>
                <w:lang w:val="en-GB"/>
              </w:rPr>
            </w:pPr>
            <w:r>
              <w:rPr>
                <w:rFonts w:ascii="Times New Roman" w:hAnsi="Times New Roman" w:cs="Times New Roman"/>
                <w:b/>
                <w:kern w:val="20"/>
                <w:sz w:val="18"/>
                <w:szCs w:val="18"/>
                <w:lang w:val="en-GB"/>
              </w:rPr>
              <w:t>% of shares issued</w:t>
            </w:r>
          </w:p>
        </w:tc>
      </w:tr>
      <w:tr w:rsidR="00F76607" w14:paraId="4F8AE9A1" w14:textId="77777777">
        <w:tc>
          <w:tcPr>
            <w:tcW w:w="3284" w:type="dxa"/>
            <w:tcBorders>
              <w:top w:val="nil"/>
              <w:left w:val="nil"/>
              <w:bottom w:val="nil"/>
              <w:right w:val="nil"/>
            </w:tcBorders>
          </w:tcPr>
          <w:p w14:paraId="770B2D1D" w14:textId="77777777" w:rsidR="00F76607" w:rsidRDefault="001863F0">
            <w:pPr>
              <w:rPr>
                <w:rFonts w:ascii="Times New Roman" w:hAnsi="Times New Roman" w:cs="Times New Roman"/>
                <w:kern w:val="20"/>
                <w:sz w:val="18"/>
                <w:szCs w:val="18"/>
              </w:rPr>
            </w:pPr>
            <w:r>
              <w:rPr>
                <w:rFonts w:ascii="Times New Roman" w:hAnsi="Times New Roman" w:cs="Times New Roman"/>
                <w:kern w:val="20"/>
                <w:sz w:val="18"/>
                <w:szCs w:val="18"/>
              </w:rPr>
              <w:t>Tomas Van Geet</w:t>
            </w:r>
          </w:p>
        </w:tc>
        <w:tc>
          <w:tcPr>
            <w:tcW w:w="2694" w:type="dxa"/>
            <w:tcBorders>
              <w:top w:val="single" w:sz="12" w:space="0" w:color="auto"/>
              <w:left w:val="nil"/>
              <w:bottom w:val="single" w:sz="4" w:space="0" w:color="auto"/>
              <w:right w:val="nil"/>
            </w:tcBorders>
            <w:vAlign w:val="bottom"/>
          </w:tcPr>
          <w:p w14:paraId="02CE975E" w14:textId="77777777" w:rsidR="00F76607" w:rsidRDefault="001863F0">
            <w:pPr>
              <w:jc w:val="right"/>
              <w:rPr>
                <w:rFonts w:ascii="Times New Roman" w:hAnsi="Times New Roman" w:cs="Times New Roman"/>
                <w:color w:val="000000"/>
                <w:sz w:val="18"/>
                <w:szCs w:val="18"/>
              </w:rPr>
            </w:pPr>
            <w:r>
              <w:rPr>
                <w:rFonts w:ascii="Times New Roman" w:hAnsi="Times New Roman" w:cs="Times New Roman"/>
                <w:color w:val="000000"/>
                <w:sz w:val="18"/>
                <w:szCs w:val="18"/>
              </w:rPr>
              <w:t>6,557</w:t>
            </w:r>
          </w:p>
        </w:tc>
        <w:tc>
          <w:tcPr>
            <w:tcW w:w="2358" w:type="dxa"/>
            <w:tcBorders>
              <w:top w:val="single" w:sz="12" w:space="0" w:color="auto"/>
              <w:left w:val="nil"/>
              <w:bottom w:val="single" w:sz="4" w:space="0" w:color="auto"/>
              <w:right w:val="nil"/>
            </w:tcBorders>
            <w:vAlign w:val="bottom"/>
          </w:tcPr>
          <w:p w14:paraId="4A919EEE" w14:textId="77777777" w:rsidR="00F76607" w:rsidRDefault="001863F0">
            <w:pPr>
              <w:jc w:val="right"/>
              <w:rPr>
                <w:rFonts w:ascii="Times New Roman" w:hAnsi="Times New Roman" w:cs="Times New Roman"/>
                <w:color w:val="000000"/>
                <w:sz w:val="18"/>
                <w:szCs w:val="18"/>
              </w:rPr>
            </w:pPr>
            <w:r>
              <w:rPr>
                <w:rFonts w:ascii="Times New Roman" w:hAnsi="Times New Roman" w:cs="Times New Roman"/>
                <w:color w:val="000000"/>
                <w:sz w:val="18"/>
                <w:szCs w:val="18"/>
              </w:rPr>
              <w:t>0.035%</w:t>
            </w:r>
          </w:p>
        </w:tc>
      </w:tr>
    </w:tbl>
    <w:p w14:paraId="1F3195D0" w14:textId="77777777" w:rsidR="00F76607" w:rsidRDefault="001863F0">
      <w:pPr>
        <w:spacing w:before="240" w:beforeAutospacing="1" w:after="100" w:afterAutospacing="1"/>
        <w:ind w:firstLine="857"/>
        <w:rPr>
          <w:bCs/>
          <w:iCs/>
          <w:sz w:val="18"/>
          <w:szCs w:val="18"/>
          <w:lang w:val="en-GB"/>
        </w:rPr>
      </w:pPr>
      <w:r>
        <w:rPr>
          <w:bCs/>
          <w:iCs/>
          <w:sz w:val="18"/>
          <w:szCs w:val="18"/>
          <w:lang w:val="en-GB"/>
        </w:rPr>
        <w:t>None of the members of Executive Management own share options.</w:t>
      </w:r>
    </w:p>
    <w:p w14:paraId="4C4D1B9D" w14:textId="77777777" w:rsidR="00F76607" w:rsidRDefault="001863F0">
      <w:pPr>
        <w:spacing w:before="240" w:beforeAutospacing="1" w:after="100" w:afterAutospacing="1"/>
        <w:ind w:firstLine="857"/>
        <w:rPr>
          <w:bCs/>
          <w:iCs/>
          <w:sz w:val="18"/>
          <w:szCs w:val="18"/>
          <w:lang w:val="en-GB"/>
        </w:rPr>
      </w:pPr>
      <w:r>
        <w:rPr>
          <w:bCs/>
          <w:iCs/>
          <w:sz w:val="18"/>
          <w:szCs w:val="18"/>
          <w:lang w:val="en-GB"/>
        </w:rPr>
        <w:t>As set out in the section “Offering”, VM Invest NV, Bart Van Malderen and Little Rock SA offer to sell (a number of) their shares in the Company in the framework of the Offering. No members of Executive Management intend to participate in the Offering as purchaser of any Offer Shares.</w:t>
      </w:r>
    </w:p>
    <w:p w14:paraId="452921B6" w14:textId="77777777" w:rsidR="00F76607" w:rsidRDefault="001863F0">
      <w:pPr>
        <w:keepNext/>
        <w:spacing w:before="240"/>
        <w:rPr>
          <w:szCs w:val="24"/>
        </w:rPr>
      </w:pPr>
      <w:r>
        <w:rPr>
          <w:b/>
          <w:bCs/>
          <w:i/>
          <w:iCs/>
          <w:sz w:val="18"/>
          <w:szCs w:val="18"/>
        </w:rPr>
        <w:lastRenderedPageBreak/>
        <w:t>General Information on the Members of Executive Management</w:t>
      </w:r>
    </w:p>
    <w:p w14:paraId="55FF2E7D" w14:textId="77777777" w:rsidR="00F76607" w:rsidRDefault="001863F0">
      <w:pPr>
        <w:spacing w:before="240"/>
        <w:ind w:firstLine="857"/>
        <w:rPr>
          <w:szCs w:val="24"/>
        </w:rPr>
      </w:pPr>
      <w:r>
        <w:rPr>
          <w:sz w:val="18"/>
          <w:szCs w:val="18"/>
        </w:rPr>
        <w:t>In relation to each of the members of executive management, there have been no (</w:t>
      </w:r>
      <w:proofErr w:type="spellStart"/>
      <w:r>
        <w:rPr>
          <w:sz w:val="18"/>
          <w:szCs w:val="18"/>
        </w:rPr>
        <w:t>i</w:t>
      </w:r>
      <w:proofErr w:type="spellEnd"/>
      <w:r>
        <w:rPr>
          <w:sz w:val="18"/>
          <w:szCs w:val="18"/>
        </w:rPr>
        <w:t xml:space="preserve">) convictions in relation to fraudulent offenses during the previous five years; (ii) bankruptcies, receiverships or liquidations of any entities in which such members held any office, directorships, or senior management positions during the previous five years; or (iii) official public incrimination and/or sanctions of such members by statutory or regulatory authorities (including designated professional bodies), or disqualification by a court from acting as a member of the administrative, management or supervisory bodies of an Company or from acting in the management or conduct of the affairs of any Company during the previous five years. </w:t>
      </w:r>
    </w:p>
    <w:p w14:paraId="39A7566A" w14:textId="3D021A42" w:rsidR="00F76607" w:rsidRDefault="001863F0">
      <w:pPr>
        <w:spacing w:before="240"/>
        <w:ind w:firstLine="857"/>
        <w:rPr>
          <w:sz w:val="18"/>
          <w:szCs w:val="18"/>
        </w:rPr>
      </w:pPr>
      <w:r>
        <w:rPr>
          <w:sz w:val="18"/>
          <w:szCs w:val="18"/>
        </w:rPr>
        <w:t>None of the members of executive management has a potential conflict of interests between his/her duties to the Company and his/her private interests and/or any ot</w:t>
      </w:r>
      <w:r w:rsidR="00E62200">
        <w:rPr>
          <w:sz w:val="18"/>
          <w:szCs w:val="18"/>
        </w:rPr>
        <w:t xml:space="preserve">her duties he or she may have, </w:t>
      </w:r>
      <w:r>
        <w:rPr>
          <w:sz w:val="18"/>
          <w:szCs w:val="18"/>
        </w:rPr>
        <w:t xml:space="preserve">except for any matters in relation to his/her management or employment agreement with the Company or any of the Subsidiaries (if any) or with any (indirect) shareholder of the Company (and, with respect to the CEO, except as set out </w:t>
      </w:r>
      <w:r>
        <w:rPr>
          <w:i/>
          <w:sz w:val="18"/>
          <w:szCs w:val="18"/>
        </w:rPr>
        <w:t>supra</w:t>
      </w:r>
      <w:r>
        <w:rPr>
          <w:sz w:val="18"/>
          <w:szCs w:val="18"/>
        </w:rPr>
        <w:t>, under “</w:t>
      </w:r>
      <w:r>
        <w:rPr>
          <w:i/>
          <w:sz w:val="18"/>
          <w:szCs w:val="18"/>
        </w:rPr>
        <w:t>General Information on the Directors</w:t>
      </w:r>
      <w:r w:rsidR="00E62200">
        <w:rPr>
          <w:sz w:val="18"/>
          <w:szCs w:val="18"/>
        </w:rPr>
        <w:t>”)</w:t>
      </w:r>
      <w:r>
        <w:rPr>
          <w:sz w:val="18"/>
          <w:szCs w:val="18"/>
        </w:rPr>
        <w:t xml:space="preserve">. </w:t>
      </w:r>
    </w:p>
    <w:p w14:paraId="63AAF4A7" w14:textId="77777777" w:rsidR="00F76607" w:rsidRDefault="001863F0">
      <w:pPr>
        <w:spacing w:before="240"/>
        <w:ind w:firstLine="857"/>
        <w:rPr>
          <w:szCs w:val="24"/>
        </w:rPr>
      </w:pPr>
      <w:r>
        <w:rPr>
          <w:sz w:val="18"/>
          <w:szCs w:val="18"/>
        </w:rPr>
        <w:t xml:space="preserve">No member of executive management has a family relationship with any director or other member of executive management, except as set out </w:t>
      </w:r>
      <w:r>
        <w:rPr>
          <w:i/>
          <w:sz w:val="18"/>
          <w:szCs w:val="18"/>
        </w:rPr>
        <w:t>supra</w:t>
      </w:r>
      <w:r>
        <w:rPr>
          <w:sz w:val="18"/>
          <w:szCs w:val="18"/>
        </w:rPr>
        <w:t>, under “</w:t>
      </w:r>
      <w:r>
        <w:rPr>
          <w:i/>
          <w:sz w:val="18"/>
          <w:szCs w:val="18"/>
        </w:rPr>
        <w:t>General Information on the Directors</w:t>
      </w:r>
      <w:r>
        <w:rPr>
          <w:sz w:val="18"/>
          <w:szCs w:val="18"/>
        </w:rPr>
        <w:t>”.</w:t>
      </w:r>
    </w:p>
    <w:p w14:paraId="307883D5" w14:textId="77777777" w:rsidR="00F76607" w:rsidRDefault="001863F0">
      <w:pPr>
        <w:keepNext/>
        <w:spacing w:before="240"/>
        <w:ind w:firstLine="857"/>
        <w:rPr>
          <w:szCs w:val="24"/>
        </w:rPr>
      </w:pPr>
      <w:r>
        <w:rPr>
          <w:sz w:val="18"/>
          <w:szCs w:val="18"/>
        </w:rPr>
        <w:t xml:space="preserve">In the five years preceding the date of this Prospectus, the members of executive management have held the following directorships or memberships of administrative, management or supervisory bodies and/or partnerships apart from mandates in the Company or its subsidiaries: </w:t>
      </w:r>
    </w:p>
    <w:p w14:paraId="1A666211" w14:textId="77777777" w:rsidR="00F76607" w:rsidRDefault="001863F0">
      <w:pPr>
        <w:keepNext/>
        <w:rPr>
          <w:szCs w:val="24"/>
        </w:rPr>
      </w:pPr>
      <w:r>
        <w:rPr>
          <w:szCs w:val="24"/>
        </w:rPr>
        <w:t> </w:t>
      </w:r>
    </w:p>
    <w:tbl>
      <w:tblPr>
        <w:tblW w:w="5000" w:type="pct"/>
        <w:jc w:val="center"/>
        <w:tblCellMar>
          <w:left w:w="0" w:type="dxa"/>
          <w:right w:w="0" w:type="dxa"/>
        </w:tblCellMar>
        <w:tblLook w:val="04A0" w:firstRow="1" w:lastRow="0" w:firstColumn="1" w:lastColumn="0" w:noHBand="0" w:noVBand="1"/>
      </w:tblPr>
      <w:tblGrid>
        <w:gridCol w:w="3989"/>
        <w:gridCol w:w="2848"/>
        <w:gridCol w:w="2916"/>
      </w:tblGrid>
      <w:tr w:rsidR="00F76607" w14:paraId="4501BF33" w14:textId="77777777">
        <w:trPr>
          <w:tblHeader/>
          <w:jc w:val="center"/>
        </w:trPr>
        <w:tc>
          <w:tcPr>
            <w:tcW w:w="3957" w:type="dxa"/>
            <w:vAlign w:val="center"/>
            <w:hideMark/>
          </w:tcPr>
          <w:p w14:paraId="64CCD7ED" w14:textId="77777777" w:rsidR="00F76607" w:rsidRDefault="00F76607">
            <w:pPr>
              <w:rPr>
                <w:sz w:val="1"/>
                <w:szCs w:val="18"/>
              </w:rPr>
            </w:pPr>
          </w:p>
        </w:tc>
        <w:tc>
          <w:tcPr>
            <w:tcW w:w="2863" w:type="dxa"/>
            <w:vAlign w:val="center"/>
            <w:hideMark/>
          </w:tcPr>
          <w:p w14:paraId="21849051" w14:textId="77777777" w:rsidR="00F76607" w:rsidRDefault="00F76607">
            <w:pPr>
              <w:rPr>
                <w:sz w:val="1"/>
                <w:szCs w:val="18"/>
              </w:rPr>
            </w:pPr>
          </w:p>
        </w:tc>
        <w:tc>
          <w:tcPr>
            <w:tcW w:w="2927" w:type="dxa"/>
            <w:vAlign w:val="center"/>
            <w:hideMark/>
          </w:tcPr>
          <w:p w14:paraId="75A13882" w14:textId="77777777" w:rsidR="00F76607" w:rsidRDefault="00F76607">
            <w:pPr>
              <w:rPr>
                <w:sz w:val="1"/>
                <w:szCs w:val="18"/>
              </w:rPr>
            </w:pPr>
          </w:p>
        </w:tc>
      </w:tr>
      <w:tr w:rsidR="00F76607" w14:paraId="2A749071" w14:textId="77777777">
        <w:trPr>
          <w:cantSplit/>
          <w:tblHeader/>
          <w:jc w:val="center"/>
        </w:trPr>
        <w:tc>
          <w:tcPr>
            <w:tcW w:w="3957" w:type="dxa"/>
            <w:noWrap/>
            <w:vAlign w:val="bottom"/>
            <w:hideMark/>
          </w:tcPr>
          <w:p w14:paraId="6F10D7A0" w14:textId="77777777" w:rsidR="00F76607" w:rsidRDefault="001863F0">
            <w:pPr>
              <w:keepNext/>
              <w:rPr>
                <w:rFonts w:eastAsiaTheme="minorEastAsia"/>
                <w:sz w:val="16"/>
                <w:szCs w:val="16"/>
              </w:rPr>
            </w:pPr>
            <w:r>
              <w:rPr>
                <w:b/>
                <w:bCs/>
                <w:sz w:val="16"/>
                <w:szCs w:val="16"/>
              </w:rPr>
              <w:t>Name</w:t>
            </w:r>
          </w:p>
          <w:p w14:paraId="742CF5A1" w14:textId="77777777" w:rsidR="00F76607" w:rsidRDefault="001863F0">
            <w:pPr>
              <w:keepNext/>
              <w:pBdr>
                <w:top w:val="single" w:sz="8" w:space="1" w:color="auto"/>
              </w:pBdr>
              <w:spacing w:before="20" w:line="20" w:lineRule="exact"/>
              <w:jc w:val="center"/>
              <w:rPr>
                <w:rFonts w:eastAsiaTheme="minorEastAsia"/>
                <w:sz w:val="16"/>
                <w:szCs w:val="16"/>
              </w:rPr>
            </w:pPr>
            <w:r>
              <w:rPr>
                <w:sz w:val="16"/>
                <w:szCs w:val="16"/>
              </w:rPr>
              <w:t> </w:t>
            </w:r>
          </w:p>
        </w:tc>
        <w:tc>
          <w:tcPr>
            <w:tcW w:w="2863" w:type="dxa"/>
            <w:tcMar>
              <w:top w:w="0" w:type="dxa"/>
              <w:left w:w="144" w:type="dxa"/>
              <w:bottom w:w="0" w:type="dxa"/>
              <w:right w:w="0" w:type="dxa"/>
            </w:tcMar>
            <w:vAlign w:val="bottom"/>
            <w:hideMark/>
          </w:tcPr>
          <w:p w14:paraId="7BD81FE4" w14:textId="77777777" w:rsidR="00F76607" w:rsidRDefault="001863F0">
            <w:pPr>
              <w:jc w:val="center"/>
              <w:rPr>
                <w:rFonts w:eastAsiaTheme="minorEastAsia"/>
                <w:sz w:val="16"/>
                <w:szCs w:val="16"/>
              </w:rPr>
            </w:pPr>
            <w:r>
              <w:rPr>
                <w:b/>
                <w:bCs/>
                <w:sz w:val="16"/>
                <w:szCs w:val="16"/>
              </w:rPr>
              <w:t>Current</w:t>
            </w:r>
          </w:p>
          <w:p w14:paraId="2D4C5827" w14:textId="77777777" w:rsidR="00F76607" w:rsidRDefault="001863F0">
            <w:pPr>
              <w:pBdr>
                <w:top w:val="single" w:sz="8" w:space="1" w:color="auto"/>
              </w:pBdr>
              <w:spacing w:line="20" w:lineRule="exact"/>
              <w:jc w:val="center"/>
              <w:rPr>
                <w:rFonts w:eastAsiaTheme="minorEastAsia"/>
                <w:sz w:val="16"/>
                <w:szCs w:val="16"/>
              </w:rPr>
            </w:pPr>
            <w:r>
              <w:rPr>
                <w:sz w:val="16"/>
                <w:szCs w:val="16"/>
              </w:rPr>
              <w:t> </w:t>
            </w:r>
          </w:p>
        </w:tc>
        <w:tc>
          <w:tcPr>
            <w:tcW w:w="2927" w:type="dxa"/>
            <w:tcMar>
              <w:top w:w="0" w:type="dxa"/>
              <w:left w:w="144" w:type="dxa"/>
              <w:bottom w:w="0" w:type="dxa"/>
              <w:right w:w="0" w:type="dxa"/>
            </w:tcMar>
            <w:vAlign w:val="bottom"/>
            <w:hideMark/>
          </w:tcPr>
          <w:p w14:paraId="64DEA06A" w14:textId="77777777" w:rsidR="00F76607" w:rsidRDefault="001863F0">
            <w:pPr>
              <w:jc w:val="center"/>
              <w:rPr>
                <w:rFonts w:eastAsiaTheme="minorEastAsia"/>
                <w:sz w:val="16"/>
                <w:szCs w:val="16"/>
              </w:rPr>
            </w:pPr>
            <w:r>
              <w:rPr>
                <w:b/>
                <w:bCs/>
                <w:sz w:val="16"/>
                <w:szCs w:val="16"/>
              </w:rPr>
              <w:t>Past</w:t>
            </w:r>
          </w:p>
          <w:p w14:paraId="4BBCF0F4" w14:textId="77777777" w:rsidR="00F76607" w:rsidRDefault="001863F0">
            <w:pPr>
              <w:pBdr>
                <w:top w:val="single" w:sz="8" w:space="1" w:color="auto"/>
              </w:pBdr>
              <w:spacing w:line="20" w:lineRule="exact"/>
              <w:jc w:val="center"/>
              <w:rPr>
                <w:rFonts w:eastAsiaTheme="minorEastAsia"/>
                <w:sz w:val="16"/>
                <w:szCs w:val="16"/>
              </w:rPr>
            </w:pPr>
            <w:r>
              <w:rPr>
                <w:sz w:val="16"/>
                <w:szCs w:val="16"/>
              </w:rPr>
              <w:t> </w:t>
            </w:r>
          </w:p>
        </w:tc>
      </w:tr>
      <w:tr w:rsidR="00F76607" w:rsidRPr="00B322A7" w14:paraId="505D2EAB" w14:textId="77777777">
        <w:trPr>
          <w:cantSplit/>
          <w:jc w:val="center"/>
        </w:trPr>
        <w:tc>
          <w:tcPr>
            <w:tcW w:w="3957" w:type="dxa"/>
            <w:hideMark/>
          </w:tcPr>
          <w:p w14:paraId="54D603AF" w14:textId="77777777" w:rsidR="00F76607" w:rsidRDefault="001863F0">
            <w:pPr>
              <w:keepNext/>
              <w:tabs>
                <w:tab w:val="right" w:leader="dot" w:pos="4660"/>
              </w:tabs>
              <w:ind w:left="240" w:hanging="240"/>
              <w:rPr>
                <w:rFonts w:eastAsiaTheme="minorEastAsia"/>
                <w:sz w:val="18"/>
                <w:szCs w:val="18"/>
              </w:rPr>
            </w:pPr>
            <w:r>
              <w:rPr>
                <w:sz w:val="18"/>
                <w:szCs w:val="18"/>
              </w:rPr>
              <w:t>Jan Van Geet</w:t>
            </w:r>
            <w:r>
              <w:rPr>
                <w:sz w:val="18"/>
                <w:szCs w:val="18"/>
                <w:vertAlign w:val="superscript"/>
              </w:rPr>
              <w:t>(1)</w:t>
            </w:r>
            <w:r>
              <w:rPr>
                <w:sz w:val="18"/>
                <w:szCs w:val="18"/>
              </w:rPr>
              <w:tab/>
            </w:r>
          </w:p>
        </w:tc>
        <w:tc>
          <w:tcPr>
            <w:tcW w:w="2863" w:type="dxa"/>
          </w:tcPr>
          <w:p w14:paraId="3158391A" w14:textId="4720DB43" w:rsidR="00F76607" w:rsidRDefault="00B322A7">
            <w:pPr>
              <w:spacing w:after="20"/>
              <w:rPr>
                <w:rFonts w:eastAsiaTheme="minorEastAsia"/>
                <w:sz w:val="18"/>
                <w:szCs w:val="18"/>
              </w:rPr>
            </w:pPr>
            <w:r>
              <w:rPr>
                <w:rFonts w:eastAsiaTheme="minorEastAsia"/>
                <w:sz w:val="18"/>
                <w:szCs w:val="18"/>
              </w:rPr>
              <w:t xml:space="preserve">Director </w:t>
            </w:r>
            <w:proofErr w:type="spellStart"/>
            <w:r>
              <w:rPr>
                <w:rFonts w:eastAsiaTheme="minorEastAsia"/>
                <w:sz w:val="18"/>
                <w:szCs w:val="18"/>
              </w:rPr>
              <w:t>Alsgard</w:t>
            </w:r>
            <w:proofErr w:type="spellEnd"/>
            <w:r>
              <w:rPr>
                <w:rFonts w:eastAsiaTheme="minorEastAsia"/>
                <w:sz w:val="18"/>
                <w:szCs w:val="18"/>
              </w:rPr>
              <w:t xml:space="preserve"> SA, Director Little Rock SA</w:t>
            </w:r>
          </w:p>
        </w:tc>
        <w:tc>
          <w:tcPr>
            <w:tcW w:w="2927" w:type="dxa"/>
          </w:tcPr>
          <w:p w14:paraId="20935CD6" w14:textId="2336CFD0" w:rsidR="00F76607" w:rsidRPr="00B322A7" w:rsidRDefault="00B322A7">
            <w:pPr>
              <w:rPr>
                <w:sz w:val="18"/>
                <w:szCs w:val="18"/>
                <w:lang w:val="fr-FR"/>
              </w:rPr>
            </w:pPr>
            <w:proofErr w:type="spellStart"/>
            <w:r w:rsidRPr="00B322A7">
              <w:rPr>
                <w:sz w:val="18"/>
                <w:szCs w:val="18"/>
                <w:lang w:val="fr-FR"/>
              </w:rPr>
              <w:t>Director</w:t>
            </w:r>
            <w:proofErr w:type="spellEnd"/>
            <w:r w:rsidRPr="00B322A7">
              <w:rPr>
                <w:sz w:val="18"/>
                <w:szCs w:val="18"/>
                <w:lang w:val="fr-FR"/>
              </w:rPr>
              <w:t xml:space="preserve"> VGP MISV </w:t>
            </w:r>
            <w:proofErr w:type="spellStart"/>
            <w:r w:rsidRPr="00B322A7">
              <w:rPr>
                <w:sz w:val="18"/>
                <w:szCs w:val="18"/>
                <w:lang w:val="fr-FR"/>
              </w:rPr>
              <w:t>Comm</w:t>
            </w:r>
            <w:proofErr w:type="spellEnd"/>
            <w:r w:rsidRPr="00B322A7">
              <w:rPr>
                <w:sz w:val="18"/>
                <w:szCs w:val="18"/>
                <w:lang w:val="fr-FR"/>
              </w:rPr>
              <w:t xml:space="preserve">. VA, VGP FM Services Plus </w:t>
            </w:r>
            <w:proofErr w:type="spellStart"/>
            <w:r w:rsidRPr="00B322A7">
              <w:rPr>
                <w:sz w:val="18"/>
                <w:szCs w:val="18"/>
                <w:lang w:val="fr-FR"/>
              </w:rPr>
              <w:t>Comm</w:t>
            </w:r>
            <w:proofErr w:type="spellEnd"/>
            <w:r w:rsidRPr="00B322A7">
              <w:rPr>
                <w:sz w:val="18"/>
                <w:szCs w:val="18"/>
                <w:lang w:val="fr-FR"/>
              </w:rPr>
              <w:t xml:space="preserve">. </w:t>
            </w:r>
            <w:r w:rsidRPr="00B322A7">
              <w:rPr>
                <w:sz w:val="18"/>
                <w:szCs w:val="18"/>
              </w:rPr>
              <w:t xml:space="preserve">VA, Director Little Rock SA, and Director </w:t>
            </w:r>
            <w:proofErr w:type="spellStart"/>
            <w:r w:rsidRPr="00B322A7">
              <w:rPr>
                <w:sz w:val="18"/>
                <w:szCs w:val="18"/>
              </w:rPr>
              <w:t>Drylock</w:t>
            </w:r>
            <w:proofErr w:type="spellEnd"/>
            <w:r w:rsidRPr="00B322A7">
              <w:rPr>
                <w:sz w:val="18"/>
                <w:szCs w:val="18"/>
              </w:rPr>
              <w:t xml:space="preserve"> Technologies </w:t>
            </w:r>
            <w:proofErr w:type="spellStart"/>
            <w:r w:rsidRPr="00B322A7">
              <w:rPr>
                <w:sz w:val="18"/>
                <w:szCs w:val="18"/>
              </w:rPr>
              <w:t>s.r.o</w:t>
            </w:r>
            <w:proofErr w:type="spellEnd"/>
            <w:r w:rsidRPr="00B322A7">
              <w:rPr>
                <w:sz w:val="18"/>
                <w:szCs w:val="18"/>
              </w:rPr>
              <w:t>.</w:t>
            </w:r>
          </w:p>
        </w:tc>
      </w:tr>
      <w:tr w:rsidR="00F76607" w14:paraId="5CDA6ADF" w14:textId="77777777">
        <w:trPr>
          <w:cantSplit/>
          <w:jc w:val="center"/>
        </w:trPr>
        <w:tc>
          <w:tcPr>
            <w:tcW w:w="3957" w:type="dxa"/>
          </w:tcPr>
          <w:p w14:paraId="21D4476A" w14:textId="77777777" w:rsidR="00F76607" w:rsidRDefault="001863F0">
            <w:pPr>
              <w:keepNext/>
              <w:tabs>
                <w:tab w:val="right" w:leader="dot" w:pos="4660"/>
              </w:tabs>
              <w:ind w:left="240" w:hanging="240"/>
              <w:rPr>
                <w:sz w:val="18"/>
                <w:szCs w:val="18"/>
                <w:lang w:val="nl-BE"/>
              </w:rPr>
            </w:pPr>
            <w:r>
              <w:rPr>
                <w:sz w:val="18"/>
                <w:szCs w:val="18"/>
                <w:lang w:val="nl-BE"/>
              </w:rPr>
              <w:t xml:space="preserve">Jan </w:t>
            </w:r>
            <w:proofErr w:type="spellStart"/>
            <w:r>
              <w:rPr>
                <w:sz w:val="18"/>
                <w:szCs w:val="18"/>
                <w:lang w:val="nl-BE"/>
              </w:rPr>
              <w:t>Procházka</w:t>
            </w:r>
            <w:proofErr w:type="spellEnd"/>
            <w:r>
              <w:rPr>
                <w:sz w:val="18"/>
                <w:szCs w:val="18"/>
                <w:lang w:val="nl-BE"/>
              </w:rPr>
              <w:tab/>
            </w:r>
          </w:p>
        </w:tc>
        <w:tc>
          <w:tcPr>
            <w:tcW w:w="2863" w:type="dxa"/>
          </w:tcPr>
          <w:p w14:paraId="67C4798F" w14:textId="3672AF89" w:rsidR="00F76607" w:rsidRDefault="00032866">
            <w:pPr>
              <w:spacing w:after="20"/>
              <w:rPr>
                <w:rFonts w:eastAsiaTheme="minorEastAsia"/>
                <w:sz w:val="18"/>
                <w:szCs w:val="18"/>
                <w:lang w:val="nl-BE"/>
              </w:rPr>
            </w:pPr>
            <w:r>
              <w:rPr>
                <w:rFonts w:eastAsiaTheme="minorEastAsia"/>
                <w:sz w:val="18"/>
                <w:szCs w:val="18"/>
                <w:lang w:val="nl-BE"/>
              </w:rPr>
              <w:t>none</w:t>
            </w:r>
          </w:p>
        </w:tc>
        <w:tc>
          <w:tcPr>
            <w:tcW w:w="2927" w:type="dxa"/>
          </w:tcPr>
          <w:p w14:paraId="77784ACC" w14:textId="6BDE174C" w:rsidR="00F76607" w:rsidRDefault="00032866">
            <w:pPr>
              <w:rPr>
                <w:sz w:val="18"/>
                <w:szCs w:val="18"/>
                <w:lang w:val="nl-BE"/>
              </w:rPr>
            </w:pPr>
            <w:r>
              <w:rPr>
                <w:sz w:val="18"/>
                <w:szCs w:val="18"/>
                <w:lang w:val="nl-BE"/>
              </w:rPr>
              <w:t>none</w:t>
            </w:r>
          </w:p>
        </w:tc>
      </w:tr>
      <w:tr w:rsidR="00F76607" w14:paraId="459BC3B8" w14:textId="77777777">
        <w:trPr>
          <w:cantSplit/>
          <w:jc w:val="center"/>
        </w:trPr>
        <w:tc>
          <w:tcPr>
            <w:tcW w:w="3957" w:type="dxa"/>
            <w:hideMark/>
          </w:tcPr>
          <w:p w14:paraId="4242C31B" w14:textId="77777777" w:rsidR="00F76607" w:rsidRDefault="001863F0">
            <w:pPr>
              <w:tabs>
                <w:tab w:val="right" w:leader="dot" w:pos="4660"/>
              </w:tabs>
              <w:ind w:left="240" w:hanging="240"/>
              <w:rPr>
                <w:rFonts w:eastAsiaTheme="minorEastAsia"/>
                <w:sz w:val="18"/>
                <w:szCs w:val="18"/>
              </w:rPr>
            </w:pPr>
            <w:r>
              <w:rPr>
                <w:sz w:val="18"/>
                <w:szCs w:val="18"/>
              </w:rPr>
              <w:t>Dirk Stoop</w:t>
            </w:r>
            <w:r>
              <w:rPr>
                <w:sz w:val="15"/>
                <w:szCs w:val="15"/>
                <w:vertAlign w:val="superscript"/>
              </w:rPr>
              <w:t>(2)</w:t>
            </w:r>
            <w:r>
              <w:rPr>
                <w:sz w:val="18"/>
                <w:szCs w:val="18"/>
              </w:rPr>
              <w:tab/>
            </w:r>
          </w:p>
        </w:tc>
        <w:tc>
          <w:tcPr>
            <w:tcW w:w="2863" w:type="dxa"/>
          </w:tcPr>
          <w:p w14:paraId="1643B156" w14:textId="3FBEF385" w:rsidR="00F76607" w:rsidRDefault="00B322A7" w:rsidP="00B322A7">
            <w:pPr>
              <w:spacing w:after="20"/>
              <w:rPr>
                <w:rFonts w:eastAsiaTheme="minorEastAsia"/>
                <w:sz w:val="18"/>
                <w:szCs w:val="18"/>
              </w:rPr>
            </w:pPr>
            <w:r>
              <w:rPr>
                <w:rFonts w:eastAsiaTheme="minorEastAsia"/>
                <w:sz w:val="18"/>
                <w:szCs w:val="18"/>
              </w:rPr>
              <w:t>Director Dirk Stoop BVBA</w:t>
            </w:r>
          </w:p>
        </w:tc>
        <w:tc>
          <w:tcPr>
            <w:tcW w:w="2927" w:type="dxa"/>
          </w:tcPr>
          <w:p w14:paraId="3DF6F181" w14:textId="6431BBBD" w:rsidR="00F76607" w:rsidRDefault="00B322A7">
            <w:pPr>
              <w:rPr>
                <w:sz w:val="18"/>
                <w:szCs w:val="18"/>
              </w:rPr>
            </w:pPr>
            <w:r>
              <w:rPr>
                <w:sz w:val="18"/>
                <w:szCs w:val="18"/>
              </w:rPr>
              <w:t>Director Dirk Stoop BVBA</w:t>
            </w:r>
          </w:p>
        </w:tc>
      </w:tr>
      <w:tr w:rsidR="00F76607" w:rsidRPr="001146AD" w14:paraId="12B7FD23" w14:textId="77777777">
        <w:trPr>
          <w:cantSplit/>
          <w:jc w:val="center"/>
        </w:trPr>
        <w:tc>
          <w:tcPr>
            <w:tcW w:w="3957" w:type="dxa"/>
            <w:hideMark/>
          </w:tcPr>
          <w:p w14:paraId="03B04C3B" w14:textId="77777777" w:rsidR="00F76607" w:rsidRDefault="001863F0">
            <w:pPr>
              <w:tabs>
                <w:tab w:val="right" w:leader="dot" w:pos="3460"/>
              </w:tabs>
              <w:ind w:left="240" w:hanging="240"/>
              <w:rPr>
                <w:rFonts w:eastAsiaTheme="minorEastAsia"/>
                <w:sz w:val="18"/>
                <w:szCs w:val="18"/>
              </w:rPr>
            </w:pPr>
            <w:r>
              <w:rPr>
                <w:sz w:val="18"/>
                <w:szCs w:val="18"/>
              </w:rPr>
              <w:t>Tomas Van Geet</w:t>
            </w:r>
            <w:r>
              <w:rPr>
                <w:sz w:val="15"/>
                <w:szCs w:val="15"/>
                <w:vertAlign w:val="superscript"/>
              </w:rPr>
              <w:t>(3)</w:t>
            </w:r>
            <w:r>
              <w:rPr>
                <w:sz w:val="18"/>
                <w:szCs w:val="18"/>
              </w:rPr>
              <w:tab/>
            </w:r>
          </w:p>
        </w:tc>
        <w:tc>
          <w:tcPr>
            <w:tcW w:w="2863" w:type="dxa"/>
          </w:tcPr>
          <w:p w14:paraId="1D691381" w14:textId="0D689DAA" w:rsidR="00F76607" w:rsidRPr="00032866" w:rsidRDefault="00032866">
            <w:pPr>
              <w:spacing w:after="20"/>
              <w:rPr>
                <w:rFonts w:eastAsiaTheme="minorEastAsia"/>
                <w:sz w:val="18"/>
                <w:szCs w:val="18"/>
                <w:lang w:val="nl-BE"/>
              </w:rPr>
            </w:pPr>
            <w:r w:rsidRPr="00032866">
              <w:rPr>
                <w:rFonts w:eastAsiaTheme="minorEastAsia"/>
                <w:sz w:val="18"/>
                <w:szCs w:val="18"/>
                <w:lang w:val="nl-BE"/>
              </w:rPr>
              <w:t xml:space="preserve">Director Tomas Van Geet </w:t>
            </w:r>
            <w:proofErr w:type="spellStart"/>
            <w:r w:rsidRPr="00032866">
              <w:rPr>
                <w:rFonts w:eastAsiaTheme="minorEastAsia"/>
                <w:sz w:val="18"/>
                <w:szCs w:val="18"/>
                <w:lang w:val="nl-BE"/>
              </w:rPr>
              <w:t>s.r.o</w:t>
            </w:r>
            <w:proofErr w:type="spellEnd"/>
            <w:r w:rsidRPr="00032866">
              <w:rPr>
                <w:rFonts w:eastAsiaTheme="minorEastAsia"/>
                <w:sz w:val="18"/>
                <w:szCs w:val="18"/>
                <w:lang w:val="nl-BE"/>
              </w:rPr>
              <w:t>.</w:t>
            </w:r>
          </w:p>
        </w:tc>
        <w:tc>
          <w:tcPr>
            <w:tcW w:w="2927" w:type="dxa"/>
          </w:tcPr>
          <w:p w14:paraId="631E0BCF" w14:textId="409C1756" w:rsidR="00F76607" w:rsidRPr="00032866" w:rsidRDefault="00032866">
            <w:pPr>
              <w:rPr>
                <w:sz w:val="18"/>
                <w:szCs w:val="18"/>
                <w:lang w:val="nl-BE"/>
              </w:rPr>
            </w:pPr>
            <w:r w:rsidRPr="00032866">
              <w:rPr>
                <w:sz w:val="18"/>
                <w:szCs w:val="18"/>
                <w:lang w:val="nl-BE"/>
              </w:rPr>
              <w:t xml:space="preserve">Director Tomas Van Geet </w:t>
            </w:r>
            <w:proofErr w:type="spellStart"/>
            <w:r w:rsidRPr="00032866">
              <w:rPr>
                <w:sz w:val="18"/>
                <w:szCs w:val="18"/>
                <w:lang w:val="nl-BE"/>
              </w:rPr>
              <w:t>s.r.o</w:t>
            </w:r>
            <w:proofErr w:type="spellEnd"/>
            <w:r w:rsidRPr="00032866">
              <w:rPr>
                <w:sz w:val="18"/>
                <w:szCs w:val="18"/>
                <w:lang w:val="nl-BE"/>
              </w:rPr>
              <w:t>.</w:t>
            </w:r>
          </w:p>
        </w:tc>
      </w:tr>
      <w:tr w:rsidR="00F76607" w14:paraId="57C3BCFE" w14:textId="77777777">
        <w:trPr>
          <w:cantSplit/>
          <w:jc w:val="center"/>
        </w:trPr>
        <w:tc>
          <w:tcPr>
            <w:tcW w:w="3957" w:type="dxa"/>
            <w:hideMark/>
          </w:tcPr>
          <w:p w14:paraId="3776E1A3" w14:textId="77777777" w:rsidR="00F76607" w:rsidRDefault="001863F0">
            <w:pPr>
              <w:tabs>
                <w:tab w:val="right" w:leader="dot" w:pos="3460"/>
              </w:tabs>
              <w:ind w:left="240" w:hanging="240"/>
              <w:rPr>
                <w:rFonts w:eastAsiaTheme="minorEastAsia"/>
                <w:sz w:val="18"/>
                <w:szCs w:val="18"/>
              </w:rPr>
            </w:pPr>
            <w:r>
              <w:rPr>
                <w:sz w:val="18"/>
                <w:szCs w:val="18"/>
              </w:rPr>
              <w:t xml:space="preserve">Jan </w:t>
            </w:r>
            <w:proofErr w:type="spellStart"/>
            <w:r>
              <w:rPr>
                <w:sz w:val="18"/>
                <w:szCs w:val="18"/>
              </w:rPr>
              <w:t>Papoušek</w:t>
            </w:r>
            <w:proofErr w:type="spellEnd"/>
            <w:r>
              <w:rPr>
                <w:sz w:val="18"/>
                <w:szCs w:val="18"/>
                <w:vertAlign w:val="superscript"/>
              </w:rPr>
              <w:t>(4)</w:t>
            </w:r>
            <w:r>
              <w:rPr>
                <w:sz w:val="18"/>
                <w:szCs w:val="18"/>
              </w:rPr>
              <w:tab/>
            </w:r>
          </w:p>
        </w:tc>
        <w:tc>
          <w:tcPr>
            <w:tcW w:w="2863" w:type="dxa"/>
          </w:tcPr>
          <w:p w14:paraId="66BAED59" w14:textId="06C62865" w:rsidR="00F76607" w:rsidRDefault="00081C45">
            <w:pPr>
              <w:spacing w:after="20"/>
              <w:rPr>
                <w:rFonts w:eastAsiaTheme="minorEastAsia"/>
                <w:sz w:val="18"/>
                <w:szCs w:val="18"/>
              </w:rPr>
            </w:pPr>
            <w:r>
              <w:rPr>
                <w:rFonts w:eastAsiaTheme="minorEastAsia"/>
                <w:sz w:val="18"/>
                <w:szCs w:val="18"/>
              </w:rPr>
              <w:t>none</w:t>
            </w:r>
          </w:p>
        </w:tc>
        <w:tc>
          <w:tcPr>
            <w:tcW w:w="2927" w:type="dxa"/>
          </w:tcPr>
          <w:p w14:paraId="2C3065F2" w14:textId="04E3EB61" w:rsidR="00F76607" w:rsidRDefault="00081C45">
            <w:pPr>
              <w:rPr>
                <w:sz w:val="18"/>
                <w:szCs w:val="18"/>
              </w:rPr>
            </w:pPr>
            <w:r>
              <w:rPr>
                <w:sz w:val="18"/>
                <w:szCs w:val="18"/>
              </w:rPr>
              <w:t>none</w:t>
            </w:r>
          </w:p>
        </w:tc>
      </w:tr>
    </w:tbl>
    <w:p w14:paraId="0B365270" w14:textId="77777777" w:rsidR="00F76607" w:rsidRDefault="001863F0">
      <w:pPr>
        <w:pBdr>
          <w:bottom w:val="single" w:sz="6" w:space="1" w:color="auto"/>
        </w:pBdr>
        <w:spacing w:after="60" w:line="120" w:lineRule="exact"/>
        <w:ind w:right="7200"/>
        <w:rPr>
          <w:rFonts w:eastAsiaTheme="minorEastAsia"/>
          <w:noProof/>
          <w:sz w:val="16"/>
          <w:szCs w:val="16"/>
        </w:rPr>
      </w:pPr>
      <w:r>
        <w:rPr>
          <w:noProof/>
          <w:sz w:val="16"/>
          <w:szCs w:val="16"/>
        </w:rPr>
        <w:t> </w:t>
      </w:r>
    </w:p>
    <w:p w14:paraId="3E055752" w14:textId="77777777" w:rsidR="00F76607" w:rsidRDefault="001863F0">
      <w:pPr>
        <w:ind w:left="369" w:hanging="369"/>
        <w:contextualSpacing/>
        <w:rPr>
          <w:sz w:val="16"/>
          <w:szCs w:val="16"/>
        </w:rPr>
      </w:pPr>
      <w:r>
        <w:rPr>
          <w:sz w:val="16"/>
          <w:szCs w:val="16"/>
        </w:rPr>
        <w:t xml:space="preserve">(1) Either directly or as permanent representative of Jan Van Geet </w:t>
      </w:r>
      <w:proofErr w:type="spellStart"/>
      <w:r>
        <w:rPr>
          <w:sz w:val="16"/>
          <w:szCs w:val="16"/>
        </w:rPr>
        <w:t>s.r.o</w:t>
      </w:r>
      <w:proofErr w:type="spellEnd"/>
      <w:r>
        <w:rPr>
          <w:sz w:val="16"/>
          <w:szCs w:val="16"/>
        </w:rPr>
        <w:t>.</w:t>
      </w:r>
    </w:p>
    <w:p w14:paraId="6DF3CD50" w14:textId="77777777" w:rsidR="00F76607" w:rsidRDefault="001863F0">
      <w:pPr>
        <w:ind w:left="369" w:hanging="369"/>
        <w:contextualSpacing/>
        <w:rPr>
          <w:sz w:val="16"/>
          <w:szCs w:val="16"/>
        </w:rPr>
      </w:pPr>
      <w:r>
        <w:rPr>
          <w:sz w:val="16"/>
          <w:szCs w:val="16"/>
        </w:rPr>
        <w:t>(2) Either directly or as permanent representative of Dirk Stoop BVBA.</w:t>
      </w:r>
    </w:p>
    <w:p w14:paraId="3D185ED0" w14:textId="77777777" w:rsidR="00F76607" w:rsidRDefault="001863F0">
      <w:pPr>
        <w:spacing w:before="120"/>
        <w:ind w:left="369" w:hanging="369"/>
        <w:contextualSpacing/>
        <w:rPr>
          <w:szCs w:val="24"/>
        </w:rPr>
      </w:pPr>
      <w:r>
        <w:rPr>
          <w:sz w:val="16"/>
          <w:szCs w:val="16"/>
        </w:rPr>
        <w:t xml:space="preserve">(3) Either directly or as permanent representative of Tomas Van Geet </w:t>
      </w:r>
      <w:proofErr w:type="spellStart"/>
      <w:r>
        <w:rPr>
          <w:sz w:val="16"/>
          <w:szCs w:val="16"/>
        </w:rPr>
        <w:t>s.r.o</w:t>
      </w:r>
      <w:proofErr w:type="spellEnd"/>
      <w:r>
        <w:rPr>
          <w:sz w:val="16"/>
          <w:szCs w:val="16"/>
        </w:rPr>
        <w:t>.</w:t>
      </w:r>
    </w:p>
    <w:p w14:paraId="6AFA2900" w14:textId="05C28A95" w:rsidR="00F76607" w:rsidRDefault="001863F0">
      <w:pPr>
        <w:spacing w:before="120"/>
        <w:ind w:left="369" w:hanging="369"/>
        <w:contextualSpacing/>
        <w:rPr>
          <w:szCs w:val="24"/>
        </w:rPr>
      </w:pPr>
      <w:r>
        <w:rPr>
          <w:sz w:val="16"/>
          <w:szCs w:val="16"/>
        </w:rPr>
        <w:t xml:space="preserve">(4) Either directly or as permanent representative of Jan </w:t>
      </w:r>
      <w:proofErr w:type="spellStart"/>
      <w:r>
        <w:rPr>
          <w:sz w:val="16"/>
          <w:szCs w:val="16"/>
        </w:rPr>
        <w:t>Papoušek</w:t>
      </w:r>
      <w:proofErr w:type="spellEnd"/>
      <w:r>
        <w:rPr>
          <w:sz w:val="16"/>
          <w:szCs w:val="16"/>
        </w:rPr>
        <w:t xml:space="preserve"> </w:t>
      </w:r>
      <w:proofErr w:type="spellStart"/>
      <w:r>
        <w:rPr>
          <w:sz w:val="16"/>
          <w:szCs w:val="16"/>
        </w:rPr>
        <w:t>s.r.o</w:t>
      </w:r>
      <w:proofErr w:type="spellEnd"/>
      <w:r>
        <w:rPr>
          <w:sz w:val="16"/>
          <w:szCs w:val="16"/>
        </w:rPr>
        <w:t>.</w:t>
      </w:r>
    </w:p>
    <w:p w14:paraId="1A03E43B" w14:textId="77777777" w:rsidR="00F76607" w:rsidRDefault="001863F0">
      <w:pPr>
        <w:widowControl w:val="0"/>
        <w:spacing w:before="240"/>
        <w:rPr>
          <w:b/>
          <w:bCs/>
          <w:sz w:val="18"/>
          <w:szCs w:val="18"/>
        </w:rPr>
      </w:pPr>
      <w:r>
        <w:rPr>
          <w:b/>
          <w:bCs/>
          <w:sz w:val="18"/>
          <w:szCs w:val="18"/>
        </w:rPr>
        <w:t>Evaluation of the Board of Directors and its Committees</w:t>
      </w:r>
    </w:p>
    <w:p w14:paraId="22576F65" w14:textId="77777777" w:rsidR="00F76607" w:rsidRDefault="001863F0">
      <w:pPr>
        <w:spacing w:before="240"/>
        <w:ind w:firstLine="857"/>
        <w:rPr>
          <w:sz w:val="18"/>
          <w:szCs w:val="18"/>
        </w:rPr>
      </w:pPr>
      <w:r>
        <w:rPr>
          <w:sz w:val="18"/>
          <w:szCs w:val="18"/>
        </w:rPr>
        <w:t>In accordance with its rules of procedure as set forth in paragraph 6 of annex 1 to the VGP Charter, the Board of Directors assesses its performance every three years as well as the operation of the Audit Committee and the Remuneration Committee.</w:t>
      </w:r>
    </w:p>
    <w:p w14:paraId="0F5945DE" w14:textId="77777777" w:rsidR="00F76607" w:rsidRDefault="001863F0">
      <w:pPr>
        <w:spacing w:before="240"/>
        <w:ind w:firstLine="857"/>
        <w:rPr>
          <w:sz w:val="18"/>
          <w:szCs w:val="18"/>
        </w:rPr>
      </w:pPr>
      <w:r>
        <w:rPr>
          <w:sz w:val="18"/>
          <w:szCs w:val="18"/>
        </w:rPr>
        <w:t xml:space="preserve">The Board of Directors and its committees will carry out a new self-assessment in the course of 2017. </w:t>
      </w:r>
    </w:p>
    <w:p w14:paraId="6EDA16C2" w14:textId="77777777" w:rsidR="00F76607" w:rsidRDefault="001863F0">
      <w:pPr>
        <w:widowControl w:val="0"/>
        <w:spacing w:before="240"/>
        <w:rPr>
          <w:rFonts w:eastAsiaTheme="minorEastAsia"/>
          <w:szCs w:val="24"/>
        </w:rPr>
      </w:pPr>
      <w:r>
        <w:rPr>
          <w:b/>
          <w:bCs/>
          <w:sz w:val="18"/>
          <w:szCs w:val="18"/>
        </w:rPr>
        <w:t>Remuneration</w:t>
      </w:r>
    </w:p>
    <w:p w14:paraId="3FA80AC3" w14:textId="77777777" w:rsidR="00F76607" w:rsidRDefault="001863F0">
      <w:pPr>
        <w:keepNext/>
        <w:spacing w:before="240"/>
        <w:rPr>
          <w:b/>
          <w:bCs/>
          <w:i/>
          <w:iCs/>
          <w:sz w:val="18"/>
          <w:szCs w:val="18"/>
        </w:rPr>
      </w:pPr>
      <w:r>
        <w:rPr>
          <w:b/>
          <w:bCs/>
          <w:i/>
          <w:iCs/>
          <w:sz w:val="18"/>
          <w:szCs w:val="18"/>
        </w:rPr>
        <w:t>Remuneration for Directors and non-executive Directors in financial year 2016</w:t>
      </w:r>
    </w:p>
    <w:p w14:paraId="2CB19F1A" w14:textId="77777777" w:rsidR="00F76607" w:rsidRDefault="001863F0">
      <w:pPr>
        <w:spacing w:before="240"/>
        <w:ind w:firstLine="857"/>
        <w:rPr>
          <w:sz w:val="18"/>
          <w:szCs w:val="18"/>
        </w:rPr>
      </w:pPr>
      <w:r>
        <w:rPr>
          <w:sz w:val="18"/>
          <w:szCs w:val="18"/>
        </w:rPr>
        <w:t xml:space="preserve">The Directors received an annual fixed remuneration of € 10,000 (the chairman received a fixed annual remuneration of € 20,000). The Directors also received an attendance fee of € 1,000 for each meeting of the Board of Directors (the chairman received an attendance fee of € 2,000) and € 500 for each meeting of the Audit Committee or the Remuneration Committee they attended. </w:t>
      </w:r>
    </w:p>
    <w:p w14:paraId="35316E21" w14:textId="77777777" w:rsidR="00F76607" w:rsidRDefault="001863F0">
      <w:pPr>
        <w:spacing w:before="240"/>
        <w:ind w:firstLine="857"/>
        <w:rPr>
          <w:sz w:val="18"/>
          <w:szCs w:val="18"/>
        </w:rPr>
      </w:pPr>
      <w:r>
        <w:rPr>
          <w:sz w:val="18"/>
          <w:szCs w:val="18"/>
        </w:rPr>
        <w:t>For further details of the remuneration policy of the Directors we refer to Annex 2 point 6.1 of the VGP Corporate Governance Charter.</w:t>
      </w:r>
    </w:p>
    <w:p w14:paraId="445ABEFB" w14:textId="77777777" w:rsidR="00F76607" w:rsidRDefault="001863F0">
      <w:pPr>
        <w:spacing w:before="240"/>
        <w:ind w:firstLine="857"/>
        <w:rPr>
          <w:sz w:val="18"/>
          <w:szCs w:val="18"/>
        </w:rPr>
      </w:pPr>
      <w:r>
        <w:rPr>
          <w:sz w:val="18"/>
          <w:szCs w:val="18"/>
        </w:rPr>
        <w:t xml:space="preserve">Non–executive Directors did not receive any remuneration linked to performance or results. </w:t>
      </w:r>
    </w:p>
    <w:p w14:paraId="685D789A" w14:textId="77777777" w:rsidR="00F76607" w:rsidRDefault="001863F0">
      <w:pPr>
        <w:keepNext/>
        <w:spacing w:before="240"/>
        <w:ind w:firstLine="856"/>
        <w:rPr>
          <w:sz w:val="18"/>
          <w:szCs w:val="18"/>
        </w:rPr>
      </w:pPr>
      <w:r>
        <w:rPr>
          <w:sz w:val="18"/>
          <w:szCs w:val="18"/>
        </w:rPr>
        <w:t>The remuneration of the members of the Board of Directors for the financial year ended 31 December 2016 is reflected in the table below:</w:t>
      </w:r>
    </w:p>
    <w:tbl>
      <w:tblPr>
        <w:tblW w:w="4636" w:type="pct"/>
        <w:jc w:val="center"/>
        <w:tblLayout w:type="fixed"/>
        <w:tblCellMar>
          <w:left w:w="0" w:type="dxa"/>
          <w:right w:w="0" w:type="dxa"/>
        </w:tblCellMar>
        <w:tblLook w:val="04A0" w:firstRow="1" w:lastRow="0" w:firstColumn="1" w:lastColumn="0" w:noHBand="0" w:noVBand="1"/>
      </w:tblPr>
      <w:tblGrid>
        <w:gridCol w:w="2766"/>
        <w:gridCol w:w="2153"/>
        <w:gridCol w:w="1676"/>
        <w:gridCol w:w="1431"/>
        <w:gridCol w:w="1017"/>
      </w:tblGrid>
      <w:tr w:rsidR="00F76607" w14:paraId="30DED4B8" w14:textId="77777777">
        <w:trPr>
          <w:tblHeader/>
          <w:jc w:val="center"/>
        </w:trPr>
        <w:tc>
          <w:tcPr>
            <w:tcW w:w="2764" w:type="dxa"/>
            <w:vAlign w:val="center"/>
            <w:hideMark/>
          </w:tcPr>
          <w:p w14:paraId="64E8887B" w14:textId="77777777" w:rsidR="00F76607" w:rsidRDefault="00F76607">
            <w:pPr>
              <w:rPr>
                <w:sz w:val="1"/>
                <w:szCs w:val="18"/>
              </w:rPr>
            </w:pPr>
          </w:p>
        </w:tc>
        <w:tc>
          <w:tcPr>
            <w:tcW w:w="2152" w:type="dxa"/>
          </w:tcPr>
          <w:p w14:paraId="47C8BD09" w14:textId="77777777" w:rsidR="00F76607" w:rsidRDefault="00F76607">
            <w:pPr>
              <w:rPr>
                <w:sz w:val="1"/>
                <w:szCs w:val="18"/>
              </w:rPr>
            </w:pPr>
          </w:p>
        </w:tc>
        <w:tc>
          <w:tcPr>
            <w:tcW w:w="1675" w:type="dxa"/>
            <w:vAlign w:val="center"/>
            <w:hideMark/>
          </w:tcPr>
          <w:p w14:paraId="7B08E0C0" w14:textId="77777777" w:rsidR="00F76607" w:rsidRDefault="00F76607">
            <w:pPr>
              <w:rPr>
                <w:sz w:val="1"/>
                <w:szCs w:val="18"/>
              </w:rPr>
            </w:pPr>
          </w:p>
        </w:tc>
        <w:tc>
          <w:tcPr>
            <w:tcW w:w="1430" w:type="dxa"/>
            <w:vAlign w:val="center"/>
            <w:hideMark/>
          </w:tcPr>
          <w:p w14:paraId="1EA327D4" w14:textId="77777777" w:rsidR="00F76607" w:rsidRDefault="00F76607">
            <w:pPr>
              <w:rPr>
                <w:sz w:val="1"/>
                <w:szCs w:val="18"/>
              </w:rPr>
            </w:pPr>
          </w:p>
        </w:tc>
        <w:tc>
          <w:tcPr>
            <w:tcW w:w="1016" w:type="dxa"/>
            <w:vAlign w:val="center"/>
            <w:hideMark/>
          </w:tcPr>
          <w:p w14:paraId="743BB014" w14:textId="77777777" w:rsidR="00F76607" w:rsidRDefault="00F76607">
            <w:pPr>
              <w:rPr>
                <w:sz w:val="1"/>
                <w:szCs w:val="18"/>
              </w:rPr>
            </w:pPr>
          </w:p>
        </w:tc>
      </w:tr>
      <w:tr w:rsidR="00F76607" w14:paraId="01D584A2" w14:textId="77777777">
        <w:trPr>
          <w:cantSplit/>
          <w:tblHeader/>
          <w:jc w:val="center"/>
        </w:trPr>
        <w:tc>
          <w:tcPr>
            <w:tcW w:w="2764" w:type="dxa"/>
            <w:noWrap/>
            <w:vAlign w:val="bottom"/>
            <w:hideMark/>
          </w:tcPr>
          <w:p w14:paraId="6F936E95" w14:textId="77777777" w:rsidR="00F76607" w:rsidRDefault="001863F0">
            <w:pPr>
              <w:keepNext/>
              <w:rPr>
                <w:b/>
                <w:bCs/>
                <w:sz w:val="16"/>
                <w:szCs w:val="16"/>
              </w:rPr>
            </w:pPr>
            <w:r>
              <w:rPr>
                <w:b/>
                <w:bCs/>
                <w:sz w:val="16"/>
                <w:szCs w:val="16"/>
              </w:rPr>
              <w:t>Name</w:t>
            </w:r>
          </w:p>
          <w:p w14:paraId="06063EDF" w14:textId="77777777" w:rsidR="00F76607" w:rsidRDefault="001863F0">
            <w:pPr>
              <w:keepNext/>
              <w:rPr>
                <w:rFonts w:eastAsiaTheme="minorEastAsia"/>
                <w:i/>
                <w:sz w:val="16"/>
                <w:szCs w:val="16"/>
              </w:rPr>
            </w:pPr>
            <w:r>
              <w:rPr>
                <w:bCs/>
                <w:i/>
                <w:sz w:val="16"/>
                <w:szCs w:val="16"/>
              </w:rPr>
              <w:t>Amounts in EUR</w:t>
            </w:r>
          </w:p>
          <w:p w14:paraId="38A6A47D" w14:textId="77777777" w:rsidR="00F76607" w:rsidRDefault="001863F0">
            <w:pPr>
              <w:keepNext/>
              <w:pBdr>
                <w:top w:val="single" w:sz="8" w:space="1" w:color="auto"/>
              </w:pBdr>
              <w:spacing w:before="20" w:line="20" w:lineRule="exact"/>
              <w:jc w:val="center"/>
              <w:rPr>
                <w:rFonts w:eastAsiaTheme="minorEastAsia"/>
                <w:sz w:val="16"/>
                <w:szCs w:val="16"/>
              </w:rPr>
            </w:pPr>
            <w:r>
              <w:rPr>
                <w:sz w:val="16"/>
                <w:szCs w:val="16"/>
              </w:rPr>
              <w:t> </w:t>
            </w:r>
          </w:p>
        </w:tc>
        <w:tc>
          <w:tcPr>
            <w:tcW w:w="2152" w:type="dxa"/>
            <w:vAlign w:val="bottom"/>
          </w:tcPr>
          <w:p w14:paraId="6C012114" w14:textId="77777777" w:rsidR="00F76607" w:rsidRDefault="001863F0">
            <w:pPr>
              <w:jc w:val="center"/>
              <w:rPr>
                <w:rFonts w:eastAsiaTheme="minorEastAsia"/>
                <w:sz w:val="16"/>
                <w:szCs w:val="16"/>
              </w:rPr>
            </w:pPr>
            <w:r>
              <w:rPr>
                <w:b/>
                <w:bCs/>
                <w:sz w:val="16"/>
                <w:szCs w:val="16"/>
              </w:rPr>
              <w:t>Fixed remuneration</w:t>
            </w:r>
          </w:p>
          <w:p w14:paraId="025EFC06" w14:textId="77777777" w:rsidR="00F76607" w:rsidRDefault="001863F0">
            <w:pPr>
              <w:pBdr>
                <w:top w:val="single" w:sz="8" w:space="1" w:color="auto"/>
              </w:pBdr>
              <w:spacing w:line="20" w:lineRule="exact"/>
              <w:jc w:val="center"/>
              <w:rPr>
                <w:rFonts w:eastAsiaTheme="minorEastAsia"/>
                <w:sz w:val="16"/>
                <w:szCs w:val="16"/>
              </w:rPr>
            </w:pPr>
            <w:r>
              <w:rPr>
                <w:sz w:val="16"/>
                <w:szCs w:val="16"/>
              </w:rPr>
              <w:t> </w:t>
            </w:r>
          </w:p>
        </w:tc>
        <w:tc>
          <w:tcPr>
            <w:tcW w:w="1675" w:type="dxa"/>
            <w:tcMar>
              <w:top w:w="0" w:type="dxa"/>
              <w:left w:w="144" w:type="dxa"/>
              <w:bottom w:w="0" w:type="dxa"/>
              <w:right w:w="0" w:type="dxa"/>
            </w:tcMar>
            <w:vAlign w:val="bottom"/>
            <w:hideMark/>
          </w:tcPr>
          <w:p w14:paraId="10F71A1F" w14:textId="77777777" w:rsidR="00F76607" w:rsidRDefault="001863F0">
            <w:pPr>
              <w:jc w:val="center"/>
              <w:rPr>
                <w:rFonts w:eastAsiaTheme="minorEastAsia"/>
                <w:sz w:val="16"/>
                <w:szCs w:val="16"/>
              </w:rPr>
            </w:pPr>
            <w:r>
              <w:rPr>
                <w:b/>
                <w:bCs/>
                <w:sz w:val="16"/>
                <w:szCs w:val="16"/>
              </w:rPr>
              <w:t>Variable board attendance</w:t>
            </w:r>
          </w:p>
          <w:p w14:paraId="72B1C39E" w14:textId="77777777" w:rsidR="00F76607" w:rsidRDefault="001863F0">
            <w:pPr>
              <w:pBdr>
                <w:top w:val="single" w:sz="8" w:space="1" w:color="auto"/>
              </w:pBdr>
              <w:spacing w:line="20" w:lineRule="exact"/>
              <w:jc w:val="center"/>
              <w:rPr>
                <w:rFonts w:eastAsiaTheme="minorEastAsia"/>
                <w:sz w:val="16"/>
                <w:szCs w:val="16"/>
              </w:rPr>
            </w:pPr>
            <w:r>
              <w:rPr>
                <w:sz w:val="16"/>
                <w:szCs w:val="16"/>
              </w:rPr>
              <w:t> </w:t>
            </w:r>
          </w:p>
        </w:tc>
        <w:tc>
          <w:tcPr>
            <w:tcW w:w="1430" w:type="dxa"/>
            <w:tcMar>
              <w:top w:w="0" w:type="dxa"/>
              <w:left w:w="144" w:type="dxa"/>
              <w:bottom w:w="0" w:type="dxa"/>
              <w:right w:w="0" w:type="dxa"/>
            </w:tcMar>
            <w:vAlign w:val="bottom"/>
            <w:hideMark/>
          </w:tcPr>
          <w:p w14:paraId="28AA899F" w14:textId="77777777" w:rsidR="00F76607" w:rsidRDefault="001863F0">
            <w:pPr>
              <w:jc w:val="center"/>
              <w:rPr>
                <w:sz w:val="16"/>
                <w:szCs w:val="16"/>
              </w:rPr>
            </w:pPr>
            <w:r>
              <w:rPr>
                <w:b/>
                <w:bCs/>
                <w:sz w:val="16"/>
                <w:szCs w:val="16"/>
              </w:rPr>
              <w:t>Variable committee attendance</w:t>
            </w:r>
          </w:p>
          <w:p w14:paraId="316E711A" w14:textId="77777777" w:rsidR="00F76607" w:rsidRDefault="001863F0">
            <w:pPr>
              <w:pBdr>
                <w:top w:val="single" w:sz="8" w:space="1" w:color="auto"/>
              </w:pBdr>
              <w:spacing w:line="20" w:lineRule="exact"/>
              <w:jc w:val="center"/>
              <w:rPr>
                <w:rFonts w:eastAsiaTheme="minorEastAsia"/>
                <w:sz w:val="16"/>
                <w:szCs w:val="16"/>
              </w:rPr>
            </w:pPr>
            <w:r>
              <w:rPr>
                <w:sz w:val="16"/>
                <w:szCs w:val="16"/>
              </w:rPr>
              <w:t> </w:t>
            </w:r>
          </w:p>
        </w:tc>
        <w:tc>
          <w:tcPr>
            <w:tcW w:w="1016" w:type="dxa"/>
            <w:tcMar>
              <w:top w:w="0" w:type="dxa"/>
              <w:left w:w="144" w:type="dxa"/>
              <w:bottom w:w="0" w:type="dxa"/>
              <w:right w:w="0" w:type="dxa"/>
            </w:tcMar>
            <w:vAlign w:val="bottom"/>
            <w:hideMark/>
          </w:tcPr>
          <w:p w14:paraId="74F5D233" w14:textId="77777777" w:rsidR="00F76607" w:rsidRDefault="001863F0">
            <w:pPr>
              <w:jc w:val="center"/>
              <w:rPr>
                <w:sz w:val="16"/>
                <w:szCs w:val="16"/>
              </w:rPr>
            </w:pPr>
            <w:r>
              <w:rPr>
                <w:b/>
                <w:bCs/>
                <w:sz w:val="16"/>
                <w:szCs w:val="16"/>
              </w:rPr>
              <w:t>Total</w:t>
            </w:r>
          </w:p>
          <w:p w14:paraId="158DF3FA" w14:textId="77777777" w:rsidR="00F76607" w:rsidRDefault="001863F0">
            <w:pPr>
              <w:pBdr>
                <w:top w:val="single" w:sz="8" w:space="1" w:color="auto"/>
              </w:pBdr>
              <w:spacing w:line="20" w:lineRule="exact"/>
              <w:jc w:val="center"/>
              <w:rPr>
                <w:rFonts w:eastAsiaTheme="minorEastAsia"/>
                <w:sz w:val="16"/>
                <w:szCs w:val="16"/>
              </w:rPr>
            </w:pPr>
            <w:r>
              <w:rPr>
                <w:sz w:val="16"/>
                <w:szCs w:val="16"/>
              </w:rPr>
              <w:t> </w:t>
            </w:r>
          </w:p>
        </w:tc>
      </w:tr>
      <w:tr w:rsidR="00F76607" w14:paraId="35152711" w14:textId="77777777">
        <w:trPr>
          <w:cantSplit/>
          <w:jc w:val="center"/>
        </w:trPr>
        <w:tc>
          <w:tcPr>
            <w:tcW w:w="2764" w:type="dxa"/>
          </w:tcPr>
          <w:p w14:paraId="774DE0E9" w14:textId="77777777" w:rsidR="00F76607" w:rsidRDefault="001863F0">
            <w:pPr>
              <w:keepNext/>
              <w:tabs>
                <w:tab w:val="right" w:leader="dot" w:pos="4660"/>
              </w:tabs>
              <w:ind w:left="240" w:hanging="240"/>
              <w:rPr>
                <w:rFonts w:eastAsiaTheme="minorEastAsia"/>
                <w:b/>
                <w:sz w:val="18"/>
                <w:szCs w:val="18"/>
              </w:rPr>
            </w:pPr>
            <w:r>
              <w:rPr>
                <w:rFonts w:eastAsiaTheme="minorEastAsia"/>
                <w:b/>
                <w:sz w:val="18"/>
                <w:szCs w:val="18"/>
              </w:rPr>
              <w:t>Chairman</w:t>
            </w:r>
          </w:p>
        </w:tc>
        <w:tc>
          <w:tcPr>
            <w:tcW w:w="2152" w:type="dxa"/>
            <w:vAlign w:val="bottom"/>
          </w:tcPr>
          <w:p w14:paraId="01BA5558" w14:textId="77777777" w:rsidR="00F76607" w:rsidRDefault="001863F0">
            <w:pPr>
              <w:jc w:val="center"/>
              <w:rPr>
                <w:sz w:val="18"/>
                <w:szCs w:val="18"/>
              </w:rPr>
            </w:pPr>
            <w:r>
              <w:rPr>
                <w:sz w:val="18"/>
                <w:szCs w:val="18"/>
              </w:rPr>
              <w:t>20,000</w:t>
            </w:r>
          </w:p>
        </w:tc>
        <w:tc>
          <w:tcPr>
            <w:tcW w:w="1675" w:type="dxa"/>
            <w:vAlign w:val="bottom"/>
          </w:tcPr>
          <w:p w14:paraId="6468BD66" w14:textId="77777777" w:rsidR="00F76607" w:rsidRDefault="001863F0">
            <w:pPr>
              <w:jc w:val="center"/>
              <w:rPr>
                <w:sz w:val="18"/>
                <w:szCs w:val="18"/>
              </w:rPr>
            </w:pPr>
            <w:r>
              <w:rPr>
                <w:sz w:val="18"/>
                <w:szCs w:val="18"/>
              </w:rPr>
              <w:t>10,000</w:t>
            </w:r>
          </w:p>
        </w:tc>
        <w:tc>
          <w:tcPr>
            <w:tcW w:w="1430" w:type="dxa"/>
            <w:noWrap/>
            <w:tcMar>
              <w:top w:w="0" w:type="dxa"/>
              <w:left w:w="144" w:type="dxa"/>
              <w:bottom w:w="0" w:type="dxa"/>
              <w:right w:w="0" w:type="dxa"/>
            </w:tcMar>
            <w:vAlign w:val="bottom"/>
          </w:tcPr>
          <w:p w14:paraId="2136E73F" w14:textId="77777777" w:rsidR="00F76607" w:rsidRDefault="001863F0">
            <w:pPr>
              <w:tabs>
                <w:tab w:val="right" w:pos="760"/>
                <w:tab w:val="decimal" w:pos="800"/>
              </w:tabs>
              <w:spacing w:after="20"/>
              <w:jc w:val="center"/>
              <w:rPr>
                <w:rFonts w:eastAsiaTheme="minorEastAsia"/>
                <w:sz w:val="18"/>
                <w:szCs w:val="18"/>
              </w:rPr>
            </w:pPr>
            <w:r>
              <w:rPr>
                <w:rFonts w:eastAsiaTheme="minorEastAsia"/>
                <w:sz w:val="18"/>
                <w:szCs w:val="18"/>
              </w:rPr>
              <w:t>1,500</w:t>
            </w:r>
          </w:p>
        </w:tc>
        <w:tc>
          <w:tcPr>
            <w:tcW w:w="1016" w:type="dxa"/>
            <w:noWrap/>
            <w:tcMar>
              <w:top w:w="0" w:type="dxa"/>
              <w:left w:w="144" w:type="dxa"/>
              <w:bottom w:w="0" w:type="dxa"/>
              <w:right w:w="0" w:type="dxa"/>
            </w:tcMar>
            <w:vAlign w:val="bottom"/>
          </w:tcPr>
          <w:p w14:paraId="525229A9" w14:textId="77777777" w:rsidR="00F76607" w:rsidRDefault="001863F0">
            <w:pPr>
              <w:tabs>
                <w:tab w:val="right" w:pos="800"/>
                <w:tab w:val="decimal" w:pos="840"/>
              </w:tabs>
              <w:spacing w:after="20"/>
              <w:jc w:val="center"/>
              <w:rPr>
                <w:rFonts w:eastAsiaTheme="minorEastAsia"/>
                <w:sz w:val="18"/>
                <w:szCs w:val="18"/>
              </w:rPr>
            </w:pPr>
            <w:r>
              <w:rPr>
                <w:rFonts w:eastAsiaTheme="minorEastAsia"/>
                <w:sz w:val="18"/>
                <w:szCs w:val="18"/>
              </w:rPr>
              <w:t>31,500</w:t>
            </w:r>
          </w:p>
        </w:tc>
      </w:tr>
      <w:tr w:rsidR="00F76607" w14:paraId="6B673B0B" w14:textId="77777777">
        <w:trPr>
          <w:cantSplit/>
          <w:jc w:val="center"/>
        </w:trPr>
        <w:tc>
          <w:tcPr>
            <w:tcW w:w="2764" w:type="dxa"/>
          </w:tcPr>
          <w:p w14:paraId="07887585" w14:textId="77777777" w:rsidR="00F76607" w:rsidRDefault="001863F0">
            <w:pPr>
              <w:keepNext/>
              <w:tabs>
                <w:tab w:val="right" w:leader="dot" w:pos="4660"/>
              </w:tabs>
              <w:ind w:left="240" w:hanging="240"/>
              <w:rPr>
                <w:rFonts w:eastAsiaTheme="minorEastAsia"/>
                <w:sz w:val="18"/>
                <w:szCs w:val="18"/>
              </w:rPr>
            </w:pPr>
            <w:r>
              <w:rPr>
                <w:sz w:val="18"/>
                <w:szCs w:val="18"/>
              </w:rPr>
              <w:t xml:space="preserve">Marek </w:t>
            </w:r>
            <w:proofErr w:type="spellStart"/>
            <w:r>
              <w:rPr>
                <w:sz w:val="18"/>
                <w:szCs w:val="18"/>
              </w:rPr>
              <w:t>Šebest’ák</w:t>
            </w:r>
            <w:proofErr w:type="spellEnd"/>
            <w:r>
              <w:rPr>
                <w:sz w:val="18"/>
                <w:szCs w:val="18"/>
              </w:rPr>
              <w:tab/>
            </w:r>
          </w:p>
        </w:tc>
        <w:tc>
          <w:tcPr>
            <w:tcW w:w="2152" w:type="dxa"/>
            <w:vAlign w:val="bottom"/>
          </w:tcPr>
          <w:p w14:paraId="19112797" w14:textId="77777777" w:rsidR="00F76607" w:rsidRDefault="00F76607">
            <w:pPr>
              <w:jc w:val="center"/>
              <w:rPr>
                <w:sz w:val="18"/>
                <w:szCs w:val="18"/>
              </w:rPr>
            </w:pPr>
          </w:p>
        </w:tc>
        <w:tc>
          <w:tcPr>
            <w:tcW w:w="1675" w:type="dxa"/>
            <w:vAlign w:val="bottom"/>
          </w:tcPr>
          <w:p w14:paraId="42288F24" w14:textId="77777777" w:rsidR="00F76607" w:rsidRDefault="00F76607">
            <w:pPr>
              <w:jc w:val="center"/>
              <w:rPr>
                <w:sz w:val="18"/>
                <w:szCs w:val="18"/>
              </w:rPr>
            </w:pPr>
          </w:p>
        </w:tc>
        <w:tc>
          <w:tcPr>
            <w:tcW w:w="1430" w:type="dxa"/>
            <w:noWrap/>
            <w:tcMar>
              <w:top w:w="0" w:type="dxa"/>
              <w:left w:w="144" w:type="dxa"/>
              <w:bottom w:w="0" w:type="dxa"/>
              <w:right w:w="0" w:type="dxa"/>
            </w:tcMar>
            <w:vAlign w:val="bottom"/>
          </w:tcPr>
          <w:p w14:paraId="29083644" w14:textId="77777777" w:rsidR="00F76607" w:rsidRDefault="00F76607">
            <w:pPr>
              <w:tabs>
                <w:tab w:val="right" w:pos="760"/>
                <w:tab w:val="decimal" w:pos="800"/>
              </w:tabs>
              <w:spacing w:after="20"/>
              <w:jc w:val="center"/>
              <w:rPr>
                <w:rFonts w:eastAsiaTheme="minorEastAsia"/>
                <w:sz w:val="18"/>
                <w:szCs w:val="18"/>
              </w:rPr>
            </w:pPr>
          </w:p>
        </w:tc>
        <w:tc>
          <w:tcPr>
            <w:tcW w:w="1016" w:type="dxa"/>
            <w:noWrap/>
            <w:tcMar>
              <w:top w:w="0" w:type="dxa"/>
              <w:left w:w="144" w:type="dxa"/>
              <w:bottom w:w="0" w:type="dxa"/>
              <w:right w:w="0" w:type="dxa"/>
            </w:tcMar>
            <w:vAlign w:val="bottom"/>
          </w:tcPr>
          <w:p w14:paraId="3B168E8B" w14:textId="77777777" w:rsidR="00F76607" w:rsidRDefault="00F76607">
            <w:pPr>
              <w:tabs>
                <w:tab w:val="right" w:pos="800"/>
                <w:tab w:val="decimal" w:pos="840"/>
              </w:tabs>
              <w:spacing w:after="20"/>
              <w:jc w:val="center"/>
              <w:rPr>
                <w:rFonts w:eastAsiaTheme="minorEastAsia"/>
                <w:sz w:val="18"/>
                <w:szCs w:val="18"/>
              </w:rPr>
            </w:pPr>
          </w:p>
        </w:tc>
      </w:tr>
      <w:tr w:rsidR="00F76607" w14:paraId="0B9D8070" w14:textId="77777777">
        <w:trPr>
          <w:cantSplit/>
          <w:jc w:val="center"/>
        </w:trPr>
        <w:tc>
          <w:tcPr>
            <w:tcW w:w="2764" w:type="dxa"/>
          </w:tcPr>
          <w:p w14:paraId="7250F8F3" w14:textId="77777777" w:rsidR="00F76607" w:rsidRDefault="001863F0">
            <w:pPr>
              <w:keepNext/>
              <w:tabs>
                <w:tab w:val="right" w:leader="dot" w:pos="4660"/>
              </w:tabs>
              <w:ind w:left="240" w:hanging="240"/>
              <w:rPr>
                <w:b/>
                <w:sz w:val="18"/>
                <w:szCs w:val="18"/>
              </w:rPr>
            </w:pPr>
            <w:r>
              <w:rPr>
                <w:b/>
                <w:sz w:val="18"/>
                <w:szCs w:val="18"/>
              </w:rPr>
              <w:t>Directors</w:t>
            </w:r>
          </w:p>
        </w:tc>
        <w:tc>
          <w:tcPr>
            <w:tcW w:w="2152" w:type="dxa"/>
            <w:vAlign w:val="bottom"/>
          </w:tcPr>
          <w:p w14:paraId="276B681B" w14:textId="77777777" w:rsidR="00F76607" w:rsidRDefault="00F76607">
            <w:pPr>
              <w:jc w:val="center"/>
              <w:rPr>
                <w:sz w:val="18"/>
                <w:szCs w:val="18"/>
              </w:rPr>
            </w:pPr>
          </w:p>
        </w:tc>
        <w:tc>
          <w:tcPr>
            <w:tcW w:w="1675" w:type="dxa"/>
            <w:vAlign w:val="bottom"/>
          </w:tcPr>
          <w:p w14:paraId="5E85A7F4" w14:textId="77777777" w:rsidR="00F76607" w:rsidRDefault="00F76607">
            <w:pPr>
              <w:jc w:val="center"/>
              <w:rPr>
                <w:sz w:val="18"/>
                <w:szCs w:val="18"/>
              </w:rPr>
            </w:pPr>
          </w:p>
        </w:tc>
        <w:tc>
          <w:tcPr>
            <w:tcW w:w="1430" w:type="dxa"/>
            <w:noWrap/>
            <w:tcMar>
              <w:top w:w="0" w:type="dxa"/>
              <w:left w:w="144" w:type="dxa"/>
              <w:bottom w:w="0" w:type="dxa"/>
              <w:right w:w="0" w:type="dxa"/>
            </w:tcMar>
            <w:vAlign w:val="bottom"/>
          </w:tcPr>
          <w:p w14:paraId="488914CE" w14:textId="77777777" w:rsidR="00F76607" w:rsidRDefault="00F76607">
            <w:pPr>
              <w:tabs>
                <w:tab w:val="right" w:pos="760"/>
                <w:tab w:val="decimal" w:pos="800"/>
              </w:tabs>
              <w:spacing w:after="20"/>
              <w:jc w:val="center"/>
              <w:rPr>
                <w:rFonts w:eastAsiaTheme="minorEastAsia"/>
                <w:sz w:val="18"/>
                <w:szCs w:val="18"/>
              </w:rPr>
            </w:pPr>
          </w:p>
        </w:tc>
        <w:tc>
          <w:tcPr>
            <w:tcW w:w="1016" w:type="dxa"/>
            <w:noWrap/>
            <w:tcMar>
              <w:top w:w="0" w:type="dxa"/>
              <w:left w:w="144" w:type="dxa"/>
              <w:bottom w:w="0" w:type="dxa"/>
              <w:right w:w="0" w:type="dxa"/>
            </w:tcMar>
            <w:vAlign w:val="bottom"/>
          </w:tcPr>
          <w:p w14:paraId="4DF00285" w14:textId="77777777" w:rsidR="00F76607" w:rsidRDefault="00F76607">
            <w:pPr>
              <w:tabs>
                <w:tab w:val="right" w:pos="800"/>
                <w:tab w:val="decimal" w:pos="840"/>
              </w:tabs>
              <w:spacing w:after="20"/>
              <w:jc w:val="center"/>
              <w:rPr>
                <w:rFonts w:eastAsiaTheme="minorEastAsia"/>
                <w:sz w:val="18"/>
                <w:szCs w:val="18"/>
              </w:rPr>
            </w:pPr>
          </w:p>
        </w:tc>
      </w:tr>
      <w:tr w:rsidR="00F76607" w14:paraId="37DFFAAD" w14:textId="77777777">
        <w:trPr>
          <w:cantSplit/>
          <w:jc w:val="center"/>
        </w:trPr>
        <w:tc>
          <w:tcPr>
            <w:tcW w:w="2764" w:type="dxa"/>
            <w:hideMark/>
          </w:tcPr>
          <w:p w14:paraId="3454ED2E" w14:textId="77777777" w:rsidR="00F76607" w:rsidRDefault="001863F0">
            <w:pPr>
              <w:keepNext/>
              <w:tabs>
                <w:tab w:val="right" w:leader="dot" w:pos="4660"/>
              </w:tabs>
              <w:ind w:left="240" w:hanging="240"/>
              <w:rPr>
                <w:rFonts w:eastAsiaTheme="minorEastAsia"/>
                <w:sz w:val="18"/>
                <w:szCs w:val="18"/>
              </w:rPr>
            </w:pPr>
            <w:r>
              <w:rPr>
                <w:sz w:val="18"/>
                <w:szCs w:val="18"/>
              </w:rPr>
              <w:t>Jan Van Geet</w:t>
            </w:r>
            <w:r>
              <w:rPr>
                <w:sz w:val="18"/>
                <w:szCs w:val="18"/>
                <w:vertAlign w:val="superscript"/>
              </w:rPr>
              <w:t>(1)</w:t>
            </w:r>
            <w:r>
              <w:rPr>
                <w:sz w:val="18"/>
                <w:szCs w:val="18"/>
              </w:rPr>
              <w:tab/>
            </w:r>
          </w:p>
        </w:tc>
        <w:tc>
          <w:tcPr>
            <w:tcW w:w="2152" w:type="dxa"/>
            <w:vAlign w:val="bottom"/>
          </w:tcPr>
          <w:p w14:paraId="391BC2CC" w14:textId="77777777" w:rsidR="00F76607" w:rsidRDefault="001863F0">
            <w:pPr>
              <w:jc w:val="center"/>
              <w:rPr>
                <w:sz w:val="18"/>
                <w:szCs w:val="18"/>
              </w:rPr>
            </w:pPr>
            <w:r>
              <w:rPr>
                <w:sz w:val="18"/>
                <w:szCs w:val="18"/>
              </w:rPr>
              <w:t>10,000</w:t>
            </w:r>
          </w:p>
        </w:tc>
        <w:tc>
          <w:tcPr>
            <w:tcW w:w="1675" w:type="dxa"/>
            <w:vAlign w:val="bottom"/>
          </w:tcPr>
          <w:p w14:paraId="790CD1B7" w14:textId="77777777" w:rsidR="00F76607" w:rsidRDefault="001863F0">
            <w:pPr>
              <w:jc w:val="center"/>
              <w:rPr>
                <w:sz w:val="18"/>
                <w:szCs w:val="18"/>
              </w:rPr>
            </w:pPr>
            <w:r>
              <w:rPr>
                <w:sz w:val="18"/>
                <w:szCs w:val="18"/>
              </w:rPr>
              <w:t>6,000</w:t>
            </w:r>
          </w:p>
        </w:tc>
        <w:tc>
          <w:tcPr>
            <w:tcW w:w="1430" w:type="dxa"/>
            <w:noWrap/>
            <w:tcMar>
              <w:top w:w="0" w:type="dxa"/>
              <w:left w:w="144" w:type="dxa"/>
              <w:bottom w:w="0" w:type="dxa"/>
              <w:right w:w="0" w:type="dxa"/>
            </w:tcMar>
            <w:vAlign w:val="bottom"/>
          </w:tcPr>
          <w:p w14:paraId="7BD64FDD" w14:textId="77777777" w:rsidR="00F76607" w:rsidRDefault="001863F0">
            <w:pPr>
              <w:tabs>
                <w:tab w:val="right" w:pos="760"/>
                <w:tab w:val="decimal" w:pos="800"/>
              </w:tabs>
              <w:spacing w:after="20"/>
              <w:jc w:val="center"/>
              <w:rPr>
                <w:rFonts w:eastAsiaTheme="minorEastAsia"/>
                <w:sz w:val="18"/>
                <w:szCs w:val="18"/>
              </w:rPr>
            </w:pPr>
            <w:r>
              <w:rPr>
                <w:rFonts w:eastAsiaTheme="minorEastAsia"/>
                <w:sz w:val="18"/>
                <w:szCs w:val="18"/>
              </w:rPr>
              <w:t>-</w:t>
            </w:r>
          </w:p>
        </w:tc>
        <w:tc>
          <w:tcPr>
            <w:tcW w:w="1016" w:type="dxa"/>
            <w:noWrap/>
            <w:tcMar>
              <w:top w:w="0" w:type="dxa"/>
              <w:left w:w="144" w:type="dxa"/>
              <w:bottom w:w="0" w:type="dxa"/>
              <w:right w:w="0" w:type="dxa"/>
            </w:tcMar>
            <w:vAlign w:val="bottom"/>
          </w:tcPr>
          <w:p w14:paraId="67C2D130" w14:textId="77777777" w:rsidR="00F76607" w:rsidRDefault="001863F0">
            <w:pPr>
              <w:tabs>
                <w:tab w:val="right" w:pos="800"/>
                <w:tab w:val="decimal" w:pos="840"/>
              </w:tabs>
              <w:spacing w:after="20"/>
              <w:jc w:val="center"/>
              <w:rPr>
                <w:rFonts w:eastAsiaTheme="minorEastAsia"/>
                <w:sz w:val="18"/>
                <w:szCs w:val="18"/>
              </w:rPr>
            </w:pPr>
            <w:r>
              <w:rPr>
                <w:rFonts w:eastAsiaTheme="minorEastAsia"/>
                <w:sz w:val="18"/>
                <w:szCs w:val="18"/>
              </w:rPr>
              <w:t>16,000</w:t>
            </w:r>
          </w:p>
        </w:tc>
      </w:tr>
      <w:tr w:rsidR="00F76607" w14:paraId="0DE6FC20" w14:textId="77777777">
        <w:trPr>
          <w:cantSplit/>
          <w:jc w:val="center"/>
        </w:trPr>
        <w:tc>
          <w:tcPr>
            <w:tcW w:w="2764" w:type="dxa"/>
            <w:hideMark/>
          </w:tcPr>
          <w:p w14:paraId="26A08954" w14:textId="77777777" w:rsidR="00F76607" w:rsidRDefault="001863F0">
            <w:pPr>
              <w:tabs>
                <w:tab w:val="right" w:leader="dot" w:pos="4660"/>
              </w:tabs>
              <w:ind w:left="240" w:hanging="240"/>
              <w:rPr>
                <w:rFonts w:eastAsiaTheme="minorEastAsia"/>
                <w:sz w:val="18"/>
                <w:szCs w:val="18"/>
              </w:rPr>
            </w:pPr>
            <w:r>
              <w:rPr>
                <w:sz w:val="18"/>
                <w:szCs w:val="18"/>
              </w:rPr>
              <w:t>Bart Van Malderen</w:t>
            </w:r>
            <w:r>
              <w:rPr>
                <w:sz w:val="18"/>
                <w:szCs w:val="18"/>
                <w:vertAlign w:val="superscript"/>
              </w:rPr>
              <w:t>(2)</w:t>
            </w:r>
            <w:r>
              <w:rPr>
                <w:sz w:val="18"/>
                <w:szCs w:val="18"/>
              </w:rPr>
              <w:tab/>
            </w:r>
          </w:p>
        </w:tc>
        <w:tc>
          <w:tcPr>
            <w:tcW w:w="2152" w:type="dxa"/>
            <w:vAlign w:val="bottom"/>
          </w:tcPr>
          <w:p w14:paraId="77C1241E" w14:textId="77777777" w:rsidR="00F76607" w:rsidRDefault="001863F0">
            <w:pPr>
              <w:jc w:val="center"/>
              <w:rPr>
                <w:sz w:val="18"/>
                <w:szCs w:val="18"/>
              </w:rPr>
            </w:pPr>
            <w:r>
              <w:rPr>
                <w:sz w:val="18"/>
                <w:szCs w:val="18"/>
              </w:rPr>
              <w:t>10,000</w:t>
            </w:r>
          </w:p>
        </w:tc>
        <w:tc>
          <w:tcPr>
            <w:tcW w:w="1675" w:type="dxa"/>
            <w:vAlign w:val="bottom"/>
          </w:tcPr>
          <w:p w14:paraId="4793937A" w14:textId="77777777" w:rsidR="00F76607" w:rsidRDefault="001863F0">
            <w:pPr>
              <w:jc w:val="center"/>
              <w:rPr>
                <w:sz w:val="18"/>
                <w:szCs w:val="18"/>
              </w:rPr>
            </w:pPr>
            <w:r>
              <w:rPr>
                <w:sz w:val="18"/>
                <w:szCs w:val="18"/>
              </w:rPr>
              <w:t>6,000</w:t>
            </w:r>
          </w:p>
        </w:tc>
        <w:tc>
          <w:tcPr>
            <w:tcW w:w="1430" w:type="dxa"/>
            <w:noWrap/>
            <w:tcMar>
              <w:top w:w="0" w:type="dxa"/>
              <w:left w:w="144" w:type="dxa"/>
              <w:bottom w:w="0" w:type="dxa"/>
              <w:right w:w="0" w:type="dxa"/>
            </w:tcMar>
            <w:vAlign w:val="bottom"/>
          </w:tcPr>
          <w:p w14:paraId="038D7D79" w14:textId="77777777" w:rsidR="00F76607" w:rsidRDefault="001863F0">
            <w:pPr>
              <w:tabs>
                <w:tab w:val="right" w:pos="760"/>
                <w:tab w:val="decimal" w:pos="800"/>
              </w:tabs>
              <w:spacing w:after="20"/>
              <w:jc w:val="center"/>
              <w:rPr>
                <w:rFonts w:eastAsiaTheme="minorEastAsia"/>
                <w:sz w:val="18"/>
                <w:szCs w:val="18"/>
              </w:rPr>
            </w:pPr>
            <w:r>
              <w:rPr>
                <w:rFonts w:eastAsiaTheme="minorEastAsia"/>
                <w:sz w:val="18"/>
                <w:szCs w:val="18"/>
              </w:rPr>
              <w:t>3,000</w:t>
            </w:r>
          </w:p>
        </w:tc>
        <w:tc>
          <w:tcPr>
            <w:tcW w:w="1016" w:type="dxa"/>
            <w:noWrap/>
            <w:tcMar>
              <w:top w:w="0" w:type="dxa"/>
              <w:left w:w="144" w:type="dxa"/>
              <w:bottom w:w="0" w:type="dxa"/>
              <w:right w:w="0" w:type="dxa"/>
            </w:tcMar>
            <w:vAlign w:val="bottom"/>
          </w:tcPr>
          <w:p w14:paraId="66134FBD" w14:textId="77777777" w:rsidR="00F76607" w:rsidRDefault="001863F0">
            <w:pPr>
              <w:tabs>
                <w:tab w:val="right" w:pos="800"/>
                <w:tab w:val="decimal" w:pos="840"/>
              </w:tabs>
              <w:spacing w:after="20"/>
              <w:jc w:val="center"/>
              <w:rPr>
                <w:rFonts w:eastAsiaTheme="minorEastAsia"/>
                <w:sz w:val="18"/>
                <w:szCs w:val="18"/>
              </w:rPr>
            </w:pPr>
            <w:r>
              <w:rPr>
                <w:rFonts w:eastAsiaTheme="minorEastAsia"/>
                <w:sz w:val="18"/>
                <w:szCs w:val="18"/>
              </w:rPr>
              <w:t>19,000</w:t>
            </w:r>
          </w:p>
        </w:tc>
      </w:tr>
      <w:tr w:rsidR="00F76607" w14:paraId="68732336" w14:textId="77777777">
        <w:trPr>
          <w:cantSplit/>
          <w:jc w:val="center"/>
        </w:trPr>
        <w:tc>
          <w:tcPr>
            <w:tcW w:w="2764" w:type="dxa"/>
            <w:hideMark/>
          </w:tcPr>
          <w:p w14:paraId="716311C4" w14:textId="77777777" w:rsidR="00F76607" w:rsidRDefault="001863F0">
            <w:pPr>
              <w:tabs>
                <w:tab w:val="right" w:leader="dot" w:pos="4660"/>
              </w:tabs>
              <w:ind w:left="240" w:hanging="240"/>
              <w:rPr>
                <w:rFonts w:eastAsiaTheme="minorEastAsia"/>
                <w:sz w:val="18"/>
                <w:szCs w:val="18"/>
              </w:rPr>
            </w:pPr>
            <w:r>
              <w:rPr>
                <w:sz w:val="18"/>
                <w:szCs w:val="18"/>
              </w:rPr>
              <w:t>Alexander Saverys</w:t>
            </w:r>
            <w:r>
              <w:rPr>
                <w:sz w:val="18"/>
                <w:szCs w:val="18"/>
              </w:rPr>
              <w:tab/>
            </w:r>
          </w:p>
        </w:tc>
        <w:tc>
          <w:tcPr>
            <w:tcW w:w="2152" w:type="dxa"/>
            <w:vAlign w:val="bottom"/>
          </w:tcPr>
          <w:p w14:paraId="00AD8A9D" w14:textId="77777777" w:rsidR="00F76607" w:rsidRDefault="001863F0">
            <w:pPr>
              <w:jc w:val="center"/>
              <w:rPr>
                <w:sz w:val="18"/>
                <w:szCs w:val="18"/>
              </w:rPr>
            </w:pPr>
            <w:r>
              <w:rPr>
                <w:sz w:val="18"/>
                <w:szCs w:val="18"/>
              </w:rPr>
              <w:t>10,000</w:t>
            </w:r>
          </w:p>
        </w:tc>
        <w:tc>
          <w:tcPr>
            <w:tcW w:w="1675" w:type="dxa"/>
            <w:vAlign w:val="bottom"/>
          </w:tcPr>
          <w:p w14:paraId="1CAB46A2" w14:textId="77777777" w:rsidR="00F76607" w:rsidRDefault="001863F0">
            <w:pPr>
              <w:jc w:val="center"/>
              <w:rPr>
                <w:sz w:val="18"/>
                <w:szCs w:val="18"/>
              </w:rPr>
            </w:pPr>
            <w:r>
              <w:rPr>
                <w:sz w:val="18"/>
                <w:szCs w:val="18"/>
              </w:rPr>
              <w:t>5,000</w:t>
            </w:r>
          </w:p>
        </w:tc>
        <w:tc>
          <w:tcPr>
            <w:tcW w:w="1430" w:type="dxa"/>
            <w:noWrap/>
            <w:tcMar>
              <w:top w:w="0" w:type="dxa"/>
              <w:left w:w="144" w:type="dxa"/>
              <w:bottom w:w="0" w:type="dxa"/>
              <w:right w:w="0" w:type="dxa"/>
            </w:tcMar>
            <w:vAlign w:val="bottom"/>
          </w:tcPr>
          <w:p w14:paraId="71C18506" w14:textId="77777777" w:rsidR="00F76607" w:rsidRDefault="001863F0">
            <w:pPr>
              <w:tabs>
                <w:tab w:val="right" w:pos="760"/>
                <w:tab w:val="decimal" w:pos="800"/>
              </w:tabs>
              <w:spacing w:after="20"/>
              <w:jc w:val="center"/>
              <w:rPr>
                <w:rFonts w:eastAsiaTheme="minorEastAsia"/>
                <w:sz w:val="18"/>
                <w:szCs w:val="18"/>
              </w:rPr>
            </w:pPr>
            <w:r>
              <w:rPr>
                <w:rFonts w:eastAsiaTheme="minorEastAsia"/>
                <w:sz w:val="18"/>
                <w:szCs w:val="18"/>
              </w:rPr>
              <w:t>1,000</w:t>
            </w:r>
          </w:p>
        </w:tc>
        <w:tc>
          <w:tcPr>
            <w:tcW w:w="1016" w:type="dxa"/>
            <w:noWrap/>
            <w:tcMar>
              <w:top w:w="0" w:type="dxa"/>
              <w:left w:w="144" w:type="dxa"/>
              <w:bottom w:w="0" w:type="dxa"/>
              <w:right w:w="0" w:type="dxa"/>
            </w:tcMar>
            <w:vAlign w:val="bottom"/>
          </w:tcPr>
          <w:p w14:paraId="28192A29" w14:textId="77777777" w:rsidR="00F76607" w:rsidRDefault="001863F0">
            <w:pPr>
              <w:tabs>
                <w:tab w:val="right" w:pos="800"/>
                <w:tab w:val="decimal" w:pos="840"/>
              </w:tabs>
              <w:spacing w:after="20"/>
              <w:jc w:val="center"/>
              <w:rPr>
                <w:rFonts w:eastAsiaTheme="minorEastAsia"/>
                <w:sz w:val="18"/>
                <w:szCs w:val="18"/>
              </w:rPr>
            </w:pPr>
            <w:r>
              <w:rPr>
                <w:rFonts w:eastAsiaTheme="minorEastAsia"/>
                <w:sz w:val="18"/>
                <w:szCs w:val="18"/>
              </w:rPr>
              <w:t>16,000</w:t>
            </w:r>
          </w:p>
        </w:tc>
      </w:tr>
      <w:tr w:rsidR="00F76607" w14:paraId="076974C1" w14:textId="77777777">
        <w:trPr>
          <w:cantSplit/>
          <w:jc w:val="center"/>
        </w:trPr>
        <w:tc>
          <w:tcPr>
            <w:tcW w:w="2764" w:type="dxa"/>
          </w:tcPr>
          <w:p w14:paraId="241AB0ED" w14:textId="77777777" w:rsidR="00F76607" w:rsidRDefault="001863F0">
            <w:pPr>
              <w:tabs>
                <w:tab w:val="right" w:leader="dot" w:pos="4660"/>
              </w:tabs>
              <w:ind w:left="240" w:hanging="240"/>
              <w:rPr>
                <w:rFonts w:eastAsiaTheme="minorEastAsia"/>
                <w:sz w:val="18"/>
                <w:szCs w:val="18"/>
              </w:rPr>
            </w:pPr>
            <w:r>
              <w:rPr>
                <w:sz w:val="18"/>
                <w:szCs w:val="18"/>
              </w:rPr>
              <w:lastRenderedPageBreak/>
              <w:t>Jos Thys</w:t>
            </w:r>
            <w:r>
              <w:rPr>
                <w:sz w:val="18"/>
                <w:szCs w:val="18"/>
                <w:vertAlign w:val="superscript"/>
              </w:rPr>
              <w:t>(3)</w:t>
            </w:r>
            <w:r>
              <w:rPr>
                <w:sz w:val="18"/>
                <w:szCs w:val="18"/>
              </w:rPr>
              <w:tab/>
            </w:r>
          </w:p>
        </w:tc>
        <w:tc>
          <w:tcPr>
            <w:tcW w:w="2152" w:type="dxa"/>
            <w:vAlign w:val="bottom"/>
          </w:tcPr>
          <w:p w14:paraId="2F023390" w14:textId="77777777" w:rsidR="00F76607" w:rsidRDefault="001863F0">
            <w:pPr>
              <w:jc w:val="center"/>
              <w:rPr>
                <w:sz w:val="18"/>
                <w:szCs w:val="18"/>
              </w:rPr>
            </w:pPr>
            <w:r>
              <w:rPr>
                <w:sz w:val="18"/>
                <w:szCs w:val="18"/>
              </w:rPr>
              <w:t>10,000</w:t>
            </w:r>
          </w:p>
        </w:tc>
        <w:tc>
          <w:tcPr>
            <w:tcW w:w="1675" w:type="dxa"/>
            <w:vAlign w:val="bottom"/>
          </w:tcPr>
          <w:p w14:paraId="0280EF63" w14:textId="77777777" w:rsidR="00F76607" w:rsidRDefault="001863F0">
            <w:pPr>
              <w:jc w:val="center"/>
              <w:rPr>
                <w:sz w:val="18"/>
                <w:szCs w:val="18"/>
              </w:rPr>
            </w:pPr>
            <w:r>
              <w:rPr>
                <w:sz w:val="18"/>
                <w:szCs w:val="18"/>
              </w:rPr>
              <w:t>6,000</w:t>
            </w:r>
          </w:p>
        </w:tc>
        <w:tc>
          <w:tcPr>
            <w:tcW w:w="1430" w:type="dxa"/>
            <w:noWrap/>
            <w:tcMar>
              <w:top w:w="0" w:type="dxa"/>
              <w:left w:w="144" w:type="dxa"/>
              <w:bottom w:w="0" w:type="dxa"/>
              <w:right w:w="0" w:type="dxa"/>
            </w:tcMar>
            <w:vAlign w:val="bottom"/>
          </w:tcPr>
          <w:p w14:paraId="276C54CD" w14:textId="77777777" w:rsidR="00F76607" w:rsidRDefault="001863F0">
            <w:pPr>
              <w:tabs>
                <w:tab w:val="right" w:pos="760"/>
                <w:tab w:val="decimal" w:pos="800"/>
              </w:tabs>
              <w:spacing w:after="20"/>
              <w:jc w:val="center"/>
              <w:rPr>
                <w:rFonts w:eastAsiaTheme="minorEastAsia"/>
                <w:sz w:val="18"/>
                <w:szCs w:val="18"/>
              </w:rPr>
            </w:pPr>
            <w:r>
              <w:rPr>
                <w:rFonts w:eastAsiaTheme="minorEastAsia"/>
                <w:sz w:val="18"/>
                <w:szCs w:val="18"/>
              </w:rPr>
              <w:t>3,000</w:t>
            </w:r>
          </w:p>
        </w:tc>
        <w:tc>
          <w:tcPr>
            <w:tcW w:w="1016" w:type="dxa"/>
            <w:noWrap/>
            <w:tcMar>
              <w:top w:w="0" w:type="dxa"/>
              <w:left w:w="144" w:type="dxa"/>
              <w:bottom w:w="0" w:type="dxa"/>
              <w:right w:w="0" w:type="dxa"/>
            </w:tcMar>
            <w:vAlign w:val="bottom"/>
          </w:tcPr>
          <w:p w14:paraId="01FDF9EC" w14:textId="77777777" w:rsidR="00F76607" w:rsidRDefault="001863F0">
            <w:pPr>
              <w:tabs>
                <w:tab w:val="right" w:pos="800"/>
                <w:tab w:val="decimal" w:pos="840"/>
              </w:tabs>
              <w:spacing w:after="20"/>
              <w:jc w:val="center"/>
              <w:rPr>
                <w:rFonts w:eastAsiaTheme="minorEastAsia"/>
                <w:sz w:val="18"/>
                <w:szCs w:val="18"/>
              </w:rPr>
            </w:pPr>
            <w:r>
              <w:rPr>
                <w:rFonts w:eastAsiaTheme="minorEastAsia"/>
                <w:sz w:val="18"/>
                <w:szCs w:val="18"/>
              </w:rPr>
              <w:t>19,000</w:t>
            </w:r>
          </w:p>
        </w:tc>
      </w:tr>
    </w:tbl>
    <w:p w14:paraId="73B0D56C" w14:textId="77777777" w:rsidR="00F76607" w:rsidRDefault="001863F0">
      <w:pPr>
        <w:pBdr>
          <w:bottom w:val="single" w:sz="6" w:space="1" w:color="auto"/>
        </w:pBdr>
        <w:spacing w:after="60" w:line="120" w:lineRule="exact"/>
        <w:ind w:right="7200"/>
        <w:rPr>
          <w:rFonts w:eastAsiaTheme="minorEastAsia"/>
          <w:noProof/>
          <w:sz w:val="16"/>
          <w:szCs w:val="16"/>
        </w:rPr>
      </w:pPr>
      <w:r>
        <w:rPr>
          <w:noProof/>
          <w:sz w:val="16"/>
          <w:szCs w:val="16"/>
        </w:rPr>
        <w:t> </w:t>
      </w:r>
    </w:p>
    <w:p w14:paraId="61F881BD" w14:textId="77777777" w:rsidR="00F76607" w:rsidRDefault="001863F0" w:rsidP="00411069">
      <w:pPr>
        <w:pStyle w:val="VulcanIIFootnote"/>
      </w:pPr>
      <w:r>
        <w:t xml:space="preserve">(1) As permanent representative of Jan Van Geet </w:t>
      </w:r>
      <w:proofErr w:type="spellStart"/>
      <w:r>
        <w:t>s.r.o</w:t>
      </w:r>
      <w:proofErr w:type="spellEnd"/>
      <w:r>
        <w:t>.</w:t>
      </w:r>
    </w:p>
    <w:p w14:paraId="159627C6" w14:textId="77777777" w:rsidR="00F76607" w:rsidRDefault="001863F0" w:rsidP="00411069">
      <w:pPr>
        <w:pStyle w:val="VulcanIIFootnote"/>
      </w:pPr>
      <w:r>
        <w:t>(2) As permanent representative of VM .Invest NV.</w:t>
      </w:r>
    </w:p>
    <w:p w14:paraId="3C8090ED" w14:textId="77777777" w:rsidR="00F76607" w:rsidRDefault="001863F0" w:rsidP="00411069">
      <w:pPr>
        <w:pStyle w:val="VulcanIIFootnote"/>
      </w:pPr>
      <w:r>
        <w:t xml:space="preserve">(3) As permanent representative of </w:t>
      </w:r>
      <w:proofErr w:type="spellStart"/>
      <w:r>
        <w:t>Rijo</w:t>
      </w:r>
      <w:proofErr w:type="spellEnd"/>
      <w:r>
        <w:t xml:space="preserve"> </w:t>
      </w:r>
      <w:proofErr w:type="spellStart"/>
      <w:r>
        <w:t>Advies</w:t>
      </w:r>
      <w:proofErr w:type="spellEnd"/>
      <w:r>
        <w:t xml:space="preserve"> BVBA.</w:t>
      </w:r>
    </w:p>
    <w:p w14:paraId="2B449E34" w14:textId="77777777" w:rsidR="00F76607" w:rsidRDefault="001863F0">
      <w:pPr>
        <w:keepNext/>
        <w:spacing w:before="240"/>
        <w:rPr>
          <w:b/>
          <w:bCs/>
          <w:i/>
          <w:iCs/>
          <w:sz w:val="18"/>
          <w:szCs w:val="18"/>
        </w:rPr>
      </w:pPr>
      <w:r>
        <w:rPr>
          <w:b/>
          <w:bCs/>
          <w:i/>
          <w:iCs/>
          <w:sz w:val="18"/>
          <w:szCs w:val="18"/>
        </w:rPr>
        <w:t>Remuneration for Executive Management in financial year 2016</w:t>
      </w:r>
    </w:p>
    <w:p w14:paraId="0275FD06" w14:textId="77777777" w:rsidR="00F76607" w:rsidRDefault="001863F0">
      <w:pPr>
        <w:spacing w:before="240"/>
        <w:ind w:firstLine="857"/>
        <w:rPr>
          <w:sz w:val="18"/>
          <w:szCs w:val="18"/>
        </w:rPr>
      </w:pPr>
      <w:r>
        <w:rPr>
          <w:sz w:val="18"/>
          <w:szCs w:val="18"/>
        </w:rPr>
        <w:t xml:space="preserve">For the Executive Management the remuneration is determined by the Remuneration Committee in line with the rules described in the company’s charter Annex 2 point 6.2 of the VGP Corporate Governance Charter. </w:t>
      </w:r>
    </w:p>
    <w:p w14:paraId="03787147" w14:textId="77777777" w:rsidR="00F76607" w:rsidRDefault="001863F0">
      <w:pPr>
        <w:spacing w:before="240"/>
        <w:ind w:firstLine="857"/>
        <w:rPr>
          <w:sz w:val="18"/>
          <w:szCs w:val="18"/>
        </w:rPr>
      </w:pPr>
      <w:r>
        <w:rPr>
          <w:sz w:val="18"/>
          <w:szCs w:val="18"/>
        </w:rPr>
        <w:t xml:space="preserve">VGP strives overall for a position above the market median on the total reward position with a substantial variable part based on company, team and individual performance. Given the small </w:t>
      </w:r>
      <w:proofErr w:type="spellStart"/>
      <w:r>
        <w:rPr>
          <w:sz w:val="18"/>
          <w:szCs w:val="18"/>
        </w:rPr>
        <w:t>organisation</w:t>
      </w:r>
      <w:proofErr w:type="spellEnd"/>
      <w:r>
        <w:rPr>
          <w:sz w:val="18"/>
          <w:szCs w:val="18"/>
        </w:rPr>
        <w:t xml:space="preserve"> of the Group the VGP remuneration including the variable remuneration is set based on the performance criteria defined by the Remuneration Committee on an annual basis and paid out in cash. These criteria relate amongst others to the occupancy rate of the income generating assets, the gearing level of the Group, the profit contribution of the development activities and the maximization of shareholder value.</w:t>
      </w:r>
    </w:p>
    <w:p w14:paraId="3E9E56B6" w14:textId="77777777" w:rsidR="00F76607" w:rsidRDefault="001863F0">
      <w:pPr>
        <w:spacing w:before="240"/>
        <w:ind w:firstLine="857"/>
        <w:rPr>
          <w:sz w:val="18"/>
          <w:szCs w:val="18"/>
        </w:rPr>
      </w:pPr>
      <w:r>
        <w:rPr>
          <w:sz w:val="18"/>
          <w:szCs w:val="18"/>
        </w:rPr>
        <w:t xml:space="preserve">The Remuneration Committee will from time to time approve an overall variable remuneration envelope based on the company’s performance and delegates the effective allocation of this variable remuneration to the CEO. The allocation by the CEO to executive and senior management will occur based on individual performance taking the overall performance criteria as set by the Remuneration Committee into consideration. </w:t>
      </w:r>
    </w:p>
    <w:p w14:paraId="5B714B23" w14:textId="77777777" w:rsidR="00F76607" w:rsidRDefault="001863F0">
      <w:pPr>
        <w:spacing w:before="240"/>
        <w:ind w:firstLine="857"/>
        <w:rPr>
          <w:sz w:val="18"/>
          <w:szCs w:val="18"/>
        </w:rPr>
      </w:pPr>
      <w:r>
        <w:rPr>
          <w:sz w:val="18"/>
          <w:szCs w:val="18"/>
        </w:rPr>
        <w:t>The remuneration policy is reviewed on an annual basis to accommodate potential developments in (</w:t>
      </w:r>
      <w:proofErr w:type="spellStart"/>
      <w:r>
        <w:rPr>
          <w:sz w:val="18"/>
          <w:szCs w:val="18"/>
        </w:rPr>
        <w:t>labour</w:t>
      </w:r>
      <w:proofErr w:type="spellEnd"/>
      <w:r>
        <w:rPr>
          <w:sz w:val="18"/>
          <w:szCs w:val="18"/>
        </w:rPr>
        <w:t>) market characteristics, company strategy, company and individual performance as well as other relevant factors influencing the performance and motivation of the management team. Currently VGP expects to continue the current practice for the next two financial years.</w:t>
      </w:r>
    </w:p>
    <w:p w14:paraId="245C7620" w14:textId="77777777" w:rsidR="00F76607" w:rsidRDefault="001863F0">
      <w:pPr>
        <w:spacing w:before="100" w:beforeAutospacing="1" w:after="100" w:afterAutospacing="1"/>
        <w:rPr>
          <w:i/>
          <w:iCs/>
          <w:sz w:val="18"/>
          <w:szCs w:val="18"/>
        </w:rPr>
      </w:pPr>
      <w:r>
        <w:rPr>
          <w:i/>
          <w:iCs/>
          <w:sz w:val="18"/>
          <w:szCs w:val="18"/>
        </w:rPr>
        <w:t>Remuneration package 2016 of the CEO</w:t>
      </w:r>
    </w:p>
    <w:p w14:paraId="0A2C7F7F" w14:textId="77777777" w:rsidR="00F76607" w:rsidRDefault="001863F0">
      <w:pPr>
        <w:pStyle w:val="VulcanIIbullet"/>
      </w:pPr>
      <w:r>
        <w:t>fixed remuneration of € 300,000 and a total directorship remuneration of € 16,000</w:t>
      </w:r>
    </w:p>
    <w:p w14:paraId="6823E4C1" w14:textId="77777777" w:rsidR="00F76607" w:rsidRDefault="001863F0">
      <w:pPr>
        <w:pStyle w:val="VulcanIIbullet"/>
      </w:pPr>
      <w:r>
        <w:t>short term variable remuneration: € 0</w:t>
      </w:r>
    </w:p>
    <w:p w14:paraId="440BB41A" w14:textId="77777777" w:rsidR="00F76607" w:rsidRDefault="001863F0">
      <w:pPr>
        <w:pStyle w:val="VulcanIIbullet"/>
      </w:pPr>
      <w:r>
        <w:t>contribution of retirement benefits: € 0</w:t>
      </w:r>
    </w:p>
    <w:p w14:paraId="10092A2E" w14:textId="77777777" w:rsidR="00F76607" w:rsidRDefault="001863F0">
      <w:pPr>
        <w:pStyle w:val="VulcanIIbullet"/>
      </w:pPr>
      <w:r>
        <w:t>other components of the remuneration: € 35,160 (includes company car and related expenses)</w:t>
      </w:r>
    </w:p>
    <w:p w14:paraId="4AA3ED4B" w14:textId="77777777" w:rsidR="00F76607" w:rsidRDefault="001863F0">
      <w:pPr>
        <w:spacing w:before="100" w:beforeAutospacing="1" w:after="100" w:afterAutospacing="1"/>
        <w:rPr>
          <w:i/>
          <w:iCs/>
          <w:sz w:val="18"/>
          <w:szCs w:val="18"/>
        </w:rPr>
      </w:pPr>
      <w:r>
        <w:rPr>
          <w:i/>
          <w:iCs/>
          <w:sz w:val="18"/>
          <w:szCs w:val="18"/>
        </w:rPr>
        <w:t>Total remuneration 2016 for the executive management</w:t>
      </w:r>
    </w:p>
    <w:p w14:paraId="0DD33422" w14:textId="77777777" w:rsidR="00F76607" w:rsidRDefault="001863F0">
      <w:pPr>
        <w:spacing w:before="240"/>
        <w:ind w:firstLine="857"/>
        <w:rPr>
          <w:iCs/>
          <w:sz w:val="18"/>
          <w:szCs w:val="18"/>
        </w:rPr>
      </w:pPr>
      <w:r>
        <w:rPr>
          <w:iCs/>
          <w:sz w:val="18"/>
          <w:szCs w:val="18"/>
        </w:rPr>
        <w:t xml:space="preserve">The amount of the </w:t>
      </w:r>
      <w:r>
        <w:rPr>
          <w:sz w:val="18"/>
          <w:szCs w:val="18"/>
        </w:rPr>
        <w:t>remuneration</w:t>
      </w:r>
      <w:r>
        <w:rPr>
          <w:iCs/>
          <w:sz w:val="18"/>
          <w:szCs w:val="18"/>
        </w:rPr>
        <w:t xml:space="preserve"> and other benefits granted directly or indirectly to the executive management members other than the Chief Executive Officer, by the Company or its subsidiaries, in respect of 2016 is set forth below on a global basis.</w:t>
      </w:r>
    </w:p>
    <w:p w14:paraId="7A83C6AD" w14:textId="77777777" w:rsidR="00F76607" w:rsidRDefault="001863F0">
      <w:pPr>
        <w:pStyle w:val="VulcanIIbullet"/>
      </w:pPr>
      <w:r>
        <w:t>fixed remuneration of € 565,632</w:t>
      </w:r>
    </w:p>
    <w:p w14:paraId="2C69E23F" w14:textId="77777777" w:rsidR="00F76607" w:rsidRDefault="001863F0">
      <w:pPr>
        <w:pStyle w:val="VulcanIIbullet"/>
      </w:pPr>
      <w:r>
        <w:t>short term variable remuneration: € 700,000</w:t>
      </w:r>
    </w:p>
    <w:p w14:paraId="7519470D" w14:textId="77777777" w:rsidR="00F76607" w:rsidRDefault="001863F0">
      <w:pPr>
        <w:pStyle w:val="VulcanIIbullet"/>
      </w:pPr>
      <w:r>
        <w:t>contribution of retirement benefits of € 35,963</w:t>
      </w:r>
    </w:p>
    <w:p w14:paraId="65C7B874" w14:textId="77777777" w:rsidR="00F76607" w:rsidRDefault="001863F0">
      <w:pPr>
        <w:pStyle w:val="VulcanIIbullet"/>
      </w:pPr>
      <w:r>
        <w:t>other components of the remuneration: € 71,161 (company car and related expenses)</w:t>
      </w:r>
    </w:p>
    <w:p w14:paraId="39FC285C" w14:textId="77777777" w:rsidR="00F76607" w:rsidRDefault="001863F0">
      <w:pPr>
        <w:spacing w:before="100" w:beforeAutospacing="1" w:after="100" w:afterAutospacing="1"/>
        <w:rPr>
          <w:i/>
          <w:iCs/>
          <w:sz w:val="18"/>
          <w:szCs w:val="18"/>
        </w:rPr>
      </w:pPr>
      <w:r>
        <w:rPr>
          <w:i/>
          <w:iCs/>
          <w:sz w:val="18"/>
          <w:szCs w:val="18"/>
        </w:rPr>
        <w:t>Mid-term variable remuneration Little Rock SA</w:t>
      </w:r>
    </w:p>
    <w:p w14:paraId="19A532AE" w14:textId="130AF741" w:rsidR="00F76607" w:rsidRDefault="001863F0">
      <w:pPr>
        <w:spacing w:before="240"/>
        <w:ind w:firstLine="857"/>
        <w:rPr>
          <w:iCs/>
          <w:sz w:val="18"/>
          <w:szCs w:val="18"/>
        </w:rPr>
      </w:pPr>
      <w:r>
        <w:rPr>
          <w:iCs/>
          <w:sz w:val="18"/>
          <w:szCs w:val="18"/>
        </w:rPr>
        <w:t xml:space="preserve">Little Rock SA entered in the course of April 2015 into a service agreement with the Company pursuant to which Little Rock SA is </w:t>
      </w:r>
      <w:r>
        <w:rPr>
          <w:sz w:val="18"/>
          <w:szCs w:val="18"/>
        </w:rPr>
        <w:t>responsible</w:t>
      </w:r>
      <w:r>
        <w:rPr>
          <w:iCs/>
          <w:sz w:val="18"/>
          <w:szCs w:val="18"/>
        </w:rPr>
        <w:t xml:space="preserve"> for the Group’s daily management, financial management and commercial management and whereby Little Rock SA, in consultation with the Company, needs to appoint the physical persons (acting as independent agents) who will be responsible for the daily management, financial management and commercial management. Little Rock SA has appointed in this respect and is represented for this purpose by the CEO (</w:t>
      </w:r>
      <w:proofErr w:type="spellStart"/>
      <w:r>
        <w:rPr>
          <w:iCs/>
          <w:sz w:val="18"/>
          <w:szCs w:val="18"/>
        </w:rPr>
        <w:t>Mr</w:t>
      </w:r>
      <w:proofErr w:type="spellEnd"/>
      <w:r>
        <w:rPr>
          <w:iCs/>
          <w:sz w:val="18"/>
          <w:szCs w:val="18"/>
        </w:rPr>
        <w:t xml:space="preserve"> Jan Van Geet</w:t>
      </w:r>
      <w:r w:rsidR="00081C45">
        <w:rPr>
          <w:rStyle w:val="FootnoteReference"/>
          <w:iCs/>
          <w:sz w:val="18"/>
          <w:szCs w:val="18"/>
        </w:rPr>
        <w:footnoteReference w:id="27"/>
      </w:r>
      <w:r>
        <w:rPr>
          <w:iCs/>
          <w:sz w:val="18"/>
          <w:szCs w:val="18"/>
        </w:rPr>
        <w:t>), CFO (</w:t>
      </w:r>
      <w:proofErr w:type="spellStart"/>
      <w:r>
        <w:rPr>
          <w:iCs/>
          <w:sz w:val="18"/>
          <w:szCs w:val="18"/>
        </w:rPr>
        <w:t>Mr</w:t>
      </w:r>
      <w:proofErr w:type="spellEnd"/>
      <w:r>
        <w:rPr>
          <w:iCs/>
          <w:sz w:val="18"/>
          <w:szCs w:val="18"/>
        </w:rPr>
        <w:t xml:space="preserve"> Dirk Stoop</w:t>
      </w:r>
      <w:r w:rsidR="00081C45">
        <w:rPr>
          <w:rStyle w:val="FootnoteReference"/>
          <w:iCs/>
          <w:sz w:val="18"/>
          <w:szCs w:val="18"/>
        </w:rPr>
        <w:footnoteReference w:id="28"/>
      </w:r>
      <w:r>
        <w:rPr>
          <w:iCs/>
          <w:sz w:val="18"/>
          <w:szCs w:val="18"/>
        </w:rPr>
        <w:t>) and CCO (</w:t>
      </w:r>
      <w:proofErr w:type="spellStart"/>
      <w:r>
        <w:rPr>
          <w:iCs/>
          <w:sz w:val="18"/>
          <w:szCs w:val="18"/>
        </w:rPr>
        <w:t>Mr</w:t>
      </w:r>
      <w:proofErr w:type="spellEnd"/>
      <w:r>
        <w:rPr>
          <w:iCs/>
          <w:sz w:val="18"/>
          <w:szCs w:val="18"/>
        </w:rPr>
        <w:t xml:space="preserve"> Tomas Van Geet</w:t>
      </w:r>
      <w:r w:rsidR="00081C45">
        <w:rPr>
          <w:rStyle w:val="FootnoteReference"/>
          <w:iCs/>
          <w:sz w:val="18"/>
          <w:szCs w:val="18"/>
        </w:rPr>
        <w:footnoteReference w:id="29"/>
      </w:r>
      <w:r>
        <w:rPr>
          <w:iCs/>
          <w:sz w:val="18"/>
          <w:szCs w:val="18"/>
        </w:rPr>
        <w:t xml:space="preserve">) respectively. As a consideration for rendering such services, Little Rock SA is entitled to receive a fixed fee, a short-term variable fee subject to certain criteria being met, and a midterm variable fee of 5% of the profits before taxes of the Group on a consolidated basis, in return for Little Rock SA’s (and the aforementioned managers’) commitment to observe the Group’s daily, financial and commercial management for a period of five years (starting April 2015). </w:t>
      </w:r>
      <w:r w:rsidR="000B7E5D">
        <w:rPr>
          <w:iCs/>
          <w:sz w:val="18"/>
          <w:szCs w:val="18"/>
        </w:rPr>
        <w:t>There are no arrangements in place between the CEO, CFO and CCO in relation to the division between them of any variable fees Little Rock SA receives in connection with such management agreement.</w:t>
      </w:r>
    </w:p>
    <w:p w14:paraId="71960E35" w14:textId="77777777" w:rsidR="00F76607" w:rsidRDefault="001863F0">
      <w:pPr>
        <w:spacing w:before="240"/>
        <w:ind w:firstLine="857"/>
        <w:rPr>
          <w:iCs/>
          <w:sz w:val="18"/>
          <w:szCs w:val="18"/>
        </w:rPr>
      </w:pPr>
      <w:r>
        <w:rPr>
          <w:iCs/>
          <w:sz w:val="18"/>
          <w:szCs w:val="18"/>
        </w:rPr>
        <w:lastRenderedPageBreak/>
        <w:t xml:space="preserve">The fixed fee and </w:t>
      </w:r>
      <w:r>
        <w:rPr>
          <w:sz w:val="18"/>
          <w:szCs w:val="18"/>
        </w:rPr>
        <w:t>short</w:t>
      </w:r>
      <w:r>
        <w:rPr>
          <w:iCs/>
          <w:sz w:val="18"/>
          <w:szCs w:val="18"/>
        </w:rPr>
        <w:t xml:space="preserve"> term variable remuneration has been included in the remuneration overview of the CEO and the executive management. </w:t>
      </w:r>
    </w:p>
    <w:p w14:paraId="24ABEEA8" w14:textId="77777777" w:rsidR="00F76607" w:rsidRDefault="001863F0">
      <w:pPr>
        <w:spacing w:before="240"/>
        <w:ind w:firstLine="857"/>
        <w:rPr>
          <w:iCs/>
          <w:sz w:val="18"/>
          <w:szCs w:val="18"/>
        </w:rPr>
      </w:pPr>
      <w:r>
        <w:rPr>
          <w:iCs/>
          <w:sz w:val="18"/>
          <w:szCs w:val="18"/>
        </w:rPr>
        <w:t>The mid-term variable remuneration allocated to Little Rock for 2016 amounts to € 5,951,356 and has been fully provided for in the 2016 consolidated accounts. This amount will be paid out over the next three years at a rate of 1/3 per annum. The aggregate amount which will therefore be paid out in 2017 covering the periods 2015 (1/3) and 2016 (1/3) amounts to € 3,722,209.</w:t>
      </w:r>
    </w:p>
    <w:p w14:paraId="72EF6FFB" w14:textId="77777777" w:rsidR="00F76607" w:rsidRDefault="001863F0">
      <w:pPr>
        <w:spacing w:before="240"/>
        <w:ind w:firstLine="857"/>
        <w:rPr>
          <w:iCs/>
          <w:sz w:val="18"/>
          <w:szCs w:val="18"/>
        </w:rPr>
      </w:pPr>
      <w:r>
        <w:rPr>
          <w:iCs/>
          <w:sz w:val="18"/>
          <w:szCs w:val="18"/>
        </w:rPr>
        <w:t>For 2016 no post-</w:t>
      </w:r>
      <w:r>
        <w:rPr>
          <w:sz w:val="18"/>
          <w:szCs w:val="18"/>
        </w:rPr>
        <w:t>employment</w:t>
      </w:r>
      <w:r>
        <w:rPr>
          <w:iCs/>
          <w:sz w:val="18"/>
          <w:szCs w:val="18"/>
        </w:rPr>
        <w:t xml:space="preserve"> benefits nor share based payment benefits were granted.</w:t>
      </w:r>
    </w:p>
    <w:p w14:paraId="66A7DEED" w14:textId="77777777" w:rsidR="00F76607" w:rsidRDefault="001863F0">
      <w:pPr>
        <w:keepNext/>
        <w:spacing w:before="240"/>
        <w:rPr>
          <w:b/>
          <w:i/>
          <w:iCs/>
          <w:sz w:val="18"/>
          <w:szCs w:val="18"/>
        </w:rPr>
      </w:pPr>
      <w:r>
        <w:rPr>
          <w:b/>
          <w:i/>
          <w:iCs/>
          <w:sz w:val="18"/>
          <w:szCs w:val="18"/>
        </w:rPr>
        <w:t>Pension, retirement or similar benefits</w:t>
      </w:r>
    </w:p>
    <w:p w14:paraId="512015EB" w14:textId="4D702B13" w:rsidR="00F76607" w:rsidRDefault="001863F0">
      <w:pPr>
        <w:spacing w:before="240"/>
        <w:ind w:firstLine="857"/>
        <w:rPr>
          <w:iCs/>
          <w:sz w:val="18"/>
          <w:szCs w:val="18"/>
        </w:rPr>
      </w:pPr>
      <w:r>
        <w:rPr>
          <w:iCs/>
          <w:sz w:val="18"/>
          <w:szCs w:val="18"/>
        </w:rPr>
        <w:t>The</w:t>
      </w:r>
      <w:r w:rsidR="004A14D8">
        <w:rPr>
          <w:iCs/>
          <w:sz w:val="18"/>
          <w:szCs w:val="18"/>
        </w:rPr>
        <w:t>re are no</w:t>
      </w:r>
      <w:r>
        <w:rPr>
          <w:iCs/>
          <w:sz w:val="18"/>
          <w:szCs w:val="18"/>
        </w:rPr>
        <w:t xml:space="preserve"> amounts set aside or accrued by the Company or its subsidiaries to provide pension, retirement or similar benefits to directors or executive management</w:t>
      </w:r>
      <w:r w:rsidR="004A14D8">
        <w:rPr>
          <w:iCs/>
          <w:sz w:val="18"/>
          <w:szCs w:val="18"/>
        </w:rPr>
        <w:t>.</w:t>
      </w:r>
    </w:p>
    <w:p w14:paraId="2CF31A12" w14:textId="77777777" w:rsidR="00F76607" w:rsidRDefault="001863F0">
      <w:pPr>
        <w:keepNext/>
        <w:spacing w:before="240"/>
        <w:rPr>
          <w:szCs w:val="24"/>
        </w:rPr>
      </w:pPr>
      <w:r>
        <w:rPr>
          <w:b/>
          <w:bCs/>
          <w:sz w:val="18"/>
          <w:szCs w:val="18"/>
        </w:rPr>
        <w:t xml:space="preserve">Termination Provisions </w:t>
      </w:r>
    </w:p>
    <w:p w14:paraId="053BFFF5" w14:textId="77777777" w:rsidR="00F76607" w:rsidRDefault="001863F0">
      <w:pPr>
        <w:spacing w:before="240"/>
        <w:ind w:firstLine="857"/>
        <w:rPr>
          <w:iCs/>
          <w:sz w:val="18"/>
          <w:szCs w:val="18"/>
        </w:rPr>
      </w:pPr>
      <w:r>
        <w:rPr>
          <w:iCs/>
          <w:sz w:val="18"/>
          <w:szCs w:val="18"/>
        </w:rPr>
        <w:t xml:space="preserve">The members of the executive team are appointed for an undetermined period and the notification period, in case of termination of their </w:t>
      </w:r>
      <w:r>
        <w:rPr>
          <w:sz w:val="18"/>
          <w:szCs w:val="18"/>
        </w:rPr>
        <w:t>employment</w:t>
      </w:r>
      <w:r>
        <w:rPr>
          <w:iCs/>
          <w:sz w:val="18"/>
          <w:szCs w:val="18"/>
        </w:rPr>
        <w:t xml:space="preserve"> contract is 12 months. This rule applies to all members of the executive management. Furthermore there are no claw back provisions for variable remuneration.</w:t>
      </w:r>
    </w:p>
    <w:p w14:paraId="69D6FE31" w14:textId="77777777" w:rsidR="00F76607" w:rsidRDefault="001863F0">
      <w:pPr>
        <w:keepNext/>
        <w:spacing w:before="240"/>
        <w:rPr>
          <w:szCs w:val="24"/>
        </w:rPr>
      </w:pPr>
      <w:r>
        <w:rPr>
          <w:b/>
          <w:bCs/>
          <w:sz w:val="18"/>
          <w:szCs w:val="18"/>
        </w:rPr>
        <w:t>Statutory Auditor</w:t>
      </w:r>
    </w:p>
    <w:p w14:paraId="77E293BC" w14:textId="77777777" w:rsidR="00F76607" w:rsidRDefault="001863F0">
      <w:pPr>
        <w:spacing w:before="240" w:beforeAutospacing="1" w:after="100" w:afterAutospacing="1"/>
        <w:ind w:firstLine="857"/>
        <w:rPr>
          <w:iCs/>
          <w:sz w:val="18"/>
          <w:szCs w:val="18"/>
        </w:rPr>
      </w:pPr>
      <w:r>
        <w:rPr>
          <w:iCs/>
          <w:sz w:val="18"/>
          <w:szCs w:val="18"/>
        </w:rPr>
        <w:t xml:space="preserve">The Company’s Statutory Auditor is DELOITTE </w:t>
      </w:r>
      <w:proofErr w:type="spellStart"/>
      <w:r>
        <w:rPr>
          <w:iCs/>
          <w:sz w:val="18"/>
          <w:szCs w:val="18"/>
        </w:rPr>
        <w:t>Bedrijfsrevisoren</w:t>
      </w:r>
      <w:proofErr w:type="spellEnd"/>
      <w:r>
        <w:rPr>
          <w:iCs/>
          <w:sz w:val="18"/>
          <w:szCs w:val="18"/>
        </w:rPr>
        <w:t xml:space="preserve"> BV </w:t>
      </w:r>
      <w:proofErr w:type="spellStart"/>
      <w:r>
        <w:rPr>
          <w:iCs/>
          <w:sz w:val="18"/>
          <w:szCs w:val="18"/>
        </w:rPr>
        <w:t>o.v.v.e</w:t>
      </w:r>
      <w:proofErr w:type="spellEnd"/>
      <w:r>
        <w:rPr>
          <w:iCs/>
          <w:sz w:val="18"/>
          <w:szCs w:val="18"/>
        </w:rPr>
        <w:t xml:space="preserve">. CVBA, with registered office at Gateway Building, </w:t>
      </w:r>
      <w:proofErr w:type="spellStart"/>
      <w:r>
        <w:rPr>
          <w:iCs/>
          <w:sz w:val="18"/>
          <w:szCs w:val="18"/>
        </w:rPr>
        <w:t>Luchthaven</w:t>
      </w:r>
      <w:proofErr w:type="spellEnd"/>
      <w:r>
        <w:rPr>
          <w:iCs/>
          <w:sz w:val="18"/>
          <w:szCs w:val="18"/>
        </w:rPr>
        <w:t xml:space="preserve"> </w:t>
      </w:r>
      <w:proofErr w:type="spellStart"/>
      <w:r>
        <w:rPr>
          <w:iCs/>
          <w:sz w:val="18"/>
          <w:szCs w:val="18"/>
        </w:rPr>
        <w:t>Nationaal</w:t>
      </w:r>
      <w:proofErr w:type="spellEnd"/>
      <w:r>
        <w:rPr>
          <w:iCs/>
          <w:sz w:val="18"/>
          <w:szCs w:val="18"/>
        </w:rPr>
        <w:t xml:space="preserve"> 1 J, 1930 </w:t>
      </w:r>
      <w:proofErr w:type="spellStart"/>
      <w:r>
        <w:rPr>
          <w:iCs/>
          <w:sz w:val="18"/>
          <w:szCs w:val="18"/>
        </w:rPr>
        <w:t>Zaventem</w:t>
      </w:r>
      <w:proofErr w:type="spellEnd"/>
      <w:r>
        <w:rPr>
          <w:iCs/>
          <w:sz w:val="18"/>
          <w:szCs w:val="18"/>
        </w:rPr>
        <w:t xml:space="preserve">, Belgium, represented by </w:t>
      </w:r>
      <w:proofErr w:type="spellStart"/>
      <w:r>
        <w:rPr>
          <w:iCs/>
          <w:sz w:val="18"/>
          <w:szCs w:val="18"/>
        </w:rPr>
        <w:t>Mr</w:t>
      </w:r>
      <w:proofErr w:type="spellEnd"/>
      <w:r>
        <w:rPr>
          <w:iCs/>
          <w:sz w:val="18"/>
          <w:szCs w:val="18"/>
        </w:rPr>
        <w:t xml:space="preserve"> Rik Neckebroeck. The Statutory Auditor is registered with the Belgian </w:t>
      </w:r>
      <w:proofErr w:type="spellStart"/>
      <w:r>
        <w:rPr>
          <w:i/>
          <w:iCs/>
          <w:sz w:val="18"/>
          <w:szCs w:val="18"/>
        </w:rPr>
        <w:t>Instituut</w:t>
      </w:r>
      <w:proofErr w:type="spellEnd"/>
      <w:r>
        <w:rPr>
          <w:i/>
          <w:iCs/>
          <w:sz w:val="18"/>
          <w:szCs w:val="18"/>
        </w:rPr>
        <w:t xml:space="preserve"> van de </w:t>
      </w:r>
      <w:proofErr w:type="spellStart"/>
      <w:r>
        <w:rPr>
          <w:i/>
          <w:iCs/>
          <w:sz w:val="18"/>
          <w:szCs w:val="18"/>
        </w:rPr>
        <w:t>Bedrijfsrevisoren</w:t>
      </w:r>
      <w:proofErr w:type="spellEnd"/>
      <w:r>
        <w:rPr>
          <w:iCs/>
          <w:sz w:val="18"/>
          <w:szCs w:val="18"/>
        </w:rPr>
        <w:t xml:space="preserve">. </w:t>
      </w:r>
    </w:p>
    <w:p w14:paraId="4A4A8FC1" w14:textId="77777777" w:rsidR="00F76607" w:rsidRDefault="001863F0">
      <w:pPr>
        <w:spacing w:before="240" w:beforeAutospacing="1" w:after="100" w:afterAutospacing="1"/>
        <w:ind w:firstLine="857"/>
        <w:rPr>
          <w:iCs/>
          <w:sz w:val="18"/>
          <w:szCs w:val="18"/>
        </w:rPr>
      </w:pPr>
      <w:r>
        <w:rPr>
          <w:iCs/>
          <w:sz w:val="18"/>
          <w:szCs w:val="18"/>
        </w:rPr>
        <w:t xml:space="preserve">It has been re-appointed at the general meeting of shareholders on 12 May 2017 for a period of three years. </w:t>
      </w:r>
    </w:p>
    <w:p w14:paraId="2979ADB7" w14:textId="77777777" w:rsidR="00F76607" w:rsidRDefault="001863F0">
      <w:pPr>
        <w:spacing w:before="240"/>
        <w:ind w:firstLine="857"/>
        <w:rPr>
          <w:iCs/>
          <w:sz w:val="18"/>
          <w:szCs w:val="18"/>
        </w:rPr>
      </w:pPr>
      <w:r>
        <w:rPr>
          <w:iCs/>
          <w:sz w:val="18"/>
          <w:szCs w:val="18"/>
        </w:rPr>
        <w:t>The audit fees at the consolidated level have been set at € 123,500 per year by the general meeting of shareholders. This fee will be subject to an annual review reflecting the changes in audit scope which might be required in order to ensure that such audit scope is kept in line with the evolution of the Group.</w:t>
      </w:r>
    </w:p>
    <w:p w14:paraId="3C0A0DB6" w14:textId="77777777" w:rsidR="00F76607" w:rsidRDefault="001863F0">
      <w:pPr>
        <w:keepNext/>
        <w:spacing w:before="240"/>
        <w:rPr>
          <w:szCs w:val="24"/>
        </w:rPr>
      </w:pPr>
      <w:r>
        <w:rPr>
          <w:b/>
          <w:bCs/>
          <w:sz w:val="18"/>
          <w:szCs w:val="18"/>
        </w:rPr>
        <w:t>Corporate Governance</w:t>
      </w:r>
    </w:p>
    <w:p w14:paraId="68BCDCDA" w14:textId="77777777" w:rsidR="00F76607" w:rsidRDefault="001863F0">
      <w:pPr>
        <w:spacing w:before="240"/>
        <w:ind w:firstLine="857"/>
        <w:rPr>
          <w:iCs/>
          <w:sz w:val="18"/>
          <w:szCs w:val="18"/>
        </w:rPr>
      </w:pPr>
      <w:r>
        <w:rPr>
          <w:iCs/>
          <w:sz w:val="18"/>
          <w:szCs w:val="18"/>
        </w:rPr>
        <w:t xml:space="preserve">The Company has adopted the principles of corporate governance contained Belgian Code on Corporate Governance published on 12 March 2009 (the “Corporate Governance Code”) which can be consulted on http://www.corporategovernancecommittee.be/en/2009_code/latest_edition </w:t>
      </w:r>
    </w:p>
    <w:p w14:paraId="307179F4" w14:textId="77777777" w:rsidR="00F76607" w:rsidRDefault="001863F0">
      <w:pPr>
        <w:spacing w:before="240"/>
        <w:ind w:firstLine="857"/>
        <w:rPr>
          <w:iCs/>
          <w:sz w:val="18"/>
          <w:szCs w:val="18"/>
        </w:rPr>
      </w:pPr>
      <w:r>
        <w:rPr>
          <w:iCs/>
          <w:sz w:val="18"/>
          <w:szCs w:val="18"/>
        </w:rPr>
        <w:t xml:space="preserve">In accordance with the recommendations set out by the Corporate Governance Code, the Board of Directors adopted a corporate governance charter (the VGP Charter) which is available on the Company’s website: http://www.vgpparks.eu/investors/images/download/Corporate_Governance_Charter_-_EN_-_.pdf </w:t>
      </w:r>
    </w:p>
    <w:p w14:paraId="0C60488E" w14:textId="77777777" w:rsidR="00F76607" w:rsidRDefault="001863F0">
      <w:pPr>
        <w:spacing w:before="240"/>
        <w:ind w:firstLine="857"/>
        <w:rPr>
          <w:iCs/>
          <w:sz w:val="18"/>
          <w:szCs w:val="18"/>
        </w:rPr>
      </w:pPr>
      <w:r>
        <w:rPr>
          <w:iCs/>
          <w:sz w:val="18"/>
          <w:szCs w:val="18"/>
        </w:rPr>
        <w:t>Except as stated otherwise in this section “Management and Corporate Governance”, the Company complies with the obligations of the Corporate Governance Code.</w:t>
      </w:r>
    </w:p>
    <w:p w14:paraId="64CC2AED" w14:textId="77777777" w:rsidR="00F76607" w:rsidRDefault="001863F0">
      <w:pPr>
        <w:keepNext/>
        <w:spacing w:before="240"/>
        <w:rPr>
          <w:b/>
          <w:bCs/>
          <w:sz w:val="18"/>
          <w:szCs w:val="18"/>
        </w:rPr>
      </w:pPr>
      <w:r>
        <w:rPr>
          <w:b/>
          <w:bCs/>
          <w:sz w:val="18"/>
          <w:szCs w:val="18"/>
        </w:rPr>
        <w:t xml:space="preserve">Conflicts of Interest </w:t>
      </w:r>
    </w:p>
    <w:p w14:paraId="0797C0E9" w14:textId="77777777" w:rsidR="00F76607" w:rsidRDefault="001863F0">
      <w:pPr>
        <w:spacing w:before="240"/>
        <w:ind w:firstLine="857"/>
        <w:rPr>
          <w:sz w:val="18"/>
          <w:szCs w:val="18"/>
        </w:rPr>
      </w:pPr>
      <w:r>
        <w:rPr>
          <w:sz w:val="18"/>
          <w:szCs w:val="18"/>
        </w:rPr>
        <w:t xml:space="preserve">In </w:t>
      </w:r>
      <w:r>
        <w:rPr>
          <w:iCs/>
          <w:sz w:val="18"/>
          <w:szCs w:val="18"/>
        </w:rPr>
        <w:t>accordance</w:t>
      </w:r>
      <w:r>
        <w:rPr>
          <w:sz w:val="18"/>
          <w:szCs w:val="18"/>
        </w:rPr>
        <w:t xml:space="preserve"> with article 523 of the Belgian Company Code, a member of the Board of Directors should give the other members prior notice of any agenda item in respect of which he has a direct or indirect conflict of interest of a financial nature with the Company</w:t>
      </w:r>
      <w:r>
        <w:t xml:space="preserve"> </w:t>
      </w:r>
      <w:r>
        <w:rPr>
          <w:sz w:val="18"/>
          <w:szCs w:val="18"/>
        </w:rPr>
        <w:t>and may not participate in the deliberation or vote on such agenda item.</w:t>
      </w:r>
    </w:p>
    <w:p w14:paraId="63D052F4" w14:textId="77777777" w:rsidR="00F76607" w:rsidRDefault="001863F0">
      <w:pPr>
        <w:spacing w:before="240"/>
        <w:rPr>
          <w:b/>
          <w:bCs/>
          <w:i/>
          <w:iCs/>
          <w:sz w:val="18"/>
          <w:szCs w:val="18"/>
        </w:rPr>
      </w:pPr>
      <w:r>
        <w:rPr>
          <w:b/>
          <w:bCs/>
          <w:i/>
          <w:iCs/>
          <w:sz w:val="18"/>
          <w:szCs w:val="18"/>
        </w:rPr>
        <w:t>One conflict of interest have arisen in 2014</w:t>
      </w:r>
    </w:p>
    <w:p w14:paraId="4A0B5034" w14:textId="77777777" w:rsidR="00F76607" w:rsidRDefault="001863F0">
      <w:pPr>
        <w:spacing w:before="240"/>
        <w:ind w:firstLine="857"/>
        <w:rPr>
          <w:bCs/>
          <w:iCs/>
          <w:sz w:val="18"/>
          <w:szCs w:val="18"/>
        </w:rPr>
      </w:pPr>
      <w:r>
        <w:rPr>
          <w:bCs/>
          <w:iCs/>
          <w:sz w:val="18"/>
          <w:szCs w:val="18"/>
        </w:rPr>
        <w:t xml:space="preserve">During 2014 the following conflict of interest arose: </w:t>
      </w:r>
    </w:p>
    <w:p w14:paraId="2F10B482" w14:textId="77777777" w:rsidR="00F76607" w:rsidRDefault="001863F0">
      <w:pPr>
        <w:spacing w:before="100" w:beforeAutospacing="1" w:after="100" w:afterAutospacing="1"/>
        <w:rPr>
          <w:bCs/>
          <w:iCs/>
          <w:sz w:val="18"/>
          <w:szCs w:val="18"/>
          <w:u w:val="single"/>
        </w:rPr>
      </w:pPr>
      <w:r>
        <w:rPr>
          <w:bCs/>
          <w:iCs/>
          <w:sz w:val="18"/>
          <w:szCs w:val="18"/>
          <w:u w:val="single"/>
        </w:rPr>
        <w:t>Excerpt from the minutes of the Board of Directors meeting of 4 April 2014</w:t>
      </w:r>
    </w:p>
    <w:p w14:paraId="2EE99BFF" w14:textId="77777777" w:rsidR="00F76607" w:rsidRDefault="001863F0">
      <w:pPr>
        <w:keepNext/>
        <w:spacing w:before="240"/>
        <w:rPr>
          <w:bCs/>
          <w:i/>
          <w:iCs/>
          <w:sz w:val="18"/>
          <w:szCs w:val="18"/>
        </w:rPr>
      </w:pPr>
      <w:r>
        <w:rPr>
          <w:bCs/>
          <w:i/>
          <w:iCs/>
          <w:sz w:val="18"/>
          <w:szCs w:val="18"/>
        </w:rPr>
        <w:t xml:space="preserve">“The agenda calls for a discussion and approval to enter into a rental agreement between, on the one hand VM Invest NV as lessor, and on the other hand VGP as lessee. The board of directors takes note of the declaration of Mr. Bart Van Malderen (acting as permanent representative of VM Invest NV.) that it has an interest of a financial nature which could conflict with the decision and transactions deliberated upon and contained in the agenda of this meeting, as VM Invest NV is the owner of the office space which is </w:t>
      </w:r>
      <w:r>
        <w:rPr>
          <w:bCs/>
          <w:i/>
          <w:iCs/>
          <w:sz w:val="18"/>
          <w:szCs w:val="18"/>
        </w:rPr>
        <w:lastRenderedPageBreak/>
        <w:t>the subject of the rental agreement and that it is at the same time a director and shareholder of VGP. After deliberating the board of directors of VGP decides to enter into the rental agreement.”</w:t>
      </w:r>
    </w:p>
    <w:p w14:paraId="53124506" w14:textId="6C72ABB8" w:rsidR="00F76607" w:rsidRDefault="0097398B">
      <w:pPr>
        <w:keepNext/>
        <w:spacing w:before="240"/>
        <w:rPr>
          <w:b/>
          <w:bCs/>
          <w:i/>
          <w:iCs/>
          <w:sz w:val="18"/>
          <w:szCs w:val="18"/>
        </w:rPr>
      </w:pPr>
      <w:r>
        <w:rPr>
          <w:b/>
          <w:bCs/>
          <w:i/>
          <w:iCs/>
          <w:sz w:val="18"/>
          <w:szCs w:val="18"/>
        </w:rPr>
        <w:t>Three</w:t>
      </w:r>
      <w:r w:rsidR="001863F0">
        <w:rPr>
          <w:b/>
          <w:bCs/>
          <w:i/>
          <w:iCs/>
          <w:sz w:val="18"/>
          <w:szCs w:val="18"/>
        </w:rPr>
        <w:t xml:space="preserve"> conflicts of interest have arisen in 2015</w:t>
      </w:r>
    </w:p>
    <w:p w14:paraId="7EEEEAA4" w14:textId="4AF45BD1" w:rsidR="00F76607" w:rsidRDefault="0097398B">
      <w:pPr>
        <w:spacing w:before="240" w:beforeAutospacing="1" w:after="100" w:afterAutospacing="1"/>
        <w:ind w:firstLine="857"/>
        <w:rPr>
          <w:bCs/>
          <w:iCs/>
          <w:sz w:val="18"/>
          <w:szCs w:val="18"/>
        </w:rPr>
      </w:pPr>
      <w:r>
        <w:rPr>
          <w:bCs/>
          <w:iCs/>
          <w:sz w:val="18"/>
          <w:szCs w:val="18"/>
        </w:rPr>
        <w:t>During 2015 the following three</w:t>
      </w:r>
      <w:r w:rsidR="001863F0">
        <w:rPr>
          <w:bCs/>
          <w:iCs/>
          <w:sz w:val="18"/>
          <w:szCs w:val="18"/>
        </w:rPr>
        <w:t xml:space="preserve"> conflicts of interest arose: </w:t>
      </w:r>
    </w:p>
    <w:p w14:paraId="2EAC9243" w14:textId="77777777" w:rsidR="00F76607" w:rsidRDefault="001863F0">
      <w:pPr>
        <w:spacing w:before="100" w:beforeAutospacing="1" w:after="100" w:afterAutospacing="1"/>
        <w:rPr>
          <w:bCs/>
          <w:iCs/>
          <w:sz w:val="18"/>
          <w:szCs w:val="18"/>
          <w:u w:val="single"/>
        </w:rPr>
      </w:pPr>
      <w:r>
        <w:rPr>
          <w:bCs/>
          <w:iCs/>
          <w:sz w:val="18"/>
          <w:szCs w:val="18"/>
          <w:u w:val="single"/>
        </w:rPr>
        <w:t>Excerpt from the minutes of the Board of Directors meeting of 3 April 2015</w:t>
      </w:r>
    </w:p>
    <w:p w14:paraId="2D73D168" w14:textId="77777777" w:rsidR="00F76607" w:rsidRDefault="001863F0" w:rsidP="00411069">
      <w:pPr>
        <w:spacing w:before="100" w:beforeAutospacing="1" w:after="100" w:afterAutospacing="1"/>
        <w:ind w:firstLine="857"/>
        <w:rPr>
          <w:bCs/>
          <w:i/>
          <w:iCs/>
          <w:sz w:val="18"/>
          <w:szCs w:val="18"/>
        </w:rPr>
      </w:pPr>
      <w:r>
        <w:rPr>
          <w:bCs/>
          <w:i/>
          <w:iCs/>
          <w:sz w:val="18"/>
          <w:szCs w:val="18"/>
        </w:rPr>
        <w:t>“The agenda calls for a discussion and approval to (</w:t>
      </w:r>
      <w:proofErr w:type="spellStart"/>
      <w:r>
        <w:rPr>
          <w:bCs/>
          <w:i/>
          <w:iCs/>
          <w:sz w:val="18"/>
          <w:szCs w:val="18"/>
        </w:rPr>
        <w:t>i</w:t>
      </w:r>
      <w:proofErr w:type="spellEnd"/>
      <w:r>
        <w:rPr>
          <w:bCs/>
          <w:i/>
          <w:iCs/>
          <w:sz w:val="18"/>
          <w:szCs w:val="18"/>
        </w:rPr>
        <w:t xml:space="preserve">) end the existing management agreements between, on the one hand Jan Van Geet </w:t>
      </w:r>
      <w:proofErr w:type="spellStart"/>
      <w:r>
        <w:rPr>
          <w:bCs/>
          <w:i/>
          <w:iCs/>
          <w:sz w:val="18"/>
          <w:szCs w:val="18"/>
        </w:rPr>
        <w:t>s.r.o</w:t>
      </w:r>
      <w:proofErr w:type="spellEnd"/>
      <w:r>
        <w:rPr>
          <w:bCs/>
          <w:i/>
          <w:iCs/>
          <w:sz w:val="18"/>
          <w:szCs w:val="18"/>
        </w:rPr>
        <w:t xml:space="preserve">., Dirk Stoop BVBA, Tomas Van Geet, and on the other hand VGP (ii) to enter into new management agreements relating to the services rendered by some of VGP’s key managers. The board of directors takes note of the declaration of Mr. Jan Van Geet (acting as permanent representative of Jan Van Geet </w:t>
      </w:r>
      <w:proofErr w:type="spellStart"/>
      <w:r>
        <w:rPr>
          <w:bCs/>
          <w:i/>
          <w:iCs/>
          <w:sz w:val="18"/>
          <w:szCs w:val="18"/>
        </w:rPr>
        <w:t>s.r.o</w:t>
      </w:r>
      <w:proofErr w:type="spellEnd"/>
      <w:r>
        <w:rPr>
          <w:bCs/>
          <w:i/>
          <w:iCs/>
          <w:sz w:val="18"/>
          <w:szCs w:val="18"/>
        </w:rPr>
        <w:t xml:space="preserve">.) that he has an interest of a financial nature which could conflict with the decision and transactions deliberated upon and contained in the agenda of this meeting, as Jan Van Geet </w:t>
      </w:r>
      <w:proofErr w:type="spellStart"/>
      <w:r>
        <w:rPr>
          <w:bCs/>
          <w:i/>
          <w:iCs/>
          <w:sz w:val="18"/>
          <w:szCs w:val="18"/>
        </w:rPr>
        <w:t>s.r.o</w:t>
      </w:r>
      <w:proofErr w:type="spellEnd"/>
      <w:r>
        <w:rPr>
          <w:bCs/>
          <w:i/>
          <w:iCs/>
          <w:sz w:val="18"/>
          <w:szCs w:val="18"/>
        </w:rPr>
        <w:t>. will be appointed by Little Rock SA as a consultant responsible for the Group’s daily management and that he is at the same time the controlling shareholder of Little Rock SA. As a result he will not participate in the discussion and deliberation nor will he participate in the voting on these agenda points. After deliberating the board of directors decides (</w:t>
      </w:r>
      <w:proofErr w:type="spellStart"/>
      <w:r>
        <w:rPr>
          <w:bCs/>
          <w:i/>
          <w:iCs/>
          <w:sz w:val="18"/>
          <w:szCs w:val="18"/>
        </w:rPr>
        <w:t>i</w:t>
      </w:r>
      <w:proofErr w:type="spellEnd"/>
      <w:r>
        <w:rPr>
          <w:bCs/>
          <w:i/>
          <w:iCs/>
          <w:sz w:val="18"/>
          <w:szCs w:val="18"/>
        </w:rPr>
        <w:t xml:space="preserve">) to end the existing management agreements between, on the one hand Jan Van Geet </w:t>
      </w:r>
      <w:proofErr w:type="spellStart"/>
      <w:r>
        <w:rPr>
          <w:bCs/>
          <w:i/>
          <w:iCs/>
          <w:sz w:val="18"/>
          <w:szCs w:val="18"/>
        </w:rPr>
        <w:t>s.r.o</w:t>
      </w:r>
      <w:proofErr w:type="spellEnd"/>
      <w:r>
        <w:rPr>
          <w:bCs/>
          <w:i/>
          <w:iCs/>
          <w:sz w:val="18"/>
          <w:szCs w:val="18"/>
        </w:rPr>
        <w:t>., Dirk Stoop BVBA, Tomas Van Geet, and on the other hand VGP; (ii) to enter into new management agreements relating to the services rendered by some of VGP’s key managers.”</w:t>
      </w:r>
    </w:p>
    <w:p w14:paraId="4F355E0B" w14:textId="77777777" w:rsidR="00F76607" w:rsidRDefault="001863F0">
      <w:pPr>
        <w:spacing w:before="240" w:beforeAutospacing="1" w:after="100" w:afterAutospacing="1"/>
        <w:ind w:firstLine="857"/>
        <w:rPr>
          <w:bCs/>
          <w:iCs/>
          <w:sz w:val="18"/>
          <w:szCs w:val="18"/>
        </w:rPr>
      </w:pPr>
      <w:r>
        <w:rPr>
          <w:bCs/>
          <w:iCs/>
          <w:sz w:val="18"/>
          <w:szCs w:val="18"/>
        </w:rPr>
        <w:t>Another conflict of interest arose in respect of the issuing of a hybrid form of security instrument.</w:t>
      </w:r>
    </w:p>
    <w:p w14:paraId="4D65AEFA" w14:textId="77777777" w:rsidR="00F76607" w:rsidRDefault="001863F0">
      <w:pPr>
        <w:spacing w:before="100" w:beforeAutospacing="1" w:after="100" w:afterAutospacing="1"/>
        <w:rPr>
          <w:bCs/>
          <w:iCs/>
          <w:sz w:val="18"/>
          <w:szCs w:val="18"/>
          <w:u w:val="single"/>
        </w:rPr>
      </w:pPr>
      <w:r>
        <w:rPr>
          <w:bCs/>
          <w:iCs/>
          <w:sz w:val="18"/>
          <w:szCs w:val="18"/>
          <w:u w:val="single"/>
        </w:rPr>
        <w:t>Excerpt from the minutes of the Board of Directors meeting of 7 July 2015</w:t>
      </w:r>
    </w:p>
    <w:p w14:paraId="111C161D" w14:textId="5D4497F2" w:rsidR="0097398B" w:rsidRPr="0097398B" w:rsidRDefault="001863F0" w:rsidP="0097398B">
      <w:pPr>
        <w:spacing w:before="240" w:beforeAutospacing="1" w:after="100" w:afterAutospacing="1"/>
        <w:ind w:firstLine="857"/>
        <w:rPr>
          <w:bCs/>
          <w:i/>
          <w:iCs/>
          <w:sz w:val="18"/>
          <w:szCs w:val="18"/>
        </w:rPr>
      </w:pPr>
      <w:r>
        <w:rPr>
          <w:bCs/>
          <w:i/>
          <w:iCs/>
          <w:sz w:val="18"/>
          <w:szCs w:val="18"/>
        </w:rPr>
        <w:t>“The agenda calls for a discussion and approval to issue a hybrid form of security instrument. The Securities will be offered to certain investors and/or main shareholders and have the following main characteristics: (a) the Securities will be debt instruments under Belgian GAAP, but for IAS/IFRS purposes, they will qualify as equity; (b) the Securities will be perpetual debt instruments, i.e. debt instruments without a fixed maturity date. They may be redeemed at the option of the Company at any time. The Securities holders do not have a right to demand redemption of the Securities by the Company; (c) the Securities will entitle the holders to interests, which shall at the sole discretion of the Company, either: (</w:t>
      </w:r>
      <w:proofErr w:type="spellStart"/>
      <w:r>
        <w:rPr>
          <w:bCs/>
          <w:i/>
          <w:iCs/>
          <w:sz w:val="18"/>
          <w:szCs w:val="18"/>
        </w:rPr>
        <w:t>i</w:t>
      </w:r>
      <w:proofErr w:type="spellEnd"/>
      <w:r>
        <w:rPr>
          <w:bCs/>
          <w:i/>
          <w:iCs/>
          <w:sz w:val="18"/>
          <w:szCs w:val="18"/>
        </w:rPr>
        <w:t>) be payable annually in cash on the interest payment date; or (ii) be compounded in respect of each Security with the principal amount of such Security and shall be deemed to form part of the principal amount of such Security and generate interest as from the first day of the next interest period (to the extent permitted by and in accordance with article 1154 of the Belgian Civil Code). The Securities bear interest of 7.00% p.a. for the first 5 years after which the interest rate will increase with 1.00% per annum on each subsequent third anniversary. After deliberation the Board of Directors approves the terms of the Transaction Documents (substantially in the form attached to these minutes) and the Transaction contemplated thereby, as well as the execution and performance by the Company of the Transaction Documents, including: (</w:t>
      </w:r>
      <w:proofErr w:type="spellStart"/>
      <w:r>
        <w:rPr>
          <w:bCs/>
          <w:i/>
          <w:iCs/>
          <w:sz w:val="18"/>
          <w:szCs w:val="18"/>
        </w:rPr>
        <w:t>i</w:t>
      </w:r>
      <w:proofErr w:type="spellEnd"/>
      <w:r>
        <w:rPr>
          <w:bCs/>
          <w:i/>
          <w:iCs/>
          <w:sz w:val="18"/>
          <w:szCs w:val="18"/>
        </w:rPr>
        <w:t xml:space="preserve">) the draft Terms and Conditions of the Securities; and (ii) the draft Subscription Agreement.” </w:t>
      </w:r>
    </w:p>
    <w:p w14:paraId="4508178A" w14:textId="20F3C58A" w:rsidR="0097398B" w:rsidRPr="0097398B" w:rsidRDefault="0097398B" w:rsidP="0097398B">
      <w:pPr>
        <w:spacing w:before="240"/>
        <w:ind w:firstLine="857"/>
        <w:rPr>
          <w:bCs/>
          <w:iCs/>
          <w:sz w:val="18"/>
          <w:szCs w:val="18"/>
          <w:u w:val="single"/>
        </w:rPr>
      </w:pPr>
      <w:r>
        <w:rPr>
          <w:bCs/>
          <w:iCs/>
          <w:sz w:val="18"/>
          <w:szCs w:val="18"/>
          <w:u w:val="single"/>
        </w:rPr>
        <w:t xml:space="preserve">Excerpt from the minutes of </w:t>
      </w:r>
      <w:r w:rsidRPr="0097398B">
        <w:rPr>
          <w:bCs/>
          <w:iCs/>
          <w:sz w:val="18"/>
          <w:szCs w:val="18"/>
          <w:u w:val="single"/>
        </w:rPr>
        <w:t>a second</w:t>
      </w:r>
      <w:r>
        <w:rPr>
          <w:bCs/>
          <w:iCs/>
          <w:sz w:val="18"/>
          <w:szCs w:val="18"/>
          <w:u w:val="single"/>
        </w:rPr>
        <w:t xml:space="preserve"> </w:t>
      </w:r>
      <w:r w:rsidRPr="0097398B">
        <w:rPr>
          <w:bCs/>
          <w:iCs/>
          <w:sz w:val="18"/>
          <w:szCs w:val="18"/>
          <w:u w:val="single"/>
        </w:rPr>
        <w:t>Board of Directors meeting of 7 July 2015</w:t>
      </w:r>
    </w:p>
    <w:p w14:paraId="627BD376" w14:textId="77777777" w:rsidR="0097398B" w:rsidRPr="0097398B" w:rsidRDefault="0097398B" w:rsidP="0097398B">
      <w:pPr>
        <w:spacing w:before="240"/>
        <w:ind w:firstLine="857"/>
        <w:rPr>
          <w:bCs/>
          <w:i/>
          <w:iCs/>
          <w:sz w:val="18"/>
          <w:szCs w:val="18"/>
        </w:rPr>
      </w:pPr>
      <w:r w:rsidRPr="0097398B">
        <w:rPr>
          <w:bCs/>
          <w:i/>
          <w:iCs/>
          <w:sz w:val="18"/>
          <w:szCs w:val="18"/>
        </w:rPr>
        <w:t>“4. Conflict of interest</w:t>
      </w:r>
    </w:p>
    <w:p w14:paraId="436C36E6" w14:textId="77777777" w:rsidR="0097398B" w:rsidRPr="0097398B" w:rsidRDefault="0097398B" w:rsidP="0097398B">
      <w:pPr>
        <w:spacing w:before="240"/>
        <w:ind w:firstLine="857"/>
        <w:rPr>
          <w:bCs/>
          <w:i/>
          <w:iCs/>
          <w:sz w:val="18"/>
          <w:szCs w:val="18"/>
        </w:rPr>
      </w:pPr>
      <w:r w:rsidRPr="0097398B">
        <w:rPr>
          <w:bCs/>
          <w:i/>
          <w:iCs/>
          <w:sz w:val="18"/>
          <w:szCs w:val="18"/>
        </w:rPr>
        <w:t>4.1 Declaration of the conflict of interest</w:t>
      </w:r>
    </w:p>
    <w:p w14:paraId="2982F803" w14:textId="77777777" w:rsidR="0097398B" w:rsidRPr="0097398B" w:rsidRDefault="0097398B" w:rsidP="0097398B">
      <w:pPr>
        <w:spacing w:before="240"/>
        <w:ind w:firstLine="857"/>
        <w:rPr>
          <w:bCs/>
          <w:i/>
          <w:iCs/>
          <w:sz w:val="18"/>
          <w:szCs w:val="18"/>
        </w:rPr>
      </w:pPr>
      <w:r w:rsidRPr="0097398B">
        <w:rPr>
          <w:bCs/>
          <w:i/>
          <w:iCs/>
          <w:sz w:val="18"/>
          <w:szCs w:val="18"/>
        </w:rPr>
        <w:t xml:space="preserve">The board of directors takes note of the declaration of Jan Van Geet </w:t>
      </w:r>
      <w:proofErr w:type="spellStart"/>
      <w:r w:rsidRPr="0097398B">
        <w:rPr>
          <w:bCs/>
          <w:i/>
          <w:iCs/>
          <w:sz w:val="18"/>
          <w:szCs w:val="18"/>
        </w:rPr>
        <w:t>s.r.o</w:t>
      </w:r>
      <w:proofErr w:type="spellEnd"/>
      <w:r w:rsidRPr="0097398B">
        <w:rPr>
          <w:bCs/>
          <w:i/>
          <w:iCs/>
          <w:sz w:val="18"/>
          <w:szCs w:val="18"/>
        </w:rPr>
        <w:t xml:space="preserve">. (represented by </w:t>
      </w:r>
      <w:proofErr w:type="spellStart"/>
      <w:r w:rsidRPr="0097398B">
        <w:rPr>
          <w:bCs/>
          <w:i/>
          <w:iCs/>
          <w:sz w:val="18"/>
          <w:szCs w:val="18"/>
        </w:rPr>
        <w:t>Mr</w:t>
      </w:r>
      <w:proofErr w:type="spellEnd"/>
      <w:r w:rsidRPr="0097398B">
        <w:rPr>
          <w:bCs/>
          <w:i/>
          <w:iCs/>
          <w:sz w:val="18"/>
          <w:szCs w:val="18"/>
        </w:rPr>
        <w:t xml:space="preserve"> Jan Van Geet) that it has an indirect conflict of interest of a patrimonial nature with respect to the agenda point (d) of the agenda of the meeting, as Jan Van Geet is also direct shareholder of Little Rock SA.</w:t>
      </w:r>
    </w:p>
    <w:p w14:paraId="2071587E" w14:textId="77777777" w:rsidR="0097398B" w:rsidRPr="0097398B" w:rsidRDefault="0097398B" w:rsidP="0097398B">
      <w:pPr>
        <w:spacing w:before="240"/>
        <w:ind w:firstLine="857"/>
        <w:rPr>
          <w:bCs/>
          <w:i/>
          <w:iCs/>
          <w:sz w:val="18"/>
          <w:szCs w:val="18"/>
        </w:rPr>
      </w:pPr>
      <w:r w:rsidRPr="0097398B">
        <w:rPr>
          <w:bCs/>
          <w:i/>
          <w:iCs/>
          <w:sz w:val="18"/>
          <w:szCs w:val="18"/>
        </w:rPr>
        <w:t xml:space="preserve">The conflict of interest lies in the fact that if the board decides to grant a variable remuneration to Little Rock SA that Jan Van Geet </w:t>
      </w:r>
      <w:proofErr w:type="spellStart"/>
      <w:r w:rsidRPr="0097398B">
        <w:rPr>
          <w:bCs/>
          <w:i/>
          <w:iCs/>
          <w:sz w:val="18"/>
          <w:szCs w:val="18"/>
        </w:rPr>
        <w:t>s.r.o</w:t>
      </w:r>
      <w:proofErr w:type="spellEnd"/>
      <w:r w:rsidRPr="0097398B">
        <w:rPr>
          <w:bCs/>
          <w:i/>
          <w:iCs/>
          <w:sz w:val="18"/>
          <w:szCs w:val="18"/>
        </w:rPr>
        <w:t>. will have a conflict of patrimonial nature. The patrimonial consequences for the Company will be that it will be deliberating to grant a € 550k variable remuneration to Little Rock SA.</w:t>
      </w:r>
    </w:p>
    <w:p w14:paraId="375CA59A" w14:textId="77777777" w:rsidR="0097398B" w:rsidRPr="0097398B" w:rsidRDefault="0097398B" w:rsidP="0097398B">
      <w:pPr>
        <w:spacing w:before="240"/>
        <w:ind w:firstLine="857"/>
        <w:rPr>
          <w:bCs/>
          <w:i/>
          <w:iCs/>
          <w:sz w:val="18"/>
          <w:szCs w:val="18"/>
        </w:rPr>
      </w:pPr>
      <w:r w:rsidRPr="0097398B">
        <w:rPr>
          <w:bCs/>
          <w:i/>
          <w:iCs/>
          <w:sz w:val="18"/>
          <w:szCs w:val="18"/>
        </w:rPr>
        <w:t xml:space="preserve">Therefore, Jan Van Geet </w:t>
      </w:r>
      <w:proofErr w:type="spellStart"/>
      <w:r w:rsidRPr="0097398B">
        <w:rPr>
          <w:bCs/>
          <w:i/>
          <w:iCs/>
          <w:sz w:val="18"/>
          <w:szCs w:val="18"/>
        </w:rPr>
        <w:t>s.r.o</w:t>
      </w:r>
      <w:proofErr w:type="spellEnd"/>
      <w:r w:rsidRPr="0097398B">
        <w:rPr>
          <w:bCs/>
          <w:i/>
          <w:iCs/>
          <w:sz w:val="18"/>
          <w:szCs w:val="18"/>
        </w:rPr>
        <w:t xml:space="preserve">. will, in accordance with article 523 of the Belgian Companies Code and article 16 of the articles of association of the Company not participate in the deliberations and decisions on this item on the agenda. </w:t>
      </w:r>
    </w:p>
    <w:p w14:paraId="7849D7E3" w14:textId="77777777" w:rsidR="0097398B" w:rsidRPr="0097398B" w:rsidRDefault="0097398B" w:rsidP="0097398B">
      <w:pPr>
        <w:spacing w:before="240"/>
        <w:ind w:firstLine="857"/>
        <w:rPr>
          <w:bCs/>
          <w:i/>
          <w:iCs/>
          <w:sz w:val="18"/>
          <w:szCs w:val="18"/>
        </w:rPr>
      </w:pPr>
      <w:r w:rsidRPr="0097398B">
        <w:rPr>
          <w:bCs/>
          <w:i/>
          <w:iCs/>
          <w:sz w:val="18"/>
          <w:szCs w:val="18"/>
        </w:rPr>
        <w:t>4.2 Justification</w:t>
      </w:r>
    </w:p>
    <w:p w14:paraId="43EC2297" w14:textId="77777777" w:rsidR="0097398B" w:rsidRPr="0097398B" w:rsidRDefault="0097398B" w:rsidP="0097398B">
      <w:pPr>
        <w:spacing w:before="240"/>
        <w:ind w:firstLine="857"/>
        <w:rPr>
          <w:bCs/>
          <w:i/>
          <w:iCs/>
          <w:sz w:val="18"/>
          <w:szCs w:val="18"/>
        </w:rPr>
      </w:pPr>
      <w:r w:rsidRPr="0097398B">
        <w:rPr>
          <w:bCs/>
          <w:i/>
          <w:iCs/>
          <w:sz w:val="18"/>
          <w:szCs w:val="18"/>
        </w:rPr>
        <w:t>Considering the current evolution of the VGP business and the fact that Little Rock is significantly contributing to the growth of the Group and its geographical expansion, the board of directors considers that the proposed € 550k bonus allocation to Little Rock SA by the remuneration committee is justified.</w:t>
      </w:r>
    </w:p>
    <w:p w14:paraId="54F7CFE6" w14:textId="0F620F6F" w:rsidR="0097398B" w:rsidRPr="0097398B" w:rsidRDefault="0097398B" w:rsidP="0097398B">
      <w:pPr>
        <w:spacing w:before="240"/>
        <w:ind w:firstLine="857"/>
        <w:rPr>
          <w:bCs/>
          <w:i/>
          <w:iCs/>
          <w:sz w:val="18"/>
          <w:szCs w:val="18"/>
        </w:rPr>
      </w:pPr>
      <w:r w:rsidRPr="0097398B">
        <w:rPr>
          <w:bCs/>
          <w:i/>
          <w:iCs/>
          <w:sz w:val="18"/>
          <w:szCs w:val="18"/>
        </w:rPr>
        <w:t>[…</w:t>
      </w:r>
      <w:r w:rsidR="000E243B">
        <w:rPr>
          <w:bCs/>
          <w:i/>
          <w:iCs/>
          <w:sz w:val="18"/>
          <w:szCs w:val="18"/>
        </w:rPr>
        <w:t>]</w:t>
      </w:r>
    </w:p>
    <w:p w14:paraId="41EF8A9D" w14:textId="77777777" w:rsidR="0097398B" w:rsidRPr="0097398B" w:rsidRDefault="0097398B" w:rsidP="0097398B">
      <w:pPr>
        <w:spacing w:before="240"/>
        <w:ind w:firstLine="857"/>
        <w:rPr>
          <w:bCs/>
          <w:i/>
          <w:iCs/>
          <w:sz w:val="18"/>
          <w:szCs w:val="18"/>
        </w:rPr>
      </w:pPr>
      <w:r w:rsidRPr="0097398B">
        <w:rPr>
          <w:bCs/>
          <w:i/>
          <w:iCs/>
          <w:sz w:val="18"/>
          <w:szCs w:val="18"/>
        </w:rPr>
        <w:t>5.4 Allocation of variable remuneration to VGP key team members</w:t>
      </w:r>
    </w:p>
    <w:p w14:paraId="1DA57DA2" w14:textId="77777777" w:rsidR="0097398B" w:rsidRPr="0097398B" w:rsidRDefault="0097398B" w:rsidP="0097398B">
      <w:pPr>
        <w:spacing w:before="240"/>
        <w:ind w:firstLine="857"/>
        <w:rPr>
          <w:bCs/>
          <w:i/>
          <w:iCs/>
          <w:sz w:val="18"/>
          <w:szCs w:val="18"/>
        </w:rPr>
      </w:pPr>
      <w:r w:rsidRPr="0097398B">
        <w:rPr>
          <w:bCs/>
          <w:i/>
          <w:iCs/>
          <w:sz w:val="18"/>
          <w:szCs w:val="18"/>
        </w:rPr>
        <w:lastRenderedPageBreak/>
        <w:t>The meeting takes note of the advice of the remuneration committee of today, to grant a variable remuneration to the VGP key team members.</w:t>
      </w:r>
    </w:p>
    <w:p w14:paraId="70D16619" w14:textId="77777777" w:rsidR="0097398B" w:rsidRPr="0097398B" w:rsidRDefault="0097398B" w:rsidP="0097398B">
      <w:pPr>
        <w:spacing w:before="240"/>
        <w:ind w:firstLine="857"/>
        <w:rPr>
          <w:bCs/>
          <w:i/>
          <w:iCs/>
          <w:sz w:val="18"/>
          <w:szCs w:val="18"/>
        </w:rPr>
      </w:pPr>
      <w:r w:rsidRPr="0097398B">
        <w:rPr>
          <w:bCs/>
          <w:i/>
          <w:iCs/>
          <w:sz w:val="18"/>
          <w:szCs w:val="18"/>
        </w:rPr>
        <w:t>After further deliberation, the board of directors, unanimously and by applying the procedure described in Article 523 of the companies code and article 16 of the articles of association, approves a € 1.1 million bonus envelope to be allocated as follows:</w:t>
      </w:r>
    </w:p>
    <w:p w14:paraId="2C46BA67" w14:textId="77777777" w:rsidR="0097398B" w:rsidRPr="0097398B" w:rsidRDefault="0097398B" w:rsidP="0097398B">
      <w:pPr>
        <w:numPr>
          <w:ilvl w:val="0"/>
          <w:numId w:val="90"/>
        </w:numPr>
        <w:spacing w:before="240"/>
        <w:rPr>
          <w:bCs/>
          <w:i/>
          <w:iCs/>
          <w:sz w:val="18"/>
          <w:szCs w:val="18"/>
        </w:rPr>
      </w:pPr>
      <w:r w:rsidRPr="0097398B">
        <w:rPr>
          <w:bCs/>
          <w:i/>
          <w:iCs/>
          <w:sz w:val="18"/>
          <w:szCs w:val="18"/>
        </w:rPr>
        <w:t>€ 550k to Little Rock SA;</w:t>
      </w:r>
    </w:p>
    <w:p w14:paraId="3069DBDC" w14:textId="77777777" w:rsidR="0097398B" w:rsidRPr="0097398B" w:rsidRDefault="0097398B" w:rsidP="0097398B">
      <w:pPr>
        <w:numPr>
          <w:ilvl w:val="0"/>
          <w:numId w:val="90"/>
        </w:numPr>
        <w:spacing w:before="240"/>
        <w:rPr>
          <w:bCs/>
          <w:i/>
          <w:iCs/>
          <w:sz w:val="18"/>
          <w:szCs w:val="18"/>
        </w:rPr>
      </w:pPr>
      <w:r w:rsidRPr="0097398B">
        <w:rPr>
          <w:bCs/>
          <w:i/>
          <w:iCs/>
          <w:sz w:val="18"/>
          <w:szCs w:val="18"/>
        </w:rPr>
        <w:t>€ 550k to be allocated over other key team members by the CEO.”</w:t>
      </w:r>
    </w:p>
    <w:p w14:paraId="6824439D" w14:textId="77777777" w:rsidR="0097398B" w:rsidRPr="0097398B" w:rsidRDefault="0097398B" w:rsidP="0097398B">
      <w:pPr>
        <w:spacing w:before="240"/>
        <w:ind w:firstLine="857"/>
        <w:rPr>
          <w:bCs/>
          <w:i/>
          <w:iCs/>
          <w:sz w:val="18"/>
          <w:szCs w:val="18"/>
        </w:rPr>
      </w:pPr>
    </w:p>
    <w:p w14:paraId="2C3E9889" w14:textId="77777777" w:rsidR="0097398B" w:rsidRPr="0097398B" w:rsidRDefault="0097398B" w:rsidP="0097398B">
      <w:pPr>
        <w:spacing w:before="240"/>
        <w:ind w:firstLine="857"/>
        <w:rPr>
          <w:bCs/>
          <w:iCs/>
          <w:sz w:val="18"/>
          <w:szCs w:val="18"/>
        </w:rPr>
      </w:pPr>
      <w:r w:rsidRPr="0097398B">
        <w:rPr>
          <w:bCs/>
          <w:iCs/>
          <w:sz w:val="18"/>
          <w:szCs w:val="18"/>
        </w:rPr>
        <w:t>The complete minutes of these meetings of the Board of Directors concerning the new management agreements with Little Rock SA and the issuance of the hybrid securities are included in the Board of Director’s report attached to the 31 December 2015 statutory accounts.</w:t>
      </w:r>
    </w:p>
    <w:p w14:paraId="0C78E185" w14:textId="77777777" w:rsidR="00F76607" w:rsidRDefault="001863F0">
      <w:pPr>
        <w:keepNext/>
        <w:spacing w:before="240"/>
        <w:rPr>
          <w:b/>
          <w:bCs/>
          <w:i/>
          <w:iCs/>
          <w:sz w:val="18"/>
          <w:szCs w:val="18"/>
        </w:rPr>
      </w:pPr>
      <w:r>
        <w:rPr>
          <w:b/>
          <w:bCs/>
          <w:i/>
          <w:iCs/>
          <w:sz w:val="18"/>
          <w:szCs w:val="18"/>
        </w:rPr>
        <w:t>One conflict of interest has arisen in 2016</w:t>
      </w:r>
    </w:p>
    <w:p w14:paraId="14706F6E" w14:textId="77777777" w:rsidR="00F76607" w:rsidRDefault="001863F0">
      <w:pPr>
        <w:spacing w:before="240"/>
        <w:ind w:firstLine="857"/>
        <w:rPr>
          <w:bCs/>
          <w:iCs/>
          <w:sz w:val="18"/>
          <w:szCs w:val="18"/>
        </w:rPr>
      </w:pPr>
      <w:r>
        <w:rPr>
          <w:bCs/>
          <w:iCs/>
          <w:sz w:val="18"/>
          <w:szCs w:val="18"/>
        </w:rPr>
        <w:t>During 2016, one conflict of interest has arisen:</w:t>
      </w:r>
    </w:p>
    <w:p w14:paraId="386F86B5" w14:textId="77777777" w:rsidR="00F76607" w:rsidRDefault="001863F0">
      <w:pPr>
        <w:spacing w:before="100" w:beforeAutospacing="1" w:after="100" w:afterAutospacing="1"/>
        <w:rPr>
          <w:bCs/>
          <w:iCs/>
          <w:sz w:val="18"/>
          <w:szCs w:val="18"/>
          <w:u w:val="single"/>
          <w:lang w:val="en-GB"/>
        </w:rPr>
      </w:pPr>
      <w:r>
        <w:rPr>
          <w:bCs/>
          <w:iCs/>
          <w:sz w:val="18"/>
          <w:szCs w:val="18"/>
          <w:u w:val="single"/>
          <w:lang w:val="en-GB"/>
        </w:rPr>
        <w:t>Excerpt from the minutes of the Board of Directors meeting of 30 May 2016.</w:t>
      </w:r>
    </w:p>
    <w:p w14:paraId="298FACFD" w14:textId="77777777" w:rsidR="00F76607" w:rsidRDefault="001863F0">
      <w:pPr>
        <w:spacing w:before="240" w:beforeAutospacing="1" w:after="100" w:afterAutospacing="1"/>
        <w:ind w:firstLine="857"/>
        <w:rPr>
          <w:bCs/>
          <w:i/>
          <w:iCs/>
          <w:sz w:val="18"/>
          <w:szCs w:val="18"/>
          <w:lang w:val="en-GB"/>
        </w:rPr>
      </w:pPr>
      <w:r>
        <w:rPr>
          <w:bCs/>
          <w:iCs/>
          <w:sz w:val="18"/>
          <w:szCs w:val="18"/>
          <w:lang w:val="en-GB"/>
        </w:rPr>
        <w:t>“</w:t>
      </w:r>
      <w:r>
        <w:rPr>
          <w:bCs/>
          <w:i/>
          <w:iCs/>
          <w:sz w:val="18"/>
          <w:szCs w:val="18"/>
          <w:lang w:val="en-GB"/>
        </w:rPr>
        <w:t>Agenda</w:t>
      </w:r>
    </w:p>
    <w:p w14:paraId="07EC3A95" w14:textId="77777777" w:rsidR="00F76607" w:rsidRDefault="001863F0">
      <w:pPr>
        <w:spacing w:before="240" w:beforeAutospacing="1" w:after="100" w:afterAutospacing="1"/>
        <w:ind w:firstLine="857"/>
        <w:rPr>
          <w:bCs/>
          <w:i/>
          <w:iCs/>
          <w:sz w:val="18"/>
          <w:szCs w:val="18"/>
          <w:lang w:val="en-GB"/>
        </w:rPr>
      </w:pPr>
      <w:r>
        <w:rPr>
          <w:bCs/>
          <w:i/>
          <w:iCs/>
          <w:sz w:val="18"/>
          <w:szCs w:val="18"/>
          <w:lang w:val="en-GB"/>
        </w:rPr>
        <w:t>1.</w:t>
      </w:r>
      <w:r>
        <w:rPr>
          <w:bCs/>
          <w:i/>
          <w:iCs/>
          <w:sz w:val="18"/>
          <w:szCs w:val="18"/>
          <w:lang w:val="en-GB"/>
        </w:rPr>
        <w:tab/>
        <w:t>Conditional decision to redeem the Securities; and</w:t>
      </w:r>
    </w:p>
    <w:p w14:paraId="0C902359" w14:textId="77777777" w:rsidR="00F76607" w:rsidRDefault="001863F0">
      <w:pPr>
        <w:spacing w:before="240" w:beforeAutospacing="1" w:after="100" w:afterAutospacing="1"/>
        <w:ind w:firstLine="857"/>
        <w:rPr>
          <w:bCs/>
          <w:i/>
          <w:iCs/>
          <w:sz w:val="18"/>
          <w:szCs w:val="18"/>
          <w:lang w:val="en-GB"/>
        </w:rPr>
      </w:pPr>
      <w:r>
        <w:rPr>
          <w:bCs/>
          <w:i/>
          <w:iCs/>
          <w:sz w:val="18"/>
          <w:szCs w:val="18"/>
          <w:lang w:val="en-GB"/>
        </w:rPr>
        <w:t>2.</w:t>
      </w:r>
      <w:r>
        <w:rPr>
          <w:bCs/>
          <w:i/>
          <w:iCs/>
          <w:sz w:val="18"/>
          <w:szCs w:val="18"/>
          <w:lang w:val="en-GB"/>
        </w:rPr>
        <w:tab/>
        <w:t>The granting of special powers of attorney.</w:t>
      </w:r>
    </w:p>
    <w:p w14:paraId="10A8D02C" w14:textId="77777777" w:rsidR="00F76607" w:rsidRDefault="001863F0">
      <w:pPr>
        <w:spacing w:before="240" w:beforeAutospacing="1" w:after="100" w:afterAutospacing="1"/>
        <w:ind w:firstLine="857"/>
        <w:rPr>
          <w:bCs/>
          <w:i/>
          <w:iCs/>
          <w:sz w:val="18"/>
          <w:szCs w:val="18"/>
          <w:lang w:val="en-GB"/>
        </w:rPr>
      </w:pPr>
      <w:r>
        <w:rPr>
          <w:bCs/>
          <w:i/>
          <w:iCs/>
          <w:sz w:val="18"/>
          <w:szCs w:val="18"/>
          <w:lang w:val="en-GB"/>
        </w:rPr>
        <w:t>1</w:t>
      </w:r>
      <w:r>
        <w:rPr>
          <w:bCs/>
          <w:i/>
          <w:iCs/>
          <w:sz w:val="18"/>
          <w:szCs w:val="18"/>
          <w:lang w:val="en-GB"/>
        </w:rPr>
        <w:tab/>
        <w:t>Introduction</w:t>
      </w:r>
    </w:p>
    <w:p w14:paraId="3746DC5C" w14:textId="77777777" w:rsidR="00F76607" w:rsidRDefault="001863F0">
      <w:pPr>
        <w:spacing w:before="240" w:beforeAutospacing="1" w:after="100" w:afterAutospacing="1"/>
        <w:ind w:firstLine="857"/>
        <w:rPr>
          <w:bCs/>
          <w:i/>
          <w:iCs/>
          <w:sz w:val="18"/>
          <w:szCs w:val="18"/>
          <w:lang w:val="en-GB"/>
        </w:rPr>
      </w:pPr>
      <w:r>
        <w:rPr>
          <w:bCs/>
          <w:i/>
          <w:iCs/>
          <w:sz w:val="18"/>
          <w:szCs w:val="18"/>
          <w:lang w:val="en-GB"/>
        </w:rPr>
        <w:t xml:space="preserve">1.1 </w:t>
      </w:r>
      <w:r>
        <w:rPr>
          <w:bCs/>
          <w:i/>
          <w:iCs/>
          <w:sz w:val="18"/>
          <w:szCs w:val="18"/>
          <w:lang w:val="en-GB"/>
        </w:rPr>
        <w:tab/>
        <w:t>Description of the Transaction</w:t>
      </w:r>
    </w:p>
    <w:p w14:paraId="34808DFD" w14:textId="77777777" w:rsidR="00F76607" w:rsidRDefault="001863F0">
      <w:pPr>
        <w:spacing w:before="240" w:beforeAutospacing="1" w:after="100" w:afterAutospacing="1"/>
        <w:ind w:firstLine="857"/>
        <w:rPr>
          <w:bCs/>
          <w:i/>
          <w:iCs/>
          <w:sz w:val="18"/>
          <w:szCs w:val="18"/>
          <w:lang w:val="en-GB"/>
        </w:rPr>
      </w:pPr>
      <w:r>
        <w:rPr>
          <w:bCs/>
          <w:i/>
          <w:iCs/>
          <w:sz w:val="18"/>
          <w:szCs w:val="18"/>
          <w:lang w:val="en-GB"/>
        </w:rPr>
        <w:t>The Company has issued a hybrid form of security instruments (that qualify as debt instruments under Belgian GAAP, but for IAS/IFRS purposes, as equity) on 29 July 2015, 16 September 2015 and 25 November 2015 (a “Security” or the “Securities”), as follows:</w:t>
      </w:r>
    </w:p>
    <w:p w14:paraId="42D3F136" w14:textId="77777777" w:rsidR="00F76607" w:rsidRDefault="001863F0">
      <w:pPr>
        <w:spacing w:before="240" w:beforeAutospacing="1" w:after="100" w:afterAutospacing="1"/>
        <w:ind w:firstLine="857"/>
        <w:rPr>
          <w:bCs/>
          <w:i/>
          <w:iCs/>
          <w:sz w:val="18"/>
          <w:szCs w:val="18"/>
          <w:lang w:val="en-GB"/>
        </w:rPr>
      </w:pPr>
      <w:r>
        <w:rPr>
          <w:bCs/>
          <w:i/>
          <w:iCs/>
          <w:sz w:val="18"/>
          <w:szCs w:val="18"/>
          <w:lang w:val="en-GB"/>
        </w:rPr>
        <w:t>(</w:t>
      </w:r>
      <w:proofErr w:type="spellStart"/>
      <w:r>
        <w:rPr>
          <w:bCs/>
          <w:i/>
          <w:iCs/>
          <w:sz w:val="18"/>
          <w:szCs w:val="18"/>
          <w:lang w:val="en-GB"/>
        </w:rPr>
        <w:t>i</w:t>
      </w:r>
      <w:proofErr w:type="spellEnd"/>
      <w:r>
        <w:rPr>
          <w:bCs/>
          <w:i/>
          <w:iCs/>
          <w:sz w:val="18"/>
          <w:szCs w:val="18"/>
          <w:lang w:val="en-GB"/>
        </w:rPr>
        <w:t>)</w:t>
      </w:r>
      <w:r>
        <w:rPr>
          <w:bCs/>
          <w:i/>
          <w:iCs/>
          <w:sz w:val="18"/>
          <w:szCs w:val="18"/>
          <w:lang w:val="en-GB"/>
        </w:rPr>
        <w:tab/>
        <w:t>45 Securities were issued to VM Invest NV, of which 15 on 29 July 2015, 20 on 16 September 2015 and 10 on 25 November 2015; and</w:t>
      </w:r>
    </w:p>
    <w:p w14:paraId="57D97756" w14:textId="77777777" w:rsidR="00F76607" w:rsidRDefault="001863F0">
      <w:pPr>
        <w:spacing w:before="240" w:beforeAutospacing="1" w:after="100" w:afterAutospacing="1"/>
        <w:ind w:firstLine="857"/>
        <w:rPr>
          <w:bCs/>
          <w:i/>
          <w:iCs/>
          <w:sz w:val="18"/>
          <w:szCs w:val="18"/>
          <w:lang w:val="en-GB"/>
        </w:rPr>
      </w:pPr>
      <w:r>
        <w:rPr>
          <w:bCs/>
          <w:i/>
          <w:iCs/>
          <w:sz w:val="18"/>
          <w:szCs w:val="18"/>
          <w:lang w:val="en-GB"/>
        </w:rPr>
        <w:t>(ii)</w:t>
      </w:r>
      <w:r>
        <w:rPr>
          <w:bCs/>
          <w:i/>
          <w:iCs/>
          <w:sz w:val="18"/>
          <w:szCs w:val="18"/>
          <w:lang w:val="en-GB"/>
        </w:rPr>
        <w:tab/>
        <w:t>15 Securities were issued to Little Rock SA, of which 5 on 29 July 2015, 5 on 16 September 2015 and 5 on 25 November 2015.</w:t>
      </w:r>
    </w:p>
    <w:p w14:paraId="4CC40C76" w14:textId="77777777" w:rsidR="00F76607" w:rsidRDefault="001863F0">
      <w:pPr>
        <w:spacing w:before="240" w:beforeAutospacing="1" w:after="100" w:afterAutospacing="1"/>
        <w:ind w:firstLine="857"/>
        <w:rPr>
          <w:bCs/>
          <w:i/>
          <w:iCs/>
          <w:sz w:val="18"/>
          <w:szCs w:val="18"/>
          <w:lang w:val="en-GB"/>
        </w:rPr>
      </w:pPr>
      <w:r>
        <w:rPr>
          <w:bCs/>
          <w:i/>
          <w:iCs/>
          <w:sz w:val="18"/>
          <w:szCs w:val="18"/>
          <w:lang w:val="en-GB"/>
        </w:rPr>
        <w:t xml:space="preserve">Pursuant to Article 5 “Redemption” of the Terms and Conditions of the Securities, the Company wishes to redeem all Securities against a price equal to the issue price plus the interest accrued from the issue date of each Security until the date of actual payment to the Securities Holder, such redemption being subject to the closing of the transaction entered into with Allianz, being the sale of 50% of the shares in the joint-venture vehicle VGP European Logistics </w:t>
      </w:r>
      <w:proofErr w:type="spellStart"/>
      <w:r>
        <w:rPr>
          <w:bCs/>
          <w:i/>
          <w:iCs/>
          <w:sz w:val="18"/>
          <w:szCs w:val="18"/>
          <w:lang w:val="en-GB"/>
        </w:rPr>
        <w:t>S.à.r.l</w:t>
      </w:r>
      <w:proofErr w:type="spellEnd"/>
      <w:r>
        <w:rPr>
          <w:bCs/>
          <w:i/>
          <w:iCs/>
          <w:sz w:val="18"/>
          <w:szCs w:val="18"/>
          <w:lang w:val="en-GB"/>
        </w:rPr>
        <w:t xml:space="preserve">. by the Company to Allianz Finance VII Luxembourg S.A., SAS Allianz </w:t>
      </w:r>
      <w:proofErr w:type="spellStart"/>
      <w:r>
        <w:rPr>
          <w:bCs/>
          <w:i/>
          <w:iCs/>
          <w:sz w:val="18"/>
          <w:szCs w:val="18"/>
          <w:lang w:val="en-GB"/>
        </w:rPr>
        <w:t>Logistique</w:t>
      </w:r>
      <w:proofErr w:type="spellEnd"/>
      <w:r>
        <w:rPr>
          <w:bCs/>
          <w:i/>
          <w:iCs/>
          <w:sz w:val="18"/>
          <w:szCs w:val="18"/>
          <w:lang w:val="en-GB"/>
        </w:rPr>
        <w:t xml:space="preserve"> S.A.S.U. and Allianz Benelux S.A. (the “Closing”) in accordance with the terms of the SPA signed on 14 March 2016 (the “Transaction”).</w:t>
      </w:r>
    </w:p>
    <w:p w14:paraId="181EEC20" w14:textId="77777777" w:rsidR="00F76607" w:rsidRDefault="001863F0">
      <w:pPr>
        <w:spacing w:before="240" w:beforeAutospacing="1" w:after="100" w:afterAutospacing="1"/>
        <w:ind w:firstLine="857"/>
        <w:rPr>
          <w:bCs/>
          <w:i/>
          <w:iCs/>
          <w:sz w:val="18"/>
          <w:szCs w:val="18"/>
          <w:lang w:val="en-GB"/>
        </w:rPr>
      </w:pPr>
      <w:r>
        <w:rPr>
          <w:bCs/>
          <w:i/>
          <w:iCs/>
          <w:sz w:val="18"/>
          <w:szCs w:val="18"/>
          <w:lang w:val="en-GB"/>
        </w:rPr>
        <w:t>1.2</w:t>
      </w:r>
      <w:r>
        <w:rPr>
          <w:bCs/>
          <w:i/>
          <w:iCs/>
          <w:sz w:val="18"/>
          <w:szCs w:val="18"/>
          <w:lang w:val="en-GB"/>
        </w:rPr>
        <w:tab/>
        <w:t xml:space="preserve">Conflicts of interest </w:t>
      </w:r>
    </w:p>
    <w:p w14:paraId="7555589F" w14:textId="77777777" w:rsidR="00F76607" w:rsidRDefault="001863F0">
      <w:pPr>
        <w:spacing w:before="240" w:beforeAutospacing="1" w:after="100" w:afterAutospacing="1"/>
        <w:ind w:firstLine="857"/>
        <w:rPr>
          <w:bCs/>
          <w:i/>
          <w:iCs/>
          <w:sz w:val="18"/>
          <w:szCs w:val="18"/>
          <w:lang w:val="en-GB"/>
        </w:rPr>
      </w:pPr>
      <w:r>
        <w:rPr>
          <w:bCs/>
          <w:i/>
          <w:iCs/>
          <w:sz w:val="18"/>
          <w:szCs w:val="18"/>
          <w:lang w:val="en-GB"/>
        </w:rPr>
        <w:t>1.2.1</w:t>
      </w:r>
      <w:r>
        <w:rPr>
          <w:bCs/>
          <w:i/>
          <w:iCs/>
          <w:sz w:val="18"/>
          <w:szCs w:val="18"/>
          <w:lang w:val="en-GB"/>
        </w:rPr>
        <w:tab/>
        <w:t>Declaration of the conflict of interest</w:t>
      </w:r>
    </w:p>
    <w:p w14:paraId="6635B329" w14:textId="77777777" w:rsidR="00F76607" w:rsidRDefault="001863F0" w:rsidP="00411069">
      <w:pPr>
        <w:spacing w:before="100" w:beforeAutospacing="1" w:after="100" w:afterAutospacing="1"/>
        <w:ind w:firstLine="857"/>
        <w:rPr>
          <w:bCs/>
          <w:i/>
          <w:iCs/>
          <w:sz w:val="18"/>
          <w:szCs w:val="18"/>
          <w:lang w:val="en-GB"/>
        </w:rPr>
      </w:pPr>
      <w:r>
        <w:rPr>
          <w:bCs/>
          <w:i/>
          <w:iCs/>
          <w:sz w:val="18"/>
          <w:szCs w:val="18"/>
          <w:lang w:val="en-GB"/>
        </w:rPr>
        <w:t xml:space="preserve">Jan Van Geet </w:t>
      </w:r>
      <w:proofErr w:type="spellStart"/>
      <w:r>
        <w:rPr>
          <w:bCs/>
          <w:i/>
          <w:iCs/>
          <w:sz w:val="18"/>
          <w:szCs w:val="18"/>
          <w:lang w:val="en-GB"/>
        </w:rPr>
        <w:t>s.r.o</w:t>
      </w:r>
      <w:proofErr w:type="spellEnd"/>
      <w:r>
        <w:rPr>
          <w:bCs/>
          <w:i/>
          <w:iCs/>
          <w:sz w:val="18"/>
          <w:szCs w:val="18"/>
          <w:lang w:val="en-GB"/>
        </w:rPr>
        <w:t xml:space="preserve">. and VM Invest NV have notified the board of directors that they have a conflict of interest of a patrimonial nature with respect to the decision to approve the Transaction, because they (or persons affiliated with them) are Securities Holders. The conflicted directors have indicated that their conflict of interest lies in the fact that if and when the board decides to redeem the Securities, they have a conflict of patrimonial nature, because they could, given the interest payments due in respect of the Securities compared to the current market interest rate, have an interest not to approve the redemption of the Securities. Therefore, Jan Van Geet </w:t>
      </w:r>
      <w:proofErr w:type="spellStart"/>
      <w:r>
        <w:rPr>
          <w:bCs/>
          <w:i/>
          <w:iCs/>
          <w:sz w:val="18"/>
          <w:szCs w:val="18"/>
          <w:lang w:val="en-GB"/>
        </w:rPr>
        <w:t>s.r.o</w:t>
      </w:r>
      <w:proofErr w:type="spellEnd"/>
      <w:r>
        <w:rPr>
          <w:bCs/>
          <w:i/>
          <w:iCs/>
          <w:sz w:val="18"/>
          <w:szCs w:val="18"/>
          <w:lang w:val="en-GB"/>
        </w:rPr>
        <w:t>. and VM Invest NV will, in accordance with article 523 of the Belgian Company Code and article 16 of the articles of association of the Company, not participate in the deliberations and decisions of the board of directors on these items on the agenda.</w:t>
      </w:r>
    </w:p>
    <w:p w14:paraId="35271F36" w14:textId="77777777" w:rsidR="00F76607" w:rsidRDefault="001863F0">
      <w:pPr>
        <w:spacing w:before="240" w:beforeAutospacing="1" w:after="100" w:afterAutospacing="1"/>
        <w:ind w:firstLine="857"/>
        <w:rPr>
          <w:bCs/>
          <w:i/>
          <w:iCs/>
          <w:sz w:val="18"/>
          <w:szCs w:val="18"/>
          <w:lang w:val="en-GB"/>
        </w:rPr>
      </w:pPr>
      <w:r>
        <w:rPr>
          <w:bCs/>
          <w:i/>
          <w:iCs/>
          <w:sz w:val="18"/>
          <w:szCs w:val="18"/>
          <w:lang w:val="en-GB"/>
        </w:rPr>
        <w:t>1.2.2</w:t>
      </w:r>
      <w:r>
        <w:rPr>
          <w:bCs/>
          <w:i/>
          <w:iCs/>
          <w:sz w:val="18"/>
          <w:szCs w:val="18"/>
          <w:lang w:val="en-GB"/>
        </w:rPr>
        <w:tab/>
        <w:t xml:space="preserve">Justification </w:t>
      </w:r>
    </w:p>
    <w:p w14:paraId="38E52300" w14:textId="77777777" w:rsidR="00F76607" w:rsidRDefault="001863F0">
      <w:pPr>
        <w:spacing w:before="240" w:beforeAutospacing="1" w:after="100" w:afterAutospacing="1"/>
        <w:ind w:firstLine="857"/>
        <w:rPr>
          <w:bCs/>
          <w:i/>
          <w:iCs/>
          <w:sz w:val="18"/>
          <w:szCs w:val="18"/>
          <w:lang w:val="en-GB"/>
        </w:rPr>
      </w:pPr>
      <w:r>
        <w:rPr>
          <w:bCs/>
          <w:i/>
          <w:iCs/>
          <w:sz w:val="18"/>
          <w:szCs w:val="18"/>
          <w:lang w:val="en-GB"/>
        </w:rPr>
        <w:lastRenderedPageBreak/>
        <w:t xml:space="preserve">The board of directors is of the opinion that the redemption of the Securities is desirable as the Company will have sufficient cash resources available at Closing to allow the redemption of the Securities to take place. Taking into account these new cash resources and the strengthened equity base of the Company as a result thereof, it is no longer necessary to further maintain an alternative funding resource such as the Securities. </w:t>
      </w:r>
    </w:p>
    <w:p w14:paraId="497C7C4F" w14:textId="77777777" w:rsidR="00F76607" w:rsidRDefault="001863F0">
      <w:pPr>
        <w:spacing w:before="240" w:beforeAutospacing="1" w:after="100" w:afterAutospacing="1"/>
        <w:ind w:firstLine="857"/>
        <w:rPr>
          <w:bCs/>
          <w:i/>
          <w:iCs/>
          <w:sz w:val="18"/>
          <w:szCs w:val="18"/>
          <w:lang w:val="en-GB"/>
        </w:rPr>
      </w:pPr>
      <w:r>
        <w:rPr>
          <w:bCs/>
          <w:i/>
          <w:iCs/>
          <w:sz w:val="18"/>
          <w:szCs w:val="18"/>
          <w:lang w:val="en-GB"/>
        </w:rPr>
        <w:t>2</w:t>
      </w:r>
      <w:r>
        <w:rPr>
          <w:bCs/>
          <w:i/>
          <w:iCs/>
          <w:sz w:val="18"/>
          <w:szCs w:val="18"/>
          <w:lang w:val="en-GB"/>
        </w:rPr>
        <w:tab/>
        <w:t>Resolutions</w:t>
      </w:r>
    </w:p>
    <w:p w14:paraId="47B9BD36" w14:textId="77777777" w:rsidR="00F76607" w:rsidRDefault="001863F0">
      <w:pPr>
        <w:spacing w:before="240" w:beforeAutospacing="1" w:after="100" w:afterAutospacing="1"/>
        <w:ind w:firstLine="857"/>
        <w:rPr>
          <w:bCs/>
          <w:i/>
          <w:iCs/>
          <w:sz w:val="18"/>
          <w:szCs w:val="18"/>
          <w:lang w:val="en-GB"/>
        </w:rPr>
      </w:pPr>
      <w:r>
        <w:rPr>
          <w:bCs/>
          <w:i/>
          <w:iCs/>
          <w:sz w:val="18"/>
          <w:szCs w:val="18"/>
          <w:lang w:val="en-GB"/>
        </w:rPr>
        <w:t>After deliberation on all of the items on the agenda the board of directors, with respect to the procedure set forth in article 523 of the Belgian Company Code and article 16 of the articles of association of the Company,</w:t>
      </w:r>
    </w:p>
    <w:p w14:paraId="3B9CAAA4" w14:textId="77777777" w:rsidR="00F76607" w:rsidRDefault="001863F0">
      <w:pPr>
        <w:spacing w:before="240" w:beforeAutospacing="1" w:after="100" w:afterAutospacing="1"/>
        <w:ind w:firstLine="857"/>
        <w:rPr>
          <w:bCs/>
          <w:i/>
          <w:iCs/>
          <w:sz w:val="18"/>
          <w:szCs w:val="18"/>
          <w:lang w:val="en-GB"/>
        </w:rPr>
      </w:pPr>
      <w:r>
        <w:rPr>
          <w:bCs/>
          <w:i/>
          <w:iCs/>
          <w:sz w:val="18"/>
          <w:szCs w:val="18"/>
          <w:lang w:val="en-GB"/>
        </w:rPr>
        <w:t>DECIDES to approve the Transaction.</w:t>
      </w:r>
    </w:p>
    <w:p w14:paraId="044B303F" w14:textId="77777777" w:rsidR="00F76607" w:rsidRDefault="001863F0">
      <w:pPr>
        <w:spacing w:before="240" w:beforeAutospacing="1" w:after="100" w:afterAutospacing="1"/>
        <w:ind w:firstLine="857"/>
        <w:rPr>
          <w:bCs/>
          <w:i/>
          <w:iCs/>
          <w:sz w:val="18"/>
          <w:szCs w:val="18"/>
          <w:lang w:val="en-GB"/>
        </w:rPr>
      </w:pPr>
      <w:r>
        <w:rPr>
          <w:bCs/>
          <w:i/>
          <w:iCs/>
          <w:sz w:val="18"/>
          <w:szCs w:val="18"/>
          <w:lang w:val="en-GB"/>
        </w:rPr>
        <w:t xml:space="preserve">DECIDES to appoint Mr Jan Van Geet and Mr Dirk Stoop as its special attorney(s), (acting alone or jointly and with the right of substitution), with the power to in general, do all that is necessary or useful to implement the resolutions adopted during this meeting and to realise the Transaction within a period of 12 months as from the date hereof, including the negotiation, amending and execution of all documents connected to the Transaction. </w:t>
      </w:r>
    </w:p>
    <w:p w14:paraId="53868C1F" w14:textId="77777777" w:rsidR="00F76607" w:rsidRDefault="001863F0">
      <w:pPr>
        <w:spacing w:before="240"/>
        <w:ind w:firstLine="857"/>
        <w:rPr>
          <w:bCs/>
          <w:iCs/>
          <w:sz w:val="18"/>
          <w:szCs w:val="18"/>
          <w:lang w:val="en-GB"/>
        </w:rPr>
      </w:pPr>
      <w:r>
        <w:rPr>
          <w:bCs/>
          <w:i/>
          <w:iCs/>
          <w:sz w:val="18"/>
          <w:szCs w:val="18"/>
          <w:lang w:val="en-GB"/>
        </w:rPr>
        <w:t>Since there are no further items on the agenda, the meeting is adjourned</w:t>
      </w:r>
      <w:r>
        <w:rPr>
          <w:bCs/>
          <w:iCs/>
          <w:sz w:val="18"/>
          <w:szCs w:val="18"/>
          <w:lang w:val="en-GB"/>
        </w:rPr>
        <w:t>.”</w:t>
      </w:r>
    </w:p>
    <w:p w14:paraId="4C734549" w14:textId="77777777" w:rsidR="00F76607" w:rsidRDefault="001863F0">
      <w:pPr>
        <w:pStyle w:val="VulcanIISectionTitle"/>
      </w:pPr>
      <w:bookmarkStart w:id="91" w:name="_Toc493194619"/>
      <w:r>
        <w:lastRenderedPageBreak/>
        <w:t>GROUP STRUCTURE</w:t>
      </w:r>
      <w:bookmarkEnd w:id="91"/>
      <w:r>
        <w:t xml:space="preserve"> </w:t>
      </w:r>
    </w:p>
    <w:p w14:paraId="7D35D489" w14:textId="77777777" w:rsidR="00F76607" w:rsidRDefault="001863F0">
      <w:pPr>
        <w:pStyle w:val="NormalWeb"/>
        <w:keepNext/>
        <w:spacing w:before="240" w:beforeAutospacing="0" w:after="0" w:afterAutospacing="0"/>
      </w:pPr>
      <w:r>
        <w:rPr>
          <w:b/>
          <w:bCs/>
          <w:sz w:val="18"/>
          <w:szCs w:val="18"/>
        </w:rPr>
        <w:t xml:space="preserve">Group Structure </w:t>
      </w:r>
    </w:p>
    <w:p w14:paraId="152795DE" w14:textId="77777777" w:rsidR="00F76607" w:rsidRDefault="001863F0">
      <w:pPr>
        <w:pStyle w:val="NormalWeb"/>
        <w:spacing w:before="180" w:beforeAutospacing="0" w:after="0" w:afterAutospacing="0"/>
        <w:rPr>
          <w:sz w:val="2"/>
          <w:szCs w:val="2"/>
        </w:rPr>
      </w:pPr>
      <w:r>
        <w:rPr>
          <w:sz w:val="2"/>
          <w:szCs w:val="2"/>
        </w:rPr>
        <w:t> </w:t>
      </w:r>
    </w:p>
    <w:p w14:paraId="2AAD1022" w14:textId="77777777" w:rsidR="00F76607" w:rsidRDefault="001863F0">
      <w:pPr>
        <w:pStyle w:val="NormalWeb"/>
        <w:keepNext/>
        <w:ind w:firstLine="857"/>
        <w:rPr>
          <w:sz w:val="18"/>
          <w:szCs w:val="18"/>
        </w:rPr>
      </w:pPr>
      <w:r>
        <w:rPr>
          <w:sz w:val="18"/>
          <w:szCs w:val="18"/>
        </w:rPr>
        <w:t>The following chart is a structure chart of the Group.</w:t>
      </w:r>
    </w:p>
    <w:p w14:paraId="4C50C1D1" w14:textId="77777777" w:rsidR="00F76607" w:rsidRDefault="001863F0">
      <w:pPr>
        <w:pStyle w:val="NormalWeb"/>
        <w:keepNext/>
        <w:spacing w:before="0" w:beforeAutospacing="0" w:after="0" w:afterAutospacing="0"/>
        <w:ind w:firstLine="857"/>
        <w:rPr>
          <w:sz w:val="18"/>
          <w:szCs w:val="18"/>
        </w:rPr>
      </w:pPr>
      <w:r>
        <w:rPr>
          <w:sz w:val="18"/>
          <w:szCs w:val="18"/>
        </w:rPr>
        <w:t>The entities included in the Group structure below, with the exception of (</w:t>
      </w:r>
      <w:proofErr w:type="spellStart"/>
      <w:r>
        <w:rPr>
          <w:sz w:val="18"/>
          <w:szCs w:val="18"/>
        </w:rPr>
        <w:t>i</w:t>
      </w:r>
      <w:proofErr w:type="spellEnd"/>
      <w:r>
        <w:rPr>
          <w:sz w:val="18"/>
          <w:szCs w:val="18"/>
        </w:rPr>
        <w:t xml:space="preserve">) VGP European Logistics </w:t>
      </w:r>
      <w:proofErr w:type="spellStart"/>
      <w:r>
        <w:rPr>
          <w:sz w:val="18"/>
          <w:szCs w:val="18"/>
        </w:rPr>
        <w:t>S.à</w:t>
      </w:r>
      <w:proofErr w:type="spellEnd"/>
      <w:r>
        <w:rPr>
          <w:sz w:val="18"/>
          <w:szCs w:val="18"/>
        </w:rPr>
        <w:t xml:space="preserve"> </w:t>
      </w:r>
      <w:proofErr w:type="spellStart"/>
      <w:r>
        <w:rPr>
          <w:sz w:val="18"/>
          <w:szCs w:val="18"/>
        </w:rPr>
        <w:t>r.l</w:t>
      </w:r>
      <w:proofErr w:type="spellEnd"/>
      <w:r>
        <w:rPr>
          <w:sz w:val="18"/>
          <w:szCs w:val="18"/>
        </w:rPr>
        <w:t xml:space="preserve">. and its respective subsidiaries, (ii) VGP MISV Comm. VA and (iii) the Company, are the Company’s Subsidiaries. VGP European Logistics </w:t>
      </w:r>
      <w:proofErr w:type="spellStart"/>
      <w:r>
        <w:rPr>
          <w:sz w:val="18"/>
          <w:szCs w:val="18"/>
        </w:rPr>
        <w:t>S.à</w:t>
      </w:r>
      <w:proofErr w:type="spellEnd"/>
      <w:r>
        <w:rPr>
          <w:sz w:val="18"/>
          <w:szCs w:val="18"/>
        </w:rPr>
        <w:t xml:space="preserve"> </w:t>
      </w:r>
      <w:proofErr w:type="spellStart"/>
      <w:r>
        <w:rPr>
          <w:sz w:val="18"/>
          <w:szCs w:val="18"/>
        </w:rPr>
        <w:t>r.l</w:t>
      </w:r>
      <w:proofErr w:type="spellEnd"/>
      <w:r>
        <w:rPr>
          <w:sz w:val="18"/>
          <w:szCs w:val="18"/>
        </w:rPr>
        <w:t>. and its respective subsidiaries, i.e. the entities in which the Company (directly or indirectly) holds a 50% participation (52.55% participation for German asset companies) are the Joint Venture and the Joint Venture’s subsidiaries. VGP MISV Comm. VA in which the Company holds 43.23% is the Associate.</w:t>
      </w:r>
    </w:p>
    <w:p w14:paraId="5128441E" w14:textId="77777777" w:rsidR="00F76607" w:rsidRDefault="00F76607">
      <w:pPr>
        <w:pStyle w:val="NormalWeb"/>
        <w:keepNext/>
        <w:spacing w:before="0" w:beforeAutospacing="0" w:after="0" w:afterAutospacing="0"/>
        <w:ind w:firstLine="857"/>
        <w:rPr>
          <w:sz w:val="18"/>
          <w:szCs w:val="18"/>
        </w:rPr>
        <w:sectPr w:rsidR="00F76607">
          <w:headerReference w:type="even" r:id="rId46"/>
          <w:headerReference w:type="default" r:id="rId47"/>
          <w:footerReference w:type="even" r:id="rId48"/>
          <w:footerReference w:type="default" r:id="rId49"/>
          <w:headerReference w:type="first" r:id="rId50"/>
          <w:footerReference w:type="first" r:id="rId51"/>
          <w:type w:val="continuous"/>
          <w:pgSz w:w="11907" w:h="16839" w:code="9"/>
          <w:pgMar w:top="1077" w:right="1077" w:bottom="1077" w:left="1077" w:header="720" w:footer="720" w:gutter="0"/>
          <w:cols w:space="720"/>
          <w:docGrid w:linePitch="326"/>
        </w:sectPr>
      </w:pPr>
    </w:p>
    <w:p w14:paraId="10CA20E5" w14:textId="77777777" w:rsidR="00F76607" w:rsidRDefault="001863F0">
      <w:pPr>
        <w:pStyle w:val="NormalWeb"/>
        <w:keepNext/>
        <w:pageBreakBefore/>
        <w:spacing w:before="0" w:beforeAutospacing="0" w:after="0" w:afterAutospacing="0"/>
        <w:jc w:val="center"/>
        <w:rPr>
          <w:b/>
          <w:bCs/>
          <w:sz w:val="18"/>
          <w:szCs w:val="18"/>
        </w:rPr>
        <w:sectPr w:rsidR="00F76607">
          <w:pgSz w:w="16839" w:h="11907" w:orient="landscape" w:code="9"/>
          <w:pgMar w:top="1077" w:right="1077" w:bottom="1077" w:left="1077" w:header="720" w:footer="720" w:gutter="0"/>
          <w:cols w:space="720"/>
          <w:docGrid w:linePitch="326"/>
        </w:sectPr>
      </w:pPr>
      <w:r>
        <w:rPr>
          <w:noProof/>
          <w:lang w:val="nl-BE" w:eastAsia="nl-BE"/>
        </w:rPr>
        <w:lastRenderedPageBreak/>
        <w:drawing>
          <wp:inline distT="0" distB="0" distL="0" distR="0" wp14:anchorId="3AE63A4A" wp14:editId="2D56FC34">
            <wp:extent cx="9324975" cy="4995545"/>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324975" cy="4995545"/>
                    </a:xfrm>
                    <a:prstGeom prst="rect">
                      <a:avLst/>
                    </a:prstGeom>
                  </pic:spPr>
                </pic:pic>
              </a:graphicData>
            </a:graphic>
          </wp:inline>
        </w:drawing>
      </w:r>
    </w:p>
    <w:p w14:paraId="355CBD8B" w14:textId="77777777" w:rsidR="00F76607" w:rsidRDefault="001863F0">
      <w:pPr>
        <w:pStyle w:val="VulcanIISectionTitle"/>
      </w:pPr>
      <w:bookmarkStart w:id="92" w:name="_Toc493194620"/>
      <w:r>
        <w:lastRenderedPageBreak/>
        <w:t>MAJOR SHAREHOLDERS AND RELATED PARTY TRANSACTIONS</w:t>
      </w:r>
      <w:bookmarkEnd w:id="92"/>
    </w:p>
    <w:p w14:paraId="41E05ADB" w14:textId="77777777" w:rsidR="00F76607" w:rsidRDefault="001863F0">
      <w:pPr>
        <w:pStyle w:val="NormalWeb"/>
        <w:keepNext/>
        <w:spacing w:before="240" w:beforeAutospacing="0" w:after="0" w:afterAutospacing="0"/>
        <w:rPr>
          <w:b/>
          <w:bCs/>
          <w:sz w:val="18"/>
          <w:szCs w:val="18"/>
        </w:rPr>
      </w:pPr>
      <w:r>
        <w:rPr>
          <w:b/>
          <w:bCs/>
          <w:sz w:val="18"/>
          <w:szCs w:val="18"/>
        </w:rPr>
        <w:t xml:space="preserve">Major Shareholders </w:t>
      </w:r>
    </w:p>
    <w:p w14:paraId="570A69D6" w14:textId="77777777" w:rsidR="00F76607" w:rsidRDefault="001863F0">
      <w:pPr>
        <w:pStyle w:val="NormalWeb"/>
        <w:spacing w:before="240" w:beforeAutospacing="0" w:after="0" w:afterAutospacing="0"/>
        <w:ind w:firstLine="857"/>
        <w:rPr>
          <w:sz w:val="18"/>
          <w:szCs w:val="18"/>
        </w:rPr>
      </w:pPr>
      <w:r>
        <w:rPr>
          <w:sz w:val="18"/>
          <w:szCs w:val="18"/>
        </w:rPr>
        <w:t>The Company’s shares are listed on the regulated market of Euronext Brussels and on the Main Market of the Prague Stock Exchange. Pursuant to article 6 of the Law of 2 May 2007 on the disclosure of important participations in listed companies and article 14 of the Articles of Association, the identity of the shareholders acquiring a participation of 3%, 5% or a multiple of 5% in the Company has to be made public.</w:t>
      </w:r>
    </w:p>
    <w:p w14:paraId="458B0E42" w14:textId="77777777" w:rsidR="00F76607" w:rsidRDefault="001863F0">
      <w:pPr>
        <w:pStyle w:val="NormalWeb"/>
        <w:spacing w:before="240" w:beforeAutospacing="0" w:after="0" w:afterAutospacing="0"/>
        <w:ind w:firstLine="857"/>
        <w:rPr>
          <w:sz w:val="18"/>
          <w:szCs w:val="18"/>
        </w:rPr>
      </w:pPr>
      <w:r>
        <w:rPr>
          <w:sz w:val="18"/>
          <w:szCs w:val="18"/>
        </w:rPr>
        <w:t>The Company is not controlled in the sense of article 5 of the Belgian Company Code. The Company is not aware of any arrangements the operation of which may at a subsequent date result in a change of control of the Company.</w:t>
      </w:r>
    </w:p>
    <w:p w14:paraId="02AED9D0" w14:textId="77777777" w:rsidR="00F76607" w:rsidRDefault="001863F0">
      <w:pPr>
        <w:pStyle w:val="NormalWeb"/>
        <w:spacing w:before="240" w:beforeAutospacing="0" w:after="0" w:afterAutospacing="0"/>
        <w:ind w:firstLine="857"/>
        <w:rPr>
          <w:sz w:val="18"/>
          <w:szCs w:val="18"/>
        </w:rPr>
      </w:pPr>
      <w:r>
        <w:rPr>
          <w:sz w:val="18"/>
          <w:szCs w:val="18"/>
        </w:rPr>
        <w:t>As the date of this Prospectus, the share capital of the Company is represented by 18,583,050 shares.</w:t>
      </w:r>
    </w:p>
    <w:p w14:paraId="08E6C041" w14:textId="77777777" w:rsidR="00F76607" w:rsidRDefault="001863F0">
      <w:pPr>
        <w:pStyle w:val="NormalWeb"/>
        <w:spacing w:before="240" w:beforeAutospacing="0" w:after="0" w:afterAutospacing="0"/>
        <w:ind w:firstLine="857"/>
        <w:rPr>
          <w:sz w:val="18"/>
          <w:szCs w:val="18"/>
        </w:rPr>
      </w:pPr>
      <w:r>
        <w:rPr>
          <w:sz w:val="18"/>
          <w:szCs w:val="18"/>
        </w:rPr>
        <w:t>The table below sets out the ownership of the Company’s shares prior to the Offering:</w:t>
      </w:r>
    </w:p>
    <w:p w14:paraId="176A403B" w14:textId="77777777" w:rsidR="00F76607" w:rsidRDefault="00F76607">
      <w:pPr>
        <w:pStyle w:val="NormalWeb"/>
        <w:spacing w:before="240" w:beforeAutospacing="0" w:after="0" w:afterAutospacing="0"/>
        <w:ind w:firstLine="857"/>
        <w:rPr>
          <w:sz w:val="18"/>
          <w:szCs w:val="18"/>
        </w:rPr>
      </w:pPr>
    </w:p>
    <w:tbl>
      <w:tblPr>
        <w:tblStyle w:val="TableGrid6"/>
        <w:tblW w:w="0" w:type="auto"/>
        <w:tblInd w:w="680" w:type="dxa"/>
        <w:tblLook w:val="04A0" w:firstRow="1" w:lastRow="0" w:firstColumn="1" w:lastColumn="0" w:noHBand="0" w:noVBand="1"/>
      </w:tblPr>
      <w:tblGrid>
        <w:gridCol w:w="3284"/>
        <w:gridCol w:w="2694"/>
        <w:gridCol w:w="2358"/>
      </w:tblGrid>
      <w:tr w:rsidR="00F76607" w14:paraId="3AF57569" w14:textId="77777777">
        <w:tc>
          <w:tcPr>
            <w:tcW w:w="3284" w:type="dxa"/>
            <w:tcBorders>
              <w:left w:val="nil"/>
              <w:right w:val="nil"/>
            </w:tcBorders>
          </w:tcPr>
          <w:p w14:paraId="622ECDE5" w14:textId="77777777" w:rsidR="00F76607" w:rsidRDefault="001863F0">
            <w:pPr>
              <w:keepNext/>
              <w:rPr>
                <w:rFonts w:ascii="Times New Roman" w:hAnsi="Times New Roman"/>
                <w:b/>
                <w:sz w:val="18"/>
                <w:szCs w:val="18"/>
              </w:rPr>
            </w:pPr>
            <w:proofErr w:type="spellStart"/>
            <w:r>
              <w:rPr>
                <w:rFonts w:ascii="Times New Roman" w:hAnsi="Times New Roman"/>
                <w:b/>
                <w:sz w:val="18"/>
                <w:szCs w:val="18"/>
              </w:rPr>
              <w:t>Shareholders</w:t>
            </w:r>
            <w:proofErr w:type="spellEnd"/>
          </w:p>
        </w:tc>
        <w:tc>
          <w:tcPr>
            <w:tcW w:w="2694" w:type="dxa"/>
            <w:tcBorders>
              <w:left w:val="nil"/>
              <w:right w:val="nil"/>
            </w:tcBorders>
          </w:tcPr>
          <w:p w14:paraId="389DBD2B" w14:textId="77777777" w:rsidR="00F76607" w:rsidRDefault="001863F0">
            <w:pPr>
              <w:keepNext/>
              <w:jc w:val="right"/>
              <w:rPr>
                <w:rFonts w:ascii="Times New Roman" w:hAnsi="Times New Roman"/>
                <w:b/>
                <w:sz w:val="18"/>
                <w:szCs w:val="18"/>
              </w:rPr>
            </w:pPr>
            <w:proofErr w:type="spellStart"/>
            <w:r>
              <w:rPr>
                <w:rFonts w:ascii="Times New Roman" w:hAnsi="Times New Roman"/>
                <w:b/>
                <w:sz w:val="18"/>
                <w:szCs w:val="18"/>
              </w:rPr>
              <w:t>Number</w:t>
            </w:r>
            <w:proofErr w:type="spellEnd"/>
            <w:r>
              <w:rPr>
                <w:rFonts w:ascii="Times New Roman" w:hAnsi="Times New Roman"/>
                <w:b/>
                <w:sz w:val="18"/>
                <w:szCs w:val="18"/>
              </w:rPr>
              <w:t xml:space="preserve"> of shares</w:t>
            </w:r>
          </w:p>
        </w:tc>
        <w:tc>
          <w:tcPr>
            <w:tcW w:w="2358" w:type="dxa"/>
            <w:tcBorders>
              <w:left w:val="nil"/>
              <w:right w:val="nil"/>
            </w:tcBorders>
          </w:tcPr>
          <w:p w14:paraId="166EFD3B" w14:textId="77777777" w:rsidR="00F76607" w:rsidRDefault="001863F0">
            <w:pPr>
              <w:keepNext/>
              <w:jc w:val="right"/>
              <w:rPr>
                <w:rFonts w:ascii="Times New Roman" w:hAnsi="Times New Roman"/>
                <w:b/>
                <w:sz w:val="18"/>
                <w:szCs w:val="18"/>
              </w:rPr>
            </w:pPr>
            <w:r>
              <w:rPr>
                <w:rFonts w:ascii="Times New Roman" w:hAnsi="Times New Roman"/>
                <w:b/>
                <w:sz w:val="18"/>
                <w:szCs w:val="18"/>
              </w:rPr>
              <w:t xml:space="preserve">% of shares </w:t>
            </w:r>
            <w:proofErr w:type="spellStart"/>
            <w:r>
              <w:rPr>
                <w:rFonts w:ascii="Times New Roman" w:hAnsi="Times New Roman"/>
                <w:b/>
                <w:sz w:val="18"/>
                <w:szCs w:val="18"/>
              </w:rPr>
              <w:t>issued</w:t>
            </w:r>
            <w:proofErr w:type="spellEnd"/>
          </w:p>
        </w:tc>
      </w:tr>
      <w:tr w:rsidR="00F76607" w14:paraId="528E623F" w14:textId="77777777">
        <w:tc>
          <w:tcPr>
            <w:tcW w:w="3284" w:type="dxa"/>
            <w:tcBorders>
              <w:left w:val="nil"/>
              <w:bottom w:val="nil"/>
              <w:right w:val="nil"/>
            </w:tcBorders>
          </w:tcPr>
          <w:p w14:paraId="75A600BA" w14:textId="77777777" w:rsidR="00F76607" w:rsidRDefault="001863F0">
            <w:pPr>
              <w:rPr>
                <w:rFonts w:ascii="Times New Roman" w:hAnsi="Times New Roman"/>
                <w:sz w:val="18"/>
                <w:szCs w:val="18"/>
              </w:rPr>
            </w:pPr>
            <w:r>
              <w:rPr>
                <w:rFonts w:ascii="Times New Roman" w:hAnsi="Times New Roman"/>
                <w:sz w:val="18"/>
                <w:szCs w:val="18"/>
              </w:rPr>
              <w:t xml:space="preserve">VM </w:t>
            </w:r>
            <w:proofErr w:type="spellStart"/>
            <w:r>
              <w:rPr>
                <w:rFonts w:ascii="Times New Roman" w:hAnsi="Times New Roman"/>
                <w:sz w:val="18"/>
                <w:szCs w:val="18"/>
              </w:rPr>
              <w:t>Invest</w:t>
            </w:r>
            <w:proofErr w:type="spellEnd"/>
            <w:r>
              <w:rPr>
                <w:rFonts w:ascii="Times New Roman" w:hAnsi="Times New Roman"/>
                <w:sz w:val="18"/>
                <w:szCs w:val="18"/>
              </w:rPr>
              <w:t xml:space="preserve"> NV</w:t>
            </w:r>
          </w:p>
        </w:tc>
        <w:tc>
          <w:tcPr>
            <w:tcW w:w="2694" w:type="dxa"/>
            <w:tcBorders>
              <w:left w:val="nil"/>
              <w:bottom w:val="nil"/>
              <w:right w:val="nil"/>
            </w:tcBorders>
            <w:vAlign w:val="bottom"/>
          </w:tcPr>
          <w:p w14:paraId="7C76D9A0"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4,451,668</w:t>
            </w:r>
          </w:p>
        </w:tc>
        <w:tc>
          <w:tcPr>
            <w:tcW w:w="2358" w:type="dxa"/>
            <w:tcBorders>
              <w:left w:val="nil"/>
              <w:bottom w:val="nil"/>
              <w:right w:val="nil"/>
            </w:tcBorders>
            <w:vAlign w:val="bottom"/>
          </w:tcPr>
          <w:p w14:paraId="7687CB47"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rPr>
              <w:t>23.96</w:t>
            </w:r>
            <w:r>
              <w:rPr>
                <w:rFonts w:ascii="Times New Roman" w:hAnsi="Times New Roman"/>
                <w:color w:val="000000"/>
                <w:sz w:val="18"/>
                <w:szCs w:val="18"/>
                <w:lang w:val="en-US"/>
              </w:rPr>
              <w:t>%</w:t>
            </w:r>
          </w:p>
        </w:tc>
      </w:tr>
      <w:tr w:rsidR="00F76607" w14:paraId="58CBA065" w14:textId="77777777">
        <w:tc>
          <w:tcPr>
            <w:tcW w:w="3284" w:type="dxa"/>
            <w:tcBorders>
              <w:top w:val="nil"/>
              <w:left w:val="nil"/>
              <w:bottom w:val="nil"/>
              <w:right w:val="nil"/>
            </w:tcBorders>
          </w:tcPr>
          <w:p w14:paraId="3B5BE3AD" w14:textId="77777777" w:rsidR="00F76607" w:rsidRDefault="001863F0">
            <w:pPr>
              <w:rPr>
                <w:rFonts w:ascii="Times New Roman" w:hAnsi="Times New Roman"/>
                <w:sz w:val="18"/>
                <w:szCs w:val="18"/>
              </w:rPr>
            </w:pPr>
            <w:r>
              <w:rPr>
                <w:rFonts w:ascii="Times New Roman" w:hAnsi="Times New Roman"/>
                <w:sz w:val="18"/>
                <w:szCs w:val="18"/>
              </w:rPr>
              <w:t>Bart Van Malderen</w:t>
            </w:r>
          </w:p>
        </w:tc>
        <w:tc>
          <w:tcPr>
            <w:tcW w:w="2694" w:type="dxa"/>
            <w:tcBorders>
              <w:top w:val="nil"/>
              <w:left w:val="nil"/>
              <w:bottom w:val="nil"/>
              <w:right w:val="nil"/>
            </w:tcBorders>
            <w:vAlign w:val="bottom"/>
          </w:tcPr>
          <w:p w14:paraId="4F3A470D"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rPr>
              <w:t>3,545,250</w:t>
            </w:r>
          </w:p>
        </w:tc>
        <w:tc>
          <w:tcPr>
            <w:tcW w:w="2358" w:type="dxa"/>
            <w:tcBorders>
              <w:top w:val="nil"/>
              <w:left w:val="nil"/>
              <w:bottom w:val="nil"/>
              <w:right w:val="nil"/>
            </w:tcBorders>
            <w:vAlign w:val="bottom"/>
          </w:tcPr>
          <w:p w14:paraId="09C4AA72"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19.08%</w:t>
            </w:r>
          </w:p>
        </w:tc>
      </w:tr>
      <w:tr w:rsidR="00F76607" w14:paraId="2033E1BE" w14:textId="77777777">
        <w:tc>
          <w:tcPr>
            <w:tcW w:w="3284" w:type="dxa"/>
            <w:tcBorders>
              <w:top w:val="nil"/>
              <w:left w:val="nil"/>
              <w:bottom w:val="nil"/>
              <w:right w:val="nil"/>
            </w:tcBorders>
          </w:tcPr>
          <w:p w14:paraId="16D51963" w14:textId="77777777" w:rsidR="00F76607" w:rsidRDefault="001863F0">
            <w:pPr>
              <w:rPr>
                <w:rFonts w:ascii="Times New Roman" w:hAnsi="Times New Roman"/>
                <w:sz w:val="18"/>
                <w:szCs w:val="18"/>
              </w:rPr>
            </w:pPr>
            <w:r>
              <w:rPr>
                <w:rFonts w:ascii="Times New Roman" w:hAnsi="Times New Roman"/>
                <w:sz w:val="18"/>
                <w:szCs w:val="18"/>
              </w:rPr>
              <w:t xml:space="preserve">VGP MISV </w:t>
            </w:r>
            <w:proofErr w:type="spellStart"/>
            <w:r>
              <w:rPr>
                <w:rFonts w:ascii="Times New Roman" w:hAnsi="Times New Roman"/>
                <w:sz w:val="18"/>
                <w:szCs w:val="18"/>
              </w:rPr>
              <w:t>Comm</w:t>
            </w:r>
            <w:proofErr w:type="spellEnd"/>
            <w:r>
              <w:rPr>
                <w:rFonts w:ascii="Times New Roman" w:hAnsi="Times New Roman"/>
                <w:sz w:val="18"/>
                <w:szCs w:val="18"/>
              </w:rPr>
              <w:t>. VA</w:t>
            </w:r>
          </w:p>
        </w:tc>
        <w:tc>
          <w:tcPr>
            <w:tcW w:w="2694" w:type="dxa"/>
            <w:tcBorders>
              <w:top w:val="nil"/>
              <w:left w:val="nil"/>
              <w:bottom w:val="nil"/>
              <w:right w:val="nil"/>
            </w:tcBorders>
            <w:vAlign w:val="bottom"/>
          </w:tcPr>
          <w:p w14:paraId="083BA483" w14:textId="77777777" w:rsidR="00F76607" w:rsidRDefault="001863F0">
            <w:pPr>
              <w:jc w:val="right"/>
              <w:rPr>
                <w:rFonts w:ascii="Times New Roman" w:hAnsi="Times New Roman"/>
                <w:sz w:val="18"/>
                <w:szCs w:val="18"/>
              </w:rPr>
            </w:pPr>
            <w:r>
              <w:rPr>
                <w:rFonts w:ascii="Times New Roman" w:hAnsi="Times New Roman"/>
                <w:sz w:val="18"/>
                <w:szCs w:val="18"/>
              </w:rPr>
              <w:t>929,153</w:t>
            </w:r>
          </w:p>
        </w:tc>
        <w:tc>
          <w:tcPr>
            <w:tcW w:w="2358" w:type="dxa"/>
            <w:tcBorders>
              <w:top w:val="nil"/>
              <w:left w:val="nil"/>
              <w:bottom w:val="nil"/>
              <w:right w:val="nil"/>
            </w:tcBorders>
            <w:vAlign w:val="bottom"/>
          </w:tcPr>
          <w:p w14:paraId="7322FC3F" w14:textId="77777777" w:rsidR="00F76607" w:rsidRDefault="001863F0">
            <w:pPr>
              <w:jc w:val="right"/>
              <w:rPr>
                <w:rFonts w:ascii="Times New Roman" w:hAnsi="Times New Roman"/>
                <w:sz w:val="18"/>
                <w:szCs w:val="18"/>
              </w:rPr>
            </w:pPr>
            <w:r>
              <w:rPr>
                <w:rFonts w:ascii="Times New Roman" w:hAnsi="Times New Roman"/>
                <w:sz w:val="18"/>
                <w:szCs w:val="18"/>
              </w:rPr>
              <w:t>5.00%</w:t>
            </w:r>
          </w:p>
        </w:tc>
      </w:tr>
      <w:tr w:rsidR="00F76607" w14:paraId="3F3FC9B3" w14:textId="77777777">
        <w:tc>
          <w:tcPr>
            <w:tcW w:w="3284" w:type="dxa"/>
            <w:tcBorders>
              <w:top w:val="nil"/>
              <w:left w:val="nil"/>
              <w:bottom w:val="nil"/>
              <w:right w:val="nil"/>
            </w:tcBorders>
          </w:tcPr>
          <w:p w14:paraId="0167FC63" w14:textId="77777777" w:rsidR="00F76607" w:rsidRDefault="001863F0">
            <w:pPr>
              <w:keepNext/>
              <w:spacing w:line="256" w:lineRule="auto"/>
              <w:rPr>
                <w:rFonts w:ascii="Times New Roman" w:hAnsi="Times New Roman"/>
                <w:b/>
                <w:sz w:val="18"/>
                <w:szCs w:val="18"/>
              </w:rPr>
            </w:pPr>
            <w:r>
              <w:rPr>
                <w:rFonts w:ascii="Times New Roman" w:hAnsi="Times New Roman"/>
                <w:b/>
                <w:sz w:val="18"/>
                <w:szCs w:val="18"/>
              </w:rPr>
              <w:t>Sub-</w:t>
            </w:r>
            <w:proofErr w:type="spellStart"/>
            <w:r>
              <w:rPr>
                <w:rFonts w:ascii="Times New Roman" w:hAnsi="Times New Roman"/>
                <w:b/>
                <w:sz w:val="18"/>
                <w:szCs w:val="18"/>
              </w:rPr>
              <w:t>total</w:t>
            </w:r>
            <w:proofErr w:type="spellEnd"/>
            <w:r>
              <w:rPr>
                <w:rFonts w:ascii="Times New Roman" w:hAnsi="Times New Roman"/>
                <w:b/>
                <w:sz w:val="18"/>
                <w:szCs w:val="18"/>
              </w:rPr>
              <w:t xml:space="preserve"> Bart Van Malderen Group</w:t>
            </w:r>
          </w:p>
        </w:tc>
        <w:tc>
          <w:tcPr>
            <w:tcW w:w="2694" w:type="dxa"/>
            <w:tcBorders>
              <w:top w:val="single" w:sz="4" w:space="0" w:color="auto"/>
              <w:left w:val="nil"/>
              <w:bottom w:val="single" w:sz="12" w:space="0" w:color="auto"/>
              <w:right w:val="nil"/>
            </w:tcBorders>
            <w:vAlign w:val="bottom"/>
          </w:tcPr>
          <w:p w14:paraId="0D4A0496" w14:textId="77777777" w:rsidR="00F76607" w:rsidRDefault="001863F0">
            <w:pPr>
              <w:jc w:val="right"/>
              <w:rPr>
                <w:rFonts w:ascii="Times New Roman" w:hAnsi="Times New Roman"/>
                <w:b/>
                <w:i/>
                <w:color w:val="000000"/>
                <w:sz w:val="18"/>
                <w:szCs w:val="18"/>
              </w:rPr>
            </w:pPr>
            <w:r>
              <w:rPr>
                <w:rFonts w:ascii="Times New Roman" w:hAnsi="Times New Roman"/>
                <w:b/>
                <w:i/>
                <w:color w:val="000000"/>
                <w:sz w:val="18"/>
                <w:szCs w:val="18"/>
                <w:lang w:val="en-US"/>
              </w:rPr>
              <w:t>8,926,071</w:t>
            </w:r>
          </w:p>
        </w:tc>
        <w:tc>
          <w:tcPr>
            <w:tcW w:w="2358" w:type="dxa"/>
            <w:tcBorders>
              <w:top w:val="single" w:sz="4" w:space="0" w:color="auto"/>
              <w:left w:val="nil"/>
              <w:bottom w:val="single" w:sz="12" w:space="0" w:color="auto"/>
              <w:right w:val="nil"/>
            </w:tcBorders>
            <w:vAlign w:val="bottom"/>
          </w:tcPr>
          <w:p w14:paraId="6B9E9ED2" w14:textId="77777777" w:rsidR="00F76607" w:rsidRDefault="001863F0">
            <w:pPr>
              <w:jc w:val="right"/>
              <w:rPr>
                <w:rFonts w:ascii="Times New Roman" w:hAnsi="Times New Roman"/>
                <w:b/>
                <w:color w:val="000000"/>
                <w:sz w:val="18"/>
                <w:szCs w:val="18"/>
              </w:rPr>
            </w:pPr>
            <w:r>
              <w:rPr>
                <w:rFonts w:ascii="Times New Roman" w:hAnsi="Times New Roman"/>
                <w:b/>
                <w:color w:val="000000"/>
                <w:sz w:val="18"/>
                <w:szCs w:val="18"/>
              </w:rPr>
              <w:t>48.03%</w:t>
            </w:r>
          </w:p>
        </w:tc>
      </w:tr>
      <w:tr w:rsidR="00F76607" w14:paraId="670A58C5" w14:textId="77777777">
        <w:tc>
          <w:tcPr>
            <w:tcW w:w="3284" w:type="dxa"/>
            <w:tcBorders>
              <w:top w:val="nil"/>
              <w:left w:val="nil"/>
              <w:bottom w:val="nil"/>
              <w:right w:val="nil"/>
            </w:tcBorders>
          </w:tcPr>
          <w:p w14:paraId="0D29AD60" w14:textId="77777777" w:rsidR="00F76607" w:rsidRDefault="001863F0">
            <w:pPr>
              <w:rPr>
                <w:rFonts w:ascii="Times New Roman" w:hAnsi="Times New Roman"/>
                <w:sz w:val="18"/>
                <w:szCs w:val="18"/>
              </w:rPr>
            </w:pPr>
            <w:r>
              <w:rPr>
                <w:rFonts w:ascii="Times New Roman" w:hAnsi="Times New Roman"/>
                <w:sz w:val="18"/>
                <w:szCs w:val="18"/>
              </w:rPr>
              <w:t>Little Rock SA</w:t>
            </w:r>
          </w:p>
        </w:tc>
        <w:tc>
          <w:tcPr>
            <w:tcW w:w="2694" w:type="dxa"/>
            <w:tcBorders>
              <w:top w:val="single" w:sz="12" w:space="0" w:color="auto"/>
              <w:left w:val="nil"/>
              <w:bottom w:val="nil"/>
              <w:right w:val="nil"/>
            </w:tcBorders>
            <w:vAlign w:val="bottom"/>
          </w:tcPr>
          <w:p w14:paraId="12ECEB15"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4,707,752</w:t>
            </w:r>
          </w:p>
        </w:tc>
        <w:tc>
          <w:tcPr>
            <w:tcW w:w="2358" w:type="dxa"/>
            <w:tcBorders>
              <w:top w:val="single" w:sz="12" w:space="0" w:color="auto"/>
              <w:left w:val="nil"/>
              <w:bottom w:val="nil"/>
              <w:right w:val="nil"/>
            </w:tcBorders>
            <w:vAlign w:val="bottom"/>
          </w:tcPr>
          <w:p w14:paraId="260348BE"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25.33%</w:t>
            </w:r>
          </w:p>
        </w:tc>
      </w:tr>
      <w:tr w:rsidR="00F76607" w14:paraId="3192BF4F" w14:textId="77777777">
        <w:tc>
          <w:tcPr>
            <w:tcW w:w="3284" w:type="dxa"/>
            <w:tcBorders>
              <w:top w:val="nil"/>
              <w:left w:val="nil"/>
              <w:bottom w:val="nil"/>
              <w:right w:val="nil"/>
            </w:tcBorders>
          </w:tcPr>
          <w:p w14:paraId="12FC5CCE" w14:textId="77777777" w:rsidR="00F76607" w:rsidRDefault="001863F0">
            <w:pPr>
              <w:rPr>
                <w:rFonts w:ascii="Times New Roman" w:hAnsi="Times New Roman"/>
                <w:sz w:val="18"/>
                <w:szCs w:val="18"/>
              </w:rPr>
            </w:pPr>
            <w:proofErr w:type="spellStart"/>
            <w:r>
              <w:rPr>
                <w:rFonts w:ascii="Times New Roman" w:hAnsi="Times New Roman"/>
                <w:sz w:val="18"/>
                <w:szCs w:val="18"/>
              </w:rPr>
              <w:t>Alsgard</w:t>
            </w:r>
            <w:proofErr w:type="spellEnd"/>
            <w:r>
              <w:rPr>
                <w:rFonts w:ascii="Times New Roman" w:hAnsi="Times New Roman"/>
                <w:sz w:val="18"/>
                <w:szCs w:val="18"/>
              </w:rPr>
              <w:t xml:space="preserve"> SA</w:t>
            </w:r>
          </w:p>
        </w:tc>
        <w:tc>
          <w:tcPr>
            <w:tcW w:w="2694" w:type="dxa"/>
            <w:tcBorders>
              <w:top w:val="nil"/>
              <w:left w:val="nil"/>
              <w:bottom w:val="single" w:sz="4" w:space="0" w:color="auto"/>
              <w:right w:val="nil"/>
            </w:tcBorders>
            <w:vAlign w:val="bottom"/>
          </w:tcPr>
          <w:p w14:paraId="7680F923"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2,409,914</w:t>
            </w:r>
          </w:p>
        </w:tc>
        <w:tc>
          <w:tcPr>
            <w:tcW w:w="2358" w:type="dxa"/>
            <w:tcBorders>
              <w:top w:val="nil"/>
              <w:left w:val="nil"/>
              <w:bottom w:val="single" w:sz="4" w:space="0" w:color="auto"/>
              <w:right w:val="nil"/>
            </w:tcBorders>
            <w:vAlign w:val="bottom"/>
          </w:tcPr>
          <w:p w14:paraId="4CE2BDA8"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12.97%</w:t>
            </w:r>
          </w:p>
        </w:tc>
      </w:tr>
      <w:tr w:rsidR="00F76607" w14:paraId="46A5EAC5" w14:textId="77777777">
        <w:tc>
          <w:tcPr>
            <w:tcW w:w="3284" w:type="dxa"/>
            <w:tcBorders>
              <w:top w:val="nil"/>
              <w:left w:val="nil"/>
              <w:bottom w:val="nil"/>
              <w:right w:val="nil"/>
            </w:tcBorders>
          </w:tcPr>
          <w:p w14:paraId="65C1F50A" w14:textId="77777777" w:rsidR="00F76607" w:rsidRDefault="001863F0">
            <w:pPr>
              <w:rPr>
                <w:rFonts w:ascii="Times New Roman" w:hAnsi="Times New Roman"/>
                <w:b/>
                <w:sz w:val="18"/>
                <w:szCs w:val="18"/>
              </w:rPr>
            </w:pPr>
            <w:r>
              <w:rPr>
                <w:rFonts w:ascii="Times New Roman" w:hAnsi="Times New Roman"/>
                <w:b/>
                <w:sz w:val="18"/>
                <w:szCs w:val="18"/>
              </w:rPr>
              <w:t>Sub-</w:t>
            </w:r>
            <w:proofErr w:type="spellStart"/>
            <w:r>
              <w:rPr>
                <w:rFonts w:ascii="Times New Roman" w:hAnsi="Times New Roman"/>
                <w:b/>
                <w:sz w:val="18"/>
                <w:szCs w:val="18"/>
              </w:rPr>
              <w:t>total</w:t>
            </w:r>
            <w:proofErr w:type="spellEnd"/>
            <w:r>
              <w:rPr>
                <w:rFonts w:ascii="Times New Roman" w:hAnsi="Times New Roman"/>
                <w:b/>
                <w:sz w:val="18"/>
                <w:szCs w:val="18"/>
              </w:rPr>
              <w:t xml:space="preserve"> Jan Van Geet Group</w:t>
            </w:r>
          </w:p>
        </w:tc>
        <w:tc>
          <w:tcPr>
            <w:tcW w:w="2694" w:type="dxa"/>
            <w:tcBorders>
              <w:top w:val="single" w:sz="12" w:space="0" w:color="auto"/>
              <w:left w:val="nil"/>
              <w:bottom w:val="single" w:sz="4" w:space="0" w:color="auto"/>
              <w:right w:val="nil"/>
            </w:tcBorders>
            <w:vAlign w:val="bottom"/>
          </w:tcPr>
          <w:p w14:paraId="5CE27B70" w14:textId="77777777" w:rsidR="00F76607" w:rsidRDefault="001863F0">
            <w:pPr>
              <w:jc w:val="right"/>
              <w:rPr>
                <w:rFonts w:ascii="Times New Roman" w:hAnsi="Times New Roman"/>
                <w:b/>
                <w:i/>
                <w:color w:val="000000"/>
                <w:sz w:val="18"/>
                <w:szCs w:val="18"/>
              </w:rPr>
            </w:pPr>
            <w:r>
              <w:rPr>
                <w:rFonts w:ascii="Times New Roman" w:hAnsi="Times New Roman"/>
                <w:b/>
                <w:i/>
                <w:color w:val="000000"/>
                <w:sz w:val="18"/>
                <w:szCs w:val="18"/>
              </w:rPr>
              <w:t>7,117,666</w:t>
            </w:r>
          </w:p>
        </w:tc>
        <w:tc>
          <w:tcPr>
            <w:tcW w:w="2358" w:type="dxa"/>
            <w:tcBorders>
              <w:top w:val="single" w:sz="12" w:space="0" w:color="auto"/>
              <w:left w:val="nil"/>
              <w:bottom w:val="single" w:sz="4" w:space="0" w:color="auto"/>
              <w:right w:val="nil"/>
            </w:tcBorders>
            <w:vAlign w:val="bottom"/>
          </w:tcPr>
          <w:p w14:paraId="77A66CB9" w14:textId="77777777" w:rsidR="00F76607" w:rsidRDefault="001863F0">
            <w:pPr>
              <w:jc w:val="right"/>
              <w:rPr>
                <w:rFonts w:ascii="Times New Roman" w:hAnsi="Times New Roman"/>
                <w:b/>
                <w:color w:val="000000"/>
                <w:sz w:val="18"/>
                <w:szCs w:val="18"/>
              </w:rPr>
            </w:pPr>
            <w:r>
              <w:rPr>
                <w:rFonts w:ascii="Times New Roman" w:hAnsi="Times New Roman"/>
                <w:b/>
                <w:color w:val="000000"/>
                <w:sz w:val="18"/>
                <w:szCs w:val="18"/>
              </w:rPr>
              <w:t>38.30%</w:t>
            </w:r>
          </w:p>
        </w:tc>
      </w:tr>
      <w:tr w:rsidR="00F76607" w14:paraId="2343C23A" w14:textId="77777777">
        <w:tc>
          <w:tcPr>
            <w:tcW w:w="3284" w:type="dxa"/>
            <w:tcBorders>
              <w:top w:val="nil"/>
              <w:left w:val="nil"/>
              <w:bottom w:val="nil"/>
              <w:right w:val="nil"/>
            </w:tcBorders>
          </w:tcPr>
          <w:p w14:paraId="662C6141" w14:textId="77777777" w:rsidR="00F76607" w:rsidRDefault="001863F0">
            <w:pPr>
              <w:rPr>
                <w:rFonts w:ascii="Times New Roman" w:hAnsi="Times New Roman"/>
                <w:sz w:val="18"/>
                <w:szCs w:val="18"/>
              </w:rPr>
            </w:pPr>
            <w:proofErr w:type="spellStart"/>
            <w:r>
              <w:rPr>
                <w:rFonts w:ascii="Times New Roman" w:hAnsi="Times New Roman"/>
                <w:sz w:val="18"/>
                <w:szCs w:val="18"/>
              </w:rPr>
              <w:t>Vadebo</w:t>
            </w:r>
            <w:proofErr w:type="spellEnd"/>
            <w:r>
              <w:rPr>
                <w:rFonts w:ascii="Times New Roman" w:hAnsi="Times New Roman"/>
                <w:sz w:val="18"/>
                <w:szCs w:val="18"/>
              </w:rPr>
              <w:t xml:space="preserve"> France NV</w:t>
            </w:r>
          </w:p>
        </w:tc>
        <w:tc>
          <w:tcPr>
            <w:tcW w:w="2694" w:type="dxa"/>
            <w:tcBorders>
              <w:top w:val="single" w:sz="4" w:space="0" w:color="auto"/>
              <w:left w:val="nil"/>
              <w:right w:val="nil"/>
            </w:tcBorders>
            <w:vAlign w:val="bottom"/>
          </w:tcPr>
          <w:p w14:paraId="4F9BE4B6"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655,738</w:t>
            </w:r>
          </w:p>
        </w:tc>
        <w:tc>
          <w:tcPr>
            <w:tcW w:w="2358" w:type="dxa"/>
            <w:tcBorders>
              <w:top w:val="single" w:sz="4" w:space="0" w:color="auto"/>
              <w:left w:val="nil"/>
              <w:right w:val="nil"/>
            </w:tcBorders>
            <w:vAlign w:val="bottom"/>
          </w:tcPr>
          <w:p w14:paraId="2AA1FBC0"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3.53%</w:t>
            </w:r>
          </w:p>
        </w:tc>
      </w:tr>
      <w:tr w:rsidR="00F76607" w14:paraId="3383E918" w14:textId="77777777">
        <w:tc>
          <w:tcPr>
            <w:tcW w:w="3284" w:type="dxa"/>
            <w:tcBorders>
              <w:top w:val="nil"/>
              <w:left w:val="nil"/>
              <w:bottom w:val="nil"/>
              <w:right w:val="nil"/>
            </w:tcBorders>
          </w:tcPr>
          <w:p w14:paraId="797EFDDD" w14:textId="77777777" w:rsidR="00F76607" w:rsidRDefault="001863F0">
            <w:pPr>
              <w:rPr>
                <w:rFonts w:ascii="Times New Roman" w:hAnsi="Times New Roman"/>
                <w:sz w:val="18"/>
                <w:szCs w:val="18"/>
              </w:rPr>
            </w:pPr>
            <w:r>
              <w:rPr>
                <w:rFonts w:ascii="Times New Roman" w:hAnsi="Times New Roman"/>
                <w:sz w:val="18"/>
                <w:szCs w:val="18"/>
              </w:rPr>
              <w:t>Public</w:t>
            </w:r>
          </w:p>
        </w:tc>
        <w:tc>
          <w:tcPr>
            <w:tcW w:w="2694" w:type="dxa"/>
            <w:tcBorders>
              <w:top w:val="nil"/>
              <w:left w:val="nil"/>
              <w:bottom w:val="single" w:sz="12" w:space="0" w:color="auto"/>
              <w:right w:val="nil"/>
            </w:tcBorders>
            <w:vAlign w:val="bottom"/>
          </w:tcPr>
          <w:p w14:paraId="17DDFC7A"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1,883,575</w:t>
            </w:r>
          </w:p>
        </w:tc>
        <w:tc>
          <w:tcPr>
            <w:tcW w:w="2358" w:type="dxa"/>
            <w:tcBorders>
              <w:top w:val="nil"/>
              <w:left w:val="nil"/>
              <w:bottom w:val="single" w:sz="12" w:space="0" w:color="auto"/>
              <w:right w:val="nil"/>
            </w:tcBorders>
            <w:vAlign w:val="bottom"/>
          </w:tcPr>
          <w:p w14:paraId="3A2B8B18"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10.14%</w:t>
            </w:r>
          </w:p>
        </w:tc>
      </w:tr>
      <w:tr w:rsidR="00F76607" w14:paraId="399DFCC0" w14:textId="77777777">
        <w:tc>
          <w:tcPr>
            <w:tcW w:w="3284" w:type="dxa"/>
            <w:tcBorders>
              <w:top w:val="nil"/>
              <w:left w:val="nil"/>
              <w:right w:val="nil"/>
            </w:tcBorders>
          </w:tcPr>
          <w:p w14:paraId="6691FB3C" w14:textId="77777777" w:rsidR="00F76607" w:rsidRDefault="001863F0">
            <w:pPr>
              <w:keepNext/>
              <w:spacing w:line="256" w:lineRule="auto"/>
              <w:rPr>
                <w:rFonts w:ascii="Times New Roman" w:hAnsi="Times New Roman"/>
                <w:b/>
                <w:sz w:val="18"/>
                <w:szCs w:val="18"/>
              </w:rPr>
            </w:pPr>
            <w:r>
              <w:rPr>
                <w:rFonts w:ascii="Times New Roman" w:hAnsi="Times New Roman"/>
                <w:b/>
                <w:sz w:val="18"/>
                <w:szCs w:val="18"/>
              </w:rPr>
              <w:t>Total</w:t>
            </w:r>
          </w:p>
        </w:tc>
        <w:tc>
          <w:tcPr>
            <w:tcW w:w="2694" w:type="dxa"/>
            <w:tcBorders>
              <w:top w:val="single" w:sz="12" w:space="0" w:color="auto"/>
              <w:left w:val="nil"/>
              <w:right w:val="nil"/>
            </w:tcBorders>
            <w:vAlign w:val="bottom"/>
          </w:tcPr>
          <w:p w14:paraId="09600B83" w14:textId="77777777" w:rsidR="00F76607" w:rsidRDefault="001863F0">
            <w:pPr>
              <w:jc w:val="right"/>
              <w:rPr>
                <w:rFonts w:ascii="Times New Roman" w:hAnsi="Times New Roman"/>
                <w:b/>
                <w:color w:val="000000"/>
                <w:sz w:val="18"/>
                <w:szCs w:val="18"/>
                <w:lang w:val="en-US"/>
              </w:rPr>
            </w:pPr>
            <w:r>
              <w:rPr>
                <w:rFonts w:ascii="Times New Roman" w:hAnsi="Times New Roman"/>
                <w:color w:val="000000"/>
                <w:sz w:val="18"/>
                <w:szCs w:val="18"/>
                <w:lang w:val="en-US"/>
              </w:rPr>
              <w:t>18,583,050</w:t>
            </w:r>
          </w:p>
        </w:tc>
        <w:tc>
          <w:tcPr>
            <w:tcW w:w="2358" w:type="dxa"/>
            <w:tcBorders>
              <w:top w:val="single" w:sz="12" w:space="0" w:color="auto"/>
              <w:left w:val="nil"/>
              <w:right w:val="nil"/>
            </w:tcBorders>
            <w:vAlign w:val="bottom"/>
          </w:tcPr>
          <w:p w14:paraId="44A6447B" w14:textId="77777777" w:rsidR="00F76607" w:rsidRDefault="001863F0">
            <w:pPr>
              <w:jc w:val="right"/>
              <w:rPr>
                <w:rFonts w:ascii="Times New Roman" w:hAnsi="Times New Roman"/>
                <w:b/>
                <w:color w:val="000000"/>
                <w:sz w:val="18"/>
                <w:szCs w:val="18"/>
                <w:lang w:val="en-US"/>
              </w:rPr>
            </w:pPr>
            <w:r>
              <w:rPr>
                <w:rFonts w:ascii="Times New Roman" w:hAnsi="Times New Roman"/>
                <w:color w:val="000000"/>
                <w:sz w:val="18"/>
                <w:szCs w:val="18"/>
                <w:lang w:val="en-US"/>
              </w:rPr>
              <w:t>100.00%</w:t>
            </w:r>
          </w:p>
        </w:tc>
      </w:tr>
    </w:tbl>
    <w:p w14:paraId="7CF611F6" w14:textId="77777777" w:rsidR="00F76607" w:rsidRDefault="001863F0">
      <w:pPr>
        <w:pStyle w:val="NormalWeb"/>
        <w:spacing w:before="240"/>
        <w:ind w:firstLine="857"/>
        <w:rPr>
          <w:sz w:val="18"/>
          <w:szCs w:val="18"/>
        </w:rPr>
      </w:pPr>
      <w:r>
        <w:rPr>
          <w:sz w:val="18"/>
          <w:szCs w:val="18"/>
        </w:rPr>
        <w:t>VM Invest NV is a company controlled by Bart Van Malderen.</w:t>
      </w:r>
    </w:p>
    <w:p w14:paraId="071BFDC3" w14:textId="77777777" w:rsidR="00F76607" w:rsidRDefault="001863F0">
      <w:pPr>
        <w:pStyle w:val="NormalWeb"/>
        <w:spacing w:before="240"/>
        <w:ind w:firstLine="857"/>
        <w:rPr>
          <w:sz w:val="18"/>
          <w:szCs w:val="18"/>
        </w:rPr>
      </w:pPr>
      <w:r>
        <w:rPr>
          <w:sz w:val="18"/>
          <w:szCs w:val="18"/>
        </w:rPr>
        <w:t>VGP MISV Comm. VA is a company controlled by Bart Van Malderen.</w:t>
      </w:r>
    </w:p>
    <w:p w14:paraId="57E2CAD3" w14:textId="77777777" w:rsidR="00F76607" w:rsidRDefault="001863F0">
      <w:pPr>
        <w:pStyle w:val="NormalWeb"/>
        <w:spacing w:before="240"/>
        <w:ind w:firstLine="857"/>
        <w:rPr>
          <w:sz w:val="18"/>
          <w:szCs w:val="18"/>
        </w:rPr>
      </w:pPr>
      <w:r>
        <w:rPr>
          <w:sz w:val="18"/>
          <w:szCs w:val="18"/>
        </w:rPr>
        <w:t>Little Rock SA (previously named JVG Invest SA) is a company controlled by Jan Van Geet.</w:t>
      </w:r>
    </w:p>
    <w:p w14:paraId="328BE834" w14:textId="77777777" w:rsidR="00F76607" w:rsidRDefault="001863F0">
      <w:pPr>
        <w:pStyle w:val="NormalWeb"/>
        <w:spacing w:before="240"/>
        <w:ind w:firstLine="857"/>
        <w:rPr>
          <w:sz w:val="18"/>
          <w:szCs w:val="18"/>
        </w:rPr>
      </w:pPr>
      <w:proofErr w:type="spellStart"/>
      <w:r>
        <w:rPr>
          <w:sz w:val="18"/>
          <w:szCs w:val="18"/>
        </w:rPr>
        <w:t>Alsgard</w:t>
      </w:r>
      <w:proofErr w:type="spellEnd"/>
      <w:r>
        <w:rPr>
          <w:sz w:val="18"/>
          <w:szCs w:val="18"/>
        </w:rPr>
        <w:t xml:space="preserve"> SA is a company controlled by Jan Van Geet.</w:t>
      </w:r>
    </w:p>
    <w:p w14:paraId="3C57EDC7" w14:textId="77777777" w:rsidR="00F76607" w:rsidRDefault="001863F0">
      <w:pPr>
        <w:pStyle w:val="NormalWeb"/>
        <w:spacing w:before="240"/>
        <w:ind w:firstLine="857"/>
        <w:rPr>
          <w:sz w:val="18"/>
          <w:szCs w:val="18"/>
        </w:rPr>
      </w:pPr>
      <w:proofErr w:type="spellStart"/>
      <w:r>
        <w:rPr>
          <w:sz w:val="18"/>
          <w:szCs w:val="18"/>
        </w:rPr>
        <w:t>Vadebo</w:t>
      </w:r>
      <w:proofErr w:type="spellEnd"/>
      <w:r>
        <w:rPr>
          <w:sz w:val="18"/>
          <w:szCs w:val="18"/>
        </w:rPr>
        <w:t xml:space="preserve"> France NV is a company controlled by </w:t>
      </w:r>
      <w:proofErr w:type="spellStart"/>
      <w:r>
        <w:rPr>
          <w:sz w:val="18"/>
          <w:szCs w:val="18"/>
        </w:rPr>
        <w:t>Griet</w:t>
      </w:r>
      <w:proofErr w:type="spellEnd"/>
      <w:r>
        <w:rPr>
          <w:sz w:val="18"/>
          <w:szCs w:val="18"/>
        </w:rPr>
        <w:t xml:space="preserve"> Van Malderen.</w:t>
      </w:r>
    </w:p>
    <w:p w14:paraId="1449D1CC" w14:textId="77777777" w:rsidR="00F76607" w:rsidRDefault="001863F0">
      <w:pPr>
        <w:pStyle w:val="NormalWeb"/>
        <w:spacing w:before="240" w:beforeAutospacing="0" w:after="0" w:afterAutospacing="0"/>
        <w:ind w:firstLine="857"/>
        <w:rPr>
          <w:sz w:val="18"/>
          <w:szCs w:val="18"/>
        </w:rPr>
      </w:pPr>
      <w:r>
        <w:rPr>
          <w:sz w:val="18"/>
          <w:szCs w:val="18"/>
        </w:rPr>
        <w:t>VGP MISV Comm. VA was incorporated at the Company’s initial public offering to be used as a structure for a long term management incentive plan whereby the existing shareholders VM Invest NV and Little Rock SA initially transferred a number of VGP shares representing 5 percent of the aggregate number of shares in VGP NV into VGP MISV, a limited partnership controlled by Bart Van Malderen as managing partner (“</w:t>
      </w:r>
      <w:proofErr w:type="spellStart"/>
      <w:r>
        <w:rPr>
          <w:i/>
          <w:sz w:val="18"/>
          <w:szCs w:val="18"/>
        </w:rPr>
        <w:t>beherend</w:t>
      </w:r>
      <w:proofErr w:type="spellEnd"/>
      <w:r>
        <w:rPr>
          <w:i/>
          <w:sz w:val="18"/>
          <w:szCs w:val="18"/>
        </w:rPr>
        <w:t xml:space="preserve"> </w:t>
      </w:r>
      <w:proofErr w:type="spellStart"/>
      <w:r>
        <w:rPr>
          <w:i/>
          <w:sz w:val="18"/>
          <w:szCs w:val="18"/>
        </w:rPr>
        <w:t>vennoot</w:t>
      </w:r>
      <w:proofErr w:type="spellEnd"/>
      <w:r>
        <w:rPr>
          <w:sz w:val="18"/>
          <w:szCs w:val="18"/>
        </w:rPr>
        <w:t>” / “</w:t>
      </w:r>
      <w:proofErr w:type="spellStart"/>
      <w:r>
        <w:rPr>
          <w:i/>
          <w:sz w:val="18"/>
          <w:szCs w:val="18"/>
        </w:rPr>
        <w:t>associé</w:t>
      </w:r>
      <w:proofErr w:type="spellEnd"/>
      <w:r>
        <w:rPr>
          <w:i/>
          <w:sz w:val="18"/>
          <w:szCs w:val="18"/>
        </w:rPr>
        <w:t xml:space="preserve"> </w:t>
      </w:r>
      <w:proofErr w:type="spellStart"/>
      <w:r>
        <w:rPr>
          <w:i/>
          <w:sz w:val="18"/>
          <w:szCs w:val="18"/>
        </w:rPr>
        <w:t>commandité</w:t>
      </w:r>
      <w:proofErr w:type="spellEnd"/>
      <w:r>
        <w:rPr>
          <w:sz w:val="18"/>
          <w:szCs w:val="18"/>
        </w:rPr>
        <w:t>”). In 2013, following the expiry of the five year lock-up period in December 2012, the Company acquired a 43.23% participation in VGP MISV Comm. VA (398,368 out of 929,153 shares). In order to retain personnel and following the expiry of first 5 year lock-up period at the end of December 2012 the Selling Shareholders have put in place a new long term incentive plan for selected members of the Group’s management and which allows such members to be incentivized based on the growth of the net assets value over a period of 5 years, such period also being the lock-up period for the participating members of the Group. As before the new incentive plan does not have any dilutive effect on any existing or new shareholders. The shares of VGP MISV Comm. VA are, on the date of this Prospectus, held by the Company (43.23%) and the Company’s management (56.77%).</w:t>
      </w:r>
    </w:p>
    <w:p w14:paraId="6F02452A" w14:textId="77777777" w:rsidR="00F76607" w:rsidRDefault="001863F0">
      <w:pPr>
        <w:pStyle w:val="NormalWeb"/>
        <w:spacing w:before="240" w:beforeAutospacing="0" w:after="0" w:afterAutospacing="0"/>
        <w:ind w:firstLine="857"/>
        <w:rPr>
          <w:sz w:val="18"/>
          <w:szCs w:val="18"/>
        </w:rPr>
      </w:pPr>
      <w:r>
        <w:rPr>
          <w:bCs/>
          <w:sz w:val="18"/>
          <w:szCs w:val="18"/>
        </w:rPr>
        <w:t>None of these major shareholders have different voting rights.</w:t>
      </w:r>
    </w:p>
    <w:p w14:paraId="45245617" w14:textId="77777777" w:rsidR="00F76607" w:rsidRDefault="001863F0">
      <w:pPr>
        <w:pStyle w:val="NormalWeb"/>
        <w:keepNext/>
        <w:spacing w:before="240" w:beforeAutospacing="0" w:after="0" w:afterAutospacing="0"/>
        <w:rPr>
          <w:b/>
          <w:bCs/>
          <w:sz w:val="18"/>
          <w:szCs w:val="18"/>
        </w:rPr>
      </w:pPr>
      <w:r>
        <w:rPr>
          <w:b/>
          <w:bCs/>
          <w:sz w:val="18"/>
          <w:szCs w:val="18"/>
        </w:rPr>
        <w:t xml:space="preserve">Related Party Transactions </w:t>
      </w:r>
    </w:p>
    <w:p w14:paraId="1E0797AF" w14:textId="77777777" w:rsidR="00F76607" w:rsidRDefault="001863F0">
      <w:pPr>
        <w:pStyle w:val="NormalWeb"/>
        <w:spacing w:before="240"/>
        <w:ind w:firstLine="857"/>
        <w:rPr>
          <w:sz w:val="18"/>
          <w:szCs w:val="18"/>
        </w:rPr>
      </w:pPr>
      <w:r>
        <w:rPr>
          <w:sz w:val="18"/>
          <w:szCs w:val="18"/>
        </w:rPr>
        <w:t>Unless otherwise mentioned below, the settlement of related party transactions occurs in cash, there are no other outstanding balances which require disclosure, the outstanding balances are not subject to any interest unless specified below, no guarantees or collaterals provided and no provisions or expenses for doubtful debtors were recorded.</w:t>
      </w:r>
    </w:p>
    <w:p w14:paraId="2452DA8F" w14:textId="77777777" w:rsidR="00F76607" w:rsidRDefault="001863F0">
      <w:pPr>
        <w:pStyle w:val="NormalWeb"/>
        <w:keepNext/>
        <w:spacing w:before="240" w:beforeAutospacing="0" w:after="0" w:afterAutospacing="0"/>
        <w:rPr>
          <w:b/>
          <w:bCs/>
          <w:i/>
          <w:sz w:val="18"/>
          <w:szCs w:val="18"/>
        </w:rPr>
      </w:pPr>
      <w:r>
        <w:rPr>
          <w:b/>
          <w:bCs/>
          <w:i/>
          <w:sz w:val="18"/>
          <w:szCs w:val="18"/>
        </w:rPr>
        <w:t>Shareholders</w:t>
      </w:r>
    </w:p>
    <w:p w14:paraId="19976C74" w14:textId="77777777" w:rsidR="00F76607" w:rsidRDefault="001863F0">
      <w:pPr>
        <w:pStyle w:val="NormalWeb"/>
        <w:keepNext/>
        <w:spacing w:before="240" w:beforeAutospacing="0" w:after="0" w:afterAutospacing="0"/>
        <w:rPr>
          <w:bCs/>
          <w:i/>
          <w:sz w:val="18"/>
          <w:szCs w:val="18"/>
        </w:rPr>
      </w:pPr>
      <w:r>
        <w:rPr>
          <w:bCs/>
          <w:i/>
          <w:sz w:val="18"/>
          <w:szCs w:val="18"/>
        </w:rPr>
        <w:t>Hybrid securities</w:t>
      </w:r>
    </w:p>
    <w:p w14:paraId="61286313" w14:textId="77777777" w:rsidR="00F76607" w:rsidRDefault="001863F0">
      <w:pPr>
        <w:pStyle w:val="NormalWeb"/>
        <w:spacing w:before="240"/>
        <w:ind w:firstLine="857"/>
        <w:rPr>
          <w:sz w:val="18"/>
          <w:szCs w:val="18"/>
        </w:rPr>
      </w:pPr>
      <w:r>
        <w:rPr>
          <w:sz w:val="18"/>
          <w:szCs w:val="18"/>
        </w:rPr>
        <w:t xml:space="preserve">Following the completion of the acquisition of the initial Seed Portfolio by the Joint Venture at the end of May 2016, the Board of Directors approved the redemption of all issued hybrid securities against a price equal to the issue price (in total € 60 million) </w:t>
      </w:r>
      <w:r>
        <w:rPr>
          <w:sz w:val="18"/>
          <w:szCs w:val="18"/>
        </w:rPr>
        <w:lastRenderedPageBreak/>
        <w:t>plus the interest accrued (€ 3.0 million) from the issue date of each security, after complying with the conflict of interest procedure in accordance with article 523 of the Belgian Companies Code. The redemption took place on 1 June 2016.</w:t>
      </w:r>
    </w:p>
    <w:p w14:paraId="656DADEF" w14:textId="77777777" w:rsidR="00F76607" w:rsidRDefault="001863F0">
      <w:pPr>
        <w:pStyle w:val="NormalWeb"/>
        <w:keepNext/>
        <w:spacing w:before="240" w:beforeAutospacing="0" w:after="0" w:afterAutospacing="0"/>
        <w:rPr>
          <w:bCs/>
          <w:i/>
          <w:sz w:val="18"/>
          <w:szCs w:val="18"/>
        </w:rPr>
      </w:pPr>
      <w:r>
        <w:rPr>
          <w:bCs/>
          <w:i/>
          <w:sz w:val="18"/>
          <w:szCs w:val="18"/>
        </w:rPr>
        <w:t>Lease activities</w:t>
      </w:r>
    </w:p>
    <w:p w14:paraId="3BB6A874" w14:textId="77777777" w:rsidR="00F76607" w:rsidRDefault="001863F0">
      <w:pPr>
        <w:pStyle w:val="NormalWeb"/>
        <w:spacing w:before="240"/>
        <w:ind w:firstLine="857"/>
        <w:rPr>
          <w:sz w:val="18"/>
          <w:szCs w:val="18"/>
        </w:rPr>
      </w:pPr>
      <w:proofErr w:type="spellStart"/>
      <w:r>
        <w:rPr>
          <w:sz w:val="18"/>
          <w:szCs w:val="18"/>
        </w:rPr>
        <w:t>Drylock</w:t>
      </w:r>
      <w:proofErr w:type="spellEnd"/>
      <w:r>
        <w:rPr>
          <w:sz w:val="18"/>
          <w:szCs w:val="18"/>
        </w:rPr>
        <w:t xml:space="preserve"> Technologies </w:t>
      </w:r>
      <w:proofErr w:type="spellStart"/>
      <w:r>
        <w:rPr>
          <w:sz w:val="18"/>
          <w:szCs w:val="18"/>
        </w:rPr>
        <w:t>s.r.o</w:t>
      </w:r>
      <w:proofErr w:type="spellEnd"/>
      <w:r>
        <w:rPr>
          <w:sz w:val="18"/>
          <w:szCs w:val="18"/>
        </w:rPr>
        <w:t xml:space="preserve">,, a company controlled by Bart Van Malderen, leases a warehouse from the Joint Venture under a long term lease contract. This lease contract was entered into during the month of May 2012. The warehouse was included in the sale of the Seed Portfolio to the Joint Venture at the end of May 2016. </w:t>
      </w:r>
      <w:r>
        <w:rPr>
          <w:bCs/>
          <w:sz w:val="18"/>
          <w:szCs w:val="18"/>
        </w:rPr>
        <w:t>The rent received over the first half of the year 2017 amounts to € 1,047,000 (compared to € 1,039,000 for the first half of the year 2016 of which € 865,000 was received directly by VGP and € 174,000 received directly by the Joint Venture) and for the entire year 2016, € 2,1 million of which € 0.9 million was received by VGP and € 1.2 million by the Joint Venture (compared to € 2.0 million for the year 2015, all received by VGP).</w:t>
      </w:r>
    </w:p>
    <w:p w14:paraId="696942EE" w14:textId="77777777" w:rsidR="00F76607" w:rsidRDefault="001863F0">
      <w:pPr>
        <w:pStyle w:val="NormalWeb"/>
        <w:spacing w:before="240"/>
        <w:ind w:firstLine="857"/>
        <w:rPr>
          <w:sz w:val="18"/>
          <w:szCs w:val="18"/>
        </w:rPr>
      </w:pPr>
      <w:r>
        <w:rPr>
          <w:sz w:val="18"/>
          <w:szCs w:val="18"/>
        </w:rPr>
        <w:t xml:space="preserve">VGP leased a small office from VM Invest NV in Belgium for which it paid € 4,000 per annum (same level as in 2015). The lease was for an undetermined period. This lease was discontinued at the end of June 2017, </w:t>
      </w:r>
      <w:r>
        <w:rPr>
          <w:bCs/>
          <w:sz w:val="18"/>
          <w:szCs w:val="18"/>
        </w:rPr>
        <w:t xml:space="preserve">following the move of the head office to the </w:t>
      </w:r>
      <w:proofErr w:type="spellStart"/>
      <w:r>
        <w:rPr>
          <w:bCs/>
          <w:sz w:val="18"/>
          <w:szCs w:val="18"/>
        </w:rPr>
        <w:t>Diegem</w:t>
      </w:r>
      <w:proofErr w:type="spellEnd"/>
      <w:r>
        <w:rPr>
          <w:bCs/>
          <w:sz w:val="18"/>
          <w:szCs w:val="18"/>
        </w:rPr>
        <w:t xml:space="preserve"> offices</w:t>
      </w:r>
      <w:r>
        <w:rPr>
          <w:sz w:val="18"/>
          <w:szCs w:val="18"/>
        </w:rPr>
        <w:t>.</w:t>
      </w:r>
    </w:p>
    <w:p w14:paraId="063987AB" w14:textId="77777777" w:rsidR="00F76607" w:rsidRDefault="001863F0">
      <w:pPr>
        <w:pStyle w:val="NormalWeb"/>
        <w:spacing w:before="240"/>
        <w:ind w:firstLine="857"/>
        <w:rPr>
          <w:sz w:val="18"/>
          <w:szCs w:val="18"/>
        </w:rPr>
      </w:pPr>
      <w:r>
        <w:rPr>
          <w:sz w:val="18"/>
          <w:szCs w:val="18"/>
        </w:rPr>
        <w:t xml:space="preserve">Jan Van Geet </w:t>
      </w:r>
      <w:proofErr w:type="spellStart"/>
      <w:r>
        <w:rPr>
          <w:sz w:val="18"/>
          <w:szCs w:val="18"/>
        </w:rPr>
        <w:t>s.r.o</w:t>
      </w:r>
      <w:proofErr w:type="spellEnd"/>
      <w:r>
        <w:rPr>
          <w:sz w:val="18"/>
          <w:szCs w:val="18"/>
        </w:rPr>
        <w:t>. leases out office spaces to the VGP Group in the Czech Republic used by the VGP operational team. The leases run until 2018 and 2021 respectively. For the period ended 30 June 2017 an aggregate amount of € 55,000 was paid under these leases (compared to € 46,000 for the period ended 30 June 2016). For the entire year of 2016 the aggregate amount paid under these leases was € 98,000 compared to € 90,000 for 2015.</w:t>
      </w:r>
    </w:p>
    <w:p w14:paraId="6816717A" w14:textId="77777777" w:rsidR="00F76607" w:rsidRDefault="001863F0">
      <w:pPr>
        <w:pStyle w:val="NormalWeb"/>
        <w:spacing w:before="240" w:beforeAutospacing="0" w:after="0" w:afterAutospacing="0"/>
        <w:ind w:firstLine="857"/>
        <w:rPr>
          <w:sz w:val="18"/>
          <w:szCs w:val="18"/>
        </w:rPr>
      </w:pPr>
      <w:r>
        <w:rPr>
          <w:sz w:val="18"/>
          <w:szCs w:val="18"/>
        </w:rPr>
        <w:t>All lease agreements have been concluded on an arm’s length basis.</w:t>
      </w:r>
    </w:p>
    <w:p w14:paraId="400C44AA" w14:textId="77777777" w:rsidR="00F76607" w:rsidRDefault="001863F0">
      <w:pPr>
        <w:pStyle w:val="NormalWeb"/>
        <w:rPr>
          <w:i/>
          <w:sz w:val="18"/>
          <w:szCs w:val="18"/>
        </w:rPr>
      </w:pPr>
      <w:r>
        <w:rPr>
          <w:i/>
          <w:sz w:val="18"/>
          <w:szCs w:val="18"/>
        </w:rPr>
        <w:t>Managerial service agreements</w:t>
      </w:r>
    </w:p>
    <w:p w14:paraId="31B30473" w14:textId="77777777" w:rsidR="00F76607" w:rsidRDefault="001863F0">
      <w:pPr>
        <w:pStyle w:val="NormalWeb"/>
        <w:spacing w:before="240"/>
        <w:ind w:firstLine="857"/>
        <w:rPr>
          <w:sz w:val="18"/>
          <w:szCs w:val="18"/>
        </w:rPr>
      </w:pPr>
      <w:r>
        <w:rPr>
          <w:sz w:val="18"/>
          <w:szCs w:val="18"/>
        </w:rPr>
        <w:t xml:space="preserve">Little Rock SA entered in the course of April 2015 into a service agreement with the Company pursuant to which Little Rock SA is responsible for the Group’s daily management, financial management and commercial management and whereby Little Rock SA, in consultation with the Company, needs to appoint the physical persons (acting as independent agents) who will be responsible for the daily management, financial management and commercial management. As a consideration for rendering such services, Little Rock SA is entitled to receive a fixed fee, a short-term variable fee subject to certain criteria being met, and a midterm variable fee of 5% of the profits before taxes of the Group on a consolidated basis, in return for Little Rock SA’s (and the physical persons’ who act as independent agents on behalf of Little Rock SA) commitment to observe the Group’s daily, financial and commercial management for a period of five years (starting April 2015). </w:t>
      </w:r>
    </w:p>
    <w:p w14:paraId="3BBE8FB0" w14:textId="77777777" w:rsidR="00F76607" w:rsidRDefault="001863F0">
      <w:pPr>
        <w:pStyle w:val="NormalWeb"/>
        <w:spacing w:before="240"/>
        <w:ind w:firstLine="857"/>
        <w:rPr>
          <w:sz w:val="18"/>
          <w:szCs w:val="18"/>
        </w:rPr>
      </w:pPr>
      <w:r>
        <w:rPr>
          <w:sz w:val="18"/>
          <w:szCs w:val="18"/>
        </w:rPr>
        <w:t xml:space="preserve">The fixed fee and short term variable remuneration has been included in the remuneration overview of the CEO and the executive management. </w:t>
      </w:r>
    </w:p>
    <w:p w14:paraId="189B1999" w14:textId="77777777" w:rsidR="00F76607" w:rsidRDefault="001863F0">
      <w:pPr>
        <w:pStyle w:val="NormalWeb"/>
        <w:spacing w:before="240"/>
        <w:ind w:firstLine="857"/>
        <w:rPr>
          <w:sz w:val="18"/>
          <w:szCs w:val="18"/>
        </w:rPr>
      </w:pPr>
      <w:r>
        <w:rPr>
          <w:sz w:val="18"/>
          <w:szCs w:val="18"/>
        </w:rPr>
        <w:t>The mid-term variable remuneration allocated to Little Rock for 2016 amounts to € 5,951,356 and has been fully provided for in the 2016 consolidated accounts. This amount will be paid out over the next three years at a rate of 1/3 per annum. The aggregate amount which will therefore be paid out in 2017 covering the periods 2015 (1/3) and 2016 (1/3) amounts to € 3,722,209.</w:t>
      </w:r>
    </w:p>
    <w:p w14:paraId="1131C113" w14:textId="77777777" w:rsidR="00F76607" w:rsidRDefault="001863F0">
      <w:pPr>
        <w:pStyle w:val="NormalWeb"/>
        <w:keepNext/>
        <w:spacing w:before="240" w:beforeAutospacing="0" w:after="0" w:afterAutospacing="0"/>
        <w:rPr>
          <w:i/>
          <w:sz w:val="18"/>
          <w:szCs w:val="18"/>
        </w:rPr>
      </w:pPr>
      <w:r>
        <w:rPr>
          <w:i/>
          <w:sz w:val="18"/>
          <w:szCs w:val="18"/>
        </w:rPr>
        <w:t>Other services</w:t>
      </w:r>
    </w:p>
    <w:p w14:paraId="3CC8BC1C" w14:textId="77777777" w:rsidR="00F76607" w:rsidRDefault="001863F0">
      <w:pPr>
        <w:pStyle w:val="NormalWeb"/>
        <w:spacing w:before="240"/>
        <w:ind w:firstLine="857"/>
        <w:rPr>
          <w:sz w:val="18"/>
          <w:szCs w:val="18"/>
        </w:rPr>
      </w:pPr>
      <w:r>
        <w:rPr>
          <w:sz w:val="18"/>
          <w:szCs w:val="18"/>
        </w:rPr>
        <w:t xml:space="preserve">The table below provides the outstanding balances with Jan Van Geet </w:t>
      </w:r>
      <w:proofErr w:type="spellStart"/>
      <w:r>
        <w:rPr>
          <w:sz w:val="18"/>
          <w:szCs w:val="18"/>
        </w:rPr>
        <w:t>s.r.o</w:t>
      </w:r>
      <w:proofErr w:type="spellEnd"/>
      <w:r>
        <w:rPr>
          <w:sz w:val="18"/>
          <w:szCs w:val="18"/>
        </w:rPr>
        <w:t>.. The payable balance relates to unsettled invoices. The receivable balances relate to cash advances made to cover representation costs.</w:t>
      </w:r>
    </w:p>
    <w:tbl>
      <w:tblPr>
        <w:tblStyle w:val="TableGrid6"/>
        <w:tblW w:w="0" w:type="auto"/>
        <w:tblInd w:w="680" w:type="dxa"/>
        <w:tblLook w:val="04A0" w:firstRow="1" w:lastRow="0" w:firstColumn="1" w:lastColumn="0" w:noHBand="0" w:noVBand="1"/>
      </w:tblPr>
      <w:tblGrid>
        <w:gridCol w:w="3284"/>
        <w:gridCol w:w="3833"/>
        <w:gridCol w:w="1219"/>
      </w:tblGrid>
      <w:tr w:rsidR="00F76607" w14:paraId="6A01D002" w14:textId="77777777">
        <w:tc>
          <w:tcPr>
            <w:tcW w:w="3284" w:type="dxa"/>
            <w:tcBorders>
              <w:left w:val="nil"/>
              <w:right w:val="nil"/>
            </w:tcBorders>
          </w:tcPr>
          <w:p w14:paraId="7BE55F93" w14:textId="77777777" w:rsidR="00F76607" w:rsidRDefault="001863F0">
            <w:pPr>
              <w:keepNext/>
              <w:rPr>
                <w:rFonts w:ascii="Times New Roman" w:hAnsi="Times New Roman"/>
                <w:i/>
                <w:sz w:val="18"/>
                <w:szCs w:val="18"/>
              </w:rPr>
            </w:pPr>
            <w:r>
              <w:rPr>
                <w:rFonts w:ascii="Times New Roman" w:hAnsi="Times New Roman"/>
                <w:i/>
                <w:sz w:val="18"/>
                <w:szCs w:val="18"/>
              </w:rPr>
              <w:t xml:space="preserve">(in </w:t>
            </w:r>
            <w:proofErr w:type="spellStart"/>
            <w:r>
              <w:rPr>
                <w:rFonts w:ascii="Times New Roman" w:hAnsi="Times New Roman"/>
                <w:i/>
                <w:sz w:val="18"/>
                <w:szCs w:val="18"/>
              </w:rPr>
              <w:t>thousands</w:t>
            </w:r>
            <w:proofErr w:type="spellEnd"/>
            <w:r>
              <w:rPr>
                <w:rFonts w:ascii="Times New Roman" w:hAnsi="Times New Roman"/>
                <w:i/>
                <w:sz w:val="18"/>
                <w:szCs w:val="18"/>
              </w:rPr>
              <w:t xml:space="preserve"> of €)</w:t>
            </w:r>
          </w:p>
        </w:tc>
        <w:tc>
          <w:tcPr>
            <w:tcW w:w="3833" w:type="dxa"/>
            <w:tcBorders>
              <w:left w:val="nil"/>
              <w:right w:val="nil"/>
            </w:tcBorders>
          </w:tcPr>
          <w:p w14:paraId="29908FB4" w14:textId="77777777" w:rsidR="00F76607" w:rsidRDefault="001863F0">
            <w:pPr>
              <w:keepNext/>
              <w:jc w:val="right"/>
              <w:rPr>
                <w:rFonts w:ascii="Times New Roman" w:hAnsi="Times New Roman"/>
                <w:b/>
                <w:sz w:val="18"/>
                <w:szCs w:val="18"/>
              </w:rPr>
            </w:pPr>
            <w:r>
              <w:rPr>
                <w:rFonts w:ascii="Times New Roman" w:hAnsi="Times New Roman"/>
                <w:b/>
                <w:sz w:val="18"/>
                <w:szCs w:val="18"/>
              </w:rPr>
              <w:t>30-Jun-2017</w:t>
            </w:r>
          </w:p>
        </w:tc>
        <w:tc>
          <w:tcPr>
            <w:tcW w:w="1219" w:type="dxa"/>
            <w:tcBorders>
              <w:left w:val="nil"/>
              <w:right w:val="nil"/>
            </w:tcBorders>
          </w:tcPr>
          <w:p w14:paraId="29E5A543" w14:textId="77777777" w:rsidR="00F76607" w:rsidRDefault="001863F0">
            <w:pPr>
              <w:keepNext/>
              <w:jc w:val="right"/>
              <w:rPr>
                <w:rFonts w:ascii="Times New Roman" w:hAnsi="Times New Roman"/>
                <w:b/>
                <w:sz w:val="18"/>
                <w:szCs w:val="18"/>
              </w:rPr>
            </w:pPr>
            <w:r>
              <w:rPr>
                <w:rFonts w:ascii="Times New Roman" w:hAnsi="Times New Roman"/>
                <w:b/>
                <w:sz w:val="18"/>
                <w:szCs w:val="18"/>
              </w:rPr>
              <w:t>30-Jun-2016</w:t>
            </w:r>
          </w:p>
        </w:tc>
      </w:tr>
      <w:tr w:rsidR="00F76607" w14:paraId="2BFECECB" w14:textId="77777777">
        <w:tc>
          <w:tcPr>
            <w:tcW w:w="3284" w:type="dxa"/>
            <w:tcBorders>
              <w:left w:val="nil"/>
              <w:bottom w:val="nil"/>
              <w:right w:val="nil"/>
            </w:tcBorders>
          </w:tcPr>
          <w:p w14:paraId="6295C04E" w14:textId="77777777" w:rsidR="00F76607" w:rsidRDefault="001863F0">
            <w:pPr>
              <w:rPr>
                <w:rFonts w:ascii="Times New Roman" w:hAnsi="Times New Roman"/>
                <w:sz w:val="18"/>
                <w:szCs w:val="18"/>
              </w:rPr>
            </w:pPr>
            <w:r>
              <w:rPr>
                <w:rFonts w:ascii="Times New Roman" w:hAnsi="Times New Roman"/>
                <w:sz w:val="18"/>
                <w:szCs w:val="18"/>
              </w:rPr>
              <w:t xml:space="preserve">Trade </w:t>
            </w:r>
            <w:proofErr w:type="spellStart"/>
            <w:r>
              <w:rPr>
                <w:rFonts w:ascii="Times New Roman" w:hAnsi="Times New Roman"/>
                <w:sz w:val="18"/>
                <w:szCs w:val="18"/>
              </w:rPr>
              <w:t>receivable</w:t>
            </w:r>
            <w:proofErr w:type="spellEnd"/>
            <w:r>
              <w:rPr>
                <w:rFonts w:ascii="Times New Roman" w:hAnsi="Times New Roman"/>
                <w:sz w:val="18"/>
                <w:szCs w:val="18"/>
              </w:rPr>
              <w:t>/(</w:t>
            </w:r>
            <w:proofErr w:type="spellStart"/>
            <w:r>
              <w:rPr>
                <w:rFonts w:ascii="Times New Roman" w:hAnsi="Times New Roman"/>
                <w:sz w:val="18"/>
                <w:szCs w:val="18"/>
              </w:rPr>
              <w:t>payable</w:t>
            </w:r>
            <w:proofErr w:type="spellEnd"/>
            <w:r>
              <w:rPr>
                <w:rFonts w:ascii="Times New Roman" w:hAnsi="Times New Roman"/>
                <w:sz w:val="18"/>
                <w:szCs w:val="18"/>
              </w:rPr>
              <w:t>)</w:t>
            </w:r>
          </w:p>
        </w:tc>
        <w:tc>
          <w:tcPr>
            <w:tcW w:w="3833" w:type="dxa"/>
            <w:tcBorders>
              <w:left w:val="nil"/>
              <w:bottom w:val="nil"/>
              <w:right w:val="nil"/>
            </w:tcBorders>
            <w:vAlign w:val="bottom"/>
          </w:tcPr>
          <w:p w14:paraId="25FF598A"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(46)</w:t>
            </w:r>
          </w:p>
        </w:tc>
        <w:tc>
          <w:tcPr>
            <w:tcW w:w="1219" w:type="dxa"/>
            <w:tcBorders>
              <w:left w:val="nil"/>
              <w:bottom w:val="nil"/>
              <w:right w:val="nil"/>
            </w:tcBorders>
            <w:vAlign w:val="bottom"/>
          </w:tcPr>
          <w:p w14:paraId="501AB782"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rPr>
              <w:t>(52)</w:t>
            </w:r>
          </w:p>
        </w:tc>
      </w:tr>
    </w:tbl>
    <w:p w14:paraId="6950100B" w14:textId="77777777" w:rsidR="00F76607" w:rsidRDefault="001863F0">
      <w:pPr>
        <w:pStyle w:val="NormalWeb"/>
        <w:spacing w:before="240"/>
        <w:ind w:firstLine="857"/>
        <w:rPr>
          <w:sz w:val="18"/>
          <w:szCs w:val="18"/>
        </w:rPr>
      </w:pPr>
      <w:r>
        <w:rPr>
          <w:sz w:val="18"/>
          <w:szCs w:val="18"/>
        </w:rPr>
        <w:t xml:space="preserve">VGP also provides real estate support services (mainly maintenance work) to Jan Van Geet </w:t>
      </w:r>
      <w:proofErr w:type="spellStart"/>
      <w:r>
        <w:rPr>
          <w:sz w:val="18"/>
          <w:szCs w:val="18"/>
        </w:rPr>
        <w:t>s.r.o</w:t>
      </w:r>
      <w:proofErr w:type="spellEnd"/>
      <w:r>
        <w:rPr>
          <w:sz w:val="18"/>
          <w:szCs w:val="18"/>
        </w:rPr>
        <w:t>. During the first half of 2017, VGP recorded a € 11,000 revenue for these activities (compared to € 10k for the period ended 30 June 2016). For the entire year of 2016, VGP recorded a € 18,000 revenue for these activities (which was the same amount as in 2015).</w:t>
      </w:r>
    </w:p>
    <w:p w14:paraId="3F846F15" w14:textId="77777777" w:rsidR="00F76607" w:rsidRDefault="001863F0">
      <w:pPr>
        <w:pStyle w:val="NormalWeb"/>
        <w:keepNext/>
        <w:spacing w:before="240" w:beforeAutospacing="0" w:after="0" w:afterAutospacing="0"/>
        <w:rPr>
          <w:b/>
          <w:bCs/>
          <w:i/>
          <w:sz w:val="18"/>
          <w:szCs w:val="18"/>
        </w:rPr>
      </w:pPr>
      <w:r>
        <w:rPr>
          <w:b/>
          <w:bCs/>
          <w:i/>
          <w:sz w:val="18"/>
          <w:szCs w:val="18"/>
        </w:rPr>
        <w:t>Subsidiaries</w:t>
      </w:r>
    </w:p>
    <w:p w14:paraId="56A6407C" w14:textId="16969FFC" w:rsidR="00F76607" w:rsidRDefault="001863F0">
      <w:pPr>
        <w:pStyle w:val="NormalWeb"/>
        <w:spacing w:before="240"/>
        <w:ind w:firstLine="857"/>
        <w:rPr>
          <w:sz w:val="18"/>
          <w:szCs w:val="18"/>
        </w:rPr>
      </w:pPr>
      <w:r>
        <w:rPr>
          <w:sz w:val="18"/>
          <w:szCs w:val="18"/>
        </w:rPr>
        <w:t>.</w:t>
      </w:r>
    </w:p>
    <w:p w14:paraId="4304B64E" w14:textId="77777777" w:rsidR="00F76607" w:rsidRDefault="001863F0">
      <w:pPr>
        <w:pStyle w:val="NormalWeb"/>
        <w:spacing w:before="240"/>
        <w:ind w:firstLine="857"/>
        <w:rPr>
          <w:sz w:val="18"/>
          <w:szCs w:val="18"/>
        </w:rPr>
      </w:pPr>
      <w:r>
        <w:rPr>
          <w:sz w:val="18"/>
          <w:szCs w:val="18"/>
        </w:rPr>
        <w:t>Transactions between the Company and its subsidiaries, which are related parties, have been eliminated in the consolidation and are accordingly not disclosed.</w:t>
      </w:r>
    </w:p>
    <w:p w14:paraId="26D29F56" w14:textId="77777777" w:rsidR="00F76607" w:rsidRDefault="001863F0">
      <w:pPr>
        <w:pStyle w:val="NormalWeb"/>
        <w:keepNext/>
        <w:spacing w:before="240" w:beforeAutospacing="0" w:after="0" w:afterAutospacing="0"/>
        <w:rPr>
          <w:b/>
          <w:bCs/>
          <w:i/>
          <w:sz w:val="18"/>
          <w:szCs w:val="18"/>
        </w:rPr>
      </w:pPr>
      <w:r>
        <w:rPr>
          <w:b/>
          <w:bCs/>
          <w:i/>
          <w:sz w:val="18"/>
          <w:szCs w:val="18"/>
        </w:rPr>
        <w:t>Joint Venture and associated companies</w:t>
      </w:r>
    </w:p>
    <w:p w14:paraId="79376747" w14:textId="3DDE55D4" w:rsidR="00F76607" w:rsidRDefault="001863F0">
      <w:pPr>
        <w:pStyle w:val="NormalWeb"/>
        <w:spacing w:before="240"/>
        <w:ind w:firstLine="857"/>
        <w:rPr>
          <w:sz w:val="18"/>
          <w:szCs w:val="18"/>
        </w:rPr>
      </w:pPr>
      <w:r>
        <w:rPr>
          <w:sz w:val="18"/>
          <w:szCs w:val="18"/>
        </w:rPr>
        <w:t xml:space="preserve">The table below presents a summary of the related transactions with the Joint Venture and the associates. The Joint Venture is incorporated in Luxembourg and owns logistics property assets in Germany, the Czech Republic, Slovakia and Hungary. </w:t>
      </w:r>
      <w:r>
        <w:rPr>
          <w:sz w:val="18"/>
          <w:szCs w:val="18"/>
        </w:rPr>
        <w:lastRenderedPageBreak/>
        <w:t xml:space="preserve">VGP NV holds 50% directly in the Joint Venture and 5.1% directly in the subsidiaries of the Joint Venture holding assets in Germany. During the year, the shares in the associates SNOW </w:t>
      </w:r>
      <w:proofErr w:type="spellStart"/>
      <w:r>
        <w:rPr>
          <w:sz w:val="18"/>
          <w:szCs w:val="18"/>
        </w:rPr>
        <w:t>S.à.r.l</w:t>
      </w:r>
      <w:proofErr w:type="spellEnd"/>
      <w:r>
        <w:rPr>
          <w:sz w:val="18"/>
          <w:szCs w:val="18"/>
        </w:rPr>
        <w:t xml:space="preserve">. and SUN </w:t>
      </w:r>
      <w:proofErr w:type="spellStart"/>
      <w:r>
        <w:rPr>
          <w:sz w:val="18"/>
          <w:szCs w:val="18"/>
        </w:rPr>
        <w:t>S.à.r.l</w:t>
      </w:r>
      <w:proofErr w:type="spellEnd"/>
      <w:r>
        <w:rPr>
          <w:sz w:val="18"/>
          <w:szCs w:val="18"/>
        </w:rPr>
        <w:t>. were sold to Tristan Capital Partners as part of the liquidation process of these respective associates.</w:t>
      </w:r>
    </w:p>
    <w:tbl>
      <w:tblPr>
        <w:tblStyle w:val="TableGrid6"/>
        <w:tblW w:w="0" w:type="auto"/>
        <w:tblInd w:w="680" w:type="dxa"/>
        <w:tblLook w:val="04A0" w:firstRow="1" w:lastRow="0" w:firstColumn="1" w:lastColumn="0" w:noHBand="0" w:noVBand="1"/>
      </w:tblPr>
      <w:tblGrid>
        <w:gridCol w:w="4957"/>
        <w:gridCol w:w="2160"/>
        <w:gridCol w:w="1219"/>
      </w:tblGrid>
      <w:tr w:rsidR="00F76607" w14:paraId="4C9C4598" w14:textId="77777777">
        <w:tc>
          <w:tcPr>
            <w:tcW w:w="4957" w:type="dxa"/>
            <w:tcBorders>
              <w:left w:val="nil"/>
              <w:right w:val="nil"/>
            </w:tcBorders>
          </w:tcPr>
          <w:p w14:paraId="5D82021B" w14:textId="77777777" w:rsidR="00F76607" w:rsidRDefault="001863F0">
            <w:pPr>
              <w:keepNext/>
              <w:rPr>
                <w:rFonts w:ascii="Times New Roman" w:hAnsi="Times New Roman"/>
                <w:i/>
                <w:sz w:val="18"/>
                <w:szCs w:val="18"/>
              </w:rPr>
            </w:pPr>
            <w:r>
              <w:rPr>
                <w:rFonts w:ascii="Times New Roman" w:hAnsi="Times New Roman"/>
                <w:i/>
                <w:sz w:val="18"/>
                <w:szCs w:val="18"/>
              </w:rPr>
              <w:t xml:space="preserve">(in </w:t>
            </w:r>
            <w:proofErr w:type="spellStart"/>
            <w:r>
              <w:rPr>
                <w:rFonts w:ascii="Times New Roman" w:hAnsi="Times New Roman"/>
                <w:i/>
                <w:sz w:val="18"/>
                <w:szCs w:val="18"/>
              </w:rPr>
              <w:t>thousands</w:t>
            </w:r>
            <w:proofErr w:type="spellEnd"/>
            <w:r>
              <w:rPr>
                <w:rFonts w:ascii="Times New Roman" w:hAnsi="Times New Roman"/>
                <w:i/>
                <w:sz w:val="18"/>
                <w:szCs w:val="18"/>
              </w:rPr>
              <w:t xml:space="preserve"> of €)</w:t>
            </w:r>
          </w:p>
        </w:tc>
        <w:tc>
          <w:tcPr>
            <w:tcW w:w="2160" w:type="dxa"/>
            <w:tcBorders>
              <w:left w:val="nil"/>
              <w:right w:val="nil"/>
            </w:tcBorders>
          </w:tcPr>
          <w:p w14:paraId="5F97B4A0" w14:textId="77777777" w:rsidR="00F76607" w:rsidRDefault="001863F0">
            <w:pPr>
              <w:keepNext/>
              <w:jc w:val="right"/>
              <w:rPr>
                <w:rFonts w:ascii="Times New Roman" w:hAnsi="Times New Roman"/>
                <w:b/>
                <w:sz w:val="18"/>
                <w:szCs w:val="18"/>
              </w:rPr>
            </w:pPr>
            <w:r>
              <w:rPr>
                <w:rFonts w:ascii="Times New Roman" w:hAnsi="Times New Roman"/>
                <w:b/>
                <w:sz w:val="18"/>
                <w:szCs w:val="18"/>
              </w:rPr>
              <w:t>30-Jun-2017</w:t>
            </w:r>
          </w:p>
        </w:tc>
        <w:tc>
          <w:tcPr>
            <w:tcW w:w="1219" w:type="dxa"/>
            <w:tcBorders>
              <w:left w:val="nil"/>
              <w:right w:val="nil"/>
            </w:tcBorders>
          </w:tcPr>
          <w:p w14:paraId="59F950C4" w14:textId="77777777" w:rsidR="00F76607" w:rsidRDefault="001863F0">
            <w:pPr>
              <w:keepNext/>
              <w:jc w:val="right"/>
              <w:rPr>
                <w:rFonts w:ascii="Times New Roman" w:hAnsi="Times New Roman"/>
                <w:b/>
                <w:sz w:val="18"/>
                <w:szCs w:val="18"/>
              </w:rPr>
            </w:pPr>
            <w:r>
              <w:rPr>
                <w:rFonts w:ascii="Times New Roman" w:hAnsi="Times New Roman"/>
                <w:b/>
                <w:sz w:val="18"/>
                <w:szCs w:val="18"/>
              </w:rPr>
              <w:t>30-Jun-2016</w:t>
            </w:r>
          </w:p>
        </w:tc>
      </w:tr>
      <w:tr w:rsidR="00F76607" w14:paraId="0B48AAB5" w14:textId="77777777">
        <w:tc>
          <w:tcPr>
            <w:tcW w:w="4957" w:type="dxa"/>
            <w:tcBorders>
              <w:left w:val="nil"/>
              <w:bottom w:val="nil"/>
              <w:right w:val="nil"/>
            </w:tcBorders>
          </w:tcPr>
          <w:p w14:paraId="2226C29E" w14:textId="77777777" w:rsidR="00F76607" w:rsidRDefault="001863F0">
            <w:pPr>
              <w:rPr>
                <w:rFonts w:ascii="Times New Roman" w:hAnsi="Times New Roman"/>
                <w:sz w:val="18"/>
                <w:szCs w:val="18"/>
                <w:lang w:val="en-US"/>
              </w:rPr>
            </w:pPr>
            <w:r>
              <w:rPr>
                <w:rFonts w:ascii="Times New Roman" w:hAnsi="Times New Roman"/>
                <w:sz w:val="18"/>
                <w:szCs w:val="18"/>
                <w:lang w:val="en-GB"/>
              </w:rPr>
              <w:t>Loans outstanding at the year end</w:t>
            </w:r>
          </w:p>
        </w:tc>
        <w:tc>
          <w:tcPr>
            <w:tcW w:w="2160" w:type="dxa"/>
            <w:tcBorders>
              <w:left w:val="nil"/>
              <w:bottom w:val="nil"/>
              <w:right w:val="nil"/>
            </w:tcBorders>
            <w:vAlign w:val="bottom"/>
          </w:tcPr>
          <w:p w14:paraId="4404FE8A" w14:textId="77777777" w:rsidR="00F76607" w:rsidRDefault="001863F0">
            <w:pPr>
              <w:jc w:val="right"/>
              <w:rPr>
                <w:rFonts w:ascii="Times New Roman" w:hAnsi="Times New Roman"/>
                <w:sz w:val="18"/>
                <w:szCs w:val="18"/>
                <w:lang w:val="en-US"/>
              </w:rPr>
            </w:pPr>
            <w:r>
              <w:rPr>
                <w:rFonts w:ascii="Times New Roman" w:hAnsi="Times New Roman"/>
                <w:sz w:val="18"/>
                <w:szCs w:val="18"/>
                <w:lang w:val="en-US"/>
              </w:rPr>
              <w:t>105,624</w:t>
            </w:r>
          </w:p>
        </w:tc>
        <w:tc>
          <w:tcPr>
            <w:tcW w:w="1219" w:type="dxa"/>
            <w:tcBorders>
              <w:left w:val="nil"/>
              <w:bottom w:val="nil"/>
              <w:right w:val="nil"/>
            </w:tcBorders>
            <w:vAlign w:val="bottom"/>
          </w:tcPr>
          <w:p w14:paraId="0EA5D77E" w14:textId="77777777" w:rsidR="00F76607" w:rsidRDefault="001863F0">
            <w:pPr>
              <w:jc w:val="right"/>
              <w:rPr>
                <w:rFonts w:ascii="Times New Roman" w:hAnsi="Times New Roman"/>
                <w:sz w:val="18"/>
                <w:szCs w:val="18"/>
                <w:lang w:val="en-US"/>
              </w:rPr>
            </w:pPr>
            <w:r>
              <w:rPr>
                <w:rFonts w:ascii="Times New Roman" w:hAnsi="Times New Roman"/>
                <w:sz w:val="18"/>
                <w:szCs w:val="18"/>
                <w:lang w:val="en-US"/>
              </w:rPr>
              <w:t>89,876</w:t>
            </w:r>
          </w:p>
        </w:tc>
      </w:tr>
      <w:tr w:rsidR="00F76607" w14:paraId="531A9183" w14:textId="77777777">
        <w:tc>
          <w:tcPr>
            <w:tcW w:w="4957" w:type="dxa"/>
            <w:tcBorders>
              <w:top w:val="nil"/>
              <w:left w:val="nil"/>
              <w:bottom w:val="nil"/>
              <w:right w:val="nil"/>
            </w:tcBorders>
          </w:tcPr>
          <w:p w14:paraId="7DC9A27D" w14:textId="77777777" w:rsidR="00F76607" w:rsidRDefault="001863F0">
            <w:pPr>
              <w:rPr>
                <w:rFonts w:ascii="Times New Roman" w:hAnsi="Times New Roman"/>
                <w:sz w:val="18"/>
                <w:szCs w:val="18"/>
                <w:lang w:val="en-US"/>
              </w:rPr>
            </w:pPr>
            <w:proofErr w:type="spellStart"/>
            <w:r>
              <w:rPr>
                <w:rFonts w:ascii="Times New Roman" w:hAnsi="Times New Roman"/>
                <w:sz w:val="18"/>
                <w:szCs w:val="18"/>
              </w:rPr>
              <w:t>Equity</w:t>
            </w:r>
            <w:proofErr w:type="spellEnd"/>
            <w:r>
              <w:rPr>
                <w:rFonts w:ascii="Times New Roman" w:hAnsi="Times New Roman"/>
                <w:sz w:val="18"/>
                <w:szCs w:val="18"/>
              </w:rPr>
              <w:t xml:space="preserve"> </w:t>
            </w:r>
            <w:proofErr w:type="spellStart"/>
            <w:r>
              <w:rPr>
                <w:rFonts w:ascii="Times New Roman" w:hAnsi="Times New Roman"/>
                <w:sz w:val="18"/>
                <w:szCs w:val="18"/>
              </w:rPr>
              <w:t>distributions</w:t>
            </w:r>
            <w:proofErr w:type="spellEnd"/>
            <w:r>
              <w:rPr>
                <w:rFonts w:ascii="Times New Roman" w:hAnsi="Times New Roman"/>
                <w:sz w:val="18"/>
                <w:szCs w:val="18"/>
                <w:lang w:val="en-US"/>
              </w:rPr>
              <w:t xml:space="preserve"> received</w:t>
            </w:r>
          </w:p>
        </w:tc>
        <w:tc>
          <w:tcPr>
            <w:tcW w:w="2160" w:type="dxa"/>
            <w:tcBorders>
              <w:top w:val="nil"/>
              <w:left w:val="nil"/>
              <w:bottom w:val="nil"/>
              <w:right w:val="nil"/>
            </w:tcBorders>
            <w:vAlign w:val="bottom"/>
          </w:tcPr>
          <w:p w14:paraId="3B6B9337" w14:textId="77777777" w:rsidR="00F76607" w:rsidRDefault="001863F0">
            <w:pPr>
              <w:jc w:val="right"/>
              <w:rPr>
                <w:rFonts w:ascii="Times New Roman" w:hAnsi="Times New Roman"/>
                <w:sz w:val="18"/>
                <w:szCs w:val="18"/>
                <w:lang w:val="en-US"/>
              </w:rPr>
            </w:pPr>
            <w:r>
              <w:rPr>
                <w:rFonts w:ascii="Times New Roman" w:hAnsi="Times New Roman"/>
                <w:sz w:val="18"/>
                <w:szCs w:val="18"/>
              </w:rPr>
              <w:t>-</w:t>
            </w:r>
          </w:p>
        </w:tc>
        <w:tc>
          <w:tcPr>
            <w:tcW w:w="1219" w:type="dxa"/>
            <w:tcBorders>
              <w:top w:val="nil"/>
              <w:left w:val="nil"/>
              <w:bottom w:val="nil"/>
              <w:right w:val="nil"/>
            </w:tcBorders>
            <w:vAlign w:val="bottom"/>
          </w:tcPr>
          <w:p w14:paraId="28FB7DEC" w14:textId="77777777" w:rsidR="00F76607" w:rsidRDefault="001863F0">
            <w:pPr>
              <w:jc w:val="right"/>
              <w:rPr>
                <w:rFonts w:ascii="Times New Roman" w:hAnsi="Times New Roman"/>
                <w:sz w:val="18"/>
                <w:szCs w:val="18"/>
              </w:rPr>
            </w:pPr>
            <w:r>
              <w:rPr>
                <w:rFonts w:ascii="Times New Roman" w:hAnsi="Times New Roman"/>
                <w:sz w:val="18"/>
                <w:szCs w:val="18"/>
              </w:rPr>
              <w:t>4,678</w:t>
            </w:r>
          </w:p>
        </w:tc>
      </w:tr>
      <w:tr w:rsidR="00F76607" w14:paraId="1F43728B" w14:textId="77777777">
        <w:tc>
          <w:tcPr>
            <w:tcW w:w="4957" w:type="dxa"/>
            <w:tcBorders>
              <w:top w:val="nil"/>
              <w:left w:val="nil"/>
              <w:bottom w:val="nil"/>
              <w:right w:val="nil"/>
            </w:tcBorders>
          </w:tcPr>
          <w:p w14:paraId="3D4D3312" w14:textId="77777777" w:rsidR="00F76607" w:rsidRDefault="001863F0">
            <w:pPr>
              <w:rPr>
                <w:rFonts w:ascii="Times New Roman" w:hAnsi="Times New Roman"/>
                <w:sz w:val="18"/>
                <w:szCs w:val="18"/>
                <w:lang w:val="en-US"/>
              </w:rPr>
            </w:pPr>
            <w:r>
              <w:rPr>
                <w:rFonts w:ascii="Times New Roman" w:hAnsi="Times New Roman"/>
                <w:sz w:val="18"/>
                <w:szCs w:val="18"/>
                <w:lang w:val="en-US"/>
              </w:rPr>
              <w:t>Assets sold to joint venture</w:t>
            </w:r>
          </w:p>
        </w:tc>
        <w:tc>
          <w:tcPr>
            <w:tcW w:w="2160" w:type="dxa"/>
            <w:tcBorders>
              <w:top w:val="nil"/>
              <w:left w:val="nil"/>
              <w:bottom w:val="nil"/>
              <w:right w:val="nil"/>
            </w:tcBorders>
            <w:vAlign w:val="bottom"/>
          </w:tcPr>
          <w:p w14:paraId="55AD0344" w14:textId="77777777" w:rsidR="00F76607" w:rsidRDefault="001863F0">
            <w:pPr>
              <w:jc w:val="right"/>
              <w:rPr>
                <w:rFonts w:ascii="Times New Roman" w:hAnsi="Times New Roman"/>
                <w:sz w:val="18"/>
                <w:szCs w:val="18"/>
                <w:lang w:val="en-US"/>
              </w:rPr>
            </w:pPr>
            <w:r>
              <w:rPr>
                <w:rFonts w:ascii="Times New Roman" w:hAnsi="Times New Roman"/>
                <w:sz w:val="18"/>
                <w:szCs w:val="18"/>
              </w:rPr>
              <w:t>90,794</w:t>
            </w:r>
          </w:p>
        </w:tc>
        <w:tc>
          <w:tcPr>
            <w:tcW w:w="1219" w:type="dxa"/>
            <w:tcBorders>
              <w:top w:val="nil"/>
              <w:left w:val="nil"/>
              <w:bottom w:val="nil"/>
              <w:right w:val="nil"/>
            </w:tcBorders>
            <w:vAlign w:val="bottom"/>
          </w:tcPr>
          <w:p w14:paraId="69633DB7" w14:textId="77777777" w:rsidR="00F76607" w:rsidRDefault="001863F0">
            <w:pPr>
              <w:jc w:val="right"/>
              <w:rPr>
                <w:rFonts w:ascii="Times New Roman" w:hAnsi="Times New Roman"/>
                <w:sz w:val="18"/>
                <w:szCs w:val="18"/>
                <w:lang w:val="en-US"/>
              </w:rPr>
            </w:pPr>
            <w:r>
              <w:rPr>
                <w:rFonts w:ascii="Times New Roman" w:hAnsi="Times New Roman"/>
                <w:sz w:val="18"/>
                <w:szCs w:val="18"/>
              </w:rPr>
              <w:t>236,060</w:t>
            </w:r>
          </w:p>
        </w:tc>
      </w:tr>
      <w:tr w:rsidR="00F76607" w14:paraId="28705B83" w14:textId="77777777">
        <w:tc>
          <w:tcPr>
            <w:tcW w:w="4957" w:type="dxa"/>
            <w:tcBorders>
              <w:top w:val="nil"/>
              <w:left w:val="nil"/>
              <w:bottom w:val="nil"/>
              <w:right w:val="nil"/>
            </w:tcBorders>
          </w:tcPr>
          <w:p w14:paraId="798E08E6" w14:textId="77777777" w:rsidR="00F76607" w:rsidRDefault="001863F0">
            <w:pPr>
              <w:rPr>
                <w:rFonts w:ascii="Times New Roman" w:hAnsi="Times New Roman"/>
                <w:sz w:val="18"/>
                <w:szCs w:val="18"/>
                <w:lang w:val="en-US"/>
              </w:rPr>
            </w:pPr>
            <w:r>
              <w:rPr>
                <w:rFonts w:ascii="Times New Roman" w:hAnsi="Times New Roman"/>
                <w:sz w:val="18"/>
                <w:szCs w:val="18"/>
                <w:lang w:val="en-GB"/>
              </w:rPr>
              <w:t>Other receivables from associates at year end</w:t>
            </w:r>
          </w:p>
        </w:tc>
        <w:tc>
          <w:tcPr>
            <w:tcW w:w="2160" w:type="dxa"/>
            <w:tcBorders>
              <w:top w:val="nil"/>
              <w:left w:val="nil"/>
              <w:bottom w:val="nil"/>
              <w:right w:val="nil"/>
            </w:tcBorders>
            <w:vAlign w:val="bottom"/>
          </w:tcPr>
          <w:p w14:paraId="58F8478E" w14:textId="77777777" w:rsidR="00F76607" w:rsidRDefault="001863F0">
            <w:pPr>
              <w:jc w:val="right"/>
              <w:rPr>
                <w:rFonts w:ascii="Times New Roman" w:hAnsi="Times New Roman"/>
                <w:sz w:val="18"/>
                <w:szCs w:val="18"/>
                <w:lang w:val="en-US"/>
              </w:rPr>
            </w:pPr>
            <w:r>
              <w:rPr>
                <w:rFonts w:ascii="Times New Roman" w:hAnsi="Times New Roman"/>
                <w:sz w:val="18"/>
                <w:szCs w:val="18"/>
              </w:rPr>
              <w:t>31,000</w:t>
            </w:r>
          </w:p>
        </w:tc>
        <w:tc>
          <w:tcPr>
            <w:tcW w:w="1219" w:type="dxa"/>
            <w:tcBorders>
              <w:top w:val="nil"/>
              <w:left w:val="nil"/>
              <w:bottom w:val="nil"/>
              <w:right w:val="nil"/>
            </w:tcBorders>
            <w:vAlign w:val="bottom"/>
          </w:tcPr>
          <w:p w14:paraId="47DDF0EC" w14:textId="77777777" w:rsidR="00F76607" w:rsidRDefault="001863F0">
            <w:pPr>
              <w:jc w:val="right"/>
              <w:rPr>
                <w:rFonts w:ascii="Times New Roman" w:hAnsi="Times New Roman"/>
                <w:sz w:val="18"/>
                <w:szCs w:val="18"/>
                <w:lang w:val="en-US"/>
              </w:rPr>
            </w:pPr>
            <w:r>
              <w:rPr>
                <w:rFonts w:ascii="Times New Roman" w:hAnsi="Times New Roman"/>
                <w:sz w:val="18"/>
                <w:szCs w:val="18"/>
              </w:rPr>
              <w:t>32</w:t>
            </w:r>
          </w:p>
        </w:tc>
      </w:tr>
      <w:tr w:rsidR="00F76607" w14:paraId="367D904D" w14:textId="77777777">
        <w:tc>
          <w:tcPr>
            <w:tcW w:w="4957" w:type="dxa"/>
            <w:tcBorders>
              <w:top w:val="nil"/>
              <w:left w:val="nil"/>
              <w:bottom w:val="nil"/>
              <w:right w:val="nil"/>
            </w:tcBorders>
          </w:tcPr>
          <w:p w14:paraId="797378E4" w14:textId="77777777" w:rsidR="00F76607" w:rsidRDefault="001863F0">
            <w:pPr>
              <w:rPr>
                <w:rFonts w:ascii="Times New Roman" w:hAnsi="Times New Roman"/>
                <w:sz w:val="18"/>
                <w:szCs w:val="18"/>
                <w:lang w:val="en-US"/>
              </w:rPr>
            </w:pPr>
            <w:r>
              <w:rPr>
                <w:rFonts w:ascii="Times New Roman" w:hAnsi="Times New Roman"/>
                <w:sz w:val="18"/>
                <w:szCs w:val="18"/>
              </w:rPr>
              <w:t xml:space="preserve">Management fee </w:t>
            </w:r>
            <w:proofErr w:type="spellStart"/>
            <w:r>
              <w:rPr>
                <w:rFonts w:ascii="Times New Roman" w:hAnsi="Times New Roman"/>
                <w:sz w:val="18"/>
                <w:szCs w:val="18"/>
              </w:rPr>
              <w:t>income</w:t>
            </w:r>
            <w:proofErr w:type="spellEnd"/>
          </w:p>
        </w:tc>
        <w:tc>
          <w:tcPr>
            <w:tcW w:w="2160" w:type="dxa"/>
            <w:tcBorders>
              <w:top w:val="nil"/>
              <w:left w:val="nil"/>
              <w:bottom w:val="nil"/>
              <w:right w:val="nil"/>
            </w:tcBorders>
            <w:vAlign w:val="bottom"/>
          </w:tcPr>
          <w:p w14:paraId="5DF1CDE5" w14:textId="77777777" w:rsidR="00F76607" w:rsidRDefault="001863F0">
            <w:pPr>
              <w:jc w:val="right"/>
              <w:rPr>
                <w:rFonts w:ascii="Times New Roman" w:hAnsi="Times New Roman"/>
                <w:sz w:val="18"/>
                <w:szCs w:val="18"/>
                <w:lang w:val="en-US"/>
              </w:rPr>
            </w:pPr>
            <w:r>
              <w:rPr>
                <w:rFonts w:ascii="Times New Roman" w:hAnsi="Times New Roman"/>
                <w:sz w:val="18"/>
                <w:szCs w:val="18"/>
              </w:rPr>
              <w:t>3,561</w:t>
            </w:r>
          </w:p>
        </w:tc>
        <w:tc>
          <w:tcPr>
            <w:tcW w:w="1219" w:type="dxa"/>
            <w:tcBorders>
              <w:top w:val="nil"/>
              <w:left w:val="nil"/>
              <w:bottom w:val="nil"/>
              <w:right w:val="nil"/>
            </w:tcBorders>
            <w:vAlign w:val="bottom"/>
          </w:tcPr>
          <w:p w14:paraId="2074A8D4" w14:textId="77777777" w:rsidR="00F76607" w:rsidRDefault="001863F0">
            <w:pPr>
              <w:jc w:val="right"/>
              <w:rPr>
                <w:rFonts w:ascii="Times New Roman" w:hAnsi="Times New Roman"/>
                <w:sz w:val="18"/>
                <w:szCs w:val="18"/>
              </w:rPr>
            </w:pPr>
            <w:r>
              <w:rPr>
                <w:rFonts w:ascii="Times New Roman" w:hAnsi="Times New Roman"/>
                <w:sz w:val="18"/>
                <w:szCs w:val="18"/>
              </w:rPr>
              <w:t>225</w:t>
            </w:r>
          </w:p>
        </w:tc>
      </w:tr>
      <w:tr w:rsidR="00F76607" w14:paraId="30CE6A80" w14:textId="77777777">
        <w:tc>
          <w:tcPr>
            <w:tcW w:w="4957" w:type="dxa"/>
            <w:tcBorders>
              <w:top w:val="nil"/>
              <w:left w:val="nil"/>
              <w:bottom w:val="nil"/>
              <w:right w:val="nil"/>
            </w:tcBorders>
          </w:tcPr>
          <w:p w14:paraId="0A15B829" w14:textId="77777777" w:rsidR="00F76607" w:rsidRDefault="001863F0">
            <w:pPr>
              <w:rPr>
                <w:rFonts w:ascii="Times New Roman" w:hAnsi="Times New Roman"/>
                <w:sz w:val="18"/>
                <w:szCs w:val="18"/>
                <w:lang w:val="en-US"/>
              </w:rPr>
            </w:pPr>
            <w:r>
              <w:rPr>
                <w:rFonts w:ascii="Times New Roman" w:hAnsi="Times New Roman"/>
                <w:sz w:val="18"/>
                <w:szCs w:val="18"/>
                <w:lang w:val="en-GB"/>
              </w:rPr>
              <w:t>Interest and similar income from joint venture and associates</w:t>
            </w:r>
          </w:p>
        </w:tc>
        <w:tc>
          <w:tcPr>
            <w:tcW w:w="2160" w:type="dxa"/>
            <w:tcBorders>
              <w:top w:val="nil"/>
              <w:left w:val="nil"/>
              <w:bottom w:val="nil"/>
              <w:right w:val="nil"/>
            </w:tcBorders>
            <w:vAlign w:val="bottom"/>
          </w:tcPr>
          <w:p w14:paraId="7E46BCBB" w14:textId="77777777" w:rsidR="00F76607" w:rsidRDefault="001863F0">
            <w:pPr>
              <w:jc w:val="right"/>
              <w:rPr>
                <w:rFonts w:ascii="Times New Roman" w:hAnsi="Times New Roman"/>
                <w:sz w:val="18"/>
                <w:szCs w:val="18"/>
                <w:lang w:val="en-US"/>
              </w:rPr>
            </w:pPr>
            <w:r>
              <w:rPr>
                <w:rFonts w:ascii="Times New Roman" w:hAnsi="Times New Roman"/>
                <w:sz w:val="18"/>
                <w:szCs w:val="18"/>
              </w:rPr>
              <w:t>2,123</w:t>
            </w:r>
          </w:p>
        </w:tc>
        <w:tc>
          <w:tcPr>
            <w:tcW w:w="1219" w:type="dxa"/>
            <w:tcBorders>
              <w:top w:val="nil"/>
              <w:left w:val="nil"/>
              <w:bottom w:val="nil"/>
              <w:right w:val="nil"/>
            </w:tcBorders>
            <w:vAlign w:val="bottom"/>
          </w:tcPr>
          <w:p w14:paraId="7AC348D7" w14:textId="77777777" w:rsidR="00F76607" w:rsidRDefault="001863F0">
            <w:pPr>
              <w:jc w:val="right"/>
              <w:rPr>
                <w:rFonts w:ascii="Times New Roman" w:hAnsi="Times New Roman"/>
                <w:sz w:val="18"/>
                <w:szCs w:val="18"/>
                <w:lang w:val="en-US"/>
              </w:rPr>
            </w:pPr>
            <w:r>
              <w:rPr>
                <w:rFonts w:ascii="Times New Roman" w:hAnsi="Times New Roman"/>
                <w:sz w:val="18"/>
                <w:szCs w:val="18"/>
              </w:rPr>
              <w:t>516</w:t>
            </w:r>
          </w:p>
        </w:tc>
      </w:tr>
    </w:tbl>
    <w:p w14:paraId="79D876DB" w14:textId="77777777" w:rsidR="00F76607" w:rsidRDefault="001863F0">
      <w:pPr>
        <w:pStyle w:val="NormalWeb"/>
        <w:keepNext/>
        <w:spacing w:before="240" w:beforeAutospacing="0" w:after="0" w:afterAutospacing="0"/>
        <w:rPr>
          <w:b/>
          <w:bCs/>
          <w:i/>
          <w:sz w:val="18"/>
          <w:szCs w:val="18"/>
        </w:rPr>
      </w:pPr>
      <w:r>
        <w:rPr>
          <w:b/>
          <w:bCs/>
          <w:i/>
          <w:sz w:val="18"/>
          <w:szCs w:val="18"/>
        </w:rPr>
        <w:t>Key Management</w:t>
      </w:r>
    </w:p>
    <w:p w14:paraId="00549EE8" w14:textId="77777777" w:rsidR="00F76607" w:rsidRDefault="001863F0">
      <w:pPr>
        <w:pStyle w:val="NormalWeb"/>
        <w:spacing w:before="240"/>
        <w:ind w:firstLine="857"/>
        <w:rPr>
          <w:sz w:val="18"/>
          <w:szCs w:val="18"/>
        </w:rPr>
      </w:pPr>
      <w:r>
        <w:rPr>
          <w:sz w:val="18"/>
          <w:szCs w:val="18"/>
        </w:rPr>
        <w:t>Key Management includes the Board of Directors and the executive management. For further details on the Board of Directors and executive management, please see section “</w:t>
      </w:r>
      <w:r>
        <w:rPr>
          <w:i/>
          <w:sz w:val="18"/>
          <w:szCs w:val="18"/>
        </w:rPr>
        <w:t>Management and Corporate Governance</w:t>
      </w:r>
      <w:r>
        <w:rPr>
          <w:sz w:val="18"/>
          <w:szCs w:val="18"/>
        </w:rPr>
        <w:t>”.</w:t>
      </w:r>
    </w:p>
    <w:tbl>
      <w:tblPr>
        <w:tblStyle w:val="TableGrid6"/>
        <w:tblW w:w="0" w:type="auto"/>
        <w:tblInd w:w="680" w:type="dxa"/>
        <w:tblLook w:val="04A0" w:firstRow="1" w:lastRow="0" w:firstColumn="1" w:lastColumn="0" w:noHBand="0" w:noVBand="1"/>
      </w:tblPr>
      <w:tblGrid>
        <w:gridCol w:w="4957"/>
        <w:gridCol w:w="2160"/>
        <w:gridCol w:w="1219"/>
      </w:tblGrid>
      <w:tr w:rsidR="00F76607" w14:paraId="4F727F73" w14:textId="77777777">
        <w:tc>
          <w:tcPr>
            <w:tcW w:w="4957" w:type="dxa"/>
            <w:tcBorders>
              <w:left w:val="nil"/>
              <w:right w:val="nil"/>
            </w:tcBorders>
          </w:tcPr>
          <w:p w14:paraId="4960DAC2" w14:textId="77777777" w:rsidR="00F76607" w:rsidRDefault="001863F0">
            <w:pPr>
              <w:keepNext/>
              <w:rPr>
                <w:rFonts w:ascii="Times New Roman" w:hAnsi="Times New Roman"/>
                <w:i/>
                <w:sz w:val="18"/>
                <w:szCs w:val="18"/>
                <w:lang w:val="en-US"/>
              </w:rPr>
            </w:pPr>
            <w:r>
              <w:rPr>
                <w:rFonts w:ascii="Times New Roman" w:hAnsi="Times New Roman"/>
                <w:b/>
                <w:sz w:val="18"/>
                <w:szCs w:val="18"/>
                <w:lang w:val="en-GB"/>
              </w:rPr>
              <w:t xml:space="preserve">Key Management Remuneration </w:t>
            </w:r>
            <w:r>
              <w:rPr>
                <w:rFonts w:ascii="Times New Roman" w:hAnsi="Times New Roman"/>
                <w:i/>
                <w:sz w:val="18"/>
                <w:szCs w:val="18"/>
                <w:lang w:val="en-GB"/>
              </w:rPr>
              <w:t>(in thousands of €)</w:t>
            </w:r>
          </w:p>
        </w:tc>
        <w:tc>
          <w:tcPr>
            <w:tcW w:w="2160" w:type="dxa"/>
            <w:tcBorders>
              <w:left w:val="nil"/>
              <w:right w:val="nil"/>
            </w:tcBorders>
          </w:tcPr>
          <w:p w14:paraId="23B53253" w14:textId="77777777" w:rsidR="00F76607" w:rsidRDefault="001863F0">
            <w:pPr>
              <w:keepNext/>
              <w:jc w:val="right"/>
              <w:rPr>
                <w:rFonts w:ascii="Times New Roman" w:hAnsi="Times New Roman"/>
                <w:b/>
                <w:sz w:val="18"/>
                <w:szCs w:val="18"/>
              </w:rPr>
            </w:pPr>
            <w:r>
              <w:rPr>
                <w:rFonts w:ascii="Times New Roman" w:hAnsi="Times New Roman"/>
                <w:b/>
                <w:sz w:val="18"/>
                <w:szCs w:val="18"/>
              </w:rPr>
              <w:t>2016</w:t>
            </w:r>
          </w:p>
        </w:tc>
        <w:tc>
          <w:tcPr>
            <w:tcW w:w="1219" w:type="dxa"/>
            <w:tcBorders>
              <w:left w:val="nil"/>
              <w:right w:val="nil"/>
            </w:tcBorders>
          </w:tcPr>
          <w:p w14:paraId="795866F3" w14:textId="77777777" w:rsidR="00F76607" w:rsidRDefault="001863F0">
            <w:pPr>
              <w:keepNext/>
              <w:jc w:val="right"/>
              <w:rPr>
                <w:rFonts w:ascii="Times New Roman" w:hAnsi="Times New Roman"/>
                <w:b/>
                <w:sz w:val="18"/>
                <w:szCs w:val="18"/>
              </w:rPr>
            </w:pPr>
            <w:r>
              <w:rPr>
                <w:rFonts w:ascii="Times New Roman" w:hAnsi="Times New Roman"/>
                <w:b/>
                <w:sz w:val="18"/>
                <w:szCs w:val="18"/>
              </w:rPr>
              <w:t>2015</w:t>
            </w:r>
          </w:p>
        </w:tc>
      </w:tr>
      <w:tr w:rsidR="00F76607" w14:paraId="4896252C" w14:textId="77777777">
        <w:tc>
          <w:tcPr>
            <w:tcW w:w="4957" w:type="dxa"/>
            <w:tcBorders>
              <w:left w:val="nil"/>
              <w:bottom w:val="nil"/>
              <w:right w:val="nil"/>
            </w:tcBorders>
          </w:tcPr>
          <w:p w14:paraId="76902C53" w14:textId="77777777" w:rsidR="00F76607" w:rsidRDefault="001863F0">
            <w:pPr>
              <w:rPr>
                <w:rFonts w:ascii="Times New Roman" w:hAnsi="Times New Roman"/>
                <w:sz w:val="18"/>
                <w:szCs w:val="18"/>
                <w:lang w:val="en-US"/>
              </w:rPr>
            </w:pPr>
            <w:r>
              <w:rPr>
                <w:rFonts w:ascii="Times New Roman" w:hAnsi="Times New Roman"/>
                <w:sz w:val="18"/>
                <w:szCs w:val="18"/>
                <w:lang w:val="en-US"/>
              </w:rPr>
              <w:t>Number of persons</w:t>
            </w:r>
          </w:p>
        </w:tc>
        <w:tc>
          <w:tcPr>
            <w:tcW w:w="2160" w:type="dxa"/>
            <w:tcBorders>
              <w:left w:val="nil"/>
              <w:bottom w:val="nil"/>
              <w:right w:val="nil"/>
            </w:tcBorders>
            <w:vAlign w:val="bottom"/>
          </w:tcPr>
          <w:p w14:paraId="14016C48"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9</w:t>
            </w:r>
          </w:p>
        </w:tc>
        <w:tc>
          <w:tcPr>
            <w:tcW w:w="1219" w:type="dxa"/>
            <w:tcBorders>
              <w:left w:val="nil"/>
              <w:bottom w:val="nil"/>
              <w:right w:val="nil"/>
            </w:tcBorders>
            <w:vAlign w:val="bottom"/>
          </w:tcPr>
          <w:p w14:paraId="15A3D103"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9</w:t>
            </w:r>
          </w:p>
        </w:tc>
      </w:tr>
      <w:tr w:rsidR="00F76607" w14:paraId="2CFF52CB" w14:textId="77777777">
        <w:tc>
          <w:tcPr>
            <w:tcW w:w="4957" w:type="dxa"/>
            <w:tcBorders>
              <w:top w:val="nil"/>
              <w:left w:val="nil"/>
              <w:bottom w:val="nil"/>
              <w:right w:val="nil"/>
            </w:tcBorders>
          </w:tcPr>
          <w:p w14:paraId="431CF4F5" w14:textId="77777777" w:rsidR="00F76607" w:rsidRDefault="001863F0">
            <w:pPr>
              <w:rPr>
                <w:rFonts w:ascii="Times New Roman" w:hAnsi="Times New Roman"/>
                <w:sz w:val="18"/>
                <w:szCs w:val="18"/>
                <w:lang w:val="en-US"/>
              </w:rPr>
            </w:pPr>
            <w:r>
              <w:rPr>
                <w:rFonts w:ascii="Times New Roman" w:hAnsi="Times New Roman"/>
                <w:sz w:val="18"/>
                <w:szCs w:val="18"/>
              </w:rPr>
              <w:t>Short term employee benefits</w:t>
            </w:r>
          </w:p>
        </w:tc>
        <w:tc>
          <w:tcPr>
            <w:tcW w:w="2160" w:type="dxa"/>
            <w:tcBorders>
              <w:top w:val="nil"/>
              <w:left w:val="nil"/>
              <w:bottom w:val="nil"/>
              <w:right w:val="nil"/>
            </w:tcBorders>
            <w:vAlign w:val="bottom"/>
          </w:tcPr>
          <w:p w14:paraId="48EE2B07" w14:textId="77777777" w:rsidR="00F76607" w:rsidRDefault="00F76607">
            <w:pPr>
              <w:jc w:val="right"/>
              <w:rPr>
                <w:rFonts w:ascii="Times New Roman" w:hAnsi="Times New Roman"/>
                <w:color w:val="000000"/>
                <w:sz w:val="18"/>
                <w:szCs w:val="18"/>
                <w:lang w:val="en-US"/>
              </w:rPr>
            </w:pPr>
          </w:p>
        </w:tc>
        <w:tc>
          <w:tcPr>
            <w:tcW w:w="1219" w:type="dxa"/>
            <w:tcBorders>
              <w:top w:val="nil"/>
              <w:left w:val="nil"/>
              <w:bottom w:val="nil"/>
              <w:right w:val="nil"/>
            </w:tcBorders>
            <w:vAlign w:val="bottom"/>
          </w:tcPr>
          <w:p w14:paraId="73F58514" w14:textId="77777777" w:rsidR="00F76607" w:rsidRDefault="00F76607">
            <w:pPr>
              <w:jc w:val="right"/>
              <w:rPr>
                <w:rFonts w:ascii="Times New Roman" w:hAnsi="Times New Roman"/>
                <w:color w:val="000000"/>
                <w:sz w:val="18"/>
                <w:szCs w:val="18"/>
              </w:rPr>
            </w:pPr>
          </w:p>
        </w:tc>
      </w:tr>
      <w:tr w:rsidR="00F76607" w14:paraId="7537FD82" w14:textId="77777777">
        <w:tc>
          <w:tcPr>
            <w:tcW w:w="4957" w:type="dxa"/>
            <w:tcBorders>
              <w:top w:val="nil"/>
              <w:left w:val="nil"/>
              <w:bottom w:val="nil"/>
              <w:right w:val="nil"/>
            </w:tcBorders>
          </w:tcPr>
          <w:p w14:paraId="5A17F968" w14:textId="77777777" w:rsidR="00F76607" w:rsidRDefault="001863F0">
            <w:pPr>
              <w:rPr>
                <w:rFonts w:ascii="Times New Roman" w:hAnsi="Times New Roman"/>
                <w:sz w:val="18"/>
                <w:szCs w:val="18"/>
                <w:lang w:val="en-US"/>
              </w:rPr>
            </w:pPr>
            <w:r>
              <w:rPr>
                <w:rFonts w:ascii="Times New Roman" w:hAnsi="Times New Roman"/>
                <w:sz w:val="18"/>
                <w:szCs w:val="18"/>
                <w:lang w:val="en-US"/>
              </w:rPr>
              <w:tab/>
              <w:t>Basic remuneration</w:t>
            </w:r>
          </w:p>
        </w:tc>
        <w:tc>
          <w:tcPr>
            <w:tcW w:w="2160" w:type="dxa"/>
            <w:tcBorders>
              <w:top w:val="nil"/>
              <w:left w:val="nil"/>
              <w:bottom w:val="nil"/>
              <w:right w:val="nil"/>
            </w:tcBorders>
            <w:vAlign w:val="bottom"/>
          </w:tcPr>
          <w:p w14:paraId="64C7E571"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866</w:t>
            </w:r>
          </w:p>
        </w:tc>
        <w:tc>
          <w:tcPr>
            <w:tcW w:w="1219" w:type="dxa"/>
            <w:tcBorders>
              <w:top w:val="nil"/>
              <w:left w:val="nil"/>
              <w:bottom w:val="nil"/>
              <w:right w:val="nil"/>
            </w:tcBorders>
            <w:vAlign w:val="bottom"/>
          </w:tcPr>
          <w:p w14:paraId="63BA1802"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837</w:t>
            </w:r>
          </w:p>
        </w:tc>
      </w:tr>
      <w:tr w:rsidR="00F76607" w14:paraId="1FDF453A" w14:textId="77777777">
        <w:tc>
          <w:tcPr>
            <w:tcW w:w="4957" w:type="dxa"/>
            <w:tcBorders>
              <w:top w:val="nil"/>
              <w:left w:val="nil"/>
              <w:bottom w:val="nil"/>
              <w:right w:val="nil"/>
            </w:tcBorders>
          </w:tcPr>
          <w:p w14:paraId="00055CF1" w14:textId="77777777" w:rsidR="00F76607" w:rsidRDefault="001863F0">
            <w:pPr>
              <w:rPr>
                <w:rFonts w:ascii="Times New Roman" w:hAnsi="Times New Roman"/>
                <w:sz w:val="18"/>
                <w:szCs w:val="18"/>
                <w:lang w:val="en-US"/>
              </w:rPr>
            </w:pPr>
            <w:r>
              <w:rPr>
                <w:rFonts w:ascii="Times New Roman" w:hAnsi="Times New Roman"/>
                <w:sz w:val="18"/>
                <w:szCs w:val="18"/>
                <w:lang w:val="en-US"/>
              </w:rPr>
              <w:tab/>
              <w:t>Short term variable remuneration</w:t>
            </w:r>
          </w:p>
        </w:tc>
        <w:tc>
          <w:tcPr>
            <w:tcW w:w="2160" w:type="dxa"/>
            <w:tcBorders>
              <w:top w:val="nil"/>
              <w:left w:val="nil"/>
              <w:bottom w:val="nil"/>
              <w:right w:val="nil"/>
            </w:tcBorders>
            <w:vAlign w:val="bottom"/>
          </w:tcPr>
          <w:p w14:paraId="68CB2EA3"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700</w:t>
            </w:r>
          </w:p>
        </w:tc>
        <w:tc>
          <w:tcPr>
            <w:tcW w:w="1219" w:type="dxa"/>
            <w:tcBorders>
              <w:top w:val="nil"/>
              <w:left w:val="nil"/>
              <w:bottom w:val="nil"/>
              <w:right w:val="nil"/>
            </w:tcBorders>
            <w:vAlign w:val="bottom"/>
          </w:tcPr>
          <w:p w14:paraId="55C9200C"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925</w:t>
            </w:r>
          </w:p>
        </w:tc>
      </w:tr>
      <w:tr w:rsidR="00F76607" w14:paraId="4C90339D" w14:textId="77777777">
        <w:tc>
          <w:tcPr>
            <w:tcW w:w="4957" w:type="dxa"/>
            <w:tcBorders>
              <w:top w:val="nil"/>
              <w:left w:val="nil"/>
              <w:bottom w:val="nil"/>
              <w:right w:val="nil"/>
            </w:tcBorders>
          </w:tcPr>
          <w:p w14:paraId="536F85E1" w14:textId="77777777" w:rsidR="00F76607" w:rsidRDefault="001863F0">
            <w:pPr>
              <w:rPr>
                <w:rFonts w:ascii="Times New Roman" w:hAnsi="Times New Roman"/>
                <w:sz w:val="18"/>
                <w:szCs w:val="18"/>
                <w:lang w:val="en-US"/>
              </w:rPr>
            </w:pPr>
            <w:r>
              <w:rPr>
                <w:rFonts w:ascii="Times New Roman" w:hAnsi="Times New Roman"/>
                <w:sz w:val="18"/>
                <w:szCs w:val="18"/>
                <w:lang w:val="en-US"/>
              </w:rPr>
              <w:tab/>
              <w:t>Remuneration of directors</w:t>
            </w:r>
          </w:p>
        </w:tc>
        <w:tc>
          <w:tcPr>
            <w:tcW w:w="2160" w:type="dxa"/>
            <w:tcBorders>
              <w:top w:val="nil"/>
              <w:left w:val="nil"/>
              <w:bottom w:val="nil"/>
              <w:right w:val="nil"/>
            </w:tcBorders>
            <w:vAlign w:val="bottom"/>
          </w:tcPr>
          <w:p w14:paraId="786FF156"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102</w:t>
            </w:r>
          </w:p>
        </w:tc>
        <w:tc>
          <w:tcPr>
            <w:tcW w:w="1219" w:type="dxa"/>
            <w:tcBorders>
              <w:top w:val="nil"/>
              <w:left w:val="nil"/>
              <w:bottom w:val="nil"/>
              <w:right w:val="nil"/>
            </w:tcBorders>
            <w:vAlign w:val="bottom"/>
          </w:tcPr>
          <w:p w14:paraId="798A5FF5" w14:textId="77777777" w:rsidR="00F76607" w:rsidRDefault="001863F0">
            <w:pPr>
              <w:jc w:val="right"/>
              <w:rPr>
                <w:rFonts w:ascii="Times New Roman" w:hAnsi="Times New Roman"/>
                <w:color w:val="000000"/>
                <w:sz w:val="18"/>
                <w:szCs w:val="18"/>
              </w:rPr>
            </w:pPr>
            <w:r>
              <w:rPr>
                <w:rFonts w:ascii="Times New Roman" w:hAnsi="Times New Roman"/>
                <w:color w:val="000000"/>
                <w:sz w:val="18"/>
                <w:szCs w:val="18"/>
              </w:rPr>
              <w:t>96</w:t>
            </w:r>
          </w:p>
        </w:tc>
      </w:tr>
      <w:tr w:rsidR="00F76607" w14:paraId="3EA16EC6" w14:textId="77777777">
        <w:tc>
          <w:tcPr>
            <w:tcW w:w="4957" w:type="dxa"/>
            <w:tcBorders>
              <w:top w:val="nil"/>
              <w:left w:val="nil"/>
              <w:bottom w:val="nil"/>
              <w:right w:val="nil"/>
            </w:tcBorders>
          </w:tcPr>
          <w:p w14:paraId="5318E061" w14:textId="77777777" w:rsidR="00F76607" w:rsidRDefault="001863F0">
            <w:pPr>
              <w:rPr>
                <w:rFonts w:ascii="Times New Roman" w:hAnsi="Times New Roman"/>
                <w:b/>
                <w:sz w:val="18"/>
                <w:szCs w:val="18"/>
              </w:rPr>
            </w:pPr>
            <w:r>
              <w:rPr>
                <w:rFonts w:ascii="Times New Roman" w:hAnsi="Times New Roman"/>
                <w:b/>
                <w:sz w:val="18"/>
                <w:szCs w:val="18"/>
              </w:rPr>
              <w:t xml:space="preserve">Total </w:t>
            </w:r>
            <w:proofErr w:type="spellStart"/>
            <w:r>
              <w:rPr>
                <w:rFonts w:ascii="Times New Roman" w:hAnsi="Times New Roman"/>
                <w:b/>
                <w:sz w:val="18"/>
                <w:szCs w:val="18"/>
              </w:rPr>
              <w:t>gross</w:t>
            </w:r>
            <w:proofErr w:type="spellEnd"/>
            <w:r>
              <w:rPr>
                <w:rFonts w:ascii="Times New Roman" w:hAnsi="Times New Roman"/>
                <w:b/>
                <w:sz w:val="18"/>
                <w:szCs w:val="18"/>
              </w:rPr>
              <w:t xml:space="preserve"> </w:t>
            </w:r>
            <w:proofErr w:type="spellStart"/>
            <w:r>
              <w:rPr>
                <w:rFonts w:ascii="Times New Roman" w:hAnsi="Times New Roman"/>
                <w:b/>
                <w:sz w:val="18"/>
                <w:szCs w:val="18"/>
              </w:rPr>
              <w:t>remuneration</w:t>
            </w:r>
            <w:proofErr w:type="spellEnd"/>
          </w:p>
        </w:tc>
        <w:tc>
          <w:tcPr>
            <w:tcW w:w="2160" w:type="dxa"/>
            <w:tcBorders>
              <w:top w:val="nil"/>
              <w:left w:val="nil"/>
              <w:bottom w:val="nil"/>
              <w:right w:val="nil"/>
            </w:tcBorders>
            <w:vAlign w:val="bottom"/>
          </w:tcPr>
          <w:p w14:paraId="7C64DAFA" w14:textId="77777777" w:rsidR="00F76607" w:rsidRDefault="001863F0">
            <w:pPr>
              <w:jc w:val="right"/>
              <w:rPr>
                <w:rFonts w:ascii="Times New Roman" w:hAnsi="Times New Roman"/>
                <w:b/>
                <w:color w:val="000000"/>
                <w:sz w:val="18"/>
                <w:szCs w:val="18"/>
              </w:rPr>
            </w:pPr>
            <w:r>
              <w:rPr>
                <w:rFonts w:ascii="Times New Roman" w:hAnsi="Times New Roman"/>
                <w:b/>
                <w:color w:val="000000"/>
                <w:sz w:val="18"/>
                <w:szCs w:val="18"/>
              </w:rPr>
              <w:t>1,668</w:t>
            </w:r>
          </w:p>
        </w:tc>
        <w:tc>
          <w:tcPr>
            <w:tcW w:w="1219" w:type="dxa"/>
            <w:tcBorders>
              <w:top w:val="nil"/>
              <w:left w:val="nil"/>
              <w:bottom w:val="nil"/>
              <w:right w:val="nil"/>
            </w:tcBorders>
            <w:vAlign w:val="bottom"/>
          </w:tcPr>
          <w:p w14:paraId="44319EAF" w14:textId="77777777" w:rsidR="00F76607" w:rsidRDefault="001863F0">
            <w:pPr>
              <w:jc w:val="right"/>
              <w:rPr>
                <w:rFonts w:ascii="Times New Roman" w:hAnsi="Times New Roman"/>
                <w:b/>
                <w:color w:val="000000"/>
                <w:sz w:val="18"/>
                <w:szCs w:val="18"/>
              </w:rPr>
            </w:pPr>
            <w:r>
              <w:rPr>
                <w:rFonts w:ascii="Times New Roman" w:hAnsi="Times New Roman"/>
                <w:b/>
                <w:color w:val="000000"/>
                <w:sz w:val="18"/>
                <w:szCs w:val="18"/>
              </w:rPr>
              <w:t>1,858</w:t>
            </w:r>
          </w:p>
        </w:tc>
      </w:tr>
      <w:tr w:rsidR="00F76607" w14:paraId="5F0A9DD7" w14:textId="77777777">
        <w:tc>
          <w:tcPr>
            <w:tcW w:w="4957" w:type="dxa"/>
            <w:tcBorders>
              <w:top w:val="nil"/>
              <w:left w:val="nil"/>
              <w:bottom w:val="nil"/>
              <w:right w:val="nil"/>
            </w:tcBorders>
          </w:tcPr>
          <w:p w14:paraId="52237B8B" w14:textId="77777777" w:rsidR="00F76607" w:rsidRDefault="001863F0">
            <w:pPr>
              <w:rPr>
                <w:rFonts w:ascii="Times New Roman" w:hAnsi="Times New Roman"/>
                <w:sz w:val="18"/>
                <w:szCs w:val="18"/>
                <w:lang w:val="en-US"/>
              </w:rPr>
            </w:pPr>
            <w:r>
              <w:rPr>
                <w:rFonts w:ascii="Times New Roman" w:hAnsi="Times New Roman"/>
                <w:sz w:val="18"/>
                <w:szCs w:val="18"/>
                <w:lang w:val="en-US"/>
              </w:rPr>
              <w:t>Average gross remuneration</w:t>
            </w:r>
          </w:p>
        </w:tc>
        <w:tc>
          <w:tcPr>
            <w:tcW w:w="2160" w:type="dxa"/>
            <w:tcBorders>
              <w:top w:val="nil"/>
              <w:left w:val="nil"/>
              <w:bottom w:val="nil"/>
              <w:right w:val="nil"/>
            </w:tcBorders>
            <w:vAlign w:val="bottom"/>
          </w:tcPr>
          <w:p w14:paraId="364766A1"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185</w:t>
            </w:r>
          </w:p>
        </w:tc>
        <w:tc>
          <w:tcPr>
            <w:tcW w:w="1219" w:type="dxa"/>
            <w:tcBorders>
              <w:top w:val="nil"/>
              <w:left w:val="nil"/>
              <w:bottom w:val="nil"/>
              <w:right w:val="nil"/>
            </w:tcBorders>
            <w:vAlign w:val="bottom"/>
          </w:tcPr>
          <w:p w14:paraId="6C38EDE0" w14:textId="77777777" w:rsidR="00F76607" w:rsidRDefault="001863F0">
            <w:pPr>
              <w:jc w:val="right"/>
              <w:rPr>
                <w:rFonts w:ascii="Times New Roman" w:hAnsi="Times New Roman"/>
                <w:color w:val="000000"/>
                <w:sz w:val="18"/>
                <w:szCs w:val="18"/>
                <w:lang w:val="en-US"/>
              </w:rPr>
            </w:pPr>
            <w:r>
              <w:rPr>
                <w:rFonts w:ascii="Times New Roman" w:hAnsi="Times New Roman"/>
                <w:color w:val="000000"/>
                <w:sz w:val="18"/>
                <w:szCs w:val="18"/>
                <w:lang w:val="en-US"/>
              </w:rPr>
              <w:t>206</w:t>
            </w:r>
          </w:p>
        </w:tc>
      </w:tr>
    </w:tbl>
    <w:p w14:paraId="35561780" w14:textId="77777777" w:rsidR="00F76607" w:rsidRDefault="001863F0">
      <w:pPr>
        <w:pStyle w:val="NormalWeb"/>
        <w:spacing w:before="240"/>
        <w:ind w:firstLine="857"/>
        <w:rPr>
          <w:sz w:val="18"/>
          <w:szCs w:val="18"/>
        </w:rPr>
      </w:pPr>
      <w:r>
        <w:rPr>
          <w:sz w:val="18"/>
          <w:szCs w:val="18"/>
        </w:rPr>
        <w:t>The disclosures relating to the Belgian Corporate Governance Code are included in the Corporate Governance Statement of the annual reports.</w:t>
      </w:r>
    </w:p>
    <w:p w14:paraId="42D04D89" w14:textId="77777777" w:rsidR="00F76607" w:rsidRDefault="001863F0">
      <w:pPr>
        <w:pStyle w:val="NormalWeb"/>
        <w:spacing w:before="240"/>
        <w:ind w:firstLine="857"/>
        <w:rPr>
          <w:sz w:val="18"/>
          <w:szCs w:val="18"/>
        </w:rPr>
      </w:pPr>
      <w:r>
        <w:rPr>
          <w:sz w:val="18"/>
          <w:szCs w:val="18"/>
        </w:rPr>
        <w:t>For 2016 no post-employment benefits nor share based payment benefits were granted.</w:t>
      </w:r>
    </w:p>
    <w:p w14:paraId="4C3B57E9" w14:textId="77777777" w:rsidR="00F76607" w:rsidRDefault="001863F0">
      <w:pPr>
        <w:pStyle w:val="NormalWeb"/>
        <w:spacing w:before="240"/>
        <w:ind w:firstLine="857"/>
        <w:rPr>
          <w:sz w:val="18"/>
          <w:szCs w:val="18"/>
        </w:rPr>
      </w:pPr>
      <w:r>
        <w:rPr>
          <w:sz w:val="18"/>
          <w:szCs w:val="18"/>
        </w:rPr>
        <w:t>Little Rock SA is responsible for the Group’s daily management, financial management and commercial management and is represented for this purpose by the CEO, CFO and CCO. As a consideration for rendering such services, Little Rock SA receives a fixed fee, a variable fee subject to certain criteria being met, and 5% of the profits before taxes of the Group on a consolidated basis. In return for Little Rock SA’s commitment to observe the Group’s daily, financial and commercial management for an additional period of five years (starting as from April 2015).</w:t>
      </w:r>
    </w:p>
    <w:p w14:paraId="1BA86901" w14:textId="77777777" w:rsidR="00F76607" w:rsidRDefault="001863F0">
      <w:pPr>
        <w:pStyle w:val="NormalWeb"/>
        <w:spacing w:before="240"/>
        <w:ind w:firstLine="857"/>
        <w:rPr>
          <w:sz w:val="18"/>
          <w:szCs w:val="18"/>
        </w:rPr>
      </w:pPr>
      <w:r>
        <w:rPr>
          <w:sz w:val="18"/>
          <w:szCs w:val="18"/>
        </w:rPr>
        <w:t xml:space="preserve">The variable fee allocated to Little Rock for 2016 amounts to € 5,951,356 of which 1/3 paid out in 2016 (together with 1/3 of the 2015 fee) with the remaining balance to be paid out in equal portions in 2017 and 2018. The 1/3 of the 2015 fee together with the 1/3 of the 2016 fee amount to € 3,722,209. </w:t>
      </w:r>
    </w:p>
    <w:p w14:paraId="26D0F94C" w14:textId="77777777" w:rsidR="00F76607" w:rsidRDefault="001863F0">
      <w:pPr>
        <w:pStyle w:val="NormalWeb"/>
        <w:spacing w:before="240"/>
        <w:ind w:firstLine="857"/>
        <w:rPr>
          <w:sz w:val="18"/>
          <w:szCs w:val="18"/>
        </w:rPr>
      </w:pPr>
      <w:r>
        <w:rPr>
          <w:sz w:val="18"/>
          <w:szCs w:val="18"/>
        </w:rPr>
        <w:t>For further details on the remuneration of management, please see section “</w:t>
      </w:r>
      <w:r>
        <w:rPr>
          <w:i/>
          <w:sz w:val="18"/>
          <w:szCs w:val="18"/>
        </w:rPr>
        <w:t>Management and Corporate Governance - Remuneration</w:t>
      </w:r>
      <w:r>
        <w:rPr>
          <w:sz w:val="18"/>
          <w:szCs w:val="18"/>
        </w:rPr>
        <w:t>”.</w:t>
      </w:r>
    </w:p>
    <w:p w14:paraId="39F89959" w14:textId="77777777" w:rsidR="00F76607" w:rsidRDefault="001863F0">
      <w:pPr>
        <w:pStyle w:val="VulcanIISectionTitle"/>
      </w:pPr>
      <w:bookmarkStart w:id="93" w:name="_Toc493194621"/>
      <w:r>
        <w:lastRenderedPageBreak/>
        <w:t>Description of Share Capital and Articles of Association</w:t>
      </w:r>
      <w:bookmarkEnd w:id="93"/>
      <w:r>
        <w:t xml:space="preserve"> </w:t>
      </w:r>
    </w:p>
    <w:p w14:paraId="111FC2C7" w14:textId="77777777" w:rsidR="00F76607" w:rsidRDefault="001863F0">
      <w:pPr>
        <w:widowControl w:val="0"/>
        <w:spacing w:before="240"/>
        <w:rPr>
          <w:b/>
          <w:bCs/>
          <w:sz w:val="18"/>
          <w:szCs w:val="18"/>
        </w:rPr>
      </w:pPr>
      <w:r>
        <w:rPr>
          <w:b/>
          <w:bCs/>
          <w:sz w:val="18"/>
          <w:szCs w:val="18"/>
        </w:rPr>
        <w:t>General</w:t>
      </w:r>
    </w:p>
    <w:p w14:paraId="0A7FFECC" w14:textId="77777777" w:rsidR="00F76607" w:rsidRDefault="001863F0">
      <w:pPr>
        <w:spacing w:before="240" w:beforeAutospacing="1" w:after="100" w:afterAutospacing="1"/>
        <w:ind w:firstLine="857"/>
        <w:rPr>
          <w:bCs/>
          <w:sz w:val="18"/>
          <w:szCs w:val="18"/>
          <w:lang w:val="en-GB"/>
        </w:rPr>
      </w:pPr>
      <w:r>
        <w:rPr>
          <w:bCs/>
          <w:sz w:val="18"/>
          <w:szCs w:val="18"/>
          <w:lang w:val="en-GB"/>
        </w:rPr>
        <w:t xml:space="preserve">VGP NV is a limited liability company that was incorporated under Belgian law on 6 February 2007 for an indefinite period of time with its registered office located at Leonardo Da </w:t>
      </w:r>
      <w:proofErr w:type="spellStart"/>
      <w:r>
        <w:rPr>
          <w:bCs/>
          <w:sz w:val="18"/>
          <w:szCs w:val="18"/>
          <w:lang w:val="en-GB"/>
        </w:rPr>
        <w:t>Vincilaan</w:t>
      </w:r>
      <w:proofErr w:type="spellEnd"/>
      <w:r>
        <w:rPr>
          <w:bCs/>
          <w:sz w:val="18"/>
          <w:szCs w:val="18"/>
          <w:lang w:val="en-GB"/>
        </w:rPr>
        <w:t xml:space="preserve"> 19A bus 6, 1831 </w:t>
      </w:r>
      <w:proofErr w:type="spellStart"/>
      <w:r>
        <w:rPr>
          <w:sz w:val="18"/>
          <w:szCs w:val="18"/>
        </w:rPr>
        <w:t>Machelen</w:t>
      </w:r>
      <w:proofErr w:type="spellEnd"/>
      <w:r>
        <w:rPr>
          <w:sz w:val="18"/>
          <w:szCs w:val="18"/>
        </w:rPr>
        <w:t xml:space="preserve"> (</w:t>
      </w:r>
      <w:proofErr w:type="spellStart"/>
      <w:r>
        <w:rPr>
          <w:bCs/>
          <w:sz w:val="18"/>
          <w:szCs w:val="18"/>
          <w:lang w:val="en-GB"/>
        </w:rPr>
        <w:t>Diegem</w:t>
      </w:r>
      <w:proofErr w:type="spellEnd"/>
      <w:r>
        <w:rPr>
          <w:bCs/>
          <w:sz w:val="18"/>
          <w:szCs w:val="18"/>
          <w:lang w:val="en-GB"/>
        </w:rPr>
        <w:t>), with telephone number +32 2 719 00 45. VGP is registered under enterprise number VAT BE 0887 216 042 (RPM-RPR Brussels, Belgium) and with Legal Entity Identifier (LEI) code: 315700NENYPIXFR94T49.</w:t>
      </w:r>
    </w:p>
    <w:p w14:paraId="6B5E9BEB" w14:textId="77777777" w:rsidR="00F76607" w:rsidRDefault="001863F0">
      <w:pPr>
        <w:spacing w:before="240" w:beforeAutospacing="1" w:after="100" w:afterAutospacing="1"/>
        <w:ind w:firstLine="857"/>
        <w:rPr>
          <w:bCs/>
          <w:sz w:val="18"/>
          <w:szCs w:val="18"/>
          <w:lang w:val="en-GB"/>
        </w:rPr>
      </w:pPr>
      <w:r>
        <w:rPr>
          <w:bCs/>
          <w:sz w:val="18"/>
          <w:szCs w:val="18"/>
          <w:lang w:val="en-GB"/>
        </w:rPr>
        <w:t>VGP NV, being a holding company falling within the exception set forth in article 7, °1 of the Belgian law on alternative investment funds of 19 April 2014 (“</w:t>
      </w:r>
      <w:r>
        <w:rPr>
          <w:bCs/>
          <w:i/>
          <w:sz w:val="18"/>
          <w:szCs w:val="18"/>
          <w:lang w:val="en-GB"/>
        </w:rPr>
        <w:t xml:space="preserve">wet </w:t>
      </w:r>
      <w:proofErr w:type="spellStart"/>
      <w:r>
        <w:rPr>
          <w:bCs/>
          <w:i/>
          <w:sz w:val="18"/>
          <w:szCs w:val="18"/>
          <w:lang w:val="en-GB"/>
        </w:rPr>
        <w:t>betreffende</w:t>
      </w:r>
      <w:proofErr w:type="spellEnd"/>
      <w:r>
        <w:rPr>
          <w:bCs/>
          <w:i/>
          <w:sz w:val="18"/>
          <w:szCs w:val="18"/>
          <w:lang w:val="en-GB"/>
        </w:rPr>
        <w:t xml:space="preserve"> de </w:t>
      </w:r>
      <w:proofErr w:type="spellStart"/>
      <w:r>
        <w:rPr>
          <w:bCs/>
          <w:i/>
          <w:sz w:val="18"/>
          <w:szCs w:val="18"/>
          <w:lang w:val="en-GB"/>
        </w:rPr>
        <w:t>alternatieve</w:t>
      </w:r>
      <w:proofErr w:type="spellEnd"/>
      <w:r>
        <w:rPr>
          <w:bCs/>
          <w:i/>
          <w:sz w:val="18"/>
          <w:szCs w:val="18"/>
          <w:lang w:val="en-GB"/>
        </w:rPr>
        <w:t xml:space="preserve"> </w:t>
      </w:r>
      <w:proofErr w:type="spellStart"/>
      <w:r>
        <w:rPr>
          <w:bCs/>
          <w:i/>
          <w:sz w:val="18"/>
          <w:szCs w:val="18"/>
          <w:lang w:val="en-GB"/>
        </w:rPr>
        <w:t>Instellingen</w:t>
      </w:r>
      <w:proofErr w:type="spellEnd"/>
      <w:r>
        <w:rPr>
          <w:bCs/>
          <w:i/>
          <w:sz w:val="18"/>
          <w:szCs w:val="18"/>
          <w:lang w:val="en-GB"/>
        </w:rPr>
        <w:t xml:space="preserve"> </w:t>
      </w:r>
      <w:proofErr w:type="spellStart"/>
      <w:r>
        <w:rPr>
          <w:bCs/>
          <w:i/>
          <w:sz w:val="18"/>
          <w:szCs w:val="18"/>
          <w:lang w:val="en-GB"/>
        </w:rPr>
        <w:t>voor</w:t>
      </w:r>
      <w:proofErr w:type="spellEnd"/>
      <w:r>
        <w:rPr>
          <w:bCs/>
          <w:i/>
          <w:sz w:val="18"/>
          <w:szCs w:val="18"/>
          <w:lang w:val="en-GB"/>
        </w:rPr>
        <w:t xml:space="preserve"> </w:t>
      </w:r>
      <w:proofErr w:type="spellStart"/>
      <w:r>
        <w:rPr>
          <w:bCs/>
          <w:i/>
          <w:sz w:val="18"/>
          <w:szCs w:val="18"/>
          <w:lang w:val="en-GB"/>
        </w:rPr>
        <w:t>collectieve</w:t>
      </w:r>
      <w:proofErr w:type="spellEnd"/>
      <w:r>
        <w:rPr>
          <w:bCs/>
          <w:i/>
          <w:sz w:val="18"/>
          <w:szCs w:val="18"/>
          <w:lang w:val="en-GB"/>
        </w:rPr>
        <w:t xml:space="preserve"> </w:t>
      </w:r>
      <w:proofErr w:type="spellStart"/>
      <w:r>
        <w:rPr>
          <w:bCs/>
          <w:i/>
          <w:sz w:val="18"/>
          <w:szCs w:val="18"/>
          <w:lang w:val="en-GB"/>
        </w:rPr>
        <w:t>belegging</w:t>
      </w:r>
      <w:proofErr w:type="spellEnd"/>
      <w:r>
        <w:rPr>
          <w:bCs/>
          <w:i/>
          <w:sz w:val="18"/>
          <w:szCs w:val="18"/>
          <w:lang w:val="en-GB"/>
        </w:rPr>
        <w:t xml:space="preserve"> </w:t>
      </w:r>
      <w:proofErr w:type="spellStart"/>
      <w:r>
        <w:rPr>
          <w:bCs/>
          <w:i/>
          <w:sz w:val="18"/>
          <w:szCs w:val="18"/>
          <w:lang w:val="en-GB"/>
        </w:rPr>
        <w:t>en</w:t>
      </w:r>
      <w:proofErr w:type="spellEnd"/>
      <w:r>
        <w:rPr>
          <w:bCs/>
          <w:i/>
          <w:sz w:val="18"/>
          <w:szCs w:val="18"/>
          <w:lang w:val="en-GB"/>
        </w:rPr>
        <w:t xml:space="preserve"> </w:t>
      </w:r>
      <w:proofErr w:type="spellStart"/>
      <w:r>
        <w:rPr>
          <w:bCs/>
          <w:i/>
          <w:sz w:val="18"/>
          <w:szCs w:val="18"/>
          <w:lang w:val="en-GB"/>
        </w:rPr>
        <w:t>hun</w:t>
      </w:r>
      <w:proofErr w:type="spellEnd"/>
      <w:r>
        <w:rPr>
          <w:bCs/>
          <w:i/>
          <w:sz w:val="18"/>
          <w:szCs w:val="18"/>
          <w:lang w:val="en-GB"/>
        </w:rPr>
        <w:t xml:space="preserve"> </w:t>
      </w:r>
      <w:proofErr w:type="spellStart"/>
      <w:r>
        <w:rPr>
          <w:bCs/>
          <w:i/>
          <w:sz w:val="18"/>
          <w:szCs w:val="18"/>
          <w:lang w:val="en-GB"/>
        </w:rPr>
        <w:t>beheerders</w:t>
      </w:r>
      <w:proofErr w:type="spellEnd"/>
      <w:r>
        <w:rPr>
          <w:bCs/>
          <w:sz w:val="18"/>
          <w:szCs w:val="18"/>
          <w:lang w:val="en-GB"/>
        </w:rPr>
        <w:t>” / “</w:t>
      </w:r>
      <w:proofErr w:type="spellStart"/>
      <w:r>
        <w:rPr>
          <w:bCs/>
          <w:i/>
          <w:sz w:val="18"/>
          <w:szCs w:val="18"/>
          <w:lang w:val="en-GB"/>
        </w:rPr>
        <w:t>loi</w:t>
      </w:r>
      <w:proofErr w:type="spellEnd"/>
      <w:r>
        <w:rPr>
          <w:bCs/>
          <w:i/>
          <w:sz w:val="18"/>
          <w:szCs w:val="18"/>
          <w:lang w:val="en-GB"/>
        </w:rPr>
        <w:t xml:space="preserve"> relative aux </w:t>
      </w:r>
      <w:proofErr w:type="spellStart"/>
      <w:r>
        <w:rPr>
          <w:bCs/>
          <w:i/>
          <w:sz w:val="18"/>
          <w:szCs w:val="18"/>
          <w:lang w:val="en-GB"/>
        </w:rPr>
        <w:t>organismes</w:t>
      </w:r>
      <w:proofErr w:type="spellEnd"/>
      <w:r>
        <w:rPr>
          <w:bCs/>
          <w:i/>
          <w:sz w:val="18"/>
          <w:szCs w:val="18"/>
          <w:lang w:val="en-GB"/>
        </w:rPr>
        <w:t xml:space="preserve"> de placement </w:t>
      </w:r>
      <w:proofErr w:type="spellStart"/>
      <w:r>
        <w:rPr>
          <w:bCs/>
          <w:i/>
          <w:sz w:val="18"/>
          <w:szCs w:val="18"/>
          <w:lang w:val="en-GB"/>
        </w:rPr>
        <w:t>collectif</w:t>
      </w:r>
      <w:proofErr w:type="spellEnd"/>
      <w:r>
        <w:rPr>
          <w:bCs/>
          <w:i/>
          <w:sz w:val="18"/>
          <w:szCs w:val="18"/>
          <w:lang w:val="en-GB"/>
        </w:rPr>
        <w:t xml:space="preserve"> </w:t>
      </w:r>
      <w:proofErr w:type="spellStart"/>
      <w:r>
        <w:rPr>
          <w:bCs/>
          <w:i/>
          <w:sz w:val="18"/>
          <w:szCs w:val="18"/>
          <w:lang w:val="en-GB"/>
        </w:rPr>
        <w:t>alternatifs</w:t>
      </w:r>
      <w:proofErr w:type="spellEnd"/>
      <w:r>
        <w:rPr>
          <w:bCs/>
          <w:i/>
          <w:sz w:val="18"/>
          <w:szCs w:val="18"/>
          <w:lang w:val="en-GB"/>
        </w:rPr>
        <w:t xml:space="preserve"> et à </w:t>
      </w:r>
      <w:proofErr w:type="spellStart"/>
      <w:r>
        <w:rPr>
          <w:bCs/>
          <w:i/>
          <w:sz w:val="18"/>
          <w:szCs w:val="18"/>
          <w:lang w:val="en-GB"/>
        </w:rPr>
        <w:t>leurs</w:t>
      </w:r>
      <w:proofErr w:type="spellEnd"/>
      <w:r>
        <w:rPr>
          <w:bCs/>
          <w:i/>
          <w:sz w:val="18"/>
          <w:szCs w:val="18"/>
          <w:lang w:val="en-GB"/>
        </w:rPr>
        <w:t xml:space="preserve"> </w:t>
      </w:r>
      <w:proofErr w:type="spellStart"/>
      <w:r>
        <w:rPr>
          <w:bCs/>
          <w:i/>
          <w:sz w:val="18"/>
          <w:szCs w:val="18"/>
          <w:lang w:val="en-GB"/>
        </w:rPr>
        <w:t>gestionnaires</w:t>
      </w:r>
      <w:proofErr w:type="spellEnd"/>
      <w:r>
        <w:rPr>
          <w:bCs/>
          <w:sz w:val="18"/>
          <w:szCs w:val="18"/>
          <w:lang w:val="en-GB"/>
        </w:rPr>
        <w:t>”) has not been set up as a Belgian regulated real estate investment company within the meaning of the law of 12 May 2014 on regulated real estate investment companies (“</w:t>
      </w:r>
      <w:r>
        <w:rPr>
          <w:bCs/>
          <w:i/>
          <w:sz w:val="18"/>
          <w:szCs w:val="18"/>
          <w:lang w:val="en-GB"/>
        </w:rPr>
        <w:t xml:space="preserve">wet </w:t>
      </w:r>
      <w:proofErr w:type="spellStart"/>
      <w:r>
        <w:rPr>
          <w:bCs/>
          <w:i/>
          <w:sz w:val="18"/>
          <w:szCs w:val="18"/>
          <w:lang w:val="en-GB"/>
        </w:rPr>
        <w:t>betreffende</w:t>
      </w:r>
      <w:proofErr w:type="spellEnd"/>
      <w:r>
        <w:rPr>
          <w:bCs/>
          <w:i/>
          <w:sz w:val="18"/>
          <w:szCs w:val="18"/>
          <w:lang w:val="en-GB"/>
        </w:rPr>
        <w:t xml:space="preserve"> de </w:t>
      </w:r>
      <w:proofErr w:type="spellStart"/>
      <w:r>
        <w:rPr>
          <w:bCs/>
          <w:i/>
          <w:sz w:val="18"/>
          <w:szCs w:val="18"/>
          <w:lang w:val="en-GB"/>
        </w:rPr>
        <w:t>gereglementeerde</w:t>
      </w:r>
      <w:proofErr w:type="spellEnd"/>
      <w:r>
        <w:rPr>
          <w:bCs/>
          <w:i/>
          <w:sz w:val="18"/>
          <w:szCs w:val="18"/>
          <w:lang w:val="en-GB"/>
        </w:rPr>
        <w:t xml:space="preserve"> </w:t>
      </w:r>
      <w:proofErr w:type="spellStart"/>
      <w:r>
        <w:rPr>
          <w:bCs/>
          <w:i/>
          <w:sz w:val="18"/>
          <w:szCs w:val="18"/>
          <w:lang w:val="en-GB"/>
        </w:rPr>
        <w:t>vastgoedvennootschappen</w:t>
      </w:r>
      <w:proofErr w:type="spellEnd"/>
      <w:r>
        <w:rPr>
          <w:bCs/>
          <w:sz w:val="18"/>
          <w:szCs w:val="18"/>
          <w:lang w:val="en-GB"/>
        </w:rPr>
        <w:t>”/ “</w:t>
      </w:r>
      <w:proofErr w:type="spellStart"/>
      <w:r>
        <w:rPr>
          <w:bCs/>
          <w:sz w:val="18"/>
          <w:szCs w:val="18"/>
          <w:lang w:val="en-GB"/>
        </w:rPr>
        <w:t>l</w:t>
      </w:r>
      <w:r>
        <w:rPr>
          <w:bCs/>
          <w:i/>
          <w:sz w:val="18"/>
          <w:szCs w:val="18"/>
          <w:lang w:val="en-GB"/>
        </w:rPr>
        <w:t>oi</w:t>
      </w:r>
      <w:proofErr w:type="spellEnd"/>
      <w:r>
        <w:rPr>
          <w:bCs/>
          <w:i/>
          <w:sz w:val="18"/>
          <w:szCs w:val="18"/>
          <w:lang w:val="en-GB"/>
        </w:rPr>
        <w:t xml:space="preserve"> relative aux </w:t>
      </w:r>
      <w:proofErr w:type="spellStart"/>
      <w:r>
        <w:rPr>
          <w:bCs/>
          <w:i/>
          <w:sz w:val="18"/>
          <w:szCs w:val="18"/>
          <w:lang w:val="en-GB"/>
        </w:rPr>
        <w:t>sociétés</w:t>
      </w:r>
      <w:proofErr w:type="spellEnd"/>
      <w:r>
        <w:rPr>
          <w:bCs/>
          <w:i/>
          <w:sz w:val="18"/>
          <w:szCs w:val="18"/>
          <w:lang w:val="en-GB"/>
        </w:rPr>
        <w:t xml:space="preserve"> </w:t>
      </w:r>
      <w:proofErr w:type="spellStart"/>
      <w:r>
        <w:rPr>
          <w:bCs/>
          <w:i/>
          <w:sz w:val="18"/>
          <w:szCs w:val="18"/>
          <w:lang w:val="en-GB"/>
        </w:rPr>
        <w:t>immobilières</w:t>
      </w:r>
      <w:proofErr w:type="spellEnd"/>
      <w:r>
        <w:rPr>
          <w:bCs/>
          <w:i/>
          <w:sz w:val="18"/>
          <w:szCs w:val="18"/>
          <w:lang w:val="en-GB"/>
        </w:rPr>
        <w:t xml:space="preserve"> </w:t>
      </w:r>
      <w:proofErr w:type="spellStart"/>
      <w:r>
        <w:rPr>
          <w:bCs/>
          <w:i/>
          <w:sz w:val="18"/>
          <w:szCs w:val="18"/>
          <w:lang w:val="en-GB"/>
        </w:rPr>
        <w:t>réglementées</w:t>
      </w:r>
      <w:proofErr w:type="spellEnd"/>
      <w:r>
        <w:rPr>
          <w:bCs/>
          <w:sz w:val="18"/>
          <w:szCs w:val="18"/>
          <w:lang w:val="en-GB"/>
        </w:rPr>
        <w:t>”) nor as a UCITS undertaking under the law of 3 August 2012 (“</w:t>
      </w:r>
      <w:r>
        <w:rPr>
          <w:bCs/>
          <w:i/>
          <w:sz w:val="18"/>
          <w:szCs w:val="18"/>
          <w:lang w:val="en-GB"/>
        </w:rPr>
        <w:t xml:space="preserve">wet </w:t>
      </w:r>
      <w:proofErr w:type="spellStart"/>
      <w:r>
        <w:rPr>
          <w:bCs/>
          <w:i/>
          <w:sz w:val="18"/>
          <w:szCs w:val="18"/>
          <w:lang w:val="en-GB"/>
        </w:rPr>
        <w:t>betreffende</w:t>
      </w:r>
      <w:proofErr w:type="spellEnd"/>
      <w:r>
        <w:rPr>
          <w:bCs/>
          <w:i/>
          <w:sz w:val="18"/>
          <w:szCs w:val="18"/>
          <w:lang w:val="en-GB"/>
        </w:rPr>
        <w:t xml:space="preserve"> </w:t>
      </w:r>
      <w:proofErr w:type="spellStart"/>
      <w:r>
        <w:rPr>
          <w:bCs/>
          <w:i/>
          <w:sz w:val="18"/>
          <w:szCs w:val="18"/>
          <w:lang w:val="en-GB"/>
        </w:rPr>
        <w:t>bepaalde</w:t>
      </w:r>
      <w:proofErr w:type="spellEnd"/>
      <w:r>
        <w:rPr>
          <w:bCs/>
          <w:i/>
          <w:sz w:val="18"/>
          <w:szCs w:val="18"/>
          <w:lang w:val="en-GB"/>
        </w:rPr>
        <w:t xml:space="preserve"> </w:t>
      </w:r>
      <w:proofErr w:type="spellStart"/>
      <w:r>
        <w:rPr>
          <w:bCs/>
          <w:i/>
          <w:sz w:val="18"/>
          <w:szCs w:val="18"/>
          <w:lang w:val="en-GB"/>
        </w:rPr>
        <w:t>vormen</w:t>
      </w:r>
      <w:proofErr w:type="spellEnd"/>
      <w:r>
        <w:rPr>
          <w:bCs/>
          <w:i/>
          <w:sz w:val="18"/>
          <w:szCs w:val="18"/>
          <w:lang w:val="en-GB"/>
        </w:rPr>
        <w:t xml:space="preserve"> van </w:t>
      </w:r>
      <w:proofErr w:type="spellStart"/>
      <w:r>
        <w:rPr>
          <w:bCs/>
          <w:i/>
          <w:sz w:val="18"/>
          <w:szCs w:val="18"/>
          <w:lang w:val="en-GB"/>
        </w:rPr>
        <w:t>collectief</w:t>
      </w:r>
      <w:proofErr w:type="spellEnd"/>
      <w:r>
        <w:rPr>
          <w:bCs/>
          <w:i/>
          <w:sz w:val="18"/>
          <w:szCs w:val="18"/>
          <w:lang w:val="en-GB"/>
        </w:rPr>
        <w:t xml:space="preserve"> </w:t>
      </w:r>
      <w:proofErr w:type="spellStart"/>
      <w:r>
        <w:rPr>
          <w:bCs/>
          <w:i/>
          <w:sz w:val="18"/>
          <w:szCs w:val="18"/>
          <w:lang w:val="en-GB"/>
        </w:rPr>
        <w:t>beheer</w:t>
      </w:r>
      <w:proofErr w:type="spellEnd"/>
      <w:r>
        <w:rPr>
          <w:bCs/>
          <w:i/>
          <w:sz w:val="18"/>
          <w:szCs w:val="18"/>
          <w:lang w:val="en-GB"/>
        </w:rPr>
        <w:t xml:space="preserve"> van </w:t>
      </w:r>
      <w:proofErr w:type="spellStart"/>
      <w:r>
        <w:rPr>
          <w:bCs/>
          <w:i/>
          <w:sz w:val="18"/>
          <w:szCs w:val="18"/>
          <w:lang w:val="en-GB"/>
        </w:rPr>
        <w:t>beleggingsportefeuilles</w:t>
      </w:r>
      <w:proofErr w:type="spellEnd"/>
      <w:r>
        <w:rPr>
          <w:bCs/>
          <w:sz w:val="18"/>
          <w:szCs w:val="18"/>
          <w:lang w:val="en-GB"/>
        </w:rPr>
        <w:t>” / “</w:t>
      </w:r>
      <w:proofErr w:type="spellStart"/>
      <w:r>
        <w:rPr>
          <w:bCs/>
          <w:i/>
          <w:sz w:val="18"/>
          <w:szCs w:val="18"/>
          <w:lang w:val="en-GB"/>
        </w:rPr>
        <w:t>loi</w:t>
      </w:r>
      <w:proofErr w:type="spellEnd"/>
      <w:r>
        <w:rPr>
          <w:bCs/>
          <w:i/>
          <w:sz w:val="18"/>
          <w:szCs w:val="18"/>
          <w:lang w:val="en-GB"/>
        </w:rPr>
        <w:t xml:space="preserve"> relative à </w:t>
      </w:r>
      <w:proofErr w:type="spellStart"/>
      <w:r>
        <w:rPr>
          <w:bCs/>
          <w:i/>
          <w:sz w:val="18"/>
          <w:szCs w:val="18"/>
          <w:lang w:val="en-GB"/>
        </w:rPr>
        <w:t>certaines</w:t>
      </w:r>
      <w:proofErr w:type="spellEnd"/>
      <w:r>
        <w:rPr>
          <w:bCs/>
          <w:i/>
          <w:sz w:val="18"/>
          <w:szCs w:val="18"/>
          <w:lang w:val="en-GB"/>
        </w:rPr>
        <w:t xml:space="preserve"> forms de </w:t>
      </w:r>
      <w:proofErr w:type="spellStart"/>
      <w:r>
        <w:rPr>
          <w:bCs/>
          <w:i/>
          <w:sz w:val="18"/>
          <w:szCs w:val="18"/>
          <w:lang w:val="en-GB"/>
        </w:rPr>
        <w:t>gestion</w:t>
      </w:r>
      <w:proofErr w:type="spellEnd"/>
      <w:r>
        <w:rPr>
          <w:bCs/>
          <w:i/>
          <w:sz w:val="18"/>
          <w:szCs w:val="18"/>
          <w:lang w:val="en-GB"/>
        </w:rPr>
        <w:t xml:space="preserve"> collective de </w:t>
      </w:r>
      <w:proofErr w:type="spellStart"/>
      <w:r>
        <w:rPr>
          <w:bCs/>
          <w:i/>
          <w:sz w:val="18"/>
          <w:szCs w:val="18"/>
          <w:lang w:val="en-GB"/>
        </w:rPr>
        <w:t>portefeuilles</w:t>
      </w:r>
      <w:proofErr w:type="spellEnd"/>
      <w:r>
        <w:rPr>
          <w:bCs/>
          <w:i/>
          <w:sz w:val="18"/>
          <w:szCs w:val="18"/>
          <w:lang w:val="en-GB"/>
        </w:rPr>
        <w:t xml:space="preserve"> </w:t>
      </w:r>
      <w:proofErr w:type="spellStart"/>
      <w:r>
        <w:rPr>
          <w:bCs/>
          <w:i/>
          <w:sz w:val="18"/>
          <w:szCs w:val="18"/>
          <w:lang w:val="en-GB"/>
        </w:rPr>
        <w:t>d’investissement</w:t>
      </w:r>
      <w:proofErr w:type="spellEnd"/>
      <w:r>
        <w:rPr>
          <w:bCs/>
          <w:sz w:val="18"/>
          <w:szCs w:val="18"/>
          <w:lang w:val="en-GB"/>
        </w:rPr>
        <w:t>”). As a consequence, the Company does not benefit from the fiscal advantages of a Belgian real estate investment trust and is not subject to the regulatory framework applicable to these real estate investment trusts.</w:t>
      </w:r>
    </w:p>
    <w:p w14:paraId="27906EF9" w14:textId="77777777" w:rsidR="00F76607" w:rsidRDefault="001863F0">
      <w:pPr>
        <w:spacing w:before="240" w:beforeAutospacing="1" w:after="100" w:afterAutospacing="1"/>
        <w:ind w:firstLine="857"/>
        <w:rPr>
          <w:bCs/>
          <w:sz w:val="18"/>
          <w:szCs w:val="18"/>
          <w:lang w:val="en-GB"/>
        </w:rPr>
      </w:pPr>
      <w:r>
        <w:rPr>
          <w:bCs/>
          <w:sz w:val="18"/>
          <w:szCs w:val="18"/>
          <w:lang w:val="en-GB"/>
        </w:rPr>
        <w:t>This section summarizes certain information relating to the Company’s share capital and its Articles of Association. The contents of this section are derived primarily from the Articles of Association (as co-ordinated on 12 May 2017) and the Company’s Corporate Governance Charter (the “VGP Charter”). The description provided hereafter is only a summary and does not purport to provide a complete overview of the Articles of Association or the relevant provisions of Belgian law.</w:t>
      </w:r>
    </w:p>
    <w:p w14:paraId="6AFE0FCF" w14:textId="77777777" w:rsidR="00F76607" w:rsidRDefault="001863F0">
      <w:pPr>
        <w:widowControl w:val="0"/>
        <w:spacing w:before="240"/>
        <w:rPr>
          <w:b/>
          <w:bCs/>
          <w:sz w:val="18"/>
          <w:szCs w:val="18"/>
          <w:lang w:val="en-GB"/>
        </w:rPr>
      </w:pPr>
      <w:r>
        <w:rPr>
          <w:b/>
          <w:bCs/>
          <w:sz w:val="18"/>
          <w:szCs w:val="18"/>
          <w:lang w:val="en-GB"/>
        </w:rPr>
        <w:t>Corporate Purpose</w:t>
      </w:r>
    </w:p>
    <w:p w14:paraId="2FB171BC" w14:textId="77777777" w:rsidR="00F76607" w:rsidRDefault="001863F0">
      <w:pPr>
        <w:spacing w:before="240" w:beforeAutospacing="1" w:after="100" w:afterAutospacing="1"/>
        <w:ind w:firstLine="857"/>
        <w:rPr>
          <w:bCs/>
          <w:sz w:val="18"/>
          <w:szCs w:val="18"/>
          <w:lang w:val="en-GB"/>
        </w:rPr>
      </w:pPr>
      <w:r>
        <w:rPr>
          <w:bCs/>
          <w:sz w:val="18"/>
          <w:szCs w:val="18"/>
          <w:lang w:val="en-GB"/>
        </w:rPr>
        <w:t>Article 3 of the Articles of Association (see www.vgpparks.eu) sets forth that the Company has as its purpose, in Belgium and abroad, exclusively in its own name and for its own account:</w:t>
      </w:r>
    </w:p>
    <w:p w14:paraId="456504C0" w14:textId="77777777" w:rsidR="00F76607" w:rsidRDefault="001863F0">
      <w:pPr>
        <w:pStyle w:val="VulcanIIbullet"/>
        <w:rPr>
          <w:lang w:val="en-GB"/>
        </w:rPr>
      </w:pPr>
      <w:r>
        <w:rPr>
          <w:lang w:val="en-GB"/>
        </w:rPr>
        <w:t>the acquisition through purchase or otherwise, the sale, exchange, improvement, equipment, renovation, encumbering, disposal of, making productive, let, rent, lease and management of all real estate, and, in general, all real estate transactions;</w:t>
      </w:r>
    </w:p>
    <w:p w14:paraId="4F741037" w14:textId="77777777" w:rsidR="00F76607" w:rsidRDefault="001863F0">
      <w:pPr>
        <w:pStyle w:val="VulcanIIbullet"/>
        <w:rPr>
          <w:lang w:val="en-GB"/>
        </w:rPr>
      </w:pPr>
      <w:r>
        <w:rPr>
          <w:lang w:val="en-GB"/>
        </w:rPr>
        <w:t>the acquisition of participations in whatever form in commercial, industrial and financial undertakings and companies, Belgian as well as foreign, the management and realization of these participations and the acquisition through participation, subscription, purchase, option or by whatever means of all parts, shares, bonds, values and titles;</w:t>
      </w:r>
    </w:p>
    <w:p w14:paraId="329EFF59" w14:textId="77777777" w:rsidR="00F76607" w:rsidRDefault="001863F0">
      <w:pPr>
        <w:pStyle w:val="VulcanIIbullet"/>
        <w:rPr>
          <w:lang w:val="en-GB"/>
        </w:rPr>
      </w:pPr>
      <w:r>
        <w:rPr>
          <w:lang w:val="en-GB"/>
        </w:rPr>
        <w:t>the representation, management, supervision and liquidation of all companies and undertakings of whatever nature;</w:t>
      </w:r>
    </w:p>
    <w:p w14:paraId="18B6CC5B" w14:textId="77777777" w:rsidR="00F76607" w:rsidRDefault="001863F0">
      <w:pPr>
        <w:pStyle w:val="VulcanIIbullet"/>
        <w:rPr>
          <w:lang w:val="en-GB"/>
        </w:rPr>
      </w:pPr>
      <w:r>
        <w:rPr>
          <w:lang w:val="en-GB"/>
        </w:rPr>
        <w:t xml:space="preserve">engineering, development, commercialisation, representation and providing services with regard to movable assets, material, machines and equipment; </w:t>
      </w:r>
    </w:p>
    <w:p w14:paraId="37CA7C6D" w14:textId="77777777" w:rsidR="00F76607" w:rsidRDefault="001863F0">
      <w:pPr>
        <w:pStyle w:val="VulcanIIbullet"/>
        <w:rPr>
          <w:lang w:val="en-GB"/>
        </w:rPr>
      </w:pPr>
      <w:r>
        <w:rPr>
          <w:lang w:val="en-GB"/>
        </w:rPr>
        <w:t>providing services, giving advice, research, preparing and setting up organisation systems, setting up systems for data management and all techniques with regard to technical, administrative, economic and general management of companies; and</w:t>
      </w:r>
    </w:p>
    <w:p w14:paraId="6E14325E" w14:textId="77777777" w:rsidR="00F76607" w:rsidRDefault="001863F0">
      <w:pPr>
        <w:pStyle w:val="VulcanIIbullet"/>
        <w:rPr>
          <w:lang w:val="en-GB"/>
        </w:rPr>
      </w:pPr>
      <w:r>
        <w:rPr>
          <w:lang w:val="en-GB"/>
        </w:rPr>
        <w:t>acquiring, commercialising or disposing of all patents, trademarks, licenses and intellectual property rights.</w:t>
      </w:r>
    </w:p>
    <w:p w14:paraId="17DD3903" w14:textId="77777777" w:rsidR="00F76607" w:rsidRDefault="001863F0">
      <w:pPr>
        <w:spacing w:before="240" w:beforeAutospacing="1" w:after="100" w:afterAutospacing="1"/>
        <w:ind w:firstLine="857"/>
        <w:rPr>
          <w:bCs/>
          <w:sz w:val="18"/>
          <w:szCs w:val="18"/>
          <w:lang w:val="en-GB"/>
        </w:rPr>
      </w:pPr>
      <w:r>
        <w:rPr>
          <w:bCs/>
          <w:sz w:val="18"/>
          <w:szCs w:val="18"/>
          <w:lang w:val="en-GB"/>
        </w:rPr>
        <w:t>In general it can take all actions to protect its rights and it will perform all transactions that are directly or indirectly in connection with or contribute to the realisation of its purpose.</w:t>
      </w:r>
    </w:p>
    <w:p w14:paraId="1CE0DB1E" w14:textId="77777777" w:rsidR="00F76607" w:rsidRDefault="001863F0">
      <w:pPr>
        <w:spacing w:before="240" w:beforeAutospacing="1" w:after="100" w:afterAutospacing="1"/>
        <w:ind w:firstLine="857"/>
        <w:rPr>
          <w:bCs/>
          <w:sz w:val="18"/>
          <w:szCs w:val="18"/>
          <w:lang w:val="en-GB"/>
        </w:rPr>
      </w:pPr>
      <w:r>
        <w:rPr>
          <w:bCs/>
          <w:sz w:val="18"/>
          <w:szCs w:val="18"/>
          <w:lang w:val="en-GB"/>
        </w:rPr>
        <w:t>It can also hold participations, by means of contribution, subscription or otherwise, in all companies, associations or undertakings that have a similar, analogue or related purpose, or whose own purpose it is to promote the Company’s purpose. It can provide facilities or guarantee third parties’ obligations.</w:t>
      </w:r>
    </w:p>
    <w:p w14:paraId="7942DC1F" w14:textId="77777777" w:rsidR="00F76607" w:rsidRDefault="001863F0">
      <w:pPr>
        <w:spacing w:before="240" w:beforeAutospacing="1" w:after="100" w:afterAutospacing="1"/>
        <w:ind w:firstLine="857"/>
        <w:rPr>
          <w:bCs/>
          <w:sz w:val="18"/>
          <w:szCs w:val="18"/>
          <w:lang w:val="en-GB"/>
        </w:rPr>
      </w:pPr>
      <w:r>
        <w:rPr>
          <w:bCs/>
          <w:sz w:val="18"/>
          <w:szCs w:val="18"/>
          <w:lang w:val="en-GB"/>
        </w:rPr>
        <w:t>The Company can work together with and participate in, directly or indirectly, companies of whatever nature, make any undertakings, grant facilities and loans, guarantee third parties’ obligations, mortgage or pledge its assets, including its own commerce. It can do all that is in relation to abovementioned purpose or can be beneficial to the realisation of it.</w:t>
      </w:r>
    </w:p>
    <w:p w14:paraId="15038361" w14:textId="77777777" w:rsidR="00F76607" w:rsidRDefault="001863F0">
      <w:pPr>
        <w:widowControl w:val="0"/>
        <w:spacing w:before="240"/>
        <w:rPr>
          <w:b/>
          <w:bCs/>
          <w:sz w:val="18"/>
          <w:szCs w:val="18"/>
        </w:rPr>
      </w:pPr>
      <w:r>
        <w:rPr>
          <w:b/>
          <w:bCs/>
          <w:sz w:val="18"/>
          <w:szCs w:val="18"/>
        </w:rPr>
        <w:t>Share Capital and Shares</w:t>
      </w:r>
    </w:p>
    <w:p w14:paraId="42D3EC4A" w14:textId="77777777" w:rsidR="00F76607" w:rsidRDefault="001863F0">
      <w:pPr>
        <w:widowControl w:val="0"/>
        <w:spacing w:before="240"/>
        <w:rPr>
          <w:b/>
          <w:bCs/>
          <w:i/>
          <w:sz w:val="18"/>
          <w:szCs w:val="18"/>
        </w:rPr>
      </w:pPr>
      <w:r>
        <w:rPr>
          <w:b/>
          <w:bCs/>
          <w:i/>
          <w:sz w:val="18"/>
          <w:szCs w:val="18"/>
        </w:rPr>
        <w:t>Share Capital</w:t>
      </w:r>
    </w:p>
    <w:p w14:paraId="571CBABB" w14:textId="1178BE42" w:rsidR="00F76607" w:rsidRDefault="001863F0">
      <w:pPr>
        <w:spacing w:before="240" w:beforeAutospacing="1" w:after="100" w:afterAutospacing="1"/>
        <w:ind w:firstLine="857"/>
        <w:rPr>
          <w:bCs/>
          <w:sz w:val="18"/>
          <w:szCs w:val="18"/>
          <w:lang w:val="en-GB"/>
        </w:rPr>
      </w:pPr>
      <w:r>
        <w:rPr>
          <w:bCs/>
          <w:sz w:val="18"/>
          <w:szCs w:val="18"/>
          <w:lang w:val="en-GB"/>
        </w:rPr>
        <w:t xml:space="preserve">The Company was incorporated on 6 February 2007 by Jan Van Geet and Bart Van Malderen with a share capital amounting to € 100.000. On 12 May 2017, the share capital of the Company was reduced by € 20,069,694.00, reducing it from € 112,736,509.00 to € 92,666,815.00, without reducing the number of shares and such capital reduction was in accordance with the provisions of article 613 of the Belgian Company Code, paid out to the shareholders of the Company in the course of </w:t>
      </w:r>
      <w:r w:rsidR="00EF31B9">
        <w:rPr>
          <w:bCs/>
          <w:sz w:val="18"/>
          <w:szCs w:val="18"/>
          <w:lang w:val="en-GB"/>
        </w:rPr>
        <w:t>August 2017</w:t>
      </w:r>
      <w:r>
        <w:rPr>
          <w:bCs/>
          <w:sz w:val="18"/>
          <w:szCs w:val="18"/>
          <w:lang w:val="en-GB"/>
        </w:rPr>
        <w:t>.</w:t>
      </w:r>
    </w:p>
    <w:p w14:paraId="04348EB3" w14:textId="77777777" w:rsidR="00F76607" w:rsidRDefault="001863F0">
      <w:pPr>
        <w:spacing w:before="240" w:beforeAutospacing="1" w:after="100" w:afterAutospacing="1"/>
        <w:ind w:firstLine="857"/>
        <w:rPr>
          <w:bCs/>
          <w:sz w:val="18"/>
          <w:szCs w:val="18"/>
          <w:lang w:val="en-GB"/>
        </w:rPr>
      </w:pPr>
      <w:r>
        <w:rPr>
          <w:bCs/>
          <w:sz w:val="18"/>
          <w:szCs w:val="18"/>
          <w:lang w:val="en-GB"/>
        </w:rPr>
        <w:lastRenderedPageBreak/>
        <w:t>On the date of this Prospectus, the share capital of the Company amounted to € 92,666,815.00 and was fully paid-up. It was divided into 18,583,050 shares without nominal value.</w:t>
      </w:r>
    </w:p>
    <w:p w14:paraId="6F5318AE" w14:textId="77777777" w:rsidR="00F76607" w:rsidRDefault="001863F0">
      <w:pPr>
        <w:widowControl w:val="0"/>
        <w:spacing w:before="240"/>
        <w:rPr>
          <w:b/>
          <w:bCs/>
          <w:i/>
          <w:sz w:val="18"/>
          <w:szCs w:val="18"/>
        </w:rPr>
      </w:pPr>
      <w:r>
        <w:rPr>
          <w:b/>
          <w:bCs/>
          <w:i/>
          <w:sz w:val="18"/>
          <w:szCs w:val="18"/>
          <w:lang w:val="en-GB"/>
        </w:rPr>
        <w:t xml:space="preserve">Shares and </w:t>
      </w:r>
      <w:r>
        <w:rPr>
          <w:b/>
          <w:bCs/>
          <w:i/>
          <w:sz w:val="18"/>
          <w:szCs w:val="18"/>
        </w:rPr>
        <w:t>Other Securities with Voting Rights or Giving Access to Voting Rights</w:t>
      </w:r>
    </w:p>
    <w:p w14:paraId="61E6B921" w14:textId="77777777" w:rsidR="00F76607" w:rsidRDefault="001863F0">
      <w:pPr>
        <w:spacing w:before="240" w:beforeAutospacing="1" w:after="100" w:afterAutospacing="1"/>
        <w:ind w:firstLine="857"/>
        <w:rPr>
          <w:bCs/>
          <w:sz w:val="18"/>
          <w:szCs w:val="18"/>
          <w:lang w:val="en-GB"/>
        </w:rPr>
      </w:pPr>
      <w:r>
        <w:rPr>
          <w:bCs/>
          <w:sz w:val="18"/>
          <w:szCs w:val="18"/>
          <w:lang w:val="en-GB"/>
        </w:rPr>
        <w:t>Shares can be held as either registered shares or dematerialised shares. For registered shares, the names and addresses of all shareholders or holders of a right of usufruct or pledge are recorded in the shareholders’ register. On request, holders of registered shares will be provided with an extract from the register at their expense.</w:t>
      </w:r>
      <w:r>
        <w:t xml:space="preserve"> </w:t>
      </w:r>
      <w:r>
        <w:rPr>
          <w:bCs/>
          <w:sz w:val="18"/>
          <w:szCs w:val="18"/>
          <w:lang w:val="en-GB"/>
        </w:rPr>
        <w:t>The shareholders’ register can be consulted by any holder of Shares. A dematerialized security is represented by an entry on account, in the name of the owner or holder, at a clearing institution or certified accountholder.</w:t>
      </w:r>
    </w:p>
    <w:p w14:paraId="6B5912CF" w14:textId="77777777" w:rsidR="00F76607" w:rsidRDefault="001863F0">
      <w:pPr>
        <w:spacing w:before="240" w:beforeAutospacing="1" w:after="100" w:afterAutospacing="1"/>
        <w:ind w:firstLine="857"/>
        <w:rPr>
          <w:bCs/>
          <w:sz w:val="18"/>
          <w:szCs w:val="18"/>
          <w:lang w:val="en-GB"/>
        </w:rPr>
      </w:pPr>
      <w:r>
        <w:rPr>
          <w:bCs/>
          <w:sz w:val="18"/>
          <w:szCs w:val="18"/>
          <w:lang w:val="en-GB"/>
        </w:rPr>
        <w:t>Any shareholder can request at all time and at its own expense the conversion of his Shares into another form. Any request should be made in writing and sent by ordinary mail, duly signed to the registered office of the Company.</w:t>
      </w:r>
    </w:p>
    <w:p w14:paraId="533377A6" w14:textId="77777777" w:rsidR="00F76607" w:rsidRDefault="001863F0">
      <w:pPr>
        <w:spacing w:before="240"/>
        <w:ind w:firstLine="857"/>
        <w:rPr>
          <w:bCs/>
          <w:sz w:val="18"/>
          <w:szCs w:val="18"/>
          <w:lang w:val="en-GB"/>
        </w:rPr>
      </w:pPr>
      <w:r>
        <w:rPr>
          <w:bCs/>
          <w:sz w:val="18"/>
          <w:szCs w:val="18"/>
          <w:lang w:val="en-GB"/>
        </w:rPr>
        <w:t>There are no categories of shares. The Company has not issued any shares not representing capital. The Company has not issued any securities with voting rights or giving access to voting rights, other than the Shares referred to in this section of the Prospectus.</w:t>
      </w:r>
    </w:p>
    <w:p w14:paraId="7881FD3C" w14:textId="77777777" w:rsidR="00F76607" w:rsidRDefault="001863F0">
      <w:pPr>
        <w:spacing w:before="240"/>
        <w:ind w:firstLine="857"/>
        <w:rPr>
          <w:bCs/>
          <w:sz w:val="18"/>
          <w:szCs w:val="18"/>
          <w:lang w:val="en-GB"/>
        </w:rPr>
      </w:pPr>
      <w:r>
        <w:rPr>
          <w:bCs/>
          <w:sz w:val="18"/>
          <w:szCs w:val="18"/>
          <w:lang w:val="en-GB"/>
        </w:rPr>
        <w:t>Each Share gives the right to one vote. All of the Shares have the same voting rights except that voting rights are suspended when such Shares are held by the Company as treasury shares. All Shares are freely transferable, subject to what is set forth in section “</w:t>
      </w:r>
      <w:r>
        <w:rPr>
          <w:bCs/>
          <w:i/>
          <w:sz w:val="18"/>
          <w:szCs w:val="18"/>
          <w:lang w:val="en-GB"/>
        </w:rPr>
        <w:t>Plan of Distribution</w:t>
      </w:r>
      <w:r>
        <w:rPr>
          <w:bCs/>
          <w:sz w:val="18"/>
          <w:szCs w:val="18"/>
          <w:lang w:val="en-GB"/>
        </w:rPr>
        <w:t xml:space="preserve">”. </w:t>
      </w:r>
    </w:p>
    <w:p w14:paraId="2DDCD026" w14:textId="77777777" w:rsidR="00F76607" w:rsidRDefault="001863F0" w:rsidP="00411069">
      <w:pPr>
        <w:spacing w:before="100" w:beforeAutospacing="1" w:after="100" w:afterAutospacing="1"/>
        <w:ind w:firstLine="857"/>
        <w:rPr>
          <w:bCs/>
          <w:sz w:val="18"/>
          <w:szCs w:val="18"/>
          <w:lang w:val="en-GB"/>
        </w:rPr>
      </w:pPr>
      <w:r>
        <w:rPr>
          <w:bCs/>
          <w:sz w:val="18"/>
          <w:szCs w:val="18"/>
          <w:lang w:val="en-GB"/>
        </w:rPr>
        <w:t>In accordance with articles 480 to 482 of the Belgian Company Code and article 12 of the Articles of Association, the Company can create shares without voting rights, subject to fulfilling the requirements related to an amendment of the Articles of Association.</w:t>
      </w:r>
    </w:p>
    <w:p w14:paraId="0B2A0445" w14:textId="77777777" w:rsidR="00F76607" w:rsidRDefault="001863F0">
      <w:pPr>
        <w:spacing w:before="240" w:beforeAutospacing="1" w:after="100" w:afterAutospacing="1"/>
        <w:ind w:firstLine="857"/>
        <w:rPr>
          <w:bCs/>
          <w:sz w:val="18"/>
          <w:szCs w:val="18"/>
          <w:lang w:val="en-GB"/>
        </w:rPr>
      </w:pPr>
      <w:r>
        <w:rPr>
          <w:bCs/>
          <w:sz w:val="18"/>
          <w:szCs w:val="18"/>
          <w:lang w:val="en-GB"/>
        </w:rPr>
        <w:t>In accordance with article 13 of the Articles of Association, the Company can issue convertible bonds or warrants, subject to a resolution by the shareholders’ meeting resolving in accordance with the requirements related to an amendment of the Articles of Association or by the Board of Directors in the framework of the authorised capital.</w:t>
      </w:r>
    </w:p>
    <w:p w14:paraId="65F282F6" w14:textId="77777777" w:rsidR="00F76607" w:rsidRDefault="001863F0">
      <w:pPr>
        <w:keepNext/>
        <w:widowControl w:val="0"/>
        <w:spacing w:before="240"/>
        <w:rPr>
          <w:b/>
          <w:bCs/>
          <w:i/>
          <w:sz w:val="18"/>
          <w:szCs w:val="18"/>
        </w:rPr>
      </w:pPr>
      <w:proofErr w:type="spellStart"/>
      <w:r>
        <w:rPr>
          <w:b/>
          <w:bCs/>
          <w:i/>
          <w:sz w:val="18"/>
          <w:szCs w:val="18"/>
        </w:rPr>
        <w:t>Authorised</w:t>
      </w:r>
      <w:proofErr w:type="spellEnd"/>
      <w:r>
        <w:rPr>
          <w:b/>
          <w:bCs/>
          <w:i/>
          <w:sz w:val="18"/>
          <w:szCs w:val="18"/>
        </w:rPr>
        <w:t xml:space="preserve"> Capital</w:t>
      </w:r>
    </w:p>
    <w:p w14:paraId="2397048A" w14:textId="77777777" w:rsidR="00F76607" w:rsidRDefault="001863F0">
      <w:pPr>
        <w:spacing w:before="240" w:beforeAutospacing="1" w:after="100" w:afterAutospacing="1"/>
        <w:ind w:firstLine="857"/>
        <w:rPr>
          <w:bCs/>
          <w:sz w:val="18"/>
          <w:szCs w:val="18"/>
          <w:lang w:val="en-GB"/>
        </w:rPr>
      </w:pPr>
      <w:r>
        <w:rPr>
          <w:bCs/>
          <w:sz w:val="18"/>
          <w:szCs w:val="18"/>
          <w:lang w:val="en-GB"/>
        </w:rPr>
        <w:t>According to article 44 of the Articles of Association, the Board of Directors may increase the share capital, on one or more occasions, by an amount of € 100 million. This authorisation is valid until 27 December 2021.</w:t>
      </w:r>
    </w:p>
    <w:p w14:paraId="7395EE8F" w14:textId="77777777" w:rsidR="00F76607" w:rsidRDefault="001863F0">
      <w:pPr>
        <w:spacing w:before="240" w:beforeAutospacing="1" w:after="100" w:afterAutospacing="1"/>
        <w:ind w:firstLine="857"/>
        <w:rPr>
          <w:bCs/>
          <w:sz w:val="18"/>
          <w:szCs w:val="18"/>
          <w:lang w:val="en-GB"/>
        </w:rPr>
      </w:pPr>
      <w:r>
        <w:rPr>
          <w:bCs/>
          <w:sz w:val="18"/>
          <w:szCs w:val="18"/>
          <w:lang w:val="en-GB"/>
        </w:rPr>
        <w:t>This authorisation to the Board of Directors applies to capital increases in cash or in kind, by incorporation of reserves, with or without issuance of new shares. Within the framework of the authorised capital, the Board of Directors can issue convertible bonds or warrants.</w:t>
      </w:r>
    </w:p>
    <w:p w14:paraId="59EDC847" w14:textId="77777777" w:rsidR="00F76607" w:rsidRDefault="001863F0">
      <w:pPr>
        <w:spacing w:before="240" w:beforeAutospacing="1" w:after="100" w:afterAutospacing="1"/>
        <w:ind w:firstLine="857"/>
        <w:rPr>
          <w:bCs/>
          <w:sz w:val="18"/>
          <w:szCs w:val="18"/>
          <w:lang w:val="en-GB"/>
        </w:rPr>
      </w:pPr>
      <w:r>
        <w:rPr>
          <w:bCs/>
          <w:sz w:val="18"/>
          <w:szCs w:val="18"/>
          <w:lang w:val="en-GB"/>
        </w:rPr>
        <w:t>The Articles of Association authorise the Board of Directors to, in the framework of the authorised capital, restrict or suppress the preferential subscription rights of the existing shareholders.</w:t>
      </w:r>
    </w:p>
    <w:p w14:paraId="12292E07" w14:textId="77777777" w:rsidR="00F76607" w:rsidRDefault="001863F0">
      <w:pPr>
        <w:spacing w:before="240" w:beforeAutospacing="1" w:after="100" w:afterAutospacing="1"/>
        <w:ind w:firstLine="857"/>
        <w:rPr>
          <w:bCs/>
          <w:sz w:val="18"/>
          <w:szCs w:val="18"/>
          <w:lang w:val="en-GB"/>
        </w:rPr>
      </w:pPr>
      <w:r>
        <w:rPr>
          <w:bCs/>
          <w:sz w:val="18"/>
          <w:szCs w:val="18"/>
          <w:lang w:val="en-GB"/>
        </w:rPr>
        <w:t>The Articles of Association also authorise the Board of Directors to use the technique of the authorised capital as a defence mechanism in case of a public takeover bid on the securities of the Company, even after the Company has received a notification from the Financial Services and Markets Authority (FSMA) that the FSMA was notified of a public takeover bid on the securities of the Company provided that (</w:t>
      </w:r>
      <w:proofErr w:type="spellStart"/>
      <w:r>
        <w:rPr>
          <w:bCs/>
          <w:sz w:val="18"/>
          <w:szCs w:val="18"/>
          <w:lang w:val="en-GB"/>
        </w:rPr>
        <w:t>i</w:t>
      </w:r>
      <w:proofErr w:type="spellEnd"/>
      <w:r>
        <w:rPr>
          <w:bCs/>
          <w:sz w:val="18"/>
          <w:szCs w:val="18"/>
          <w:lang w:val="en-GB"/>
        </w:rPr>
        <w:t>) the shares issued in the context of the capital increase are fully paid-up as from issuance, (ii) the issue price of the shares issued in the context of the capital increase is not lower than the price offered in the takeover bid, and (iii) the number of shares issued in the context of the capital increase is 10% or less of the number of shares representing the Company’s share capital which have been issued by the Company prior to the capital increase. This authorisation is valid until 27 December 2019.</w:t>
      </w:r>
    </w:p>
    <w:p w14:paraId="50D77B0A" w14:textId="77777777" w:rsidR="00F76607" w:rsidRDefault="001863F0">
      <w:pPr>
        <w:widowControl w:val="0"/>
        <w:spacing w:before="240"/>
        <w:rPr>
          <w:b/>
          <w:bCs/>
          <w:i/>
          <w:sz w:val="18"/>
          <w:szCs w:val="18"/>
        </w:rPr>
      </w:pPr>
      <w:r>
        <w:rPr>
          <w:b/>
          <w:bCs/>
          <w:i/>
          <w:sz w:val="18"/>
          <w:szCs w:val="18"/>
        </w:rPr>
        <w:t>Acquisition of Own Shares</w:t>
      </w:r>
    </w:p>
    <w:p w14:paraId="759806D2" w14:textId="77777777" w:rsidR="00F76607" w:rsidRDefault="001863F0">
      <w:pPr>
        <w:spacing w:before="240" w:beforeAutospacing="1" w:after="100" w:afterAutospacing="1"/>
        <w:ind w:firstLine="857"/>
        <w:rPr>
          <w:bCs/>
          <w:sz w:val="18"/>
          <w:szCs w:val="18"/>
          <w:lang w:val="en-GB"/>
        </w:rPr>
      </w:pPr>
      <w:r>
        <w:rPr>
          <w:bCs/>
          <w:sz w:val="18"/>
          <w:szCs w:val="18"/>
          <w:lang w:val="en-GB"/>
        </w:rPr>
        <w:t>The Company does not hold any treasury shares.</w:t>
      </w:r>
    </w:p>
    <w:p w14:paraId="644A9E79" w14:textId="77777777" w:rsidR="00F76607" w:rsidRDefault="001863F0">
      <w:pPr>
        <w:spacing w:before="240" w:beforeAutospacing="1" w:after="100" w:afterAutospacing="1"/>
        <w:ind w:firstLine="857"/>
        <w:rPr>
          <w:bCs/>
          <w:sz w:val="18"/>
          <w:szCs w:val="18"/>
        </w:rPr>
      </w:pPr>
      <w:r>
        <w:rPr>
          <w:bCs/>
          <w:sz w:val="18"/>
          <w:szCs w:val="18"/>
        </w:rPr>
        <w:t>According to article 45 of the Articles of Association, the Company respectively the Company’s direct Subsidiaries may acquire Shares , by purchasing or exchanging them, directly or through a person acting in its own name but on behalf of the Company, in accordance with articles 620 through 625 respectively article 627 of the Belgian Company Code.</w:t>
      </w:r>
    </w:p>
    <w:p w14:paraId="1DAE6F49" w14:textId="77777777" w:rsidR="00F76607" w:rsidRDefault="001863F0">
      <w:pPr>
        <w:spacing w:before="240" w:beforeAutospacing="1" w:after="100" w:afterAutospacing="1"/>
        <w:ind w:firstLine="857"/>
        <w:rPr>
          <w:bCs/>
          <w:sz w:val="18"/>
          <w:szCs w:val="18"/>
        </w:rPr>
      </w:pPr>
      <w:r>
        <w:rPr>
          <w:bCs/>
          <w:sz w:val="18"/>
          <w:szCs w:val="18"/>
        </w:rPr>
        <w:t xml:space="preserve">The Board of Directors is </w:t>
      </w:r>
      <w:proofErr w:type="spellStart"/>
      <w:r>
        <w:rPr>
          <w:bCs/>
          <w:sz w:val="18"/>
          <w:szCs w:val="18"/>
        </w:rPr>
        <w:t>authorised</w:t>
      </w:r>
      <w:proofErr w:type="spellEnd"/>
      <w:r>
        <w:rPr>
          <w:bCs/>
          <w:sz w:val="18"/>
          <w:szCs w:val="18"/>
        </w:rPr>
        <w:t xml:space="preserve"> to acquire and dispose of the Shares, in accordance with article 620 of the Belgian Company Code, in case such acquisition is required in order to avoid serious and imminent harm to the Company. This </w:t>
      </w:r>
      <w:proofErr w:type="spellStart"/>
      <w:r>
        <w:rPr>
          <w:bCs/>
          <w:sz w:val="18"/>
          <w:szCs w:val="18"/>
        </w:rPr>
        <w:t>authorisation</w:t>
      </w:r>
      <w:proofErr w:type="spellEnd"/>
      <w:r>
        <w:rPr>
          <w:bCs/>
          <w:sz w:val="18"/>
          <w:szCs w:val="18"/>
        </w:rPr>
        <w:t xml:space="preserve"> is valid until 27 December 2019.</w:t>
      </w:r>
    </w:p>
    <w:p w14:paraId="47F00981" w14:textId="77777777" w:rsidR="00F76607" w:rsidRDefault="001863F0">
      <w:pPr>
        <w:spacing w:before="240" w:beforeAutospacing="1" w:after="100" w:afterAutospacing="1"/>
        <w:ind w:firstLine="857"/>
        <w:rPr>
          <w:bCs/>
          <w:sz w:val="18"/>
          <w:szCs w:val="18"/>
        </w:rPr>
      </w:pPr>
      <w:r>
        <w:rPr>
          <w:bCs/>
          <w:sz w:val="18"/>
          <w:szCs w:val="18"/>
        </w:rPr>
        <w:t xml:space="preserve">The Board of Directors (for and on behalf of the Company) respectively the Company’s direct Subsidiaries is </w:t>
      </w:r>
      <w:proofErr w:type="spellStart"/>
      <w:r>
        <w:rPr>
          <w:bCs/>
          <w:sz w:val="18"/>
          <w:szCs w:val="18"/>
        </w:rPr>
        <w:t>authorised</w:t>
      </w:r>
      <w:proofErr w:type="spellEnd"/>
      <w:r>
        <w:rPr>
          <w:bCs/>
          <w:sz w:val="18"/>
          <w:szCs w:val="18"/>
        </w:rPr>
        <w:t xml:space="preserve">, in accordance with article 620 of the Belgian Company Code, to acquire (subject to the availability of sufficient distributable reserves of the Company to finance such acquisition) Shares representing a maximum 20% of the share capital of the Company against a price </w:t>
      </w:r>
      <w:r>
        <w:rPr>
          <w:bCs/>
          <w:sz w:val="18"/>
          <w:szCs w:val="18"/>
        </w:rPr>
        <w:lastRenderedPageBreak/>
        <w:t xml:space="preserve">which must be more than 90% and less than 115% of the Shares’ listing price on the day preceding the acquisition or exchange. This </w:t>
      </w:r>
      <w:proofErr w:type="spellStart"/>
      <w:r>
        <w:rPr>
          <w:bCs/>
          <w:sz w:val="18"/>
          <w:szCs w:val="18"/>
        </w:rPr>
        <w:t>authorisation</w:t>
      </w:r>
      <w:proofErr w:type="spellEnd"/>
      <w:r>
        <w:rPr>
          <w:bCs/>
          <w:sz w:val="18"/>
          <w:szCs w:val="18"/>
        </w:rPr>
        <w:t xml:space="preserve"> is valid until 27 December 2021.</w:t>
      </w:r>
    </w:p>
    <w:p w14:paraId="5EA9665D" w14:textId="77777777" w:rsidR="00F76607" w:rsidRDefault="001863F0">
      <w:pPr>
        <w:spacing w:before="240" w:beforeAutospacing="1" w:after="100" w:afterAutospacing="1"/>
        <w:ind w:firstLine="857"/>
        <w:rPr>
          <w:bCs/>
          <w:sz w:val="18"/>
          <w:szCs w:val="18"/>
        </w:rPr>
      </w:pPr>
      <w:r>
        <w:rPr>
          <w:bCs/>
          <w:sz w:val="18"/>
          <w:szCs w:val="18"/>
        </w:rPr>
        <w:t>The Board of Directors is authorized to dispose of all Shares held by the Company at a price determined by the Board of Directors, on a regulated market or in the context of the remuneration policy to employees, directors or consultants of the Company. This authorization is valid for an indefinite period of time. This authorization also applies to the disposal of the Shares by any of the direct Subsidiaries of the Company as provided in article 627 of the Belgian Company Code.</w:t>
      </w:r>
    </w:p>
    <w:p w14:paraId="23C8E916" w14:textId="77777777" w:rsidR="00F76607" w:rsidRDefault="001863F0">
      <w:pPr>
        <w:widowControl w:val="0"/>
        <w:spacing w:before="240"/>
        <w:rPr>
          <w:b/>
          <w:bCs/>
          <w:i/>
          <w:sz w:val="18"/>
          <w:szCs w:val="18"/>
        </w:rPr>
      </w:pPr>
      <w:r>
        <w:rPr>
          <w:b/>
          <w:bCs/>
          <w:i/>
          <w:sz w:val="18"/>
          <w:szCs w:val="18"/>
        </w:rPr>
        <w:t>Capital Increase in Kind</w:t>
      </w:r>
    </w:p>
    <w:p w14:paraId="6DA2A8A9" w14:textId="77777777" w:rsidR="00F76607" w:rsidRDefault="001863F0">
      <w:pPr>
        <w:spacing w:before="240" w:beforeAutospacing="1" w:after="100" w:afterAutospacing="1"/>
        <w:ind w:firstLine="857"/>
        <w:rPr>
          <w:bCs/>
          <w:sz w:val="18"/>
          <w:szCs w:val="18"/>
        </w:rPr>
      </w:pPr>
      <w:r>
        <w:rPr>
          <w:bCs/>
          <w:sz w:val="18"/>
          <w:szCs w:val="18"/>
        </w:rPr>
        <w:t>In accordance with article 7 of the Articles of Association, all shares corresponding to a contribution in kind (in whole or in part) must immediately be fully paid up. This is more stringent that the requirements imposed by law. In accordance with article 586 of the Belgian Company Code, shares corresponding to a contribution in kind (in whole or in part) must immediately be paid up for one quarter, and fully paid up within five years following the capital increase.</w:t>
      </w:r>
    </w:p>
    <w:p w14:paraId="142D5A07" w14:textId="77777777" w:rsidR="00F76607" w:rsidRDefault="001863F0">
      <w:pPr>
        <w:widowControl w:val="0"/>
        <w:spacing w:before="240"/>
        <w:rPr>
          <w:b/>
          <w:bCs/>
          <w:sz w:val="18"/>
          <w:szCs w:val="18"/>
        </w:rPr>
      </w:pPr>
      <w:r>
        <w:rPr>
          <w:b/>
          <w:bCs/>
          <w:sz w:val="18"/>
          <w:szCs w:val="18"/>
        </w:rPr>
        <w:t>Right to Attend and Vote at Shareholders’ Meetings</w:t>
      </w:r>
    </w:p>
    <w:p w14:paraId="2AE3711F" w14:textId="77777777" w:rsidR="00F76607" w:rsidRDefault="001863F0">
      <w:pPr>
        <w:widowControl w:val="0"/>
        <w:spacing w:before="240"/>
        <w:rPr>
          <w:b/>
          <w:bCs/>
          <w:i/>
          <w:sz w:val="18"/>
          <w:szCs w:val="18"/>
        </w:rPr>
      </w:pPr>
      <w:r>
        <w:rPr>
          <w:b/>
          <w:bCs/>
          <w:i/>
          <w:sz w:val="18"/>
          <w:szCs w:val="18"/>
        </w:rPr>
        <w:t>General</w:t>
      </w:r>
    </w:p>
    <w:p w14:paraId="72777D0A" w14:textId="77777777" w:rsidR="00F76607" w:rsidRDefault="001863F0">
      <w:pPr>
        <w:spacing w:before="240" w:beforeAutospacing="1" w:after="100" w:afterAutospacing="1"/>
        <w:ind w:firstLine="857"/>
        <w:rPr>
          <w:sz w:val="18"/>
          <w:szCs w:val="18"/>
        </w:rPr>
      </w:pPr>
      <w:r>
        <w:rPr>
          <w:sz w:val="18"/>
          <w:szCs w:val="18"/>
        </w:rPr>
        <w:t>The Company encourages its shareholders to participate at shareholders’ meetings. In order to facilitate this, voting in absentia may take the form of proxy voting. Every shareholder can give proxy to another person. Unless provided differently in the Belgian Company Code, a shareholder may, for a given shareholders’ meeting, appoint only one person as its proxy holder. A proxy holder may represent more than one shareholder. The shareholders need to nominate a proxy holder in writing or electronically, by completing a proxy form as drafted by the Board of Directors and provided on the Company’s website. A completed and signed proxy form has to be communicated to the Company at least six calendar days prior to the meeting, the day of the meeting not included. Only the proxy forms completed by shareholders who have complied with all registration formalities will be taken into account.</w:t>
      </w:r>
    </w:p>
    <w:p w14:paraId="6D04CD1C" w14:textId="77777777" w:rsidR="00F76607" w:rsidRDefault="001863F0">
      <w:pPr>
        <w:spacing w:before="240" w:beforeAutospacing="1" w:after="100" w:afterAutospacing="1"/>
        <w:ind w:firstLine="857"/>
        <w:rPr>
          <w:sz w:val="18"/>
          <w:szCs w:val="18"/>
        </w:rPr>
      </w:pPr>
      <w:r>
        <w:rPr>
          <w:sz w:val="18"/>
          <w:szCs w:val="18"/>
        </w:rPr>
        <w:t xml:space="preserve">Board members attending the shareholders’ meetings shall be available to answer questions, asked at the meeting or in writing prior to the meeting, in accordance with legal requirements. </w:t>
      </w:r>
    </w:p>
    <w:p w14:paraId="6C3D9B56" w14:textId="77777777" w:rsidR="00F76607" w:rsidRDefault="001863F0">
      <w:pPr>
        <w:spacing w:before="240" w:beforeAutospacing="1" w:after="100" w:afterAutospacing="1"/>
        <w:ind w:firstLine="857"/>
        <w:rPr>
          <w:sz w:val="18"/>
          <w:szCs w:val="18"/>
        </w:rPr>
      </w:pPr>
      <w:r>
        <w:rPr>
          <w:sz w:val="18"/>
          <w:szCs w:val="18"/>
        </w:rPr>
        <w:t xml:space="preserve">Agendas, including proposals of decisions, and all other relevant information are available on the Company's website in advance of shareholders' meetings. </w:t>
      </w:r>
    </w:p>
    <w:p w14:paraId="127D2F4D" w14:textId="77777777" w:rsidR="00F76607" w:rsidRDefault="001863F0">
      <w:pPr>
        <w:spacing w:before="240" w:beforeAutospacing="1" w:after="100" w:afterAutospacing="1"/>
        <w:ind w:firstLine="857"/>
        <w:rPr>
          <w:sz w:val="18"/>
          <w:szCs w:val="18"/>
        </w:rPr>
      </w:pPr>
      <w:r>
        <w:rPr>
          <w:sz w:val="18"/>
          <w:szCs w:val="18"/>
        </w:rPr>
        <w:t>The annual shareholders' meeting of the Company is held each year on the second Friday of May at 5 p.m., or the next business day if this day is not a business day. For all further information regarding shareholders’ meetings (including the organization thereof, the quorum and the majority requirement) reference is made to the Articles of Association and the specific section of the Company’s website describing the shareholders’ rights to participate and vote at the shareholders’ meeting. The website also contains a timetable on shareholders’ meetings and periodic information. Notices of all shareholders' meetings and all related documents, such as specific board of directors’ and auditor's reports, are published on the website.</w:t>
      </w:r>
    </w:p>
    <w:p w14:paraId="678C5697" w14:textId="77777777" w:rsidR="00F76607" w:rsidRDefault="001863F0">
      <w:pPr>
        <w:spacing w:before="240" w:beforeAutospacing="1" w:after="100" w:afterAutospacing="1"/>
        <w:ind w:firstLine="857"/>
        <w:rPr>
          <w:sz w:val="18"/>
          <w:szCs w:val="18"/>
        </w:rPr>
      </w:pPr>
      <w:r>
        <w:rPr>
          <w:sz w:val="18"/>
          <w:szCs w:val="18"/>
        </w:rPr>
        <w:t xml:space="preserve">The annual, special and extraordinary shareholders’ meetings may be convened by the Board of Directors or by the Auditor and must be convened at the request of shareholders representing one-fifth of the Company’s share capital. </w:t>
      </w:r>
    </w:p>
    <w:p w14:paraId="0DE2D2D9" w14:textId="77777777" w:rsidR="00F76607" w:rsidRDefault="001863F0">
      <w:pPr>
        <w:widowControl w:val="0"/>
        <w:spacing w:before="240"/>
        <w:rPr>
          <w:b/>
          <w:bCs/>
          <w:i/>
          <w:sz w:val="18"/>
          <w:szCs w:val="18"/>
        </w:rPr>
      </w:pPr>
      <w:r>
        <w:rPr>
          <w:b/>
          <w:bCs/>
          <w:i/>
          <w:sz w:val="18"/>
          <w:szCs w:val="18"/>
        </w:rPr>
        <w:t>Agenda and Convening Notice for the Shareholders’ Meetings</w:t>
      </w:r>
    </w:p>
    <w:p w14:paraId="51BF8933" w14:textId="77777777" w:rsidR="00F76607" w:rsidRDefault="001863F0">
      <w:pPr>
        <w:spacing w:before="240" w:beforeAutospacing="1" w:after="100" w:afterAutospacing="1"/>
        <w:ind w:firstLine="857"/>
        <w:rPr>
          <w:sz w:val="18"/>
          <w:szCs w:val="18"/>
        </w:rPr>
      </w:pPr>
      <w:r>
        <w:rPr>
          <w:sz w:val="18"/>
          <w:szCs w:val="18"/>
        </w:rPr>
        <w:t>The convening notice of a shareholders’ meeting contains the agenda of the meeting and mentions the place, date and time of the meeting and the proposed resolutions, to be submitted to the shareholders. The agenda of the shareholders’ meetings is set by the Board of Directors subject to the specific powers granted by law to the Statutory Auditor.</w:t>
      </w:r>
    </w:p>
    <w:p w14:paraId="3BFF5679" w14:textId="77777777" w:rsidR="00F76607" w:rsidRDefault="001863F0">
      <w:pPr>
        <w:spacing w:before="240" w:beforeAutospacing="1" w:after="100" w:afterAutospacing="1"/>
        <w:ind w:firstLine="857"/>
        <w:rPr>
          <w:sz w:val="18"/>
          <w:szCs w:val="18"/>
        </w:rPr>
      </w:pPr>
      <w:r>
        <w:rPr>
          <w:sz w:val="18"/>
          <w:szCs w:val="18"/>
        </w:rPr>
        <w:t>Shareholders that individually or collectively represent at least 3% of the total issued share capital may, in accordance with the Belgian Company Code submit items to be included in the agenda for the shareholders’ meeting as well as proposals for decisions relating to the agenda items of the shareholders’ meeting. This right does not apply to a general meeting which has been postponed due to lack of attendance quorum. The request shall be communicated to the Company in writing at the latest on the 22nd calendar day prior to the date of the shareholders’ meeting, the day of the meeting not included. All information concerning the rights of the shareholders in relation to the shareholders’ meeting shall also be included in the convening notice.</w:t>
      </w:r>
    </w:p>
    <w:p w14:paraId="4DA53DD7" w14:textId="77777777" w:rsidR="00F76607" w:rsidRDefault="001863F0">
      <w:pPr>
        <w:spacing w:before="240" w:beforeAutospacing="1" w:after="100" w:afterAutospacing="1"/>
        <w:ind w:firstLine="857"/>
        <w:rPr>
          <w:sz w:val="18"/>
          <w:szCs w:val="18"/>
        </w:rPr>
      </w:pPr>
      <w:r>
        <w:rPr>
          <w:sz w:val="18"/>
          <w:szCs w:val="18"/>
        </w:rPr>
        <w:t>The convening notice will be published at least 30 calendar days before the meeting in at least one newspaper with a nation-wide distribution and the annexes to the Belgian Official Gazette, as well as in media which may reasonably be relied upon for the effective dissemination of information to the public throughout the European Economic Area. At the same time, the holders of registered shares or other financial instruments (if any), the Board and the Statutory Auditor will be notified by means of a letter, containing the convening notice, agenda and all related documents. If a shareholder exercises its right to add items to the agenda or to formulate proposals for decisions, the Company will publish the revised agenda at the latest 15 calendar days prior to the date of the meeting, and provide revised proxy forms.</w:t>
      </w:r>
    </w:p>
    <w:p w14:paraId="574251CC" w14:textId="77777777" w:rsidR="00F76607" w:rsidRDefault="001863F0">
      <w:pPr>
        <w:spacing w:before="240" w:beforeAutospacing="1" w:after="100" w:afterAutospacing="1"/>
        <w:ind w:firstLine="857"/>
        <w:rPr>
          <w:sz w:val="18"/>
          <w:szCs w:val="18"/>
        </w:rPr>
      </w:pPr>
      <w:r>
        <w:rPr>
          <w:sz w:val="18"/>
          <w:szCs w:val="18"/>
        </w:rPr>
        <w:lastRenderedPageBreak/>
        <w:t>The agenda of the shareholders’ meeting, a copy of the convening notice together with an explanation of the agenda items and a description of the shareholders’ rights in relation to a shareholders’ meeting, proxies and a copy of any reports or statements relating to said meeting are made available at least 30 calendar days in advance on the Company’s website.</w:t>
      </w:r>
    </w:p>
    <w:p w14:paraId="2648E025" w14:textId="77777777" w:rsidR="00F76607" w:rsidRDefault="001863F0">
      <w:pPr>
        <w:spacing w:before="240" w:beforeAutospacing="1" w:after="100" w:afterAutospacing="1"/>
        <w:ind w:firstLine="857"/>
        <w:rPr>
          <w:sz w:val="18"/>
          <w:szCs w:val="18"/>
        </w:rPr>
      </w:pPr>
      <w:r>
        <w:rPr>
          <w:sz w:val="18"/>
          <w:szCs w:val="18"/>
        </w:rPr>
        <w:t>The convening notice will also mention the procedure to be followed by every category of shareholders to participate in the shareholders’ meetings, as well as the information and the procedure to be followed in relation to the shareholders’ right to put forward additional agenda items or to formulate proposals for decisions. This information will also be available on the Company’s website.</w:t>
      </w:r>
    </w:p>
    <w:p w14:paraId="54CBA788" w14:textId="77777777" w:rsidR="00F76607" w:rsidRDefault="001863F0">
      <w:pPr>
        <w:widowControl w:val="0"/>
        <w:spacing w:before="240"/>
        <w:rPr>
          <w:b/>
          <w:bCs/>
          <w:i/>
          <w:sz w:val="18"/>
          <w:szCs w:val="18"/>
        </w:rPr>
      </w:pPr>
      <w:r>
        <w:rPr>
          <w:b/>
          <w:bCs/>
          <w:i/>
          <w:sz w:val="18"/>
          <w:szCs w:val="18"/>
        </w:rPr>
        <w:t>Formalities to Participate in the Shareholders’ Meetings</w:t>
      </w:r>
    </w:p>
    <w:p w14:paraId="23E7002C" w14:textId="77777777" w:rsidR="00F76607" w:rsidRDefault="001863F0">
      <w:pPr>
        <w:spacing w:before="240" w:beforeAutospacing="1" w:after="100" w:afterAutospacing="1"/>
        <w:ind w:firstLine="857"/>
        <w:rPr>
          <w:sz w:val="18"/>
          <w:szCs w:val="18"/>
        </w:rPr>
      </w:pPr>
      <w:r>
        <w:rPr>
          <w:sz w:val="18"/>
          <w:szCs w:val="18"/>
        </w:rPr>
        <w:t>Admission to the general shareholders’ meeting and the exercise of the voting rights will be granted based on the registration of the Shares in the name of the shareholder on the 14th calendar day prior to the meeting at 12 p.m. (this day and hour together the “registration date”) either by registration of the Shares in the share register of the Company or by registration on an account of a recognized account holder or a settlement institution. Only persons having the capacity of shareholder on the registration date will be entitled to attend and to vote at the general meeting.</w:t>
      </w:r>
    </w:p>
    <w:p w14:paraId="6FFE63CF" w14:textId="77777777" w:rsidR="00F76607" w:rsidRDefault="001863F0">
      <w:pPr>
        <w:spacing w:before="240" w:beforeAutospacing="1" w:after="100" w:afterAutospacing="1"/>
        <w:ind w:firstLine="857"/>
        <w:rPr>
          <w:sz w:val="18"/>
          <w:szCs w:val="18"/>
        </w:rPr>
      </w:pPr>
      <w:r>
        <w:rPr>
          <w:sz w:val="18"/>
          <w:szCs w:val="18"/>
        </w:rPr>
        <w:t>In addition to the above, the shareholder himself (i.e. the holder of registered or dematerialized shares) has to inform the Company or the person indicated for this purpose by the Company in writing at the latest on the sixth calendar day prior to the date of the shareholders’ meeting, of his intention to participate in this meeting.</w:t>
      </w:r>
    </w:p>
    <w:p w14:paraId="0D47F583" w14:textId="77777777" w:rsidR="00F76607" w:rsidRDefault="001863F0">
      <w:pPr>
        <w:spacing w:before="240" w:beforeAutospacing="1" w:after="100" w:afterAutospacing="1"/>
        <w:ind w:firstLine="857"/>
        <w:rPr>
          <w:sz w:val="18"/>
          <w:szCs w:val="18"/>
        </w:rPr>
      </w:pPr>
      <w:r>
        <w:rPr>
          <w:sz w:val="18"/>
          <w:szCs w:val="18"/>
        </w:rPr>
        <w:t>Without prejudice to the shareholders’ right to raise questions during the shareholders’ meeting, all shareholders having complied with the requirements for admission to the shareholders’ meeting have the right to, in accordance with article 540 of the Belgian Company Code, submit questions to the Board and the Statutory Auditor in writing at the latest six calendar days prior to the meeting.</w:t>
      </w:r>
    </w:p>
    <w:p w14:paraId="1CA25911" w14:textId="77777777" w:rsidR="00F76607" w:rsidRDefault="001863F0">
      <w:pPr>
        <w:spacing w:before="240" w:beforeAutospacing="1" w:after="100" w:afterAutospacing="1"/>
        <w:rPr>
          <w:sz w:val="18"/>
          <w:szCs w:val="18"/>
        </w:rPr>
      </w:pPr>
      <w:r>
        <w:rPr>
          <w:b/>
          <w:bCs/>
          <w:i/>
          <w:iCs/>
          <w:sz w:val="18"/>
          <w:szCs w:val="18"/>
        </w:rPr>
        <w:t xml:space="preserve">Quorum and Majorities </w:t>
      </w:r>
    </w:p>
    <w:p w14:paraId="1B3F96AD" w14:textId="77777777" w:rsidR="00F76607" w:rsidRDefault="001863F0">
      <w:pPr>
        <w:spacing w:before="240" w:beforeAutospacing="1" w:after="100" w:afterAutospacing="1"/>
        <w:ind w:firstLine="857"/>
        <w:rPr>
          <w:sz w:val="18"/>
          <w:szCs w:val="18"/>
        </w:rPr>
      </w:pPr>
      <w:r>
        <w:rPr>
          <w:sz w:val="18"/>
          <w:szCs w:val="18"/>
        </w:rPr>
        <w:t xml:space="preserve">In general, there is no attendance quorum requirement for a general shareholders’ meeting, except as provided for by law in relation to certain decisions. Decisions are taken by a majority of the votes cast, except where the law or the Articles of Association provide for a special majority. </w:t>
      </w:r>
    </w:p>
    <w:p w14:paraId="718438D8" w14:textId="77777777" w:rsidR="00F76607" w:rsidRDefault="001863F0">
      <w:pPr>
        <w:spacing w:before="240" w:beforeAutospacing="1" w:after="100" w:afterAutospacing="1"/>
        <w:ind w:firstLine="857"/>
        <w:rPr>
          <w:sz w:val="18"/>
          <w:szCs w:val="18"/>
        </w:rPr>
      </w:pPr>
      <w:r>
        <w:rPr>
          <w:sz w:val="18"/>
          <w:szCs w:val="18"/>
        </w:rPr>
        <w:t xml:space="preserve">Matters involving special legal quorum and majority requirements include, among others, amendments to the Articles of Association, issues of new Shares, convertible bonds or warrants and decisions regarding mergers and demergers, which require at least 50% of the share capital to be present or represented and a majority of at least 75% of the votes cast. If the quorum is not reached, a second meeting may be convened at which no quorum shall apply. The special majority requirements, however, remain applicable. </w:t>
      </w:r>
    </w:p>
    <w:p w14:paraId="7885BA0A" w14:textId="77777777" w:rsidR="00F76607" w:rsidRDefault="001863F0">
      <w:pPr>
        <w:keepNext/>
        <w:widowControl w:val="0"/>
        <w:spacing w:before="240"/>
        <w:rPr>
          <w:b/>
          <w:bCs/>
          <w:sz w:val="18"/>
          <w:szCs w:val="18"/>
        </w:rPr>
      </w:pPr>
      <w:r>
        <w:rPr>
          <w:b/>
          <w:bCs/>
          <w:sz w:val="18"/>
          <w:szCs w:val="18"/>
        </w:rPr>
        <w:t>Preferential Subscription Rights</w:t>
      </w:r>
    </w:p>
    <w:p w14:paraId="3D3F1056" w14:textId="77777777" w:rsidR="00F76607" w:rsidRDefault="001863F0">
      <w:pPr>
        <w:spacing w:before="240" w:beforeAutospacing="1" w:after="100" w:afterAutospacing="1"/>
        <w:ind w:firstLine="857"/>
        <w:rPr>
          <w:bCs/>
          <w:sz w:val="18"/>
          <w:szCs w:val="18"/>
        </w:rPr>
      </w:pPr>
      <w:r>
        <w:rPr>
          <w:bCs/>
          <w:sz w:val="18"/>
          <w:szCs w:val="18"/>
        </w:rPr>
        <w:t>The Belgian Company Code and the Articles of Association give shareholders preferential subscription rights to subscribe on a pro rata basis by reference to the part in the capital represented by their Shares, for any capital increase to be subscribed in cash, convertible bonds and warrants. The preferential subscription right may be exercised during a period of at least 15 days from the date on which the subscription is opened. This period is determined by the shareholders’ meeting.</w:t>
      </w:r>
    </w:p>
    <w:p w14:paraId="37629314" w14:textId="77777777" w:rsidR="00F76607" w:rsidRDefault="001863F0">
      <w:pPr>
        <w:spacing w:before="240" w:beforeAutospacing="1" w:after="100" w:afterAutospacing="1"/>
        <w:ind w:firstLine="857"/>
        <w:rPr>
          <w:bCs/>
          <w:sz w:val="18"/>
          <w:szCs w:val="18"/>
        </w:rPr>
      </w:pPr>
      <w:r>
        <w:rPr>
          <w:bCs/>
          <w:sz w:val="18"/>
          <w:szCs w:val="18"/>
        </w:rPr>
        <w:t xml:space="preserve">The shareholders’ meeting or the Board of Directors (acting in the framework of the authorized capital whereby in relation to such meeting of the Board of Directors no quorum or majority requirements apply) may restrict or suppress the preferential subscription rights in the corporate interest, subject to the quorum and majority requirements applying to an amendment to the Articles of Association. In this case, such proposal must be explicitly mentioned in the convocation and the special report described in article 596 (and if applicable, article 598) of the Belgian Company Code must be drawn up. </w:t>
      </w:r>
    </w:p>
    <w:p w14:paraId="5BB125F4" w14:textId="77777777" w:rsidR="00F76607" w:rsidRDefault="001863F0">
      <w:pPr>
        <w:widowControl w:val="0"/>
        <w:spacing w:before="240"/>
        <w:rPr>
          <w:b/>
          <w:bCs/>
          <w:sz w:val="18"/>
          <w:szCs w:val="18"/>
        </w:rPr>
      </w:pPr>
      <w:r>
        <w:rPr>
          <w:b/>
          <w:bCs/>
          <w:sz w:val="18"/>
          <w:szCs w:val="18"/>
        </w:rPr>
        <w:t>Dividend Rights</w:t>
      </w:r>
    </w:p>
    <w:p w14:paraId="3609EA9E" w14:textId="77777777" w:rsidR="00F76607" w:rsidRDefault="001863F0">
      <w:pPr>
        <w:spacing w:before="240" w:beforeAutospacing="1" w:after="100" w:afterAutospacing="1"/>
        <w:ind w:firstLine="857"/>
        <w:rPr>
          <w:bCs/>
          <w:sz w:val="18"/>
          <w:szCs w:val="18"/>
          <w:lang w:val="en-GB"/>
        </w:rPr>
      </w:pPr>
      <w:r>
        <w:rPr>
          <w:bCs/>
          <w:sz w:val="18"/>
          <w:szCs w:val="18"/>
          <w:lang w:val="en-GB"/>
        </w:rPr>
        <w:t>The Shares carry the right to participate in dividends and other entitlements declared after the Closing Date, in respect of the financial year ending on 31 December 2017 and future years. All Shares participate equally in the Company’s profits, if any.</w:t>
      </w:r>
    </w:p>
    <w:p w14:paraId="357A753C" w14:textId="77777777" w:rsidR="00F76607" w:rsidRDefault="001863F0">
      <w:pPr>
        <w:spacing w:before="240" w:beforeAutospacing="1" w:after="100" w:afterAutospacing="1"/>
        <w:ind w:firstLine="857"/>
        <w:rPr>
          <w:sz w:val="18"/>
          <w:szCs w:val="18"/>
        </w:rPr>
      </w:pPr>
      <w:r>
        <w:rPr>
          <w:bCs/>
          <w:sz w:val="18"/>
          <w:szCs w:val="18"/>
          <w:lang w:val="en-GB"/>
        </w:rPr>
        <w:t>The maximum amount of the dividend that can be paid is determined by reference to the Company’s stand-alone statutory accounts prepared in accordance with Belgian GAAP.</w:t>
      </w:r>
    </w:p>
    <w:p w14:paraId="35F03D5D" w14:textId="093907BD" w:rsidR="00F76607" w:rsidRDefault="001863F0">
      <w:pPr>
        <w:spacing w:before="240" w:beforeAutospacing="1" w:after="100" w:afterAutospacing="1"/>
        <w:ind w:firstLine="857"/>
        <w:rPr>
          <w:sz w:val="18"/>
          <w:szCs w:val="18"/>
        </w:rPr>
      </w:pPr>
      <w:r>
        <w:rPr>
          <w:sz w:val="18"/>
          <w:szCs w:val="18"/>
        </w:rPr>
        <w:t>In accordance with the Belgian Company Code and the Articles of Association, every year 5% of the net profits of the Company are allocated to the legal reserve. This allocation is no longer required as soon as the legal reserve amounts to 10% of the share capital. The Company currently has an aggregate legal reserve of 8.57%. Accordingly, 5% of the Company’s Belgian GAAP annual net profit during certain future years will need to be allocated to the legal reserve, limiting the Company’s ability to pay out dividend to its shareholders.</w:t>
      </w:r>
    </w:p>
    <w:p w14:paraId="5C6EE5F6" w14:textId="77777777" w:rsidR="00F76607" w:rsidRDefault="001863F0">
      <w:pPr>
        <w:spacing w:before="240" w:beforeAutospacing="1" w:after="100" w:afterAutospacing="1"/>
        <w:ind w:firstLine="857"/>
        <w:rPr>
          <w:sz w:val="18"/>
          <w:szCs w:val="18"/>
        </w:rPr>
      </w:pPr>
      <w:r>
        <w:rPr>
          <w:sz w:val="18"/>
          <w:szCs w:val="18"/>
        </w:rPr>
        <w:t>In general, the shareholders’ meeting, upon proposal by the Board of Directors, decides on the allocation of the remainder of the net profits.</w:t>
      </w:r>
    </w:p>
    <w:p w14:paraId="2578EBA8" w14:textId="77777777" w:rsidR="00F76607" w:rsidRDefault="001863F0">
      <w:pPr>
        <w:spacing w:before="240" w:beforeAutospacing="1" w:after="100" w:afterAutospacing="1"/>
        <w:ind w:firstLine="857"/>
        <w:rPr>
          <w:sz w:val="18"/>
          <w:szCs w:val="18"/>
        </w:rPr>
      </w:pPr>
      <w:r>
        <w:rPr>
          <w:sz w:val="18"/>
          <w:szCs w:val="18"/>
        </w:rPr>
        <w:lastRenderedPageBreak/>
        <w:t>No distribution is allowed if on the date of the closing of the last financial year, the net assets, as apparent from the annual accounts, have fallen below, or would fall below as a result of the distribution, the amount of the share capital which has been paid up (or, if higher, which is requested to be paid up), increased with all reserves which cannot be distributed in accordance with the law or the Articles of Association.</w:t>
      </w:r>
    </w:p>
    <w:p w14:paraId="2AF544FA" w14:textId="77777777" w:rsidR="00F76607" w:rsidRDefault="001863F0">
      <w:pPr>
        <w:spacing w:before="240" w:beforeAutospacing="1" w:after="100" w:afterAutospacing="1"/>
        <w:ind w:firstLine="857"/>
        <w:rPr>
          <w:sz w:val="18"/>
          <w:szCs w:val="18"/>
        </w:rPr>
      </w:pPr>
      <w:r>
        <w:rPr>
          <w:sz w:val="18"/>
          <w:szCs w:val="18"/>
        </w:rPr>
        <w:t>The Board of Directors can declare interim dividends on the result of the financial year, without shareholder approval being required, subject to the conditions set out in article 618 of the Belgian Company Code.</w:t>
      </w:r>
    </w:p>
    <w:p w14:paraId="1E640676" w14:textId="1875851F" w:rsidR="00F76607" w:rsidRDefault="001863F0">
      <w:pPr>
        <w:spacing w:before="240" w:beforeAutospacing="1" w:after="100" w:afterAutospacing="1"/>
        <w:ind w:firstLine="857"/>
        <w:rPr>
          <w:sz w:val="18"/>
          <w:szCs w:val="18"/>
        </w:rPr>
      </w:pPr>
      <w:r>
        <w:rPr>
          <w:sz w:val="18"/>
          <w:szCs w:val="18"/>
        </w:rPr>
        <w:t xml:space="preserve">The Board of Directors has adopted a formal dividend policy at the end of August 2017. As a result, as from 2018 </w:t>
      </w:r>
      <w:r w:rsidR="00831E6E">
        <w:rPr>
          <w:sz w:val="18"/>
          <w:szCs w:val="18"/>
        </w:rPr>
        <w:t xml:space="preserve">(with respect to the results from the financial year 2017) </w:t>
      </w:r>
      <w:r>
        <w:rPr>
          <w:sz w:val="18"/>
          <w:szCs w:val="18"/>
        </w:rPr>
        <w:t xml:space="preserve">onwards and subject </w:t>
      </w:r>
      <w:r w:rsidR="00323E6A">
        <w:rPr>
          <w:sz w:val="18"/>
          <w:szCs w:val="18"/>
        </w:rPr>
        <w:t xml:space="preserve">to </w:t>
      </w:r>
      <w:r w:rsidR="00323E6A">
        <w:rPr>
          <w:sz w:val="18"/>
          <w:szCs w:val="18"/>
          <w:lang w:val="en-GB"/>
        </w:rPr>
        <w:t>(</w:t>
      </w:r>
      <w:proofErr w:type="spellStart"/>
      <w:r w:rsidR="00323E6A">
        <w:rPr>
          <w:sz w:val="18"/>
          <w:szCs w:val="18"/>
          <w:lang w:val="en-GB"/>
        </w:rPr>
        <w:t>i</w:t>
      </w:r>
      <w:proofErr w:type="spellEnd"/>
      <w:r w:rsidR="00323E6A">
        <w:rPr>
          <w:sz w:val="18"/>
          <w:szCs w:val="18"/>
          <w:lang w:val="en-GB"/>
        </w:rPr>
        <w:t>) the availability of sufficient distributable reserves, (ii) available cash generated from distributions by the Joint Venture, (iii) free cash generated from the divestment cycles of income generating assets to the Joint Venture, and (iv) shareholder approval</w:t>
      </w:r>
      <w:r>
        <w:rPr>
          <w:sz w:val="18"/>
          <w:szCs w:val="18"/>
        </w:rPr>
        <w:t>, the Company intends to gradually increase the distribution of dividends over the next 3 years to target an annual distribution between 40% and 60% of its net profit for the year based on its consolidated IFRS financial statements. Please see section “</w:t>
      </w:r>
      <w:r>
        <w:rPr>
          <w:i/>
          <w:sz w:val="18"/>
          <w:szCs w:val="18"/>
        </w:rPr>
        <w:t>Dividends and dividend policy</w:t>
      </w:r>
      <w:r>
        <w:rPr>
          <w:sz w:val="18"/>
          <w:szCs w:val="18"/>
        </w:rPr>
        <w:t>”.</w:t>
      </w:r>
    </w:p>
    <w:p w14:paraId="7E5895F6" w14:textId="77777777" w:rsidR="00F76607" w:rsidRDefault="001863F0">
      <w:pPr>
        <w:widowControl w:val="0"/>
        <w:spacing w:before="240"/>
        <w:rPr>
          <w:b/>
          <w:bCs/>
          <w:sz w:val="18"/>
          <w:szCs w:val="18"/>
        </w:rPr>
      </w:pPr>
      <w:r>
        <w:rPr>
          <w:b/>
          <w:bCs/>
          <w:sz w:val="18"/>
          <w:szCs w:val="18"/>
        </w:rPr>
        <w:t>Losses and Liquidation</w:t>
      </w:r>
    </w:p>
    <w:p w14:paraId="277DE7F1" w14:textId="77777777" w:rsidR="00F76607" w:rsidRDefault="001863F0">
      <w:pPr>
        <w:spacing w:before="240" w:beforeAutospacing="1" w:after="100" w:afterAutospacing="1"/>
        <w:ind w:firstLine="857"/>
        <w:rPr>
          <w:sz w:val="18"/>
          <w:szCs w:val="18"/>
        </w:rPr>
      </w:pPr>
      <w:r>
        <w:rPr>
          <w:sz w:val="18"/>
          <w:szCs w:val="18"/>
        </w:rPr>
        <w:t>The Company can only be dissolved by a resolution of the shareholders’ meeting passed with a majority of at least 75% of the votes cast at an extraordinary shareholders’ meeting where holders of at least 50% of the share capital is present or represented.</w:t>
      </w:r>
    </w:p>
    <w:p w14:paraId="2437DFD8" w14:textId="77777777" w:rsidR="00F76607" w:rsidRDefault="001863F0">
      <w:pPr>
        <w:spacing w:before="240" w:beforeAutospacing="1" w:after="100" w:afterAutospacing="1"/>
        <w:ind w:firstLine="857"/>
        <w:rPr>
          <w:sz w:val="18"/>
          <w:szCs w:val="18"/>
        </w:rPr>
      </w:pPr>
      <w:r>
        <w:rPr>
          <w:sz w:val="18"/>
          <w:szCs w:val="18"/>
        </w:rPr>
        <w:t xml:space="preserve">If, as a result of losses incurred, the Company’s net assets have fallen below half of the Company’s share capital, a shareholders’ meeting must be convened within a period of two months after the loss has been determined or should have been determined in accordance with the law and the Articles of Association, to, as the case may be, in accordance with the requirements applicable to an amendment of the Articles of Association, deliberate and resolve on the dissolution of the Company and any other measures mentioned in the agenda. The Board of Directors must justify its proposals in a special report. </w:t>
      </w:r>
    </w:p>
    <w:p w14:paraId="0E932C66" w14:textId="77777777" w:rsidR="00F76607" w:rsidRDefault="001863F0">
      <w:pPr>
        <w:spacing w:before="240" w:beforeAutospacing="1" w:after="100" w:afterAutospacing="1"/>
        <w:ind w:firstLine="857"/>
        <w:rPr>
          <w:sz w:val="18"/>
          <w:szCs w:val="18"/>
        </w:rPr>
      </w:pPr>
      <w:r>
        <w:rPr>
          <w:sz w:val="18"/>
          <w:szCs w:val="18"/>
        </w:rPr>
        <w:t xml:space="preserve">If, as a result of losses incurred, the Company’s net assets have fallen below one quarter of the Company’s share capital, the dissolution of the Company can be decided upon by approval of 25% of the votes. </w:t>
      </w:r>
    </w:p>
    <w:p w14:paraId="3F1B111B" w14:textId="77777777" w:rsidR="00F76607" w:rsidRDefault="001863F0">
      <w:pPr>
        <w:spacing w:before="240" w:beforeAutospacing="1" w:after="100" w:afterAutospacing="1"/>
        <w:ind w:firstLine="857"/>
        <w:rPr>
          <w:sz w:val="18"/>
          <w:szCs w:val="18"/>
        </w:rPr>
      </w:pPr>
      <w:r>
        <w:rPr>
          <w:sz w:val="18"/>
          <w:szCs w:val="18"/>
        </w:rPr>
        <w:t>If the amount of the Company’s net assets has fallen below the legal minimum amount of share capital, any interested party is entitled to request the competent court to dissolve the Company. The court can grant a grace period for the Company to remedy its situation.</w:t>
      </w:r>
    </w:p>
    <w:p w14:paraId="0C6C20AA" w14:textId="77777777" w:rsidR="00F76607" w:rsidRDefault="001863F0">
      <w:pPr>
        <w:spacing w:before="240" w:beforeAutospacing="1" w:after="100" w:afterAutospacing="1"/>
        <w:ind w:firstLine="857"/>
        <w:rPr>
          <w:sz w:val="18"/>
          <w:szCs w:val="18"/>
        </w:rPr>
      </w:pPr>
      <w:r>
        <w:rPr>
          <w:sz w:val="18"/>
          <w:szCs w:val="18"/>
        </w:rPr>
        <w:t>In case of dissolution and liquidation, one or more liquidators are appointed by the shareholders’ meeting, whose appointment must be ratified by the commercial court. If not all shares have been paid up in the same proportion, the liquidators restore the balance, either by requesting additional amounts to be paid up, or by making prior payments. Any positive balance remaining after discharging all debts, liabilities and liquidation costs, shall be distributed amongst the shareholders in proportion to the share of the capital represented by their Shares.</w:t>
      </w:r>
    </w:p>
    <w:p w14:paraId="2B2DC3CB" w14:textId="77777777" w:rsidR="00F76607" w:rsidRDefault="001863F0">
      <w:pPr>
        <w:widowControl w:val="0"/>
        <w:spacing w:before="240"/>
        <w:rPr>
          <w:b/>
          <w:sz w:val="18"/>
          <w:szCs w:val="18"/>
        </w:rPr>
      </w:pPr>
      <w:r>
        <w:rPr>
          <w:b/>
          <w:sz w:val="18"/>
          <w:szCs w:val="18"/>
        </w:rPr>
        <w:t>Change in the Rights of the Shareholders</w:t>
      </w:r>
    </w:p>
    <w:p w14:paraId="15BD18C4" w14:textId="77777777" w:rsidR="00F76607" w:rsidRDefault="001863F0">
      <w:pPr>
        <w:spacing w:before="240" w:beforeAutospacing="1" w:after="100" w:afterAutospacing="1"/>
        <w:ind w:firstLine="857"/>
        <w:rPr>
          <w:sz w:val="18"/>
          <w:szCs w:val="18"/>
        </w:rPr>
      </w:pPr>
      <w:r>
        <w:rPr>
          <w:sz w:val="18"/>
          <w:szCs w:val="18"/>
        </w:rPr>
        <w:t>Any change in the rights of the shareholders included in the Articles of Association requires an amendment of the Articles of Association by the shareholders’ meeting. In order for such change to be validly decided upon, the proposed amendment must be explicitly included in the convocation to the shareholders’ meeting and the shareholders present or represented during the Shareholders’ Meeting must represent at least half of the share capital. If the latter condition is not fulfilled during a first shareholders’ meeting, a new shareholders’ meeting must be convoked, which can validly decide on the proposed amendment, regardless of the share of the share capital present or represented during this second shareholders’ meeting.</w:t>
      </w:r>
    </w:p>
    <w:p w14:paraId="126BDEC3" w14:textId="77777777" w:rsidR="00F76607" w:rsidRDefault="001863F0">
      <w:pPr>
        <w:spacing w:beforeAutospacing="1" w:after="100" w:afterAutospacing="1"/>
        <w:ind w:firstLine="857"/>
        <w:rPr>
          <w:b/>
          <w:bCs/>
          <w:i/>
          <w:iCs/>
          <w:sz w:val="18"/>
          <w:szCs w:val="18"/>
        </w:rPr>
      </w:pPr>
      <w:r>
        <w:rPr>
          <w:sz w:val="18"/>
          <w:szCs w:val="18"/>
        </w:rPr>
        <w:t>Any amendment of the Articles of Association can only be validly decided upon with a majority of 75% of the votes participating in the vote, except for certain more stringent majority requirements as provided for by law in relation to certain decisions. An abstention is considered to be a negative vote.</w:t>
      </w:r>
      <w:r>
        <w:rPr>
          <w:b/>
          <w:bCs/>
          <w:i/>
          <w:iCs/>
          <w:sz w:val="18"/>
          <w:szCs w:val="18"/>
        </w:rPr>
        <w:t xml:space="preserve"> </w:t>
      </w:r>
    </w:p>
    <w:p w14:paraId="4F4DA439" w14:textId="77777777" w:rsidR="00F76607" w:rsidRDefault="001863F0">
      <w:pPr>
        <w:widowControl w:val="0"/>
        <w:spacing w:before="240"/>
        <w:rPr>
          <w:b/>
          <w:sz w:val="18"/>
          <w:szCs w:val="18"/>
        </w:rPr>
      </w:pPr>
      <w:r>
        <w:rPr>
          <w:b/>
          <w:sz w:val="18"/>
          <w:szCs w:val="18"/>
        </w:rPr>
        <w:t xml:space="preserve">Notification of Significant Shareholdings </w:t>
      </w:r>
    </w:p>
    <w:p w14:paraId="70A20030" w14:textId="77777777" w:rsidR="00F76607" w:rsidRDefault="001863F0">
      <w:pPr>
        <w:spacing w:before="240" w:beforeAutospacing="1" w:after="100" w:afterAutospacing="1"/>
        <w:ind w:firstLine="857"/>
        <w:rPr>
          <w:sz w:val="18"/>
          <w:szCs w:val="18"/>
        </w:rPr>
      </w:pPr>
      <w:r>
        <w:rPr>
          <w:sz w:val="18"/>
          <w:szCs w:val="18"/>
        </w:rPr>
        <w:t xml:space="preserve">Pursuant to the Belgian Law of 2 May 2007 on the disclosure of significant shareholdings in issuers whose securities are admitted to trading on a regulated market and containing various provisions (the “Transparency Law”), a notification to the Company and to the FSMA is required by all natural persons and legal entities on the occurrence of, among other things, any one of the following triggering events, subject to limited exceptions: </w:t>
      </w:r>
    </w:p>
    <w:p w14:paraId="11EE1758" w14:textId="77777777" w:rsidR="00F76607" w:rsidRDefault="001863F0">
      <w:pPr>
        <w:pStyle w:val="VulcanIIbullet"/>
      </w:pPr>
      <w:r>
        <w:t xml:space="preserve">an acquisition or disposal of voting securities, voting rights or financial instruments that are treated as voting securities; </w:t>
      </w:r>
    </w:p>
    <w:p w14:paraId="76023FA4" w14:textId="77777777" w:rsidR="00F76607" w:rsidRDefault="001863F0">
      <w:pPr>
        <w:pStyle w:val="VulcanIIbullet"/>
      </w:pPr>
      <w:r>
        <w:t xml:space="preserve">the reaching of a threshold by persons or legal entities acting in concert; </w:t>
      </w:r>
    </w:p>
    <w:p w14:paraId="4F506B04" w14:textId="77777777" w:rsidR="00F76607" w:rsidRDefault="001863F0">
      <w:pPr>
        <w:pStyle w:val="VulcanIIbullet"/>
      </w:pPr>
      <w:r>
        <w:t xml:space="preserve">the conclusion, modification or termination of an agreement to act in concert; </w:t>
      </w:r>
    </w:p>
    <w:p w14:paraId="5B265CC8" w14:textId="77777777" w:rsidR="00F76607" w:rsidRDefault="001863F0">
      <w:pPr>
        <w:pStyle w:val="VulcanIIbullet"/>
      </w:pPr>
      <w:r>
        <w:t xml:space="preserve">the downward reaching of the lowest threshold; </w:t>
      </w:r>
    </w:p>
    <w:p w14:paraId="69C246CF" w14:textId="77777777" w:rsidR="00F76607" w:rsidRDefault="001863F0">
      <w:pPr>
        <w:pStyle w:val="VulcanIIbullet"/>
      </w:pPr>
      <w:r>
        <w:lastRenderedPageBreak/>
        <w:t xml:space="preserve">the passive reaching of a threshold; </w:t>
      </w:r>
    </w:p>
    <w:p w14:paraId="5D237174" w14:textId="77777777" w:rsidR="00F76607" w:rsidRDefault="001863F0">
      <w:pPr>
        <w:pStyle w:val="VulcanIIbullet"/>
      </w:pPr>
      <w:r>
        <w:t xml:space="preserve">the holding of voting securities in the Company upon the first admission of them to trading on a regulated market; </w:t>
      </w:r>
    </w:p>
    <w:p w14:paraId="33C44B74" w14:textId="77777777" w:rsidR="00F76607" w:rsidRDefault="001863F0">
      <w:pPr>
        <w:pStyle w:val="VulcanIIbullet"/>
      </w:pPr>
      <w:r>
        <w:t xml:space="preserve">where a previous notification concerning financial instruments treated as equivalent to voting securities is updated; </w:t>
      </w:r>
    </w:p>
    <w:p w14:paraId="0C8F7297" w14:textId="77777777" w:rsidR="00F76607" w:rsidRDefault="001863F0">
      <w:pPr>
        <w:pStyle w:val="VulcanIIbullet"/>
      </w:pPr>
      <w:r>
        <w:t xml:space="preserve">the acquisition or disposal of the control of an entity that holds voting securities in the Company; and </w:t>
      </w:r>
    </w:p>
    <w:p w14:paraId="762BCF56" w14:textId="77777777" w:rsidR="00F76607" w:rsidRDefault="001863F0">
      <w:pPr>
        <w:pStyle w:val="VulcanIIbullet"/>
      </w:pPr>
      <w:r>
        <w:t xml:space="preserve">where the Company introduces additional notification thresholds in the Articles of Association, </w:t>
      </w:r>
    </w:p>
    <w:p w14:paraId="09BE1733" w14:textId="77777777" w:rsidR="00F76607" w:rsidRDefault="001863F0">
      <w:pPr>
        <w:spacing w:beforeAutospacing="1" w:after="100" w:afterAutospacing="1"/>
        <w:ind w:firstLine="857"/>
        <w:rPr>
          <w:b/>
          <w:bCs/>
          <w:i/>
          <w:iCs/>
          <w:sz w:val="18"/>
          <w:szCs w:val="18"/>
        </w:rPr>
      </w:pPr>
      <w:r>
        <w:rPr>
          <w:sz w:val="18"/>
          <w:szCs w:val="18"/>
        </w:rPr>
        <w:t>in each case where the percentage of voting rights attached to the securities held by such persons reaches, exceeds or falls below the legal threshold, set at 5% of the total voting rights, and 10%, 15%, 20% and so on in increments of 5%. In addition thereto, article 14 of the Articles of Association provides that such notification is also required when the percentage of voting rights attached to the securities held by such persons reaches, exceeds or falls below a threshold of 3% and so on in increments of 3%.</w:t>
      </w:r>
    </w:p>
    <w:p w14:paraId="5C8CA3DE" w14:textId="77777777" w:rsidR="00F76607" w:rsidRDefault="001863F0">
      <w:pPr>
        <w:spacing w:before="240" w:beforeAutospacing="1" w:after="100" w:afterAutospacing="1"/>
        <w:ind w:firstLine="857"/>
        <w:rPr>
          <w:sz w:val="18"/>
          <w:szCs w:val="18"/>
        </w:rPr>
      </w:pPr>
      <w:r>
        <w:rPr>
          <w:sz w:val="18"/>
          <w:szCs w:val="18"/>
        </w:rPr>
        <w:t xml:space="preserve">The notification must be made as soon as possible and at the latest within four trading days following the occurrence of the triggering event. Where the Company receives a notification of information regarding the reaching of a threshold, it has to publish such information within three trading days following receipt of the notification. </w:t>
      </w:r>
    </w:p>
    <w:p w14:paraId="1A775929" w14:textId="77777777" w:rsidR="00F76607" w:rsidRDefault="001863F0">
      <w:pPr>
        <w:widowControl w:val="0"/>
        <w:spacing w:before="240"/>
        <w:rPr>
          <w:b/>
          <w:sz w:val="18"/>
          <w:szCs w:val="18"/>
        </w:rPr>
      </w:pPr>
      <w:r>
        <w:rPr>
          <w:b/>
          <w:sz w:val="18"/>
          <w:szCs w:val="18"/>
        </w:rPr>
        <w:t xml:space="preserve">Public Takeover Bids </w:t>
      </w:r>
    </w:p>
    <w:p w14:paraId="6FA447BE" w14:textId="77777777" w:rsidR="00F76607" w:rsidRDefault="001863F0">
      <w:pPr>
        <w:spacing w:before="240" w:beforeAutospacing="1" w:after="100" w:afterAutospacing="1"/>
        <w:ind w:firstLine="857"/>
        <w:rPr>
          <w:sz w:val="18"/>
          <w:szCs w:val="18"/>
        </w:rPr>
      </w:pPr>
      <w:r>
        <w:rPr>
          <w:sz w:val="18"/>
          <w:szCs w:val="18"/>
        </w:rPr>
        <w:t xml:space="preserve">Public takeover bids for shares and other securities giving access to voting rights (such as subscription rights or convertible bonds, if any) are subject to supervision by the FSMA. Public takeover bids must be extended to all of the voting securities, as well as all other securities giving access to voting rights. Prior to making a bid, a bidder must publish a prospectus which has been approved by the FSMA prior to publication. </w:t>
      </w:r>
    </w:p>
    <w:p w14:paraId="0C6139AA" w14:textId="77777777" w:rsidR="00F76607" w:rsidRDefault="001863F0">
      <w:pPr>
        <w:spacing w:before="240" w:beforeAutospacing="1" w:after="100" w:afterAutospacing="1"/>
        <w:ind w:firstLine="857"/>
        <w:rPr>
          <w:sz w:val="18"/>
          <w:szCs w:val="18"/>
        </w:rPr>
      </w:pPr>
      <w:r>
        <w:rPr>
          <w:sz w:val="18"/>
          <w:szCs w:val="18"/>
        </w:rPr>
        <w:t>Belgium has implemented the Thirteenth Company Law Directive (European Directive 2004/25/EC of 21 April 2004) in the Belgian Law of 1 April 2007 on public takeover bids (the “Takeover Law”) and the Belgian Royal Decree of 27 April 2007 on public takeover bids (the “Takeover Royal Decree”). The Takeover Law provides that a mandatory bid must be launched if a person, as a result of its own acquisition or the acquisition by persons acting in concert with it or by persons acting for their account, directly or indirectly holds more than 30% of the voting securities in a company having its registered office in Belgium and of which at least part of the voting securities is traded on a regulated market or on a multilateral trading facility designated by the Takeover Royal Decree. The mere fact of exceeding the relevant threshold through the acquisition of shares will give rise to a mandatory bid, irrespective of whether the price paid in the relevant transaction exceeds the current market price. The duty to launch a mandatory bid does not apply in certain cases set out in the Takeover Royal Decree, such as (</w:t>
      </w:r>
      <w:proofErr w:type="spellStart"/>
      <w:r>
        <w:rPr>
          <w:sz w:val="18"/>
          <w:szCs w:val="18"/>
        </w:rPr>
        <w:t>i</w:t>
      </w:r>
      <w:proofErr w:type="spellEnd"/>
      <w:r>
        <w:rPr>
          <w:sz w:val="18"/>
          <w:szCs w:val="18"/>
        </w:rPr>
        <w:t xml:space="preserve">) in case of an acquisition, if it can be shown that a third party exercises control over the Company or that such party holds a larger stake than the person holding 30% of the voting securities (ii) in case of an acquisition in the context of an enforcement of security provided that the acquirer disposes of the shares exceeding the 30% threshold within twelve months and does not exercise the voting rights attached to those excess shares or (iii) in case of a capital increase with preferential subscription rights decided by the Shareholders’ Meeting. </w:t>
      </w:r>
    </w:p>
    <w:p w14:paraId="08EDE921" w14:textId="77777777" w:rsidR="00F76607" w:rsidRDefault="001863F0">
      <w:pPr>
        <w:spacing w:before="240" w:beforeAutospacing="1" w:after="100" w:afterAutospacing="1"/>
        <w:ind w:firstLine="857"/>
        <w:rPr>
          <w:sz w:val="18"/>
          <w:szCs w:val="18"/>
        </w:rPr>
      </w:pPr>
      <w:r>
        <w:rPr>
          <w:sz w:val="18"/>
          <w:szCs w:val="18"/>
        </w:rPr>
        <w:t>In principle, the authorization of the Board of Directors to increase the share capital of the Company through contributions in kind or in cash with cancellation or limitation of the preferential subscription rights of the existing shareholders is suspended as of the notification to the Company by the FSMA of a public takeover bid for the securities of the Company. Pursuant to article 45 of the Articles of Association however, the Board of Directors is authorized to increase the capital of the Company in such case by issuing Shares at the time of such a public takeover bid</w:t>
      </w:r>
      <w:r>
        <w:rPr>
          <w:bCs/>
          <w:sz w:val="18"/>
          <w:szCs w:val="18"/>
          <w:lang w:val="en-GB"/>
        </w:rPr>
        <w:t xml:space="preserve"> provided that (</w:t>
      </w:r>
      <w:proofErr w:type="spellStart"/>
      <w:r>
        <w:rPr>
          <w:bCs/>
          <w:sz w:val="18"/>
          <w:szCs w:val="18"/>
          <w:lang w:val="en-GB"/>
        </w:rPr>
        <w:t>i</w:t>
      </w:r>
      <w:proofErr w:type="spellEnd"/>
      <w:r>
        <w:rPr>
          <w:bCs/>
          <w:sz w:val="18"/>
          <w:szCs w:val="18"/>
          <w:lang w:val="en-GB"/>
        </w:rPr>
        <w:t>) the shares issued in the context of the capital increase are fully paid-up as from issuance, (ii) the issue price of the shares issued in the context of the capital increase is not lower than the price offered in the takeover bid, and (iii) the number of shares issued in the context of the capital increase is 10% or less of the number of shares representing the Company’s share capital which have been issued by the Company prior to the capital increase. This authorisation is valid until 27 December 2019.</w:t>
      </w:r>
      <w:r>
        <w:rPr>
          <w:sz w:val="18"/>
          <w:szCs w:val="18"/>
        </w:rPr>
        <w:t xml:space="preserve"> </w:t>
      </w:r>
    </w:p>
    <w:p w14:paraId="2A155D93" w14:textId="77777777" w:rsidR="00F76607" w:rsidRDefault="001863F0">
      <w:pPr>
        <w:widowControl w:val="0"/>
        <w:spacing w:before="240"/>
        <w:rPr>
          <w:b/>
          <w:sz w:val="18"/>
          <w:szCs w:val="18"/>
        </w:rPr>
      </w:pPr>
      <w:r>
        <w:rPr>
          <w:b/>
          <w:sz w:val="18"/>
          <w:szCs w:val="18"/>
        </w:rPr>
        <w:t xml:space="preserve">Squeeze-out </w:t>
      </w:r>
    </w:p>
    <w:p w14:paraId="10B387ED" w14:textId="77777777" w:rsidR="00F76607" w:rsidRDefault="001863F0">
      <w:pPr>
        <w:spacing w:before="240" w:beforeAutospacing="1" w:after="100" w:afterAutospacing="1"/>
        <w:ind w:firstLine="857"/>
        <w:rPr>
          <w:sz w:val="18"/>
          <w:szCs w:val="18"/>
        </w:rPr>
      </w:pPr>
      <w:r>
        <w:rPr>
          <w:sz w:val="18"/>
          <w:szCs w:val="18"/>
        </w:rPr>
        <w:t xml:space="preserve">Pursuant to article 513 of the Belgian Company Code or the regulations promulgated thereunder, a person or legal entity, or different persons or legal entities acting alone or in concert, who own together with the Company 95% or more of the securities with voting rights in a public company are entitled to acquire the totality of the securities with voting rights in that company following a squeeze-out offer. The securities that are not voluntarily tendered in response to such an offer are deemed to be automatically transferred to the bidder at the end of the procedure. At the end of the squeeze-out procedure, the company is no longer deemed a public company, unless bonds issued by the company are still spread among the public. The consideration for the securities must be in cash and must represent the fair value (verified by an independent expert) as to safeguard the interests of the transferring shareholders. </w:t>
      </w:r>
    </w:p>
    <w:p w14:paraId="5272596D" w14:textId="77777777" w:rsidR="00F76607" w:rsidRDefault="001863F0">
      <w:pPr>
        <w:spacing w:before="240" w:beforeAutospacing="1" w:after="100" w:afterAutospacing="1"/>
        <w:ind w:firstLine="857"/>
        <w:rPr>
          <w:sz w:val="18"/>
          <w:szCs w:val="18"/>
        </w:rPr>
      </w:pPr>
      <w:r>
        <w:rPr>
          <w:sz w:val="18"/>
          <w:szCs w:val="18"/>
        </w:rPr>
        <w:t xml:space="preserve">A squeeze-out offer is also possible upon completion of a public takeover bid, provided that the bidder holds at least 95% of the voting capital and 95% of the voting securities of the public company. In such a case, the bidder may require that all remaining shareholders sell their securities to the bidder at the offer price of the takeover bid, provided that, in case of a voluntary takeover offer, the bidder has also acquired 90% of the voting capital to which the offer relates. The shares that are not voluntarily tendered in response to any such offer are deemed to be automatically transferred to the bidder at the end of the procedure. </w:t>
      </w:r>
    </w:p>
    <w:p w14:paraId="07DD8BA2" w14:textId="77777777" w:rsidR="00F76607" w:rsidRDefault="001863F0">
      <w:pPr>
        <w:widowControl w:val="0"/>
        <w:spacing w:before="240"/>
        <w:rPr>
          <w:b/>
          <w:sz w:val="18"/>
          <w:szCs w:val="18"/>
        </w:rPr>
      </w:pPr>
      <w:r>
        <w:rPr>
          <w:b/>
          <w:sz w:val="18"/>
          <w:szCs w:val="18"/>
        </w:rPr>
        <w:t xml:space="preserve">Sell-out Right </w:t>
      </w:r>
    </w:p>
    <w:p w14:paraId="594281F1" w14:textId="77777777" w:rsidR="00F76607" w:rsidRDefault="001863F0">
      <w:pPr>
        <w:spacing w:before="240" w:beforeAutospacing="1" w:after="100" w:afterAutospacing="1"/>
        <w:ind w:firstLine="857"/>
        <w:rPr>
          <w:sz w:val="18"/>
          <w:szCs w:val="18"/>
        </w:rPr>
      </w:pPr>
      <w:r>
        <w:rPr>
          <w:sz w:val="18"/>
          <w:szCs w:val="18"/>
        </w:rPr>
        <w:lastRenderedPageBreak/>
        <w:t xml:space="preserve">Within three months following the expiration of an offer period related to a public takeover bid, holders of voting securities or of securities giving access to voting rights may require the offeror, acting alone or in concert, who owns at least 95% of the voting capital and 95% of the voting securities in a public company following a takeover bid, to buy its securities from it at the price of the bid, on the condition that, in case of a voluntary takeover offer, the offeror has acquired, through the acceptance of the bid, securities representing at least 90% of the voting capital subject to the takeover bid. </w:t>
      </w:r>
    </w:p>
    <w:p w14:paraId="677FEE50" w14:textId="77777777" w:rsidR="00F76607" w:rsidRDefault="00F76607">
      <w:pPr>
        <w:pStyle w:val="NormalWeb"/>
        <w:keepNext/>
        <w:pageBreakBefore/>
        <w:spacing w:before="0" w:beforeAutospacing="0" w:after="0" w:afterAutospacing="0"/>
        <w:sectPr w:rsidR="00F76607">
          <w:pgSz w:w="11907" w:h="16839" w:code="9"/>
          <w:pgMar w:top="1077" w:right="1077" w:bottom="1077" w:left="1077" w:header="720" w:footer="720" w:gutter="0"/>
          <w:cols w:space="720"/>
          <w:docGrid w:linePitch="326"/>
        </w:sectPr>
      </w:pPr>
    </w:p>
    <w:p w14:paraId="31E66541" w14:textId="77777777" w:rsidR="00F76607" w:rsidRDefault="001863F0">
      <w:pPr>
        <w:pStyle w:val="VulcanIISectionTitle"/>
      </w:pPr>
      <w:bookmarkStart w:id="94" w:name="_Toc493194622"/>
      <w:r>
        <w:lastRenderedPageBreak/>
        <w:t>Taxation</w:t>
      </w:r>
      <w:bookmarkEnd w:id="94"/>
      <w:r>
        <w:t xml:space="preserve"> </w:t>
      </w:r>
    </w:p>
    <w:p w14:paraId="6EC7418E" w14:textId="77777777" w:rsidR="00F76607" w:rsidRDefault="001863F0">
      <w:pPr>
        <w:pStyle w:val="NormalWeb"/>
        <w:keepNext/>
        <w:spacing w:before="240" w:beforeAutospacing="0" w:after="0" w:afterAutospacing="0"/>
      </w:pPr>
      <w:r>
        <w:rPr>
          <w:b/>
          <w:bCs/>
          <w:sz w:val="18"/>
          <w:szCs w:val="18"/>
        </w:rPr>
        <w:t xml:space="preserve">Belgian Taxation </w:t>
      </w:r>
    </w:p>
    <w:p w14:paraId="6D2AE7B5" w14:textId="77777777" w:rsidR="00F76607" w:rsidRDefault="001863F0">
      <w:pPr>
        <w:pStyle w:val="NormalWeb"/>
        <w:spacing w:before="240" w:beforeAutospacing="0" w:after="0" w:afterAutospacing="0"/>
        <w:ind w:firstLine="857"/>
      </w:pPr>
      <w:r>
        <w:rPr>
          <w:sz w:val="18"/>
          <w:szCs w:val="18"/>
        </w:rPr>
        <w:t xml:space="preserve">The paragraphs below present a summary of certain material Belgian federal income tax consequences of the ownership and disposal of Shares by an investor that purchases such Shares in connection with this Offering. The summary is based on laws, treaties and regulatory interpretations in effect in Belgium on the date of this Prospectus, all of which are subject to change, including changes that could have retroactive effect. </w:t>
      </w:r>
    </w:p>
    <w:p w14:paraId="2208062A" w14:textId="77777777" w:rsidR="00F76607" w:rsidRDefault="001863F0">
      <w:pPr>
        <w:pStyle w:val="NormalWeb"/>
        <w:spacing w:before="240" w:beforeAutospacing="0" w:after="0" w:afterAutospacing="0"/>
        <w:ind w:firstLine="857"/>
      </w:pPr>
      <w:r>
        <w:rPr>
          <w:sz w:val="18"/>
          <w:szCs w:val="18"/>
        </w:rPr>
        <w:t xml:space="preserve">Investors should appreciate that, as a result of evolutions in law or practice, the eventual tax consequences may be different from what is stated below. </w:t>
      </w:r>
    </w:p>
    <w:p w14:paraId="28E13307" w14:textId="77777777" w:rsidR="00F76607" w:rsidRDefault="001863F0">
      <w:pPr>
        <w:pStyle w:val="NormalWeb"/>
        <w:spacing w:before="240" w:beforeAutospacing="0" w:after="0" w:afterAutospacing="0"/>
        <w:ind w:firstLine="857"/>
      </w:pPr>
      <w:r>
        <w:rPr>
          <w:sz w:val="18"/>
          <w:szCs w:val="18"/>
        </w:rPr>
        <w:t xml:space="preserve">This summary does not purport to address all tax consequences of the acquisition, ownership and disposal of Shares, and does not take into account the specific circumstances of particular investors, some of which may be subject to special rules, or the tax laws of any country other than Belgium. This summary does not describe the tax treatment of investors that are subject to special rules, such as banks, insurance companies, undertakings for collective investment, brokers in securities or currencies, persons that hold, or will hold, Shares as a position in a straddle, share-repurchase transaction, conversion transactions, synthetic security or other integrated financial transactions. This summary does not address the local taxes that may be due in connection with an investment in Shares, other than Belgian local surcharges which generally vary from 0% to 9% of the investor’s income tax liability. </w:t>
      </w:r>
    </w:p>
    <w:p w14:paraId="626F6F1B" w14:textId="77777777" w:rsidR="00F76607" w:rsidRDefault="001863F0">
      <w:pPr>
        <w:pStyle w:val="NormalWeb"/>
        <w:spacing w:before="240" w:beforeAutospacing="0" w:after="0" w:afterAutospacing="0"/>
        <w:ind w:firstLine="857"/>
      </w:pPr>
      <w:r>
        <w:rPr>
          <w:sz w:val="18"/>
          <w:szCs w:val="18"/>
        </w:rPr>
        <w:t>For purposes of this summary, a Belgian resident is an individual subject to Belgian personal income tax (that is, an individual who is domiciled in Belgium or has his seat of wealth in Belgium or a person assimilated to a resident for purposes of Belgian tax law), a company subject to Belgian corporate income tax (that is, a corporate entity that has its statutory seat, its main establishment, its administrative seat or seat of management in Belgium), an Organization for Financing Pensions subject to Belgian corporate income tax (</w:t>
      </w:r>
      <w:r>
        <w:rPr>
          <w:i/>
          <w:iCs/>
          <w:sz w:val="18"/>
          <w:szCs w:val="18"/>
        </w:rPr>
        <w:t>i.e.</w:t>
      </w:r>
      <w:r>
        <w:rPr>
          <w:sz w:val="18"/>
          <w:szCs w:val="18"/>
        </w:rPr>
        <w:t xml:space="preserve">, a Belgian pension fund incorporated under the form of an Organization for Financing Pensions), or a legal entity subject to Belgian income tax on legal entities (that is, a legal entity other than a company subject to Belgian corporate income tax, that has its statutory seat, its main establishment, its administrative seat or seat of management in Belgium). A Belgian non-resident is any person that is not a Belgian resident. </w:t>
      </w:r>
    </w:p>
    <w:p w14:paraId="6806374C" w14:textId="77777777" w:rsidR="00F76607" w:rsidRDefault="001863F0">
      <w:pPr>
        <w:pStyle w:val="NormalWeb"/>
        <w:spacing w:before="240" w:beforeAutospacing="0" w:after="0" w:afterAutospacing="0"/>
        <w:ind w:firstLine="857"/>
      </w:pPr>
      <w:r>
        <w:rPr>
          <w:sz w:val="18"/>
          <w:szCs w:val="18"/>
        </w:rPr>
        <w:t xml:space="preserve">Investors should consult their own advisors regarding the tax consequences of an investment in Shares in the light of their particular circumstances, including the effect of any state, local or other national laws. </w:t>
      </w:r>
    </w:p>
    <w:p w14:paraId="51844C4E" w14:textId="77777777" w:rsidR="00F76607" w:rsidRDefault="001863F0">
      <w:pPr>
        <w:pStyle w:val="NormalWeb"/>
        <w:keepNext/>
        <w:spacing w:before="240" w:beforeAutospacing="0" w:after="0" w:afterAutospacing="0"/>
      </w:pPr>
      <w:r>
        <w:rPr>
          <w:b/>
          <w:bCs/>
          <w:i/>
          <w:iCs/>
          <w:sz w:val="18"/>
          <w:szCs w:val="18"/>
        </w:rPr>
        <w:t xml:space="preserve">Dividends </w:t>
      </w:r>
    </w:p>
    <w:p w14:paraId="5B70232D" w14:textId="77777777" w:rsidR="00F76607" w:rsidRDefault="001863F0">
      <w:pPr>
        <w:pStyle w:val="NormalWeb"/>
        <w:spacing w:before="240" w:beforeAutospacing="0" w:after="0" w:afterAutospacing="0"/>
        <w:ind w:firstLine="857"/>
      </w:pPr>
      <w:r>
        <w:rPr>
          <w:sz w:val="18"/>
          <w:szCs w:val="18"/>
        </w:rPr>
        <w:t>For Belgian income tax purposes, the gross amount of all benefits paid on or attributed to the Shares is generally treated as a dividend distribution. By way of exception, the repayment of capital carried out in accordance with the Belgian Companies Code is not treated as a dividend distribution to the extent that such repayment is imputed to fiscal capital. This fiscal capital includes, in principle, the actual paid-up statutory share capital and, subject to certain conditions, the paid-up issuance premiums and the cash amounts subscribed to at the time of the issue of profit sharing certificates</w:t>
      </w:r>
      <w:r>
        <w:rPr>
          <w:rStyle w:val="FootnoteReference"/>
          <w:sz w:val="18"/>
          <w:szCs w:val="18"/>
        </w:rPr>
        <w:footnoteReference w:id="30"/>
      </w:r>
      <w:r>
        <w:rPr>
          <w:sz w:val="18"/>
          <w:szCs w:val="18"/>
        </w:rPr>
        <w:t xml:space="preserve">. </w:t>
      </w:r>
    </w:p>
    <w:p w14:paraId="78026330" w14:textId="77777777" w:rsidR="00F76607" w:rsidRDefault="001863F0">
      <w:pPr>
        <w:pStyle w:val="NormalWeb"/>
        <w:spacing w:before="240" w:beforeAutospacing="0" w:after="0" w:afterAutospacing="0"/>
        <w:ind w:firstLine="857"/>
      </w:pPr>
      <w:r>
        <w:rPr>
          <w:sz w:val="18"/>
          <w:szCs w:val="18"/>
        </w:rPr>
        <w:t xml:space="preserve">Belgian withholding tax of 30% is normally levied on dividends, subject to such relief as may be available under applicable domestic or tax treaty provisions. </w:t>
      </w:r>
    </w:p>
    <w:p w14:paraId="0EA43395" w14:textId="77777777" w:rsidR="00F76607" w:rsidRDefault="001863F0">
      <w:pPr>
        <w:pStyle w:val="NormalWeb"/>
        <w:spacing w:before="240" w:beforeAutospacing="0" w:after="0" w:afterAutospacing="0"/>
        <w:ind w:firstLine="857"/>
      </w:pPr>
      <w:r>
        <w:rPr>
          <w:sz w:val="18"/>
          <w:szCs w:val="18"/>
        </w:rPr>
        <w:t xml:space="preserve">In the case of a redemption of the Shares, the redemption distribution (after deduction of the part of the fiscal capital represented by the redeemed Shares) will, in principle, be treated as a dividend subject to a Belgian withholding tax of 30%, subject to such relief as may be available under applicable domestic or tax treaty provisions. No Belgian withholding tax will be triggered if this redemption is carried out on a stock exchange and meets certain conditions. </w:t>
      </w:r>
    </w:p>
    <w:p w14:paraId="4C5B9A71" w14:textId="77777777" w:rsidR="00F76607" w:rsidRDefault="001863F0">
      <w:pPr>
        <w:pStyle w:val="NormalWeb"/>
        <w:spacing w:before="240" w:beforeAutospacing="0" w:after="0" w:afterAutospacing="0"/>
        <w:ind w:firstLine="857"/>
      </w:pPr>
      <w:r>
        <w:rPr>
          <w:sz w:val="18"/>
          <w:szCs w:val="18"/>
        </w:rPr>
        <w:t xml:space="preserve">In case of liquidation of the Company, any amounts distributed in excess of the fiscal capital will in principle be subject to a 30% Belgian withholding tax, subject to such relief as may be available under applicable domestic or tax treaty provisions. </w:t>
      </w:r>
    </w:p>
    <w:p w14:paraId="7140CD8B" w14:textId="77777777" w:rsidR="00F76607" w:rsidRDefault="001863F0">
      <w:pPr>
        <w:pStyle w:val="NormalWeb"/>
        <w:keepNext/>
        <w:spacing w:before="240" w:beforeAutospacing="0" w:after="0" w:afterAutospacing="0"/>
      </w:pPr>
      <w:r>
        <w:rPr>
          <w:i/>
          <w:iCs/>
          <w:sz w:val="18"/>
          <w:szCs w:val="18"/>
        </w:rPr>
        <w:t xml:space="preserve">Belgian Resident Individuals </w:t>
      </w:r>
    </w:p>
    <w:p w14:paraId="5E1A4E4C" w14:textId="77777777" w:rsidR="00F76607" w:rsidRDefault="001863F0">
      <w:pPr>
        <w:pStyle w:val="NormalWeb"/>
        <w:spacing w:before="240" w:beforeAutospacing="0" w:after="0" w:afterAutospacing="0"/>
        <w:ind w:firstLine="857"/>
      </w:pPr>
      <w:r>
        <w:rPr>
          <w:sz w:val="18"/>
          <w:szCs w:val="18"/>
        </w:rPr>
        <w:t xml:space="preserve">For Belgian resident individuals who acquire and hold Shares as a private investment, the Belgian dividend withholding tax fully discharges their personal income tax liability. They may nevertheless elect to report (the gross amount of) the dividends in their personal income tax return. Where the beneficiary opts to report them, dividends will normally be taxable at the lower of the generally applicable 30% Belgian dividend withholding tax rate or at the progressive personal income tax rates applicable to the taxpayer’s overall declared income. If the beneficiary reports the dividends, the income tax due on such dividends will not be increased by local surcharges. In addition, if the dividends are reported, the Belgian dividend withholding tax levied at source may, in both cases, be credited against the personal income tax due and is reimbursable to the extent that it exceeds the personal income tax due, provided that the dividend distribution does not result in a reduction in value of or a capital loss on Shares. This condition is not applicable if the individual can demonstrate that he has held Shares in full legal ownership for an uninterrupted period of 12 months prior to the payment or attribution of the dividends. </w:t>
      </w:r>
    </w:p>
    <w:p w14:paraId="323A9CBE" w14:textId="77777777" w:rsidR="00F76607" w:rsidRDefault="001863F0">
      <w:pPr>
        <w:pStyle w:val="NormalWeb"/>
        <w:spacing w:before="180" w:beforeAutospacing="0" w:after="0" w:afterAutospacing="0"/>
        <w:rPr>
          <w:sz w:val="2"/>
          <w:szCs w:val="2"/>
        </w:rPr>
      </w:pPr>
      <w:r>
        <w:rPr>
          <w:sz w:val="2"/>
          <w:szCs w:val="2"/>
        </w:rPr>
        <w:t> </w:t>
      </w:r>
    </w:p>
    <w:p w14:paraId="0D9BE46B" w14:textId="77777777" w:rsidR="00F76607" w:rsidRDefault="001863F0">
      <w:pPr>
        <w:pStyle w:val="NormalWeb"/>
        <w:spacing w:before="0" w:beforeAutospacing="0" w:after="0" w:afterAutospacing="0"/>
        <w:ind w:firstLine="857"/>
      </w:pPr>
      <w:r>
        <w:rPr>
          <w:sz w:val="18"/>
          <w:szCs w:val="18"/>
        </w:rPr>
        <w:lastRenderedPageBreak/>
        <w:t>For Belgian resident individual investors who acquire and hold Shares for professional purposes, the Belgian withholding tax does not fully discharge their income tax liability. Dividends received must be reported by the investor and will, in such a case, be taxable at the investor’s personal income tax rate increased with local surcharges. The Belgian dividend withholding tax levied at source may be credited against the personal income tax due and is reimbursable to the extent that it exceeds the income tax due, subject to two conditions: (</w:t>
      </w:r>
      <w:proofErr w:type="spellStart"/>
      <w:r>
        <w:rPr>
          <w:sz w:val="18"/>
          <w:szCs w:val="18"/>
        </w:rPr>
        <w:t>i</w:t>
      </w:r>
      <w:proofErr w:type="spellEnd"/>
      <w:r>
        <w:rPr>
          <w:sz w:val="18"/>
          <w:szCs w:val="18"/>
        </w:rPr>
        <w:t xml:space="preserve">) the taxpayer must own Shares in full legal ownership at the time the dividends are paid or attributed and (ii) the dividend distribution may not result in a reduction in value of or a capital loss on Shares. The latter condition is not applicable if the investor can demonstrate that he has held the Shares in full legal ownership for an uninterrupted period of 12 months prior to the payment or attribution of the dividends. </w:t>
      </w:r>
    </w:p>
    <w:p w14:paraId="3096839C" w14:textId="77777777" w:rsidR="00F76607" w:rsidRDefault="001863F0">
      <w:pPr>
        <w:pStyle w:val="NormalWeb"/>
        <w:keepNext/>
        <w:spacing w:before="240" w:beforeAutospacing="0" w:after="0" w:afterAutospacing="0"/>
      </w:pPr>
      <w:r>
        <w:rPr>
          <w:i/>
          <w:iCs/>
          <w:sz w:val="18"/>
          <w:szCs w:val="18"/>
        </w:rPr>
        <w:t xml:space="preserve">Belgian Resident Companies </w:t>
      </w:r>
    </w:p>
    <w:p w14:paraId="1943CDFE" w14:textId="77777777" w:rsidR="00F76607" w:rsidRDefault="001863F0">
      <w:pPr>
        <w:pStyle w:val="NormalWeb"/>
        <w:spacing w:before="240" w:beforeAutospacing="0" w:after="0" w:afterAutospacing="0"/>
      </w:pPr>
      <w:r>
        <w:rPr>
          <w:sz w:val="18"/>
          <w:szCs w:val="18"/>
          <w:u w:val="single"/>
        </w:rPr>
        <w:t xml:space="preserve">Corporate income tax </w:t>
      </w:r>
    </w:p>
    <w:p w14:paraId="59424657" w14:textId="77777777" w:rsidR="00F76607" w:rsidRDefault="001863F0">
      <w:pPr>
        <w:pStyle w:val="NormalWeb"/>
        <w:spacing w:before="240" w:beforeAutospacing="0" w:after="0" w:afterAutospacing="0"/>
        <w:ind w:firstLine="857"/>
      </w:pPr>
      <w:r>
        <w:rPr>
          <w:sz w:val="18"/>
          <w:szCs w:val="18"/>
        </w:rPr>
        <w:t>For Belgian resident companies, the gross dividend income (including the Belgian withholding tax) must be declared in the corporate income tax return and will be subject to a corporate income tax rate of 33.99%</w:t>
      </w:r>
      <w:r>
        <w:rPr>
          <w:rStyle w:val="FootnoteReference"/>
          <w:sz w:val="18"/>
          <w:szCs w:val="18"/>
        </w:rPr>
        <w:footnoteReference w:id="31"/>
      </w:r>
      <w:r>
        <w:rPr>
          <w:sz w:val="18"/>
          <w:szCs w:val="18"/>
        </w:rPr>
        <w:t xml:space="preserve">. In certain circumstances and subject to certain conditions, reduced corporate income tax rates may apply. </w:t>
      </w:r>
    </w:p>
    <w:p w14:paraId="5E9152DE" w14:textId="36228ED7" w:rsidR="00F76607" w:rsidRDefault="001863F0">
      <w:pPr>
        <w:pStyle w:val="NormalWeb"/>
        <w:spacing w:before="240" w:beforeAutospacing="0" w:after="0" w:afterAutospacing="0"/>
        <w:ind w:firstLine="857"/>
      </w:pPr>
      <w:r>
        <w:rPr>
          <w:sz w:val="18"/>
          <w:szCs w:val="18"/>
        </w:rPr>
        <w:t>Belgian resident companies can, subject to certain conditions, deduct up to 95% of the gross dividend received from the taxable income, provided that at the time of a dividend payment or attribution: (</w:t>
      </w:r>
      <w:proofErr w:type="spellStart"/>
      <w:r>
        <w:rPr>
          <w:sz w:val="18"/>
          <w:szCs w:val="18"/>
        </w:rPr>
        <w:t>i</w:t>
      </w:r>
      <w:proofErr w:type="spellEnd"/>
      <w:r>
        <w:rPr>
          <w:sz w:val="18"/>
          <w:szCs w:val="18"/>
        </w:rPr>
        <w:t>) the Belgian resident company holds Shares representing at least 10% of the Company’s share capital or a participation in the Company with an acquisition value of at least €</w:t>
      </w:r>
      <w:r w:rsidR="00C92AC8">
        <w:rPr>
          <w:sz w:val="18"/>
          <w:szCs w:val="18"/>
        </w:rPr>
        <w:t xml:space="preserve"> </w:t>
      </w:r>
      <w:r>
        <w:rPr>
          <w:sz w:val="18"/>
          <w:szCs w:val="18"/>
        </w:rPr>
        <w:t xml:space="preserve">2,500,000; (ii) the Shares have been held or will be held in full ownership for an uninterrupted period of at least one year; (iii) the conditions relating to the taxation of the underlying distributed income, as described in Article 203 of the Belgian Income Tax Code (the “Article 203 ITC Taxation Condition”) are met; and (iv) the anti-abuse provision is not applicable (together, the “Conditions for the application of the dividend received deduction regime”). </w:t>
      </w:r>
    </w:p>
    <w:p w14:paraId="0824F1A2" w14:textId="77777777" w:rsidR="00F76607" w:rsidRDefault="001863F0">
      <w:pPr>
        <w:pStyle w:val="NormalWeb"/>
        <w:spacing w:before="240" w:beforeAutospacing="0" w:after="0" w:afterAutospacing="0"/>
        <w:ind w:firstLine="857"/>
      </w:pPr>
      <w:r>
        <w:rPr>
          <w:sz w:val="18"/>
          <w:szCs w:val="18"/>
        </w:rPr>
        <w:t xml:space="preserve">The conditions for the application of the dividend received deduction regime depend on a factual analysis and for this reason the availability of this regime should be verified upon each dividend distribution. </w:t>
      </w:r>
    </w:p>
    <w:p w14:paraId="0C56854F" w14:textId="77777777" w:rsidR="00F76607" w:rsidRDefault="001863F0">
      <w:pPr>
        <w:pStyle w:val="NormalWeb"/>
        <w:spacing w:before="240" w:beforeAutospacing="0" w:after="0" w:afterAutospacing="0"/>
        <w:ind w:firstLine="857"/>
      </w:pPr>
      <w:r>
        <w:rPr>
          <w:sz w:val="18"/>
          <w:szCs w:val="18"/>
        </w:rPr>
        <w:t>Any Belgian dividend withholding tax levied at source may be credited against the corporate income tax due and is reimbursable to the extent that it exceeds the corporate income tax due, subject to two conditions: (</w:t>
      </w:r>
      <w:proofErr w:type="spellStart"/>
      <w:r>
        <w:rPr>
          <w:sz w:val="18"/>
          <w:szCs w:val="18"/>
        </w:rPr>
        <w:t>i</w:t>
      </w:r>
      <w:proofErr w:type="spellEnd"/>
      <w:r>
        <w:rPr>
          <w:sz w:val="18"/>
          <w:szCs w:val="18"/>
        </w:rPr>
        <w:t>) the taxpayer must own the Shares in full legal ownership at the time the dividends are paid or attributed and (ii) the dividend distribution may not result in a reduction in value of or a capital loss on the Shares. The latter condition is not applicable if the company can demonstrate (</w:t>
      </w:r>
      <w:proofErr w:type="spellStart"/>
      <w:r>
        <w:rPr>
          <w:sz w:val="18"/>
          <w:szCs w:val="18"/>
        </w:rPr>
        <w:t>i</w:t>
      </w:r>
      <w:proofErr w:type="spellEnd"/>
      <w:r>
        <w:rPr>
          <w:sz w:val="18"/>
          <w:szCs w:val="18"/>
        </w:rPr>
        <w:t xml:space="preserve">) that it has held the Shares in full legal ownership for an uninterrupted period of 12 months prior to the payment or attribution of the dividends or (ii) that during that period, the Shares have never been held in full legal ownership at any point in time by a taxpayer other than a) a company subject to Belgian corporate tax or b) a non-resident company having, in an uninterrupted manner, invested the Shares in a Belgian establishment. </w:t>
      </w:r>
    </w:p>
    <w:p w14:paraId="6E44D6AD" w14:textId="77777777" w:rsidR="00F76607" w:rsidRDefault="001863F0">
      <w:pPr>
        <w:pStyle w:val="NormalWeb"/>
        <w:spacing w:before="240" w:beforeAutospacing="0" w:after="0" w:afterAutospacing="0"/>
      </w:pPr>
      <w:r>
        <w:rPr>
          <w:sz w:val="18"/>
          <w:szCs w:val="18"/>
          <w:u w:val="single"/>
        </w:rPr>
        <w:t xml:space="preserve">Belgian withholding tax </w:t>
      </w:r>
    </w:p>
    <w:p w14:paraId="61ECA6C7" w14:textId="77777777" w:rsidR="00F76607" w:rsidRDefault="001863F0">
      <w:pPr>
        <w:pStyle w:val="NormalWeb"/>
        <w:spacing w:before="240" w:beforeAutospacing="0" w:after="0" w:afterAutospacing="0"/>
        <w:ind w:firstLine="857"/>
      </w:pPr>
      <w:r>
        <w:rPr>
          <w:sz w:val="18"/>
          <w:szCs w:val="18"/>
        </w:rPr>
        <w:t xml:space="preserve">Dividends distributed to a Belgian resident company will be exempt from Belgian withholding tax provided that the Belgian resident company holds, upon payment or attribution of the dividends, at least 10% of the Company’s share capital and such minimum participation is held or will be held during an uninterrupted period of at least one year. </w:t>
      </w:r>
    </w:p>
    <w:p w14:paraId="4EC70AEA" w14:textId="77777777" w:rsidR="00F76607" w:rsidRDefault="001863F0">
      <w:pPr>
        <w:pStyle w:val="NormalWeb"/>
        <w:spacing w:before="240" w:beforeAutospacing="0" w:after="0" w:afterAutospacing="0"/>
        <w:ind w:firstLine="857"/>
      </w:pPr>
      <w:r>
        <w:rPr>
          <w:sz w:val="18"/>
          <w:szCs w:val="18"/>
        </w:rPr>
        <w:t xml:space="preserve">In order to benefit from this exemption, the investor must provide the Company or its paying agent at the latest upon the attribution or payment of the dividend with a certificate confirming its qualifying status and the fact that it meets the two required conditions. If the investor holds a minimum participation for less than one year, at the time the dividends are paid on or attributed to Shares, the Company will levy the Belgian withholding tax but will not transfer it to the Belgian Treasury, provided that the investor certifies its qualifying status, the date from which the investor has held such minimum participation, and the investor’s commitment to hold the minimum participation for an uninterrupted period of at least one year. </w:t>
      </w:r>
    </w:p>
    <w:p w14:paraId="44FA9F0E" w14:textId="77777777" w:rsidR="00F76607" w:rsidRDefault="001863F0">
      <w:pPr>
        <w:pStyle w:val="NormalWeb"/>
        <w:spacing w:before="240" w:beforeAutospacing="0" w:after="0" w:afterAutospacing="0"/>
        <w:ind w:firstLine="857"/>
      </w:pPr>
      <w:r>
        <w:rPr>
          <w:sz w:val="18"/>
          <w:szCs w:val="18"/>
        </w:rPr>
        <w:t xml:space="preserve">The investor must also inform the Company or its paying agent when the one-year period has elapsed or if its shareholding will drop below 10% of the Company’s share capital before the end of the one-year holding period. Upon satisfying the one-year shareholding requirement, the Belgian provisionally withheld dividend withholding tax will be paid to the investor. </w:t>
      </w:r>
    </w:p>
    <w:p w14:paraId="5DB4B314" w14:textId="77777777" w:rsidR="00F76607" w:rsidRDefault="001863F0">
      <w:pPr>
        <w:pStyle w:val="NormalWeb"/>
        <w:spacing w:before="240" w:beforeAutospacing="0" w:after="0" w:afterAutospacing="0"/>
        <w:ind w:firstLine="857"/>
      </w:pPr>
      <w:r>
        <w:rPr>
          <w:sz w:val="18"/>
          <w:szCs w:val="18"/>
        </w:rPr>
        <w:t>Please note that the above withholding tax exemption will not be applicable to dividends which are connected to an arrangement or a series of arrangements (“</w:t>
      </w:r>
      <w:proofErr w:type="spellStart"/>
      <w:r>
        <w:rPr>
          <w:i/>
          <w:sz w:val="18"/>
          <w:szCs w:val="18"/>
        </w:rPr>
        <w:t>re</w:t>
      </w:r>
      <w:r>
        <w:rPr>
          <w:i/>
          <w:iCs/>
          <w:sz w:val="18"/>
          <w:szCs w:val="18"/>
        </w:rPr>
        <w:t>chtshandeling</w:t>
      </w:r>
      <w:proofErr w:type="spellEnd"/>
      <w:r>
        <w:rPr>
          <w:sz w:val="18"/>
          <w:szCs w:val="18"/>
        </w:rPr>
        <w:t xml:space="preserve"> </w:t>
      </w:r>
      <w:r>
        <w:rPr>
          <w:i/>
          <w:iCs/>
          <w:sz w:val="18"/>
          <w:szCs w:val="18"/>
        </w:rPr>
        <w:t>of</w:t>
      </w:r>
      <w:r>
        <w:rPr>
          <w:sz w:val="18"/>
          <w:szCs w:val="18"/>
        </w:rPr>
        <w:t xml:space="preserve"> </w:t>
      </w:r>
      <w:proofErr w:type="spellStart"/>
      <w:r>
        <w:rPr>
          <w:i/>
          <w:iCs/>
          <w:sz w:val="18"/>
          <w:szCs w:val="18"/>
        </w:rPr>
        <w:t>geheel</w:t>
      </w:r>
      <w:proofErr w:type="spellEnd"/>
      <w:r>
        <w:rPr>
          <w:sz w:val="18"/>
          <w:szCs w:val="18"/>
        </w:rPr>
        <w:t xml:space="preserve"> </w:t>
      </w:r>
      <w:r>
        <w:rPr>
          <w:i/>
          <w:iCs/>
          <w:sz w:val="18"/>
          <w:szCs w:val="18"/>
        </w:rPr>
        <w:t>van</w:t>
      </w:r>
      <w:r>
        <w:rPr>
          <w:sz w:val="18"/>
          <w:szCs w:val="18"/>
        </w:rPr>
        <w:t xml:space="preserve"> </w:t>
      </w:r>
      <w:proofErr w:type="spellStart"/>
      <w:r>
        <w:rPr>
          <w:i/>
          <w:iCs/>
          <w:sz w:val="18"/>
          <w:szCs w:val="18"/>
        </w:rPr>
        <w:t>rechtshandelingen</w:t>
      </w:r>
      <w:proofErr w:type="spellEnd"/>
      <w:r>
        <w:rPr>
          <w:i/>
          <w:iCs/>
          <w:sz w:val="18"/>
          <w:szCs w:val="18"/>
        </w:rPr>
        <w:t>”</w:t>
      </w:r>
      <w:r>
        <w:rPr>
          <w:sz w:val="18"/>
          <w:szCs w:val="18"/>
        </w:rPr>
        <w:t>/”</w:t>
      </w:r>
      <w:proofErr w:type="spellStart"/>
      <w:r>
        <w:rPr>
          <w:i/>
          <w:iCs/>
          <w:sz w:val="18"/>
          <w:szCs w:val="18"/>
        </w:rPr>
        <w:t>acte</w:t>
      </w:r>
      <w:proofErr w:type="spellEnd"/>
      <w:r>
        <w:rPr>
          <w:sz w:val="18"/>
          <w:szCs w:val="18"/>
        </w:rPr>
        <w:t xml:space="preserve"> </w:t>
      </w:r>
      <w:proofErr w:type="spellStart"/>
      <w:r>
        <w:rPr>
          <w:i/>
          <w:iCs/>
          <w:sz w:val="18"/>
          <w:szCs w:val="18"/>
        </w:rPr>
        <w:t>juridique</w:t>
      </w:r>
      <w:proofErr w:type="spellEnd"/>
      <w:r>
        <w:rPr>
          <w:sz w:val="18"/>
          <w:szCs w:val="18"/>
        </w:rPr>
        <w:t xml:space="preserve"> </w:t>
      </w:r>
      <w:proofErr w:type="spellStart"/>
      <w:r>
        <w:rPr>
          <w:i/>
          <w:iCs/>
          <w:sz w:val="18"/>
          <w:szCs w:val="18"/>
        </w:rPr>
        <w:t>ou</w:t>
      </w:r>
      <w:proofErr w:type="spellEnd"/>
      <w:r>
        <w:rPr>
          <w:sz w:val="18"/>
          <w:szCs w:val="18"/>
        </w:rPr>
        <w:t xml:space="preserve"> </w:t>
      </w:r>
      <w:r>
        <w:rPr>
          <w:i/>
          <w:iCs/>
          <w:sz w:val="18"/>
          <w:szCs w:val="18"/>
        </w:rPr>
        <w:t>un</w:t>
      </w:r>
      <w:r>
        <w:rPr>
          <w:sz w:val="18"/>
          <w:szCs w:val="18"/>
        </w:rPr>
        <w:t xml:space="preserve"> </w:t>
      </w:r>
      <w:r>
        <w:rPr>
          <w:i/>
          <w:iCs/>
          <w:sz w:val="18"/>
          <w:szCs w:val="18"/>
        </w:rPr>
        <w:t>ensemble</w:t>
      </w:r>
      <w:r>
        <w:rPr>
          <w:sz w:val="18"/>
          <w:szCs w:val="18"/>
        </w:rPr>
        <w:t xml:space="preserve"> </w:t>
      </w:r>
      <w:proofErr w:type="spellStart"/>
      <w:r>
        <w:rPr>
          <w:i/>
          <w:iCs/>
          <w:sz w:val="18"/>
          <w:szCs w:val="18"/>
        </w:rPr>
        <w:t>d’actes</w:t>
      </w:r>
      <w:proofErr w:type="spellEnd"/>
      <w:r>
        <w:rPr>
          <w:sz w:val="18"/>
          <w:szCs w:val="18"/>
        </w:rPr>
        <w:t xml:space="preserve"> </w:t>
      </w:r>
      <w:proofErr w:type="spellStart"/>
      <w:r>
        <w:rPr>
          <w:i/>
          <w:iCs/>
          <w:sz w:val="18"/>
          <w:szCs w:val="18"/>
        </w:rPr>
        <w:t>juridiques</w:t>
      </w:r>
      <w:proofErr w:type="spellEnd"/>
      <w:r>
        <w:rPr>
          <w:i/>
          <w:iCs/>
          <w:sz w:val="18"/>
          <w:szCs w:val="18"/>
        </w:rPr>
        <w:t>”</w:t>
      </w:r>
      <w:r>
        <w:rPr>
          <w:sz w:val="18"/>
          <w:szCs w:val="18"/>
        </w:rPr>
        <w:t>) for which the Belgian tax administration, taking into account all relevant facts and circumstances, has proven, unless evidence to the contrary, that this arrangement or this series of arrangements is not genuine (“</w:t>
      </w:r>
      <w:proofErr w:type="spellStart"/>
      <w:r>
        <w:rPr>
          <w:i/>
          <w:iCs/>
          <w:sz w:val="18"/>
          <w:szCs w:val="18"/>
        </w:rPr>
        <w:t>kunstmatig</w:t>
      </w:r>
      <w:proofErr w:type="spellEnd"/>
      <w:r>
        <w:rPr>
          <w:i/>
          <w:iCs/>
          <w:sz w:val="18"/>
          <w:szCs w:val="18"/>
        </w:rPr>
        <w:t>”</w:t>
      </w:r>
      <w:r>
        <w:rPr>
          <w:sz w:val="18"/>
          <w:szCs w:val="18"/>
        </w:rPr>
        <w:t>/”</w:t>
      </w:r>
      <w:r>
        <w:rPr>
          <w:i/>
          <w:iCs/>
          <w:sz w:val="18"/>
          <w:szCs w:val="18"/>
        </w:rPr>
        <w:t>non</w:t>
      </w:r>
      <w:r>
        <w:rPr>
          <w:sz w:val="18"/>
          <w:szCs w:val="18"/>
        </w:rPr>
        <w:t xml:space="preserve"> </w:t>
      </w:r>
      <w:proofErr w:type="spellStart"/>
      <w:r>
        <w:rPr>
          <w:i/>
          <w:iCs/>
          <w:sz w:val="18"/>
          <w:szCs w:val="18"/>
        </w:rPr>
        <w:t>authentique</w:t>
      </w:r>
      <w:proofErr w:type="spellEnd"/>
      <w:r>
        <w:rPr>
          <w:i/>
          <w:iCs/>
          <w:sz w:val="18"/>
          <w:szCs w:val="18"/>
        </w:rPr>
        <w:t>”</w:t>
      </w:r>
      <w:r>
        <w:rPr>
          <w:sz w:val="18"/>
          <w:szCs w:val="18"/>
        </w:rPr>
        <w:t xml:space="preserve">) and has been put in place for the main purpose or one of the main purposes of obtaining the dividend received deduction, the above dividend withholding tax exemption or one of the advantages of the EU Parent-Subsidiary Directive of November 30, 2011 (2011/96/EU) (“Parent-Subsidiary Directive”) in another EU Member State. An arrangement or a series of arrangements is regarded as not genuine to the extent that they are not put into place for valid commercial reasons which reflect economic reality. </w:t>
      </w:r>
    </w:p>
    <w:p w14:paraId="7846DBAE" w14:textId="77777777" w:rsidR="00F76607" w:rsidRDefault="001863F0">
      <w:pPr>
        <w:pStyle w:val="NormalWeb"/>
        <w:spacing w:before="180" w:beforeAutospacing="0" w:after="0" w:afterAutospacing="0"/>
        <w:rPr>
          <w:sz w:val="2"/>
          <w:szCs w:val="2"/>
        </w:rPr>
      </w:pPr>
      <w:r>
        <w:rPr>
          <w:sz w:val="2"/>
          <w:szCs w:val="2"/>
        </w:rPr>
        <w:t> </w:t>
      </w:r>
    </w:p>
    <w:p w14:paraId="5166A51C" w14:textId="77777777" w:rsidR="00F76607" w:rsidRDefault="001863F0">
      <w:pPr>
        <w:pStyle w:val="NormalWeb"/>
        <w:keepNext/>
        <w:spacing w:before="0" w:beforeAutospacing="0" w:after="0" w:afterAutospacing="0"/>
      </w:pPr>
      <w:r>
        <w:rPr>
          <w:i/>
          <w:iCs/>
          <w:sz w:val="18"/>
          <w:szCs w:val="18"/>
        </w:rPr>
        <w:lastRenderedPageBreak/>
        <w:t xml:space="preserve">Organizations for Financing Pensions </w:t>
      </w:r>
    </w:p>
    <w:p w14:paraId="69D90999" w14:textId="77777777" w:rsidR="00F76607" w:rsidRDefault="001863F0">
      <w:pPr>
        <w:pStyle w:val="NormalWeb"/>
        <w:spacing w:before="240" w:beforeAutospacing="0" w:after="0" w:afterAutospacing="0"/>
        <w:ind w:firstLine="857"/>
      </w:pPr>
      <w:r>
        <w:rPr>
          <w:sz w:val="18"/>
          <w:szCs w:val="18"/>
        </w:rPr>
        <w:t xml:space="preserve">For organizations for financing pensions (“OFPs”), </w:t>
      </w:r>
      <w:r>
        <w:rPr>
          <w:i/>
          <w:iCs/>
          <w:sz w:val="18"/>
          <w:szCs w:val="18"/>
        </w:rPr>
        <w:t>i.e.</w:t>
      </w:r>
      <w:r>
        <w:rPr>
          <w:sz w:val="18"/>
          <w:szCs w:val="18"/>
        </w:rPr>
        <w:t>, Belgian pension funds incorporated under the form of an OFP (“</w:t>
      </w:r>
      <w:proofErr w:type="spellStart"/>
      <w:r>
        <w:rPr>
          <w:i/>
          <w:iCs/>
          <w:sz w:val="18"/>
          <w:szCs w:val="18"/>
        </w:rPr>
        <w:t>organisme</w:t>
      </w:r>
      <w:proofErr w:type="spellEnd"/>
      <w:r>
        <w:rPr>
          <w:sz w:val="18"/>
          <w:szCs w:val="18"/>
        </w:rPr>
        <w:t xml:space="preserve"> </w:t>
      </w:r>
      <w:proofErr w:type="spellStart"/>
      <w:r>
        <w:rPr>
          <w:i/>
          <w:iCs/>
          <w:sz w:val="18"/>
          <w:szCs w:val="18"/>
        </w:rPr>
        <w:t>voor</w:t>
      </w:r>
      <w:proofErr w:type="spellEnd"/>
      <w:r>
        <w:rPr>
          <w:sz w:val="18"/>
          <w:szCs w:val="18"/>
        </w:rPr>
        <w:t xml:space="preserve"> </w:t>
      </w:r>
      <w:r>
        <w:rPr>
          <w:i/>
          <w:iCs/>
          <w:sz w:val="18"/>
          <w:szCs w:val="18"/>
        </w:rPr>
        <w:t>de</w:t>
      </w:r>
      <w:r>
        <w:rPr>
          <w:sz w:val="18"/>
          <w:szCs w:val="18"/>
        </w:rPr>
        <w:t xml:space="preserve"> </w:t>
      </w:r>
      <w:r>
        <w:rPr>
          <w:i/>
          <w:iCs/>
          <w:sz w:val="18"/>
          <w:szCs w:val="18"/>
        </w:rPr>
        <w:t>financiering</w:t>
      </w:r>
      <w:r>
        <w:rPr>
          <w:sz w:val="18"/>
          <w:szCs w:val="18"/>
        </w:rPr>
        <w:t xml:space="preserve"> </w:t>
      </w:r>
      <w:r>
        <w:rPr>
          <w:i/>
          <w:iCs/>
          <w:sz w:val="18"/>
          <w:szCs w:val="18"/>
        </w:rPr>
        <w:t>van</w:t>
      </w:r>
      <w:r>
        <w:rPr>
          <w:sz w:val="18"/>
          <w:szCs w:val="18"/>
        </w:rPr>
        <w:t xml:space="preserve"> </w:t>
      </w:r>
      <w:proofErr w:type="spellStart"/>
      <w:r>
        <w:rPr>
          <w:i/>
          <w:iCs/>
          <w:sz w:val="18"/>
          <w:szCs w:val="18"/>
        </w:rPr>
        <w:t>pensioenen</w:t>
      </w:r>
      <w:proofErr w:type="spellEnd"/>
      <w:r>
        <w:rPr>
          <w:i/>
          <w:iCs/>
          <w:sz w:val="18"/>
          <w:szCs w:val="18"/>
        </w:rPr>
        <w:t>”/”</w:t>
      </w:r>
      <w:proofErr w:type="spellStart"/>
      <w:r>
        <w:rPr>
          <w:i/>
          <w:iCs/>
          <w:sz w:val="18"/>
          <w:szCs w:val="18"/>
        </w:rPr>
        <w:t>organisme</w:t>
      </w:r>
      <w:proofErr w:type="spellEnd"/>
      <w:r>
        <w:rPr>
          <w:sz w:val="18"/>
          <w:szCs w:val="18"/>
        </w:rPr>
        <w:t xml:space="preserve"> </w:t>
      </w:r>
      <w:r>
        <w:rPr>
          <w:i/>
          <w:iCs/>
          <w:sz w:val="18"/>
          <w:szCs w:val="18"/>
        </w:rPr>
        <w:t>de</w:t>
      </w:r>
      <w:r>
        <w:rPr>
          <w:sz w:val="18"/>
          <w:szCs w:val="18"/>
        </w:rPr>
        <w:t xml:space="preserve"> </w:t>
      </w:r>
      <w:proofErr w:type="spellStart"/>
      <w:r>
        <w:rPr>
          <w:i/>
          <w:iCs/>
          <w:sz w:val="18"/>
          <w:szCs w:val="18"/>
        </w:rPr>
        <w:t>financement</w:t>
      </w:r>
      <w:proofErr w:type="spellEnd"/>
      <w:r>
        <w:rPr>
          <w:sz w:val="18"/>
          <w:szCs w:val="18"/>
        </w:rPr>
        <w:t xml:space="preserve"> </w:t>
      </w:r>
      <w:r>
        <w:rPr>
          <w:i/>
          <w:iCs/>
          <w:sz w:val="18"/>
          <w:szCs w:val="18"/>
        </w:rPr>
        <w:t>de</w:t>
      </w:r>
      <w:r>
        <w:rPr>
          <w:sz w:val="18"/>
          <w:szCs w:val="18"/>
        </w:rPr>
        <w:t xml:space="preserve"> </w:t>
      </w:r>
      <w:r>
        <w:rPr>
          <w:i/>
          <w:iCs/>
          <w:sz w:val="18"/>
          <w:szCs w:val="18"/>
        </w:rPr>
        <w:t>pensions”</w:t>
      </w:r>
      <w:r>
        <w:rPr>
          <w:sz w:val="18"/>
          <w:szCs w:val="18"/>
        </w:rPr>
        <w:t xml:space="preserve">) within the meaning of Article 8 of the Belgian Law of October 27, 2006, the dividend income is generally tax-exempt. Subject to certain limitations, any Belgian dividend withholding tax levied at source may be credited against the corporate income tax due and is reimbursable to the extent that it exceeds the corporate income tax due. </w:t>
      </w:r>
    </w:p>
    <w:p w14:paraId="46521809" w14:textId="77777777" w:rsidR="00F76607" w:rsidRDefault="001863F0">
      <w:pPr>
        <w:pStyle w:val="NormalWeb"/>
        <w:keepNext/>
        <w:spacing w:before="240" w:beforeAutospacing="0" w:after="0" w:afterAutospacing="0"/>
      </w:pPr>
      <w:r>
        <w:rPr>
          <w:i/>
          <w:iCs/>
          <w:sz w:val="18"/>
          <w:szCs w:val="18"/>
        </w:rPr>
        <w:t xml:space="preserve">Other Taxable Legal Entities </w:t>
      </w:r>
    </w:p>
    <w:p w14:paraId="5670E8DC" w14:textId="77777777" w:rsidR="00F76607" w:rsidRDefault="001863F0">
      <w:pPr>
        <w:pStyle w:val="NormalWeb"/>
        <w:spacing w:before="240" w:beforeAutospacing="0" w:after="0" w:afterAutospacing="0"/>
        <w:ind w:firstLine="857"/>
      </w:pPr>
      <w:r>
        <w:rPr>
          <w:sz w:val="18"/>
          <w:szCs w:val="18"/>
        </w:rPr>
        <w:t xml:space="preserve">For taxpayers subject to the Belgium income tax on legal entities, the Belgian dividend withholding tax in principle fully discharges their Belgian income tax liability in this respect. </w:t>
      </w:r>
    </w:p>
    <w:p w14:paraId="44A226B9" w14:textId="77777777" w:rsidR="00F76607" w:rsidRDefault="001863F0">
      <w:pPr>
        <w:pStyle w:val="NormalWeb"/>
        <w:keepNext/>
        <w:spacing w:before="240" w:beforeAutospacing="0" w:after="0" w:afterAutospacing="0"/>
      </w:pPr>
      <w:r>
        <w:rPr>
          <w:i/>
          <w:iCs/>
          <w:sz w:val="18"/>
          <w:szCs w:val="18"/>
        </w:rPr>
        <w:t xml:space="preserve">Belgian Non-resident Individuals and Companies </w:t>
      </w:r>
    </w:p>
    <w:p w14:paraId="1BB46924" w14:textId="77777777" w:rsidR="00F76607" w:rsidRDefault="001863F0">
      <w:pPr>
        <w:pStyle w:val="NormalWeb"/>
        <w:spacing w:before="240" w:beforeAutospacing="0" w:after="0" w:afterAutospacing="0"/>
        <w:ind w:firstLine="857"/>
      </w:pPr>
      <w:r>
        <w:rPr>
          <w:sz w:val="18"/>
          <w:szCs w:val="18"/>
        </w:rPr>
        <w:t xml:space="preserve">For non-resident individuals and companies, the Belgian dividend withholding tax will be the only tax on dividends in Belgium, unless the non-resident holds Shares in connection with a business conducted in Belgium through a Belgian establishment. </w:t>
      </w:r>
    </w:p>
    <w:p w14:paraId="73324D10" w14:textId="77777777" w:rsidR="00F76607" w:rsidRDefault="001863F0">
      <w:pPr>
        <w:pStyle w:val="NormalWeb"/>
        <w:spacing w:before="240" w:beforeAutospacing="0" w:after="0" w:afterAutospacing="0"/>
        <w:ind w:firstLine="857"/>
      </w:pPr>
      <w:r>
        <w:rPr>
          <w:sz w:val="18"/>
          <w:szCs w:val="18"/>
        </w:rPr>
        <w:t>If Shares are acquired by a non-resident in connection with a business in Belgium, the investor must report any dividends received, which will be taxable at the applicable Belgian non-resident individual or corporate income tax rate(s), as appropriate. Belgian dividend withholding tax levied at source may be credited against Belgian non-resident individual or corporate income tax and is reimbursable to the extent that it exceeds the income tax due, subject to two conditions: (</w:t>
      </w:r>
      <w:proofErr w:type="spellStart"/>
      <w:r>
        <w:rPr>
          <w:sz w:val="18"/>
          <w:szCs w:val="18"/>
        </w:rPr>
        <w:t>i</w:t>
      </w:r>
      <w:proofErr w:type="spellEnd"/>
      <w:r>
        <w:rPr>
          <w:sz w:val="18"/>
          <w:szCs w:val="18"/>
        </w:rPr>
        <w:t>) the taxpayer must own the Shares in full legal ownership at the time the dividends are paid or attributed and (ii) the dividend distribution may not result in a reduction in value of, or a capital loss on, the Shares. The latter condition is not applicable if (</w:t>
      </w:r>
      <w:proofErr w:type="spellStart"/>
      <w:r>
        <w:rPr>
          <w:sz w:val="18"/>
          <w:szCs w:val="18"/>
        </w:rPr>
        <w:t>i</w:t>
      </w:r>
      <w:proofErr w:type="spellEnd"/>
      <w:r>
        <w:rPr>
          <w:sz w:val="18"/>
          <w:szCs w:val="18"/>
        </w:rPr>
        <w:t xml:space="preserve">) the non-resident individual or the non-resident company can demonstrate that the Shares were held in legal ownership for an uninterrupted period of 12 months prior to the payment or attribution of the dividends, or (ii) the non-resident company can demonstrate that, during that period, the Shares have never been held in full legal ownership at any point in time by a taxpayer other than (a) a company subject to Belgian corporate tax or (b) a non-resident company having, in an uninterrupted manner, invested the Shares in a Belgian establishment. </w:t>
      </w:r>
    </w:p>
    <w:p w14:paraId="6BC3477C" w14:textId="77777777" w:rsidR="00F76607" w:rsidRDefault="001863F0">
      <w:pPr>
        <w:pStyle w:val="NormalWeb"/>
        <w:spacing w:before="240" w:beforeAutospacing="0" w:after="0" w:afterAutospacing="0"/>
        <w:ind w:firstLine="857"/>
      </w:pPr>
      <w:r>
        <w:rPr>
          <w:sz w:val="18"/>
          <w:szCs w:val="18"/>
        </w:rPr>
        <w:t xml:space="preserve">Non-resident companies whose Shares are attributable to a Belgian establishment may deduct up to 95% of the gross dividends included in their taxable profits if, at the date dividends are paid or attributed, the Conditions for the application of the dividend received deduction regime are met (see above). Application of the dividend received deduction regime depends, however, on a factual analysis to be made upon each distribution, and its availability should be verified upon each distribution. </w:t>
      </w:r>
    </w:p>
    <w:p w14:paraId="3D9A56CF" w14:textId="77777777" w:rsidR="00F76607" w:rsidRDefault="001863F0">
      <w:pPr>
        <w:pStyle w:val="NormalWeb"/>
        <w:keepNext/>
        <w:spacing w:before="240" w:beforeAutospacing="0" w:after="0" w:afterAutospacing="0"/>
      </w:pPr>
      <w:r>
        <w:rPr>
          <w:i/>
          <w:iCs/>
          <w:sz w:val="18"/>
          <w:szCs w:val="18"/>
        </w:rPr>
        <w:t xml:space="preserve">Belgian Dividend Withholding Tax Relief for Non-residents </w:t>
      </w:r>
    </w:p>
    <w:p w14:paraId="6501194A" w14:textId="77777777" w:rsidR="00F76607" w:rsidRDefault="001863F0">
      <w:pPr>
        <w:pStyle w:val="NormalWeb"/>
        <w:spacing w:before="240" w:beforeAutospacing="0" w:after="0" w:afterAutospacing="0"/>
        <w:ind w:firstLine="857"/>
      </w:pPr>
      <w:r>
        <w:rPr>
          <w:sz w:val="18"/>
          <w:szCs w:val="18"/>
        </w:rPr>
        <w:t>Under Belgian tax law, Belgian withholding tax is not due on dividends paid to a foreign pension fund which satisfies the following conditions: (</w:t>
      </w:r>
      <w:proofErr w:type="spellStart"/>
      <w:r>
        <w:rPr>
          <w:sz w:val="18"/>
          <w:szCs w:val="18"/>
        </w:rPr>
        <w:t>i</w:t>
      </w:r>
      <w:proofErr w:type="spellEnd"/>
      <w:r>
        <w:rPr>
          <w:sz w:val="18"/>
          <w:szCs w:val="18"/>
        </w:rPr>
        <w:t xml:space="preserve">) it is a non-resident saver in the meaning of Article 227, 3° of the Belgian Income Tax Code (“ITC”) which implies that it has separate legal personality and fiscal residence outside of Belgium; (ii) whose corporate purpose consists solely in managing and investing funds collected in order to pay legal or complementary pensions; (iii) whose activity is limited to the investment of funds collected in the exercise of its statutory mission, without any profit making aim; (iv) which is exempt from income tax in its country of residence; and (v) except in specific circumstances provided that it is not contractually obligated to redistribute the dividends to any ultimate beneficiary of such dividends for whom it would manage the Shares, nor obligated to pay a manufactured dividend with respect to the Shares under a securities borrowing transaction. The exemption will only apply if the foreign pension fund provides a certificate confirming that it is the full legal owner or usufruct holder of the Shares and that the above conditions are satisfied. The foreign pension fund must then forward that certificate to the Company or its paying agent. </w:t>
      </w:r>
    </w:p>
    <w:p w14:paraId="763420C5" w14:textId="77777777" w:rsidR="00F76607" w:rsidRDefault="001863F0">
      <w:pPr>
        <w:pStyle w:val="NormalWeb"/>
        <w:spacing w:before="240" w:beforeAutospacing="0" w:after="0" w:afterAutospacing="0"/>
        <w:ind w:firstLine="857"/>
      </w:pPr>
      <w:r>
        <w:rPr>
          <w:sz w:val="18"/>
          <w:szCs w:val="18"/>
        </w:rPr>
        <w:t>Dividends distributed to non-resident companies established in a Member State of the EU or in a country with which Belgium has concluded a double tax treaty that includes a qualifying exchange of information clause and qualifying as a parent company, will be exempt from Belgian withholding tax provided that Shares held by the non-resident company, upon payment or attribution of the dividends, amount to at least 10% of the Company’s share capital and such minimum participation is held or will be held during an uninterrupted period of at least one year. A company qualifies as a parent company provided that (</w:t>
      </w:r>
      <w:proofErr w:type="spellStart"/>
      <w:r>
        <w:rPr>
          <w:sz w:val="18"/>
          <w:szCs w:val="18"/>
        </w:rPr>
        <w:t>i</w:t>
      </w:r>
      <w:proofErr w:type="spellEnd"/>
      <w:r>
        <w:rPr>
          <w:sz w:val="18"/>
          <w:szCs w:val="18"/>
        </w:rPr>
        <w:t xml:space="preserve">) for companies established in a Member State of the EU, it has a legal form as listed in the annex to the Parent-Subsidiary Directive as amended from time to time, or, for companies established in a country with which Belgium has concluded a qualifying double tax treaty it has a legal form similar to the ones listed in such annex; (ii) it is considered to be a tax resident according to the tax laws of the country where it is established and the double tax treaties concluded between such country and third countries; and (iii) it is subject to corporate income tax or a similar tax without benefiting from a tax regime that derogates from the ordinary tax regime. </w:t>
      </w:r>
    </w:p>
    <w:p w14:paraId="48DA0D31" w14:textId="77777777" w:rsidR="00F76607" w:rsidRDefault="001863F0">
      <w:pPr>
        <w:pStyle w:val="NormalWeb"/>
        <w:spacing w:before="240" w:beforeAutospacing="0" w:after="0" w:afterAutospacing="0"/>
        <w:ind w:firstLine="857"/>
      </w:pPr>
      <w:r>
        <w:rPr>
          <w:sz w:val="18"/>
          <w:szCs w:val="18"/>
        </w:rPr>
        <w:t xml:space="preserve">In order to benefit from the above exemption, the investor must provide the Company or its paying agent with a certificate confirming its qualifying status and the fact that it meets the three abovementioned conditions. If the investor holds a minimum participation for less than one year, at the time the dividends are paid on or attributed to Shares, the Company will levy the Belgian withholding tax but will not transfer it to the Belgian Treasury provided that the investor certifies at the latest upon the attribution of the dividends its qualifying status, the date from which the investor has held such minimum participation, and the investor’s commitment to hold the minimum participation for an uninterrupted period of at least one year. </w:t>
      </w:r>
    </w:p>
    <w:p w14:paraId="7038F2BB" w14:textId="77777777" w:rsidR="00F76607" w:rsidRDefault="001863F0">
      <w:pPr>
        <w:pStyle w:val="NormalWeb"/>
        <w:spacing w:before="240" w:beforeAutospacing="0" w:after="0" w:afterAutospacing="0"/>
        <w:ind w:firstLine="857"/>
      </w:pPr>
      <w:r>
        <w:rPr>
          <w:sz w:val="18"/>
          <w:szCs w:val="18"/>
        </w:rPr>
        <w:t xml:space="preserve">The investor must also inform the Company or its paying agent if the one-year period has expired or if its shareholding will drop below 10% of the Company’s share capital before the end of the one-year holding period. Upon satisfying the one-year shareholding requirement, the provisionally withheld dividend withholding tax will be paid to the investor. </w:t>
      </w:r>
    </w:p>
    <w:p w14:paraId="53C4D948" w14:textId="77777777" w:rsidR="00F76607" w:rsidRDefault="001863F0">
      <w:pPr>
        <w:pStyle w:val="NormalWeb"/>
        <w:spacing w:before="240" w:beforeAutospacing="0" w:after="0" w:afterAutospacing="0"/>
        <w:ind w:firstLine="857"/>
      </w:pPr>
      <w:r>
        <w:rPr>
          <w:sz w:val="18"/>
          <w:szCs w:val="18"/>
        </w:rPr>
        <w:lastRenderedPageBreak/>
        <w:t>Please note that the above withholding tax exemption will not be applicable to dividends which are connected to an arrangement or a series of arrangements (“</w:t>
      </w:r>
      <w:proofErr w:type="spellStart"/>
      <w:r>
        <w:rPr>
          <w:i/>
          <w:iCs/>
          <w:sz w:val="18"/>
          <w:szCs w:val="18"/>
        </w:rPr>
        <w:t>rechtshandeling</w:t>
      </w:r>
      <w:proofErr w:type="spellEnd"/>
      <w:r>
        <w:rPr>
          <w:sz w:val="18"/>
          <w:szCs w:val="18"/>
        </w:rPr>
        <w:t xml:space="preserve"> </w:t>
      </w:r>
      <w:r>
        <w:rPr>
          <w:i/>
          <w:iCs/>
          <w:sz w:val="18"/>
          <w:szCs w:val="18"/>
        </w:rPr>
        <w:t>of</w:t>
      </w:r>
      <w:r>
        <w:rPr>
          <w:sz w:val="18"/>
          <w:szCs w:val="18"/>
        </w:rPr>
        <w:t xml:space="preserve"> </w:t>
      </w:r>
      <w:proofErr w:type="spellStart"/>
      <w:r>
        <w:rPr>
          <w:i/>
          <w:iCs/>
          <w:sz w:val="18"/>
          <w:szCs w:val="18"/>
        </w:rPr>
        <w:t>geheel</w:t>
      </w:r>
      <w:proofErr w:type="spellEnd"/>
      <w:r>
        <w:rPr>
          <w:sz w:val="18"/>
          <w:szCs w:val="18"/>
        </w:rPr>
        <w:t xml:space="preserve"> </w:t>
      </w:r>
      <w:r>
        <w:rPr>
          <w:i/>
          <w:iCs/>
          <w:sz w:val="18"/>
          <w:szCs w:val="18"/>
        </w:rPr>
        <w:t>van</w:t>
      </w:r>
      <w:r>
        <w:rPr>
          <w:sz w:val="18"/>
          <w:szCs w:val="18"/>
        </w:rPr>
        <w:t xml:space="preserve"> </w:t>
      </w:r>
      <w:proofErr w:type="spellStart"/>
      <w:r>
        <w:rPr>
          <w:i/>
          <w:iCs/>
          <w:sz w:val="18"/>
          <w:szCs w:val="18"/>
        </w:rPr>
        <w:t>rechtshandelingen</w:t>
      </w:r>
      <w:proofErr w:type="spellEnd"/>
      <w:r>
        <w:rPr>
          <w:i/>
          <w:iCs/>
          <w:sz w:val="18"/>
          <w:szCs w:val="18"/>
        </w:rPr>
        <w:t>”/”</w:t>
      </w:r>
      <w:proofErr w:type="spellStart"/>
      <w:r>
        <w:rPr>
          <w:i/>
          <w:iCs/>
          <w:sz w:val="18"/>
          <w:szCs w:val="18"/>
        </w:rPr>
        <w:t>acte</w:t>
      </w:r>
      <w:proofErr w:type="spellEnd"/>
      <w:r>
        <w:rPr>
          <w:sz w:val="18"/>
          <w:szCs w:val="18"/>
        </w:rPr>
        <w:t xml:space="preserve"> </w:t>
      </w:r>
      <w:proofErr w:type="spellStart"/>
      <w:r>
        <w:rPr>
          <w:i/>
          <w:iCs/>
          <w:sz w:val="18"/>
          <w:szCs w:val="18"/>
        </w:rPr>
        <w:t>juridique</w:t>
      </w:r>
      <w:proofErr w:type="spellEnd"/>
      <w:r>
        <w:rPr>
          <w:sz w:val="18"/>
          <w:szCs w:val="18"/>
        </w:rPr>
        <w:t xml:space="preserve"> </w:t>
      </w:r>
      <w:proofErr w:type="spellStart"/>
      <w:r>
        <w:rPr>
          <w:i/>
          <w:iCs/>
          <w:sz w:val="18"/>
          <w:szCs w:val="18"/>
        </w:rPr>
        <w:t>ou</w:t>
      </w:r>
      <w:proofErr w:type="spellEnd"/>
      <w:r>
        <w:rPr>
          <w:sz w:val="18"/>
          <w:szCs w:val="18"/>
        </w:rPr>
        <w:t xml:space="preserve"> </w:t>
      </w:r>
      <w:r>
        <w:rPr>
          <w:i/>
          <w:iCs/>
          <w:sz w:val="18"/>
          <w:szCs w:val="18"/>
        </w:rPr>
        <w:t>un</w:t>
      </w:r>
      <w:r>
        <w:rPr>
          <w:sz w:val="18"/>
          <w:szCs w:val="18"/>
        </w:rPr>
        <w:t xml:space="preserve"> </w:t>
      </w:r>
      <w:r>
        <w:rPr>
          <w:i/>
          <w:iCs/>
          <w:sz w:val="18"/>
          <w:szCs w:val="18"/>
        </w:rPr>
        <w:t>ensemble</w:t>
      </w:r>
      <w:r>
        <w:rPr>
          <w:sz w:val="18"/>
          <w:szCs w:val="18"/>
        </w:rPr>
        <w:t xml:space="preserve"> </w:t>
      </w:r>
      <w:proofErr w:type="spellStart"/>
      <w:r>
        <w:rPr>
          <w:i/>
          <w:iCs/>
          <w:sz w:val="18"/>
          <w:szCs w:val="18"/>
        </w:rPr>
        <w:t>d’actes</w:t>
      </w:r>
      <w:proofErr w:type="spellEnd"/>
      <w:r>
        <w:rPr>
          <w:sz w:val="18"/>
          <w:szCs w:val="18"/>
        </w:rPr>
        <w:t xml:space="preserve"> </w:t>
      </w:r>
      <w:proofErr w:type="spellStart"/>
      <w:r>
        <w:rPr>
          <w:i/>
          <w:iCs/>
          <w:sz w:val="18"/>
          <w:szCs w:val="18"/>
        </w:rPr>
        <w:t>juridiques</w:t>
      </w:r>
      <w:proofErr w:type="spellEnd"/>
      <w:r>
        <w:rPr>
          <w:i/>
          <w:iCs/>
          <w:sz w:val="18"/>
          <w:szCs w:val="18"/>
        </w:rPr>
        <w:t>”</w:t>
      </w:r>
      <w:r>
        <w:rPr>
          <w:sz w:val="18"/>
          <w:szCs w:val="18"/>
        </w:rPr>
        <w:t>) for which the Belgian tax administration, taking into account all relevant facts and circumstances, has proven, unless evidence to the contrary, that this arrangement or this series of arrangements is not genuine (“</w:t>
      </w:r>
      <w:proofErr w:type="spellStart"/>
      <w:r>
        <w:rPr>
          <w:i/>
          <w:iCs/>
          <w:sz w:val="18"/>
          <w:szCs w:val="18"/>
        </w:rPr>
        <w:t>kunstmatig</w:t>
      </w:r>
      <w:proofErr w:type="spellEnd"/>
      <w:r>
        <w:rPr>
          <w:i/>
          <w:iCs/>
          <w:sz w:val="18"/>
          <w:szCs w:val="18"/>
        </w:rPr>
        <w:t>”/”non</w:t>
      </w:r>
      <w:r>
        <w:rPr>
          <w:sz w:val="18"/>
          <w:szCs w:val="18"/>
        </w:rPr>
        <w:t xml:space="preserve"> </w:t>
      </w:r>
      <w:proofErr w:type="spellStart"/>
      <w:r>
        <w:rPr>
          <w:i/>
          <w:iCs/>
          <w:sz w:val="18"/>
          <w:szCs w:val="18"/>
        </w:rPr>
        <w:t>authentique</w:t>
      </w:r>
      <w:proofErr w:type="spellEnd"/>
      <w:r>
        <w:rPr>
          <w:i/>
          <w:iCs/>
          <w:sz w:val="18"/>
          <w:szCs w:val="18"/>
        </w:rPr>
        <w:t>”</w:t>
      </w:r>
      <w:r>
        <w:rPr>
          <w:sz w:val="18"/>
          <w:szCs w:val="18"/>
        </w:rPr>
        <w:t xml:space="preserve">) and has been put in place for the main purpose or one of the main purposes of obtaining the dividend received deduction, the above dividend withholding tax exemption or one of the advantages of the Parent-Subsidiary Directive in another EU Member State. An arrangement or a series of arrangements is regarded as not genuine to the extent that they are not put into place for valid commercial reasons which reflect economic reality. </w:t>
      </w:r>
    </w:p>
    <w:p w14:paraId="41D087FB" w14:textId="12B7108D" w:rsidR="00F76607" w:rsidRDefault="001863F0">
      <w:pPr>
        <w:pStyle w:val="NormalWeb"/>
        <w:spacing w:before="240" w:beforeAutospacing="0" w:after="0" w:afterAutospacing="0"/>
        <w:ind w:firstLine="857"/>
      </w:pPr>
      <w:r>
        <w:rPr>
          <w:sz w:val="18"/>
          <w:szCs w:val="18"/>
        </w:rPr>
        <w:t>Dividends distributed to non-resident companies are subject to a reduced Belgian withholding tax of 1.6995% (the “Reduced Withholding Tax”) in case (</w:t>
      </w:r>
      <w:proofErr w:type="spellStart"/>
      <w:r>
        <w:rPr>
          <w:sz w:val="18"/>
          <w:szCs w:val="18"/>
        </w:rPr>
        <w:t>i</w:t>
      </w:r>
      <w:proofErr w:type="spellEnd"/>
      <w:r>
        <w:rPr>
          <w:sz w:val="18"/>
          <w:szCs w:val="18"/>
        </w:rPr>
        <w:t>) the non-resident company is established in the European Economic Area or in a country with which Belgium has concluded a tax treaty that includes a qualifying exchange of information clause, (ii) the non-resident company is subject to corporate income tax or a similar tax without benefiting from a tax regime that derogates from the ordinary tax regime, (iii) the non-resident company does not satisfy the 10%-participation threshold but has a participation in the Company with an acquisition value of at least €</w:t>
      </w:r>
      <w:r w:rsidR="00C92AC8">
        <w:rPr>
          <w:sz w:val="18"/>
          <w:szCs w:val="18"/>
        </w:rPr>
        <w:t xml:space="preserve"> </w:t>
      </w:r>
      <w:r>
        <w:rPr>
          <w:sz w:val="18"/>
          <w:szCs w:val="18"/>
        </w:rPr>
        <w:t>2,500,000 on the date the dividend is paid on or attributed, (iv) the dividends relate to shares which are or will be held in full ownership for at least one year without interruption; (v) the non-resident company has a legal form as listed in the annex to the Parent-Subsidiary Directive, as amended from time to time, or, has a legal form similar to the ones listed in such annex that is governed by the laws of another Member State of the EEA, or, has a legal form similar to the ones listed in such annex in a country with which Belgium has concluded a qualifying double tax treaty, (vi) the dividends are not paid or attributed by a company which falls within the scope of Article 203 ITC (</w:t>
      </w:r>
      <w:r>
        <w:rPr>
          <w:i/>
          <w:iCs/>
          <w:sz w:val="18"/>
          <w:szCs w:val="18"/>
        </w:rPr>
        <w:t>i.e.</w:t>
      </w:r>
      <w:r>
        <w:rPr>
          <w:sz w:val="18"/>
          <w:szCs w:val="18"/>
        </w:rPr>
        <w:t xml:space="preserve">, the Article 203 ITC Taxation Condition must be met; see above), and (vii) the anti-abuse provision is not applicable. The Reduced Withholding Tax only applies if and to the extent that the ordinary Belgian withholding tax is, in principle, neither creditable nor reimbursable in the hands of the non-resident company. </w:t>
      </w:r>
    </w:p>
    <w:p w14:paraId="77FD8671" w14:textId="0D3D90BF" w:rsidR="00F76607" w:rsidRDefault="001863F0">
      <w:pPr>
        <w:pStyle w:val="NormalWeb"/>
        <w:spacing w:before="240" w:beforeAutospacing="0" w:after="0" w:afterAutospacing="0"/>
        <w:ind w:firstLine="857"/>
      </w:pPr>
      <w:r>
        <w:rPr>
          <w:sz w:val="18"/>
          <w:szCs w:val="18"/>
        </w:rPr>
        <w:t>In order to benefit from the Reduced Withholding Tax, the investor must provide the Company or its paying agent with a certificate confirming (</w:t>
      </w:r>
      <w:proofErr w:type="spellStart"/>
      <w:r>
        <w:rPr>
          <w:sz w:val="18"/>
          <w:szCs w:val="18"/>
        </w:rPr>
        <w:t>i</w:t>
      </w:r>
      <w:proofErr w:type="spellEnd"/>
      <w:r>
        <w:rPr>
          <w:sz w:val="18"/>
          <w:szCs w:val="18"/>
        </w:rPr>
        <w:t>) it is established in another EEA Member State or in a State with which Belgium has concluded a tax treaty, provided that the tax treaty or any other treaty provides for the exchange or information which is necessary to give effect to the provisions of the domestic laws of the Contracting States, (ii) it has a legal form as listed in the Annex I, part A of the Parent-Subsidiary Directive, as amended by Directive 2014/86/EU of July 8, or a legal form similar to the ones listed in said Annex and governed by the laws of the EEA Member State, or a legal form similar to the ones listed in said Annex in a country with which Belgium has concluded a tax treaty, (iii) it is subject to corporate income tax or a similar tax without benefiting from a tax regime that deviates from the ordinary domestic tax regime, (iv) it holds a participation of less than 10% in the capital of the Company but with an acquisition value of at least €</w:t>
      </w:r>
      <w:r w:rsidR="00C92AC8">
        <w:rPr>
          <w:sz w:val="18"/>
          <w:szCs w:val="18"/>
        </w:rPr>
        <w:t xml:space="preserve"> </w:t>
      </w:r>
      <w:r>
        <w:rPr>
          <w:sz w:val="18"/>
          <w:szCs w:val="18"/>
        </w:rPr>
        <w:t>2,500,000 on the date the dividend is paid on or attributed, (v) the dividends relate to Shares in the Company which it has held or will hold in full legal ownership for an uninterrupted period of at least one year, (vi) it cannot in principle credit the Belgian withholding tax paid on the dividends or obtain a refund thereof according to the legal provisions in force on December 31 of the year preceding the year of the payment or attribution of the dividends. The Company or the paying agent may also request confirmation from the investor that the investor commits to keep the participation with an acquisition value of at least €</w:t>
      </w:r>
      <w:r w:rsidR="00C92AC8">
        <w:rPr>
          <w:sz w:val="18"/>
          <w:szCs w:val="18"/>
        </w:rPr>
        <w:t xml:space="preserve"> </w:t>
      </w:r>
      <w:r>
        <w:rPr>
          <w:sz w:val="18"/>
          <w:szCs w:val="18"/>
        </w:rPr>
        <w:t xml:space="preserve">2,500,000 until the completion of the minimum holding period of one year and that the investor immediately notifies the Company or the paying agent of the completion of said one year holding period. The investor must furthermore provide on the certificate its full name, legal form, address and fiscal identification number, if applicable. </w:t>
      </w:r>
    </w:p>
    <w:p w14:paraId="541B8A38" w14:textId="77777777" w:rsidR="00F76607" w:rsidRDefault="001863F0">
      <w:pPr>
        <w:pStyle w:val="NormalWeb"/>
        <w:spacing w:before="240" w:beforeAutospacing="0" w:after="0" w:afterAutospacing="0"/>
        <w:ind w:firstLine="857"/>
      </w:pPr>
      <w:r>
        <w:rPr>
          <w:sz w:val="18"/>
          <w:szCs w:val="18"/>
        </w:rPr>
        <w:t xml:space="preserve">Belgium has concluded tax treaties with over 90 countries, reducing the Belgian dividend withholding tax rate to 20%, 15%, 10%, 5% or 0% for residents of those countries, depending on conditions, amongst others, related to the size of the shareholding and certain identification formalities. Such reduction may be obtained either directly at source or through a refund of taxes withheld in excess of the applicable tax treaty rate. </w:t>
      </w:r>
    </w:p>
    <w:p w14:paraId="3F927936" w14:textId="77777777" w:rsidR="00F76607" w:rsidRDefault="001863F0">
      <w:pPr>
        <w:pStyle w:val="NormalWeb"/>
        <w:spacing w:before="240" w:beforeAutospacing="0" w:after="0" w:afterAutospacing="0"/>
        <w:ind w:firstLine="857"/>
      </w:pPr>
      <w:r>
        <w:rPr>
          <w:sz w:val="18"/>
          <w:szCs w:val="18"/>
        </w:rPr>
        <w:t xml:space="preserve">Prospective holders should consult their own tax advisors as to whether they qualify for reduced rate of Belgian withholding tax on dividends, and as to the procedural requirements for obtaining such reduced rate of Belgian withholding tax (either upon the payment of dividends or further to refund claims). </w:t>
      </w:r>
    </w:p>
    <w:p w14:paraId="7140D18C" w14:textId="77777777" w:rsidR="00F76607" w:rsidRDefault="001863F0">
      <w:pPr>
        <w:pStyle w:val="NormalWeb"/>
        <w:keepNext/>
        <w:spacing w:before="240" w:beforeAutospacing="0" w:after="0" w:afterAutospacing="0"/>
      </w:pPr>
      <w:r>
        <w:rPr>
          <w:b/>
          <w:bCs/>
          <w:i/>
          <w:iCs/>
          <w:sz w:val="18"/>
          <w:szCs w:val="18"/>
        </w:rPr>
        <w:t xml:space="preserve">Capital Gains and Losses on Shares </w:t>
      </w:r>
    </w:p>
    <w:p w14:paraId="5EB3EC42" w14:textId="77777777" w:rsidR="00F76607" w:rsidRDefault="001863F0">
      <w:pPr>
        <w:pStyle w:val="NormalWeb"/>
        <w:keepNext/>
        <w:spacing w:before="240" w:beforeAutospacing="0" w:after="0" w:afterAutospacing="0"/>
      </w:pPr>
      <w:r>
        <w:rPr>
          <w:i/>
          <w:iCs/>
          <w:sz w:val="18"/>
          <w:szCs w:val="18"/>
        </w:rPr>
        <w:t xml:space="preserve">Belgian Resident Individuals </w:t>
      </w:r>
    </w:p>
    <w:p w14:paraId="377B7851" w14:textId="77777777" w:rsidR="00F76607" w:rsidRDefault="001863F0">
      <w:pPr>
        <w:pStyle w:val="NormalWeb"/>
        <w:spacing w:before="240" w:beforeAutospacing="0" w:after="0" w:afterAutospacing="0"/>
        <w:ind w:firstLine="857"/>
      </w:pPr>
      <w:r>
        <w:rPr>
          <w:sz w:val="18"/>
          <w:szCs w:val="18"/>
        </w:rPr>
        <w:t xml:space="preserve">In principle, Belgian resident individuals acquiring and holding Shares as a private investment should not be subject to Belgian capital gains tax on the disposal of Shares, and capital losses are not tax deductible. </w:t>
      </w:r>
    </w:p>
    <w:p w14:paraId="16C39B30" w14:textId="77777777" w:rsidR="00F76607" w:rsidRDefault="001863F0">
      <w:pPr>
        <w:pStyle w:val="NormalWeb"/>
        <w:spacing w:before="180" w:beforeAutospacing="0" w:after="0" w:afterAutospacing="0"/>
        <w:rPr>
          <w:sz w:val="2"/>
          <w:szCs w:val="2"/>
        </w:rPr>
      </w:pPr>
      <w:r>
        <w:rPr>
          <w:sz w:val="2"/>
          <w:szCs w:val="2"/>
        </w:rPr>
        <w:t> </w:t>
      </w:r>
    </w:p>
    <w:p w14:paraId="69253928" w14:textId="77777777" w:rsidR="00F76607" w:rsidRDefault="001863F0">
      <w:pPr>
        <w:pStyle w:val="NormalWeb"/>
        <w:spacing w:before="0" w:beforeAutospacing="0" w:after="0" w:afterAutospacing="0"/>
        <w:ind w:firstLine="857"/>
      </w:pPr>
      <w:r>
        <w:rPr>
          <w:sz w:val="18"/>
          <w:szCs w:val="18"/>
        </w:rPr>
        <w:t xml:space="preserve">However, capital gains realized by a private individual on the disposal of Shares are taxable at 33% (plus local surcharges) if the capital gain is deemed to be speculative or to be realized outside the scope of the normal management of the individual’s private estate. Capital losses, however, are generally not tax deductible. </w:t>
      </w:r>
    </w:p>
    <w:p w14:paraId="540EA0A0" w14:textId="77777777" w:rsidR="00F76607" w:rsidRDefault="001863F0">
      <w:pPr>
        <w:pStyle w:val="NormalWeb"/>
        <w:spacing w:before="240" w:beforeAutospacing="0" w:after="0" w:afterAutospacing="0"/>
        <w:ind w:firstLine="857"/>
      </w:pPr>
      <w:r>
        <w:rPr>
          <w:sz w:val="18"/>
          <w:szCs w:val="18"/>
        </w:rPr>
        <w:t xml:space="preserve">Moreover, capital gains </w:t>
      </w:r>
      <w:proofErr w:type="spellStart"/>
      <w:r>
        <w:rPr>
          <w:sz w:val="18"/>
          <w:szCs w:val="18"/>
        </w:rPr>
        <w:t>realised</w:t>
      </w:r>
      <w:proofErr w:type="spellEnd"/>
      <w:r>
        <w:rPr>
          <w:sz w:val="18"/>
          <w:szCs w:val="18"/>
        </w:rPr>
        <w:t xml:space="preserve"> by Belgian resident individuals on the disposal of Shares for consideration, outside the exercise of a professional activity, to a non-resident company (or a body constituted in a similar legal form), to a foreign State (or one of its political subdivisions or local authorities) or to a non-resident legal entity, are in principle taxable at a rate of 16.5% (plus local surcharges) if, at any time during the five years preceding the sale, the Belgian resident individual has owned directly or indirectly, alone or with his/her spouse or with certain relatives, a substantial shareholding in the Company (</w:t>
      </w:r>
      <w:r>
        <w:rPr>
          <w:i/>
          <w:iCs/>
          <w:sz w:val="18"/>
          <w:szCs w:val="18"/>
        </w:rPr>
        <w:t>i.e.</w:t>
      </w:r>
      <w:r>
        <w:rPr>
          <w:sz w:val="18"/>
          <w:szCs w:val="18"/>
        </w:rPr>
        <w:t xml:space="preserve">, a shareholding of more than 25% in the Company). This capital gains tax does not apply if the Shares are transferred to the above mentioned persons provided that they are established in the EEA. Capital losses are, however, not tax deductible. </w:t>
      </w:r>
    </w:p>
    <w:p w14:paraId="503505F2" w14:textId="77777777" w:rsidR="00F76607" w:rsidRDefault="001863F0">
      <w:pPr>
        <w:pStyle w:val="NormalWeb"/>
        <w:spacing w:before="240" w:beforeAutospacing="0" w:after="0" w:afterAutospacing="0"/>
        <w:ind w:firstLine="857"/>
      </w:pPr>
      <w:r>
        <w:rPr>
          <w:sz w:val="18"/>
          <w:szCs w:val="18"/>
        </w:rPr>
        <w:lastRenderedPageBreak/>
        <w:t xml:space="preserve">Belgian resident individuals who hold Shares for professional purposes are taxable at the ordinary progressive personal income tax rates (plus local surcharges) on any capital gains realized upon the disposal of Shares, except for Shares held for more than five years, which are taxable at a separate rate of 16.5% (plus local surcharges). Capital losses on Shares incurred by Belgian resident individuals who hold Shares for professional purposes are in principle tax deductible. </w:t>
      </w:r>
    </w:p>
    <w:p w14:paraId="1D31FD5E" w14:textId="77777777" w:rsidR="00F76607" w:rsidRDefault="001863F0">
      <w:pPr>
        <w:pStyle w:val="NormalWeb"/>
        <w:spacing w:before="240" w:beforeAutospacing="0" w:after="0" w:afterAutospacing="0"/>
        <w:ind w:firstLine="857"/>
      </w:pPr>
      <w:r>
        <w:rPr>
          <w:sz w:val="18"/>
          <w:szCs w:val="18"/>
        </w:rPr>
        <w:t xml:space="preserve">Capital gains realized by Belgian resident individuals upon the redemption of Shares or upon the liquidation of the Company will generally be taxable as a dividend (see above). </w:t>
      </w:r>
    </w:p>
    <w:p w14:paraId="21D1BA92" w14:textId="77777777" w:rsidR="00F76607" w:rsidRDefault="001863F0">
      <w:pPr>
        <w:pStyle w:val="NormalWeb"/>
        <w:keepNext/>
        <w:spacing w:before="240" w:beforeAutospacing="0" w:after="0" w:afterAutospacing="0"/>
      </w:pPr>
      <w:r>
        <w:rPr>
          <w:i/>
          <w:iCs/>
          <w:sz w:val="18"/>
          <w:szCs w:val="18"/>
        </w:rPr>
        <w:t xml:space="preserve">Belgian Resident Companies </w:t>
      </w:r>
    </w:p>
    <w:p w14:paraId="05EF2818" w14:textId="77777777" w:rsidR="00F76607" w:rsidRDefault="001863F0">
      <w:pPr>
        <w:pStyle w:val="NormalWeb"/>
        <w:spacing w:before="240" w:beforeAutospacing="0" w:after="0" w:afterAutospacing="0"/>
        <w:ind w:firstLine="857"/>
      </w:pPr>
      <w:r>
        <w:rPr>
          <w:sz w:val="18"/>
          <w:szCs w:val="18"/>
        </w:rPr>
        <w:t>Belgian resident companies (not being small enterprises within the meaning of Article 15 of the Belgian Companies Code, hereinafter referred to as “Small Enterprises”) are subject to Belgian capital gains taxation at a separate rate of 0.412% on gains realized upon the disposal of Shares, provided that: (</w:t>
      </w:r>
      <w:proofErr w:type="spellStart"/>
      <w:r>
        <w:rPr>
          <w:sz w:val="18"/>
          <w:szCs w:val="18"/>
        </w:rPr>
        <w:t>i</w:t>
      </w:r>
      <w:proofErr w:type="spellEnd"/>
      <w:r>
        <w:rPr>
          <w:sz w:val="18"/>
          <w:szCs w:val="18"/>
        </w:rPr>
        <w:t xml:space="preserve">) the Article 203 ITC Taxation Condition is met and (ii) the Shares have been held in full legal ownership for an uninterrupted period of at least one year. The 0.412% separate capital gains tax rate cannot be off-set by any tax assets (such as, </w:t>
      </w:r>
      <w:r>
        <w:rPr>
          <w:i/>
          <w:iCs/>
          <w:sz w:val="18"/>
          <w:szCs w:val="18"/>
        </w:rPr>
        <w:t>e.g.</w:t>
      </w:r>
      <w:r>
        <w:rPr>
          <w:sz w:val="18"/>
          <w:szCs w:val="18"/>
        </w:rPr>
        <w:t>, tax losses)</w:t>
      </w:r>
      <w:r>
        <w:rPr>
          <w:rStyle w:val="FootnoteReference"/>
          <w:sz w:val="18"/>
          <w:szCs w:val="18"/>
        </w:rPr>
        <w:footnoteReference w:id="32"/>
      </w:r>
      <w:r>
        <w:rPr>
          <w:sz w:val="18"/>
          <w:szCs w:val="18"/>
        </w:rPr>
        <w:t xml:space="preserve">. </w:t>
      </w:r>
    </w:p>
    <w:p w14:paraId="42E1C4E9" w14:textId="77777777" w:rsidR="00F76607" w:rsidRDefault="001863F0">
      <w:pPr>
        <w:pStyle w:val="NormalWeb"/>
        <w:spacing w:before="240" w:beforeAutospacing="0" w:after="0" w:afterAutospacing="0"/>
        <w:ind w:firstLine="857"/>
      </w:pPr>
      <w:r>
        <w:rPr>
          <w:sz w:val="18"/>
          <w:szCs w:val="18"/>
        </w:rPr>
        <w:t>Belgian resident companies qualifying as Small Enterprises are in principle not subject to Belgian capital gains taxation on gains realized upon the disposal of the Shares provided that (</w:t>
      </w:r>
      <w:proofErr w:type="spellStart"/>
      <w:r>
        <w:rPr>
          <w:sz w:val="18"/>
          <w:szCs w:val="18"/>
        </w:rPr>
        <w:t>i</w:t>
      </w:r>
      <w:proofErr w:type="spellEnd"/>
      <w:r>
        <w:rPr>
          <w:sz w:val="18"/>
          <w:szCs w:val="18"/>
        </w:rPr>
        <w:t xml:space="preserve">) the Article 203 ITC Taxation Condition is met and (ii) the Shares have been held in full legal ownership for an uninterrupted period of at least one year. </w:t>
      </w:r>
    </w:p>
    <w:p w14:paraId="6A4BEE37" w14:textId="77777777" w:rsidR="00F76607" w:rsidRDefault="001863F0">
      <w:pPr>
        <w:pStyle w:val="NormalWeb"/>
        <w:spacing w:before="240" w:beforeAutospacing="0" w:after="0" w:afterAutospacing="0"/>
        <w:ind w:firstLine="857"/>
      </w:pPr>
      <w:r>
        <w:rPr>
          <w:sz w:val="18"/>
          <w:szCs w:val="18"/>
        </w:rPr>
        <w:t xml:space="preserve">If the one-year minimum holding period condition would not be met (but the Article 203 ITC Taxation Condition is met) then the capital gains realized upon the disposal of Shares by Belgian resident companies (both non-Small Enterprises and Small Enterprises) would be taxable at a separate corporate income tax rate of 25.75%. </w:t>
      </w:r>
    </w:p>
    <w:p w14:paraId="7DFEB06F" w14:textId="77777777" w:rsidR="00F76607" w:rsidRDefault="001863F0">
      <w:pPr>
        <w:pStyle w:val="NormalWeb"/>
        <w:spacing w:before="240" w:beforeAutospacing="0" w:after="0" w:afterAutospacing="0"/>
        <w:ind w:firstLine="857"/>
      </w:pPr>
      <w:r>
        <w:rPr>
          <w:sz w:val="18"/>
          <w:szCs w:val="18"/>
        </w:rPr>
        <w:t xml:space="preserve">Capital losses on Shares incurred by resident companies (both non-Small Enterprises and Small Enterprises) are as a general rule not tax deductible. </w:t>
      </w:r>
    </w:p>
    <w:p w14:paraId="2EC38737" w14:textId="77777777" w:rsidR="00F76607" w:rsidRDefault="001863F0">
      <w:pPr>
        <w:pStyle w:val="NormalWeb"/>
        <w:spacing w:before="240" w:beforeAutospacing="0" w:after="0" w:afterAutospacing="0"/>
        <w:ind w:firstLine="857"/>
      </w:pPr>
      <w:r>
        <w:rPr>
          <w:sz w:val="18"/>
          <w:szCs w:val="18"/>
        </w:rPr>
        <w:t xml:space="preserve">Capital gains realized by Belgian resident companies upon the redemption of Shares or upon the liquidation of the Company will, in principle, be subject to the same taxation regime as dividends (see above). </w:t>
      </w:r>
    </w:p>
    <w:p w14:paraId="1E270A3F" w14:textId="77777777" w:rsidR="00F76607" w:rsidRDefault="001863F0">
      <w:pPr>
        <w:pStyle w:val="NormalWeb"/>
        <w:spacing w:before="240" w:beforeAutospacing="0" w:after="0" w:afterAutospacing="0"/>
        <w:ind w:firstLine="857"/>
      </w:pPr>
      <w:r>
        <w:rPr>
          <w:sz w:val="18"/>
          <w:szCs w:val="18"/>
        </w:rPr>
        <w:t xml:space="preserve">Shares held in the trading portfolios of qualifying credit institutions, investment enterprises and management companies of undertakings for collective investment are subject to a different tax regime. The capital gains </w:t>
      </w:r>
      <w:proofErr w:type="spellStart"/>
      <w:r>
        <w:rPr>
          <w:sz w:val="18"/>
          <w:szCs w:val="18"/>
        </w:rPr>
        <w:t>realised</w:t>
      </w:r>
      <w:proofErr w:type="spellEnd"/>
      <w:r>
        <w:rPr>
          <w:sz w:val="18"/>
          <w:szCs w:val="18"/>
        </w:rPr>
        <w:t xml:space="preserve"> by these investors will be subject to corporate income tax at the general rates, and capital losses are tax deductible. Internal transfers to and from the trading portfolio are assimilated to a realization. </w:t>
      </w:r>
    </w:p>
    <w:p w14:paraId="5AC0CE61" w14:textId="77777777" w:rsidR="00F76607" w:rsidRDefault="001863F0">
      <w:pPr>
        <w:pStyle w:val="NormalWeb"/>
        <w:keepNext/>
        <w:spacing w:before="240" w:beforeAutospacing="0" w:after="0" w:afterAutospacing="0"/>
      </w:pPr>
      <w:r>
        <w:rPr>
          <w:i/>
          <w:iCs/>
          <w:sz w:val="18"/>
          <w:szCs w:val="18"/>
        </w:rPr>
        <w:t xml:space="preserve">Organizations for Financing Pensions </w:t>
      </w:r>
    </w:p>
    <w:p w14:paraId="31BA419F" w14:textId="77777777" w:rsidR="00F76607" w:rsidRDefault="001863F0">
      <w:pPr>
        <w:pStyle w:val="NormalWeb"/>
        <w:spacing w:before="240" w:beforeAutospacing="0" w:after="0" w:afterAutospacing="0"/>
        <w:ind w:firstLine="857"/>
      </w:pPr>
      <w:r>
        <w:rPr>
          <w:sz w:val="18"/>
          <w:szCs w:val="18"/>
        </w:rPr>
        <w:t xml:space="preserve">OFPs are, in principle, not subject to Belgian capital gains taxation realized upon the disposal of the Shares, and capital losses are not tax deductible. </w:t>
      </w:r>
    </w:p>
    <w:p w14:paraId="51743732" w14:textId="77777777" w:rsidR="00F76607" w:rsidRDefault="001863F0">
      <w:pPr>
        <w:pStyle w:val="NormalWeb"/>
        <w:spacing w:before="240" w:beforeAutospacing="0" w:after="0" w:afterAutospacing="0"/>
        <w:ind w:firstLine="857"/>
      </w:pPr>
      <w:r>
        <w:rPr>
          <w:sz w:val="18"/>
          <w:szCs w:val="18"/>
        </w:rPr>
        <w:t xml:space="preserve">However, in general, capital gains realized by Belgian resident OFPs upon the redemption of Shares or upon the liquidation of the Company will, in principle, be subject to the same taxation regime as dividends (see above). </w:t>
      </w:r>
    </w:p>
    <w:p w14:paraId="7276491C" w14:textId="77777777" w:rsidR="00F76607" w:rsidRDefault="001863F0">
      <w:pPr>
        <w:pStyle w:val="NormalWeb"/>
        <w:keepNext/>
        <w:spacing w:before="240" w:beforeAutospacing="0" w:after="0" w:afterAutospacing="0"/>
      </w:pPr>
      <w:r>
        <w:rPr>
          <w:i/>
          <w:iCs/>
          <w:sz w:val="18"/>
          <w:szCs w:val="18"/>
        </w:rPr>
        <w:t xml:space="preserve">Other Taxable Legal Entities </w:t>
      </w:r>
    </w:p>
    <w:p w14:paraId="3EDFB01B" w14:textId="77777777" w:rsidR="00F76607" w:rsidRDefault="001863F0">
      <w:pPr>
        <w:pStyle w:val="NormalWeb"/>
        <w:spacing w:before="240" w:beforeAutospacing="0" w:after="0" w:afterAutospacing="0"/>
        <w:ind w:firstLine="857"/>
      </w:pPr>
      <w:r>
        <w:rPr>
          <w:sz w:val="18"/>
          <w:szCs w:val="18"/>
        </w:rPr>
        <w:t xml:space="preserve">Belgian resident legal entities subject to the legal entities income tax are, in principle, not subject to Belgian capital gains taxation on the disposal of Shares. However, capital gains realized upon disposal of (part of) a substantial participation in a Belgian company (being a participation representing more than 25% of the share capital of the Company at any time during the last five years prior to the disposal) may under certain circumstances give rise to a 16.5% tax (plus crisis surcharge of currently 3%). Capital losses on Shares incurred by Belgian resident legal entities are not tax deductible. </w:t>
      </w:r>
    </w:p>
    <w:p w14:paraId="2673DC3E" w14:textId="77777777" w:rsidR="00F76607" w:rsidRDefault="001863F0">
      <w:pPr>
        <w:pStyle w:val="NormalWeb"/>
        <w:spacing w:before="240" w:beforeAutospacing="0" w:after="0" w:afterAutospacing="0"/>
        <w:ind w:firstLine="857"/>
      </w:pPr>
      <w:r>
        <w:rPr>
          <w:sz w:val="18"/>
          <w:szCs w:val="18"/>
        </w:rPr>
        <w:t xml:space="preserve">Capital gains realized by Belgian resident legal entities upon the redemption of Shares or upon the liquidation of the Company will in principle be taxed as dividends (see above). </w:t>
      </w:r>
    </w:p>
    <w:p w14:paraId="45D50799" w14:textId="77777777" w:rsidR="00F76607" w:rsidRDefault="001863F0">
      <w:pPr>
        <w:pStyle w:val="NormalWeb"/>
        <w:spacing w:before="180" w:beforeAutospacing="0" w:after="0" w:afterAutospacing="0"/>
        <w:rPr>
          <w:sz w:val="2"/>
          <w:szCs w:val="2"/>
        </w:rPr>
      </w:pPr>
      <w:r>
        <w:rPr>
          <w:sz w:val="2"/>
          <w:szCs w:val="2"/>
        </w:rPr>
        <w:t> </w:t>
      </w:r>
    </w:p>
    <w:p w14:paraId="18914097" w14:textId="77777777" w:rsidR="00F76607" w:rsidRDefault="001863F0">
      <w:pPr>
        <w:pStyle w:val="NormalWeb"/>
        <w:keepNext/>
        <w:spacing w:before="0" w:beforeAutospacing="0" w:after="0" w:afterAutospacing="0"/>
      </w:pPr>
      <w:r>
        <w:rPr>
          <w:i/>
          <w:iCs/>
          <w:sz w:val="18"/>
          <w:szCs w:val="18"/>
        </w:rPr>
        <w:t xml:space="preserve">Belgian Non-resident Individuals </w:t>
      </w:r>
    </w:p>
    <w:p w14:paraId="1767A9B0" w14:textId="77777777" w:rsidR="00F76607" w:rsidRDefault="001863F0">
      <w:pPr>
        <w:pStyle w:val="NormalWeb"/>
        <w:keepNext/>
        <w:spacing w:before="240" w:beforeAutospacing="0" w:after="0" w:afterAutospacing="0"/>
        <w:ind w:firstLine="857"/>
      </w:pPr>
      <w:r>
        <w:rPr>
          <w:sz w:val="18"/>
          <w:szCs w:val="18"/>
        </w:rPr>
        <w:t xml:space="preserve">Capital gains realized on the Shares by a non-resident individual that has not acquired and held the Shares in connection with a business conducted in Belgium through a Belgium establishment are in principle not subject to taxation, unless in the following cases if such capital gains are obtained or received in Belgium: </w:t>
      </w:r>
    </w:p>
    <w:p w14:paraId="7EE58DB0" w14:textId="77777777" w:rsidR="00F76607" w:rsidRDefault="001863F0">
      <w:pPr>
        <w:pStyle w:val="NormalWeb"/>
        <w:spacing w:before="240" w:beforeAutospacing="0" w:after="0" w:afterAutospacing="0"/>
        <w:ind w:left="1346" w:hanging="367"/>
      </w:pPr>
      <w:r>
        <w:rPr>
          <w:sz w:val="18"/>
          <w:szCs w:val="18"/>
        </w:rPr>
        <w:t>•</w:t>
      </w:r>
      <w:r>
        <w:rPr>
          <w:sz w:val="18"/>
          <w:szCs w:val="18"/>
        </w:rPr>
        <w:tab/>
        <w:t xml:space="preserve">the gains are deemed to be realized outside the scope of the normal management of the individual’s private estate. In such case the capital gains have to be reported in a non-resident tax return for the income year during which the gain has been realized and may be taxable in Belgium; or, </w:t>
      </w:r>
    </w:p>
    <w:p w14:paraId="4779A773" w14:textId="77777777" w:rsidR="00F76607" w:rsidRDefault="001863F0">
      <w:pPr>
        <w:pStyle w:val="NormalWeb"/>
        <w:spacing w:before="240" w:beforeAutospacing="0" w:after="0" w:afterAutospacing="0"/>
        <w:ind w:left="1346" w:hanging="367"/>
      </w:pPr>
      <w:r>
        <w:rPr>
          <w:sz w:val="18"/>
          <w:szCs w:val="18"/>
        </w:rPr>
        <w:lastRenderedPageBreak/>
        <w:t>•</w:t>
      </w:r>
      <w:r>
        <w:rPr>
          <w:sz w:val="18"/>
          <w:szCs w:val="18"/>
        </w:rPr>
        <w:tab/>
        <w:t xml:space="preserve">the gains originate from the disposal of (part of) a substantial participation in a Belgian company (being a participation representing more than 25% of the share capital of the Company at any time during the last five years prior to the disposal). Then, the </w:t>
      </w:r>
      <w:proofErr w:type="spellStart"/>
      <w:r>
        <w:rPr>
          <w:sz w:val="18"/>
          <w:szCs w:val="18"/>
        </w:rPr>
        <w:t>realised</w:t>
      </w:r>
      <w:proofErr w:type="spellEnd"/>
      <w:r>
        <w:rPr>
          <w:sz w:val="18"/>
          <w:szCs w:val="18"/>
        </w:rPr>
        <w:t xml:space="preserve"> capital gains may, under certain circumstances, give rise to a 16.5% tax (plus local surcharges of currently 7%). </w:t>
      </w:r>
    </w:p>
    <w:p w14:paraId="2119D333" w14:textId="77777777" w:rsidR="00F76607" w:rsidRDefault="001863F0">
      <w:pPr>
        <w:pStyle w:val="NormalWeb"/>
        <w:spacing w:before="240" w:beforeAutospacing="0" w:after="0" w:afterAutospacing="0"/>
        <w:ind w:firstLine="857"/>
      </w:pPr>
      <w:r>
        <w:rPr>
          <w:sz w:val="18"/>
          <w:szCs w:val="18"/>
        </w:rPr>
        <w:t xml:space="preserve">However, Belgium has concluded tax treaties with more than 90 countries which </w:t>
      </w:r>
      <w:r>
        <w:rPr>
          <w:i/>
          <w:iCs/>
          <w:sz w:val="18"/>
          <w:szCs w:val="18"/>
        </w:rPr>
        <w:t>generally</w:t>
      </w:r>
      <w:r>
        <w:rPr>
          <w:sz w:val="18"/>
          <w:szCs w:val="18"/>
        </w:rPr>
        <w:t xml:space="preserve"> provide for a full exemption from Belgian capital gains taxation on such gains realized by residents of those countries. Capital losses are generally not tax deductible. </w:t>
      </w:r>
    </w:p>
    <w:p w14:paraId="76C81EFF" w14:textId="77777777" w:rsidR="00F76607" w:rsidRDefault="001863F0">
      <w:pPr>
        <w:pStyle w:val="NormalWeb"/>
        <w:spacing w:before="240" w:beforeAutospacing="0" w:after="0" w:afterAutospacing="0"/>
        <w:ind w:firstLine="857"/>
      </w:pPr>
      <w:r>
        <w:rPr>
          <w:sz w:val="18"/>
          <w:szCs w:val="18"/>
        </w:rPr>
        <w:t xml:space="preserve">Capital gains realized by Belgian non-resident individuals upon the redemption of Shares or upon the liquidation of the Company will generally be taxable as a dividend (see above). </w:t>
      </w:r>
    </w:p>
    <w:p w14:paraId="765A03CF" w14:textId="77777777" w:rsidR="00F76607" w:rsidRDefault="001863F0">
      <w:pPr>
        <w:pStyle w:val="NormalWeb"/>
        <w:spacing w:before="240" w:beforeAutospacing="0" w:after="0" w:afterAutospacing="0"/>
        <w:ind w:firstLine="857"/>
      </w:pPr>
      <w:r>
        <w:rPr>
          <w:sz w:val="18"/>
          <w:szCs w:val="18"/>
        </w:rPr>
        <w:t xml:space="preserve">Capital gains will be taxable at the ordinary progressive income tax rates and capital losses will be tax deductible, if those gains or losses are realized on Shares by a non-resident individual that holds Shares in connection with a business conducted in Belgium through a Belgian establishment. </w:t>
      </w:r>
    </w:p>
    <w:p w14:paraId="7651210B" w14:textId="77777777" w:rsidR="00F76607" w:rsidRDefault="001863F0">
      <w:pPr>
        <w:pStyle w:val="NormalWeb"/>
        <w:keepNext/>
        <w:spacing w:before="240" w:beforeAutospacing="0" w:after="0" w:afterAutospacing="0"/>
      </w:pPr>
      <w:r>
        <w:rPr>
          <w:i/>
          <w:iCs/>
          <w:sz w:val="18"/>
          <w:szCs w:val="18"/>
        </w:rPr>
        <w:t xml:space="preserve">Belgian Non-resident Companies or Entities </w:t>
      </w:r>
    </w:p>
    <w:p w14:paraId="216DA526" w14:textId="77777777" w:rsidR="00F76607" w:rsidRDefault="001863F0">
      <w:pPr>
        <w:pStyle w:val="NormalWeb"/>
        <w:spacing w:before="240" w:beforeAutospacing="0" w:after="0" w:afterAutospacing="0"/>
        <w:ind w:firstLine="857"/>
      </w:pPr>
      <w:r>
        <w:rPr>
          <w:sz w:val="18"/>
          <w:szCs w:val="18"/>
        </w:rPr>
        <w:t xml:space="preserve">Capital gains realized on the Shares by non-resident companies or non-resident entities that have not acquired the Shares in connection with a business conducted in Belgium through a Belgian establishment are in principle not subject to taxation and losses are not tax deductible. </w:t>
      </w:r>
    </w:p>
    <w:p w14:paraId="066569EA" w14:textId="6DE1C4E7" w:rsidR="00F76607" w:rsidRDefault="001863F0">
      <w:pPr>
        <w:pStyle w:val="NormalWeb"/>
        <w:spacing w:before="240" w:beforeAutospacing="0" w:after="0" w:afterAutospacing="0"/>
        <w:ind w:firstLine="857"/>
        <w:rPr>
          <w:sz w:val="18"/>
          <w:szCs w:val="18"/>
        </w:rPr>
      </w:pPr>
      <w:r>
        <w:rPr>
          <w:sz w:val="18"/>
          <w:szCs w:val="18"/>
        </w:rPr>
        <w:t>Capital gains realized by non-resident companies or other non-resident entities that hold the Shares in connection with a business conducted in Belgium through a Belgian establishment are generally subject to the same regime as Belgian si</w:t>
      </w:r>
      <w:r w:rsidR="00AC4485">
        <w:rPr>
          <w:sz w:val="18"/>
          <w:szCs w:val="18"/>
        </w:rPr>
        <w:t>milar entities (see above).</w:t>
      </w:r>
    </w:p>
    <w:p w14:paraId="229CFBBB" w14:textId="77777777" w:rsidR="00AC4485" w:rsidRPr="00AC4485" w:rsidRDefault="00AC4485" w:rsidP="00AC4485">
      <w:pPr>
        <w:pStyle w:val="NormalWeb"/>
        <w:keepNext/>
        <w:spacing w:before="240" w:beforeAutospacing="0" w:after="0" w:afterAutospacing="0"/>
        <w:rPr>
          <w:b/>
          <w:bCs/>
          <w:i/>
          <w:iCs/>
          <w:sz w:val="18"/>
          <w:szCs w:val="18"/>
        </w:rPr>
      </w:pPr>
      <w:r w:rsidRPr="00AC4485">
        <w:rPr>
          <w:b/>
          <w:bCs/>
          <w:i/>
          <w:iCs/>
          <w:sz w:val="18"/>
          <w:szCs w:val="18"/>
        </w:rPr>
        <w:t>Proposed annual tax on securities accounts</w:t>
      </w:r>
    </w:p>
    <w:p w14:paraId="094BC59C" w14:textId="2BBCAB94" w:rsidR="00AC4485" w:rsidRPr="00AC4485" w:rsidRDefault="00AC4485" w:rsidP="00AC4485">
      <w:pPr>
        <w:pStyle w:val="NormalWeb"/>
        <w:spacing w:before="240" w:beforeAutospacing="0" w:after="0" w:afterAutospacing="0"/>
        <w:ind w:firstLine="857"/>
        <w:rPr>
          <w:sz w:val="18"/>
          <w:szCs w:val="18"/>
        </w:rPr>
      </w:pPr>
      <w:r w:rsidRPr="00AC4485">
        <w:rPr>
          <w:sz w:val="18"/>
          <w:szCs w:val="18"/>
        </w:rPr>
        <w:t>The Belgian government has recently announced its intention to introduce an annual tax on securities accounts, whereby private individuals holding one or more securities accounts in Belgium or abroad with total assets (including listed shares, bonds, funds) exceeding EUR 500</w:t>
      </w:r>
      <w:r>
        <w:rPr>
          <w:sz w:val="18"/>
          <w:szCs w:val="18"/>
        </w:rPr>
        <w:t>,000 (EUR 1,000,</w:t>
      </w:r>
      <w:r w:rsidRPr="00AC4485">
        <w:rPr>
          <w:sz w:val="18"/>
          <w:szCs w:val="18"/>
        </w:rPr>
        <w:t>000 for married couples) would be subject to tax at a rate of 0.15 % of the total amount. Pension savings accounts and life insurances are excluded. The tax would, in principle, be collected by the intermediary financial institution, who would also determine the value of the accounts concerned. Specific anti-abuse measures could be introduced in order to avoid tax evasion. The securities accounts could also have to be reported in the personal income tax return. The said changes would be effective as from 1 January 2018. No official text has however been published yet</w:t>
      </w:r>
      <w:r w:rsidR="007A139C">
        <w:rPr>
          <w:sz w:val="18"/>
          <w:szCs w:val="18"/>
        </w:rPr>
        <w:t>.</w:t>
      </w:r>
    </w:p>
    <w:p w14:paraId="7B9CF7F1" w14:textId="77777777" w:rsidR="00F76607" w:rsidRDefault="001863F0">
      <w:pPr>
        <w:pStyle w:val="NormalWeb"/>
        <w:keepNext/>
        <w:spacing w:before="240" w:beforeAutospacing="0" w:after="0" w:afterAutospacing="0"/>
      </w:pPr>
      <w:r>
        <w:rPr>
          <w:b/>
          <w:bCs/>
          <w:i/>
          <w:iCs/>
          <w:sz w:val="18"/>
          <w:szCs w:val="18"/>
        </w:rPr>
        <w:t xml:space="preserve">Tax on Stock Exchange Transactions </w:t>
      </w:r>
    </w:p>
    <w:p w14:paraId="4FE0D2C2" w14:textId="77777777" w:rsidR="00F76607" w:rsidRDefault="001863F0">
      <w:pPr>
        <w:pStyle w:val="NormalWeb"/>
        <w:spacing w:before="240" w:beforeAutospacing="0" w:after="0" w:afterAutospacing="0"/>
        <w:ind w:firstLine="857"/>
      </w:pPr>
      <w:r>
        <w:rPr>
          <w:sz w:val="18"/>
          <w:szCs w:val="18"/>
        </w:rPr>
        <w:t>The purchase and the sale and any other acquisition or transfer for consideration of existing Shares (secondary market transactions) is subject to the Belgian tax on stock exchange transactions (“</w:t>
      </w:r>
      <w:proofErr w:type="spellStart"/>
      <w:r>
        <w:rPr>
          <w:i/>
          <w:iCs/>
          <w:sz w:val="18"/>
          <w:szCs w:val="18"/>
        </w:rPr>
        <w:t>taks</w:t>
      </w:r>
      <w:proofErr w:type="spellEnd"/>
      <w:r>
        <w:rPr>
          <w:sz w:val="18"/>
          <w:szCs w:val="18"/>
        </w:rPr>
        <w:t xml:space="preserve"> </w:t>
      </w:r>
      <w:r>
        <w:rPr>
          <w:i/>
          <w:iCs/>
          <w:sz w:val="18"/>
          <w:szCs w:val="18"/>
        </w:rPr>
        <w:t>op</w:t>
      </w:r>
      <w:r>
        <w:rPr>
          <w:sz w:val="18"/>
          <w:szCs w:val="18"/>
        </w:rPr>
        <w:t xml:space="preserve"> </w:t>
      </w:r>
      <w:r>
        <w:rPr>
          <w:i/>
          <w:iCs/>
          <w:sz w:val="18"/>
          <w:szCs w:val="18"/>
        </w:rPr>
        <w:t>de</w:t>
      </w:r>
      <w:r>
        <w:rPr>
          <w:sz w:val="18"/>
          <w:szCs w:val="18"/>
        </w:rPr>
        <w:t xml:space="preserve"> </w:t>
      </w:r>
      <w:proofErr w:type="spellStart"/>
      <w:r>
        <w:rPr>
          <w:i/>
          <w:iCs/>
          <w:sz w:val="18"/>
          <w:szCs w:val="18"/>
        </w:rPr>
        <w:t>beursverrichtingen</w:t>
      </w:r>
      <w:proofErr w:type="spellEnd"/>
      <w:r>
        <w:rPr>
          <w:i/>
          <w:iCs/>
          <w:sz w:val="18"/>
          <w:szCs w:val="18"/>
        </w:rPr>
        <w:t xml:space="preserve">” </w:t>
      </w:r>
      <w:r>
        <w:rPr>
          <w:sz w:val="18"/>
          <w:szCs w:val="18"/>
        </w:rPr>
        <w:t>/ “</w:t>
      </w:r>
      <w:proofErr w:type="spellStart"/>
      <w:r>
        <w:rPr>
          <w:i/>
          <w:iCs/>
          <w:sz w:val="18"/>
          <w:szCs w:val="18"/>
        </w:rPr>
        <w:t>taxe</w:t>
      </w:r>
      <w:proofErr w:type="spellEnd"/>
      <w:r>
        <w:rPr>
          <w:sz w:val="18"/>
          <w:szCs w:val="18"/>
        </w:rPr>
        <w:t xml:space="preserve"> </w:t>
      </w:r>
      <w:r>
        <w:rPr>
          <w:i/>
          <w:iCs/>
          <w:sz w:val="18"/>
          <w:szCs w:val="18"/>
        </w:rPr>
        <w:t>sur</w:t>
      </w:r>
      <w:r>
        <w:rPr>
          <w:sz w:val="18"/>
          <w:szCs w:val="18"/>
        </w:rPr>
        <w:t xml:space="preserve"> </w:t>
      </w:r>
      <w:r>
        <w:rPr>
          <w:i/>
          <w:iCs/>
          <w:sz w:val="18"/>
          <w:szCs w:val="18"/>
        </w:rPr>
        <w:t>les</w:t>
      </w:r>
      <w:r>
        <w:rPr>
          <w:sz w:val="18"/>
          <w:szCs w:val="18"/>
        </w:rPr>
        <w:t xml:space="preserve"> </w:t>
      </w:r>
      <w:proofErr w:type="spellStart"/>
      <w:r>
        <w:rPr>
          <w:i/>
          <w:iCs/>
          <w:sz w:val="18"/>
          <w:szCs w:val="18"/>
        </w:rPr>
        <w:t>opérations</w:t>
      </w:r>
      <w:proofErr w:type="spellEnd"/>
      <w:r>
        <w:rPr>
          <w:sz w:val="18"/>
          <w:szCs w:val="18"/>
        </w:rPr>
        <w:t xml:space="preserve"> </w:t>
      </w:r>
      <w:r>
        <w:rPr>
          <w:i/>
          <w:iCs/>
          <w:sz w:val="18"/>
          <w:szCs w:val="18"/>
        </w:rPr>
        <w:t>de</w:t>
      </w:r>
      <w:r>
        <w:rPr>
          <w:sz w:val="18"/>
          <w:szCs w:val="18"/>
        </w:rPr>
        <w:t xml:space="preserve"> </w:t>
      </w:r>
      <w:r>
        <w:rPr>
          <w:i/>
          <w:iCs/>
          <w:sz w:val="18"/>
          <w:szCs w:val="18"/>
        </w:rPr>
        <w:t>bourse”</w:t>
      </w:r>
      <w:r>
        <w:rPr>
          <w:sz w:val="18"/>
          <w:szCs w:val="18"/>
        </w:rPr>
        <w:t>) if (</w:t>
      </w:r>
      <w:proofErr w:type="spellStart"/>
      <w:r>
        <w:rPr>
          <w:sz w:val="18"/>
          <w:szCs w:val="18"/>
        </w:rPr>
        <w:t>i</w:t>
      </w:r>
      <w:proofErr w:type="spellEnd"/>
      <w:r>
        <w:rPr>
          <w:sz w:val="18"/>
          <w:szCs w:val="18"/>
        </w:rPr>
        <w:t xml:space="preserve">) it is executed in Belgium through a professional intermediary, or (ii) deemed to be executed in Belgium, which is the case if the order is directly or indirectly made to a professional intermediary established outside of Belgium, either by private individuals with habitual residence in Belgium, or legal entities for the account of their seat or establishment in Belgium (both referred to as a “Belgian Investor”). </w:t>
      </w:r>
    </w:p>
    <w:p w14:paraId="7F024034" w14:textId="539DCD95" w:rsidR="00F76607" w:rsidRDefault="001863F0">
      <w:pPr>
        <w:pStyle w:val="NormalWeb"/>
        <w:spacing w:before="240" w:beforeAutospacing="0" w:after="0" w:afterAutospacing="0"/>
        <w:ind w:firstLine="857"/>
      </w:pPr>
      <w:r>
        <w:rPr>
          <w:sz w:val="18"/>
          <w:szCs w:val="18"/>
        </w:rPr>
        <w:t>The tax on stock exchange transactions is levied at a rate of 0.27% of the purchase price, capped at €</w:t>
      </w:r>
      <w:r w:rsidR="00C92AC8">
        <w:rPr>
          <w:sz w:val="18"/>
          <w:szCs w:val="18"/>
        </w:rPr>
        <w:t xml:space="preserve"> </w:t>
      </w:r>
      <w:r>
        <w:rPr>
          <w:sz w:val="18"/>
          <w:szCs w:val="18"/>
        </w:rPr>
        <w:t>1,600 per transaction and per party</w:t>
      </w:r>
      <w:r>
        <w:rPr>
          <w:rStyle w:val="FootnoteReference"/>
          <w:sz w:val="18"/>
          <w:szCs w:val="18"/>
        </w:rPr>
        <w:footnoteReference w:id="33"/>
      </w:r>
      <w:r>
        <w:rPr>
          <w:sz w:val="18"/>
          <w:szCs w:val="18"/>
        </w:rPr>
        <w:t xml:space="preserve">. </w:t>
      </w:r>
    </w:p>
    <w:p w14:paraId="14660208" w14:textId="77777777" w:rsidR="00F76607" w:rsidRDefault="001863F0">
      <w:pPr>
        <w:pStyle w:val="NormalWeb"/>
        <w:spacing w:before="240" w:beforeAutospacing="0" w:after="0" w:afterAutospacing="0"/>
        <w:ind w:firstLine="857"/>
      </w:pPr>
      <w:r>
        <w:rPr>
          <w:sz w:val="18"/>
          <w:szCs w:val="18"/>
        </w:rPr>
        <w:t xml:space="preserve">A separate tax is due by each party to the transaction, and both taxes are collected by the professional intermediary. However, if the intermediary is established outside of Belgium, the tax will in principle be due by the Belgian Investor, unless that Belgian Investor can demonstrate that the tax has already been paid. Professional intermediaries established outside of Belgium can, subject to certain conditions and formalities, appoint a Belgian stock exchange tax representative (“Stock Exchange Tax Representative”), which will be liable for the tax on stock exchange transactions in respect of the transactions executed through the professional intermediary. If such a Stock Exchange Tax Representative would have paid the tax on stock exchange transactions due, the Belgian Investor will, as per the above, no longer be the debtor of the tax on stock exchange transaction. </w:t>
      </w:r>
    </w:p>
    <w:p w14:paraId="28689931" w14:textId="77777777" w:rsidR="00F76607" w:rsidRDefault="001863F0">
      <w:pPr>
        <w:pStyle w:val="NormalWeb"/>
        <w:spacing w:before="240" w:beforeAutospacing="0" w:after="0" w:afterAutospacing="0"/>
        <w:ind w:firstLine="857"/>
      </w:pPr>
      <w:r>
        <w:rPr>
          <w:sz w:val="18"/>
          <w:szCs w:val="18"/>
        </w:rPr>
        <w:t>No tax on stock exchange transactions is due on transactions entered into by the following parties, provided they are acting for their own account: (</w:t>
      </w:r>
      <w:proofErr w:type="spellStart"/>
      <w:r>
        <w:rPr>
          <w:sz w:val="18"/>
          <w:szCs w:val="18"/>
        </w:rPr>
        <w:t>i</w:t>
      </w:r>
      <w:proofErr w:type="spellEnd"/>
      <w:r>
        <w:rPr>
          <w:sz w:val="18"/>
          <w:szCs w:val="18"/>
        </w:rPr>
        <w:t xml:space="preserve">) professional intermediaries described in Article 2.9° and 10° of the Belgian Law of August 2, 2002 on the supervision of the financial sector and financial services; (ii) insurance companies described in Article 2, §1 of the Belgian Law of July 9, 1975 on the supervision of insurance companies; (iii) pension institutions referred to in Article 2,1° of the Belgian Law of October 27, 2006 concerning the supervision of pension institutions; (iv) undertakings for collective investment; (v) regulated real estate companies; and (vi) Belgian non-residents provided they deliver a certificate to their financial intermediary in Belgium confirming their non-resident status. </w:t>
      </w:r>
    </w:p>
    <w:p w14:paraId="4FC9ADB0" w14:textId="77777777" w:rsidR="00F76607" w:rsidRDefault="001863F0">
      <w:pPr>
        <w:pStyle w:val="NormalWeb"/>
        <w:spacing w:before="180" w:beforeAutospacing="0" w:after="0" w:afterAutospacing="0"/>
        <w:rPr>
          <w:sz w:val="2"/>
          <w:szCs w:val="2"/>
        </w:rPr>
      </w:pPr>
      <w:r>
        <w:rPr>
          <w:sz w:val="2"/>
          <w:szCs w:val="2"/>
        </w:rPr>
        <w:t> </w:t>
      </w:r>
    </w:p>
    <w:p w14:paraId="07191E52" w14:textId="77777777" w:rsidR="00F76607" w:rsidRDefault="001863F0">
      <w:pPr>
        <w:pStyle w:val="NormalWeb"/>
        <w:spacing w:before="0" w:beforeAutospacing="0" w:after="0" w:afterAutospacing="0"/>
        <w:ind w:firstLine="857"/>
      </w:pPr>
      <w:r>
        <w:rPr>
          <w:sz w:val="18"/>
          <w:szCs w:val="18"/>
        </w:rPr>
        <w:lastRenderedPageBreak/>
        <w:t xml:space="preserve">The EU Commission adopted on February 14, 2013 the Draft Directive on a Financial Transaction Tax (FTT). The Draft Directive currently stipulates that once the FTT enters into force, the Participating Member States shall not maintain or introduce taxes on financial transactions other than the FTT (or WHT as provided in the Council Directive 2006/112/EC of November 28, 2006 on the common system of value added tax). For Belgium, the tax on stock exchange transactions should thus be abolished once the FTT enters into force. The Draft Directive is still subject to negotiation between the Participating Member States and therefore may be changed at any time. </w:t>
      </w:r>
    </w:p>
    <w:p w14:paraId="69ACDA0C" w14:textId="77777777" w:rsidR="00F76607" w:rsidRDefault="001863F0">
      <w:pPr>
        <w:keepNext/>
        <w:spacing w:before="240"/>
        <w:rPr>
          <w:szCs w:val="24"/>
        </w:rPr>
      </w:pPr>
      <w:r>
        <w:rPr>
          <w:b/>
          <w:bCs/>
          <w:sz w:val="18"/>
          <w:szCs w:val="18"/>
        </w:rPr>
        <w:t>Certain U.S. Federal Income Tax Considerations</w:t>
      </w:r>
    </w:p>
    <w:p w14:paraId="2735E949" w14:textId="77777777" w:rsidR="00F76607" w:rsidRDefault="001863F0">
      <w:pPr>
        <w:keepNext/>
        <w:spacing w:before="240"/>
        <w:rPr>
          <w:szCs w:val="24"/>
        </w:rPr>
      </w:pPr>
      <w:r>
        <w:rPr>
          <w:b/>
          <w:bCs/>
          <w:i/>
          <w:iCs/>
          <w:sz w:val="18"/>
          <w:szCs w:val="18"/>
        </w:rPr>
        <w:t xml:space="preserve">General </w:t>
      </w:r>
    </w:p>
    <w:p w14:paraId="5A4350B6" w14:textId="77777777" w:rsidR="00F76607" w:rsidRDefault="001863F0">
      <w:pPr>
        <w:spacing w:before="240"/>
        <w:ind w:firstLine="857"/>
        <w:rPr>
          <w:szCs w:val="24"/>
        </w:rPr>
      </w:pPr>
      <w:r>
        <w:rPr>
          <w:sz w:val="18"/>
          <w:szCs w:val="18"/>
        </w:rPr>
        <w:t xml:space="preserve">The following discussion is a summary of certain of the U.S. federal income tax consequences of the ownership and disposition of Offer Shares by a U.S. Holder (as defined below), but does not purport to be a complete analysis of all potential tax effects. This summary is based on provisions of the Internal Revenue Code of 1986, as amended (the “Code”), existing and proposed U.S. Treasury regulations promulgated thereunder, administrative rulings and judicial interpretations thereof, as well as on the “Convention Between the Government of The United States of America and the Government of the Kingdom of Belgium for the Avoidance of Double Taxation and the Prevention of Fiscal Evasion With Respect to Taxes on Income” (the “Treaty”), all as of the date hereof and all of which are subject to change, possibly on a retroactive basis. </w:t>
      </w:r>
    </w:p>
    <w:p w14:paraId="637C42FC" w14:textId="77777777" w:rsidR="00F76607" w:rsidRDefault="001863F0">
      <w:pPr>
        <w:spacing w:before="240"/>
        <w:ind w:firstLine="857"/>
        <w:rPr>
          <w:szCs w:val="24"/>
        </w:rPr>
      </w:pPr>
      <w:r>
        <w:rPr>
          <w:sz w:val="18"/>
          <w:szCs w:val="18"/>
        </w:rPr>
        <w:t xml:space="preserve">This summary is limited to U.S. Holders that acquire Offer Shares pursuant to the Offering as capital assets (generally, property held for investment). This summary does not discuss all aspects of U.S. federal income taxation that may be relevant to an investor in light of its individual circumstances, including tax-exempt </w:t>
      </w:r>
      <w:proofErr w:type="spellStart"/>
      <w:r>
        <w:rPr>
          <w:sz w:val="18"/>
          <w:szCs w:val="18"/>
        </w:rPr>
        <w:t>organisations</w:t>
      </w:r>
      <w:proofErr w:type="spellEnd"/>
      <w:r>
        <w:rPr>
          <w:sz w:val="18"/>
          <w:szCs w:val="18"/>
        </w:rPr>
        <w:t>, financial institutions, dealers and traders in securities or currencies, regulated investment companies, or real estate investment trusts, U.S. Holders that will hold Offer Shares as part of a “straddle” hedging transaction, “conversion transaction” or integrated transaction for U.S. federal income tax purposes, U.S. Holders that enter into “constructive sale” transactions with respect to the Offer Shares, U.S. Holders that own (directly, indirectly, or by attribution) 10% or more of the Company's voting stock, U.S. Holders liable for alternative minimum tax, and certain former U.S. citizens or long-term residents of the United States subject to Section 877 or 877A of the Code. This summary does not address U.S. federal estate or gift tax considerations, the tax on net investment income, U.S. state or local tax considerations, or non-U.S. taxes.</w:t>
      </w:r>
    </w:p>
    <w:p w14:paraId="3122BAD4" w14:textId="77777777" w:rsidR="00F76607" w:rsidRDefault="001863F0">
      <w:pPr>
        <w:spacing w:before="240"/>
        <w:ind w:firstLine="857"/>
        <w:rPr>
          <w:szCs w:val="24"/>
        </w:rPr>
      </w:pPr>
      <w:r>
        <w:rPr>
          <w:sz w:val="18"/>
          <w:szCs w:val="18"/>
        </w:rPr>
        <w:t>For purposes of this summary, a “U.S. Holder” means a beneficial owner of Offer Shares that is, for U.S. federal income tax purposes, (</w:t>
      </w:r>
      <w:proofErr w:type="spellStart"/>
      <w:r>
        <w:rPr>
          <w:sz w:val="18"/>
          <w:szCs w:val="18"/>
        </w:rPr>
        <w:t>i</w:t>
      </w:r>
      <w:proofErr w:type="spellEnd"/>
      <w:r>
        <w:rPr>
          <w:sz w:val="18"/>
          <w:szCs w:val="18"/>
        </w:rPr>
        <w:t xml:space="preserve">) an individual citizen or resident of the United States, (ii) a corporation created or organized in or under the laws of the United States, any state thereof, or the District of Columbia, (iii) an estate the income of which is subject to U.S. federal income tax regardless of its source or (iv) a trust, (a) the administration of which is subject to the primary supervision of a court within the United States and for which one or more U.S. persons have the authority to control all substantial decisions or (b) that has a valid election in effect under applicable U.S. Treasury regulations to be treated as a U.S. person. </w:t>
      </w:r>
    </w:p>
    <w:p w14:paraId="1C662578" w14:textId="77777777" w:rsidR="00F76607" w:rsidRDefault="001863F0">
      <w:pPr>
        <w:spacing w:before="240"/>
        <w:ind w:firstLine="857"/>
        <w:rPr>
          <w:szCs w:val="24"/>
        </w:rPr>
      </w:pPr>
      <w:r>
        <w:rPr>
          <w:sz w:val="18"/>
          <w:szCs w:val="18"/>
        </w:rPr>
        <w:t xml:space="preserve">If a partnership (including any entity or arrangement treated as a partnership for U.S. federal income tax purposes) holds Offer Shares, the U.S. federal income tax treatment of a partner in the partnership will generally depend upon the status of the partner and the activities of the partnership. A partnership holding Offer Shares should consult its tax advisor concerning the U.S. federal income and other tax consequences to its partners of the ownership and disposition of Offer Shares. </w:t>
      </w:r>
    </w:p>
    <w:p w14:paraId="15B826E4" w14:textId="77777777" w:rsidR="00F76607" w:rsidRDefault="001863F0">
      <w:pPr>
        <w:spacing w:before="240"/>
        <w:ind w:firstLine="857"/>
        <w:rPr>
          <w:szCs w:val="24"/>
        </w:rPr>
      </w:pPr>
      <w:r>
        <w:rPr>
          <w:b/>
          <w:bCs/>
          <w:sz w:val="18"/>
          <w:szCs w:val="18"/>
        </w:rPr>
        <w:t xml:space="preserve">THE SUMMARY OF U.S. FEDERAL INCOME TAX CONSEQUENCES SET OUT BELOW IS FOR GENERAL INFORMATION ONLY. ALL PROSPECTIVE PURCHASERS SHOULD CONSULT THEIR TAX ADVISORS AS TO THE PARTICULAR TAX CONSEQUENCES TO THEM OF OWNING, AND DISPOSING OF, THE OFFER SHARES, INCLUDING THEIR ELIGIBILITY FOR THE BENEFITS OF THE TREATY, THE APPLICABILITY AND EFFECT OF STATE, LOCAL, FOREIGN AND OTHER TAX LAWS AND POSSIBLE CHANGES IN TAX LAW. </w:t>
      </w:r>
    </w:p>
    <w:p w14:paraId="54B8B871" w14:textId="77777777" w:rsidR="00F76607" w:rsidRDefault="001863F0">
      <w:pPr>
        <w:keepNext/>
        <w:spacing w:before="240"/>
        <w:rPr>
          <w:szCs w:val="24"/>
        </w:rPr>
      </w:pPr>
      <w:r>
        <w:rPr>
          <w:b/>
          <w:bCs/>
          <w:i/>
          <w:iCs/>
          <w:sz w:val="18"/>
          <w:szCs w:val="18"/>
        </w:rPr>
        <w:t xml:space="preserve">U.S. Holders </w:t>
      </w:r>
    </w:p>
    <w:p w14:paraId="4D88A90E" w14:textId="77777777" w:rsidR="00F76607" w:rsidRDefault="001863F0">
      <w:pPr>
        <w:keepNext/>
        <w:spacing w:before="240"/>
        <w:rPr>
          <w:szCs w:val="24"/>
        </w:rPr>
      </w:pPr>
      <w:r>
        <w:rPr>
          <w:i/>
          <w:iCs/>
          <w:sz w:val="18"/>
          <w:szCs w:val="18"/>
        </w:rPr>
        <w:t xml:space="preserve">Passive Foreign Investment Company Considerations </w:t>
      </w:r>
    </w:p>
    <w:p w14:paraId="0ECA6E68" w14:textId="32A5E1DA" w:rsidR="00F76607" w:rsidRDefault="001863F0">
      <w:pPr>
        <w:spacing w:before="240"/>
        <w:ind w:firstLine="857"/>
        <w:rPr>
          <w:szCs w:val="24"/>
        </w:rPr>
      </w:pPr>
      <w:r>
        <w:rPr>
          <w:sz w:val="18"/>
          <w:szCs w:val="18"/>
        </w:rPr>
        <w:t>Certain adverse tax consequences could apply to a U.S. Holder if the Company is treated as a passive foreign investment company (“PFIC”) for U.S. federal income tax purposes for any taxable year during which the U.S. Holder holds Offer Shares. A non-U.S. corporation, such as the Company, generally will be treated as a PFIC for U.S. federal income tax purposes for any taxable year if either (</w:t>
      </w:r>
      <w:proofErr w:type="spellStart"/>
      <w:r>
        <w:rPr>
          <w:sz w:val="18"/>
          <w:szCs w:val="18"/>
        </w:rPr>
        <w:t>i</w:t>
      </w:r>
      <w:proofErr w:type="spellEnd"/>
      <w:r>
        <w:rPr>
          <w:sz w:val="18"/>
          <w:szCs w:val="18"/>
        </w:rPr>
        <w:t>) 75% or more of its gross income for such year consists of certain types of “passive” income or (ii) 50% or more of the value of its assets (determined on the basis of a quarterly average) during such year produce or are held for the production of passive income. In applying these tests, a non-U.S. corporation that directly or indirectly owns at least 25% by value of the stock of another corporation is treated as if it held its proportionate share of the other corporation's assets and received its proportionate share of the other corporation's income. Passive income includes, among other things, dividends, interest, certain rents and royalties, and gain from the disposition of property that produces such income.</w:t>
      </w:r>
      <w:r w:rsidR="00FF2ECC">
        <w:rPr>
          <w:sz w:val="18"/>
          <w:szCs w:val="18"/>
        </w:rPr>
        <w:t xml:space="preserve"> </w:t>
      </w:r>
      <w:r>
        <w:rPr>
          <w:sz w:val="18"/>
          <w:szCs w:val="18"/>
        </w:rPr>
        <w:t>However, rents and gains derived in the active conduct of a trade or business in certain circumstances are considered active income.</w:t>
      </w:r>
      <w:r>
        <w:rPr>
          <w:szCs w:val="24"/>
        </w:rPr>
        <w:t xml:space="preserve"> </w:t>
      </w:r>
      <w:r>
        <w:rPr>
          <w:sz w:val="18"/>
          <w:szCs w:val="18"/>
        </w:rPr>
        <w:t>The Company expects that rents and gains from any real property that it holds directly will generally qualify as active income since the Company believes that it, through its own staff of employees, develops such property and regularly performs active and substantial management and operational functions with respect to such property while it is leased.</w:t>
      </w:r>
      <w:r w:rsidR="00FF2ECC">
        <w:rPr>
          <w:sz w:val="18"/>
          <w:szCs w:val="18"/>
        </w:rPr>
        <w:t xml:space="preserve"> </w:t>
      </w:r>
      <w:r>
        <w:rPr>
          <w:sz w:val="18"/>
          <w:szCs w:val="18"/>
        </w:rPr>
        <w:t>The Company also expects that rents and gains from real property held by its subsidiaries, which the Company is treated as if it derived directly for purposes of the PFIC tests, will qualify as active income based on the Company’s understanding of how those subsidiaries operate their real property, including its understanding that they, through their own staff of employees, develop and regularly perform active and substantial management and operational functions with respect to such property while it is leased.</w:t>
      </w:r>
    </w:p>
    <w:p w14:paraId="06FA49FA" w14:textId="77777777" w:rsidR="00F76607" w:rsidRDefault="001863F0">
      <w:pPr>
        <w:spacing w:before="180"/>
        <w:rPr>
          <w:sz w:val="2"/>
          <w:szCs w:val="2"/>
        </w:rPr>
      </w:pPr>
      <w:r>
        <w:rPr>
          <w:sz w:val="2"/>
          <w:szCs w:val="2"/>
        </w:rPr>
        <w:t> </w:t>
      </w:r>
    </w:p>
    <w:p w14:paraId="4AF4A628" w14:textId="77777777" w:rsidR="00F76607" w:rsidRDefault="001863F0">
      <w:pPr>
        <w:ind w:firstLine="857"/>
        <w:rPr>
          <w:szCs w:val="24"/>
        </w:rPr>
      </w:pPr>
      <w:r>
        <w:rPr>
          <w:sz w:val="18"/>
          <w:szCs w:val="18"/>
        </w:rPr>
        <w:lastRenderedPageBreak/>
        <w:t xml:space="preserve">The Company does not believe that it was a PFIC for the year ended December 31, 2016, and does not expect to become a PFIC for the current year, but the Company’s possible status as a PFIC must be determined annually and therefore may be subject to change. </w:t>
      </w:r>
    </w:p>
    <w:p w14:paraId="26971810" w14:textId="3F8E0F53" w:rsidR="00F76607" w:rsidRDefault="001863F0">
      <w:pPr>
        <w:spacing w:before="240"/>
        <w:ind w:firstLine="857"/>
        <w:rPr>
          <w:szCs w:val="24"/>
        </w:rPr>
      </w:pPr>
      <w:r>
        <w:rPr>
          <w:sz w:val="18"/>
          <w:szCs w:val="18"/>
        </w:rPr>
        <w:t xml:space="preserve">If the Company were a PFIC for any taxable year in which a U.S. Holder holds Offer Shares, a U.S. Holder would be subject to additional taxes on any “excess distribution” and any gain </w:t>
      </w:r>
      <w:proofErr w:type="spellStart"/>
      <w:r>
        <w:rPr>
          <w:sz w:val="18"/>
          <w:szCs w:val="18"/>
        </w:rPr>
        <w:t>realised</w:t>
      </w:r>
      <w:proofErr w:type="spellEnd"/>
      <w:r>
        <w:rPr>
          <w:sz w:val="18"/>
          <w:szCs w:val="18"/>
        </w:rPr>
        <w:t xml:space="preserve"> from the disposition of Offer Shares (regardless of whether the Company continues to be a PFIC).</w:t>
      </w:r>
      <w:r w:rsidR="00FF2ECC">
        <w:rPr>
          <w:sz w:val="18"/>
          <w:szCs w:val="18"/>
        </w:rPr>
        <w:t xml:space="preserve"> </w:t>
      </w:r>
      <w:r>
        <w:rPr>
          <w:sz w:val="18"/>
          <w:szCs w:val="18"/>
        </w:rPr>
        <w:t>A U.S. Holder would have an excess distribution to the extent that distributions on Offer Shares during a taxable year exceeded 125 per cent. of the average amount received during the three preceding taxable years (or, if shorter, the U.S. Holder’s holding period).</w:t>
      </w:r>
      <w:r w:rsidR="00FF2ECC">
        <w:rPr>
          <w:sz w:val="18"/>
          <w:szCs w:val="18"/>
        </w:rPr>
        <w:t xml:space="preserve"> </w:t>
      </w:r>
      <w:r>
        <w:rPr>
          <w:sz w:val="18"/>
          <w:szCs w:val="18"/>
        </w:rPr>
        <w:t>To compute the tax on excess distributions or any gain, (</w:t>
      </w:r>
      <w:proofErr w:type="spellStart"/>
      <w:r>
        <w:rPr>
          <w:sz w:val="18"/>
          <w:szCs w:val="18"/>
        </w:rPr>
        <w:t>i</w:t>
      </w:r>
      <w:proofErr w:type="spellEnd"/>
      <w:r>
        <w:rPr>
          <w:sz w:val="18"/>
          <w:szCs w:val="18"/>
        </w:rPr>
        <w:t>) the excess distribution or gain would be allocated ratably over the U.S. Holder’s holding period, (ii) the amount allocated to the current taxable year and any year before the Company became a PFIC would be taxed as ordinary income in the current year and (iii) the amount allocated to other taxable years would be taxed at the highest applicable marginal rate in effect for each year and an interest charge imposed to recover the deemed benefit from the deferred payment of the tax attributable to each year. Additionally, dividends paid by the Company would not be eligible for the special reduced rate of tax described below under “</w:t>
      </w:r>
      <w:r>
        <w:rPr>
          <w:i/>
          <w:iCs/>
          <w:sz w:val="18"/>
          <w:szCs w:val="18"/>
        </w:rPr>
        <w:t>—Dividends—General.</w:t>
      </w:r>
      <w:r>
        <w:rPr>
          <w:sz w:val="18"/>
          <w:szCs w:val="18"/>
        </w:rPr>
        <w:t xml:space="preserve">” Prospective purchasers should consult their tax advisors regarding the potential application of the PFIC regime, the U.S. reporting obligations that apply, and the availability of any election to mitigate the adverse tax consequences of the PFIC regime. </w:t>
      </w:r>
    </w:p>
    <w:p w14:paraId="0D82D4E3" w14:textId="77777777" w:rsidR="00F76607" w:rsidRDefault="001863F0">
      <w:pPr>
        <w:spacing w:before="240"/>
        <w:ind w:firstLine="857"/>
        <w:rPr>
          <w:szCs w:val="24"/>
        </w:rPr>
      </w:pPr>
      <w:r>
        <w:rPr>
          <w:sz w:val="18"/>
          <w:szCs w:val="18"/>
        </w:rPr>
        <w:t xml:space="preserve">The rest of this summary assumes that the Company will not be a PFIC for U.S. federal income tax purposes for any taxable year during which a U.S. Holder owns the Offer Shares. There can be no assurance, however, that the Company will not be treated as a PFIC for any taxable year because PFIC status is factual in nature, generally cannot be determined until the close of the taxable year in question, and is determined annually. </w:t>
      </w:r>
    </w:p>
    <w:p w14:paraId="6F2DCF58" w14:textId="77777777" w:rsidR="00F76607" w:rsidRDefault="001863F0">
      <w:pPr>
        <w:keepNext/>
        <w:spacing w:before="240"/>
        <w:rPr>
          <w:szCs w:val="24"/>
        </w:rPr>
      </w:pPr>
      <w:r>
        <w:rPr>
          <w:b/>
          <w:bCs/>
          <w:i/>
          <w:iCs/>
          <w:sz w:val="18"/>
          <w:szCs w:val="18"/>
        </w:rPr>
        <w:t xml:space="preserve">Dividends </w:t>
      </w:r>
    </w:p>
    <w:p w14:paraId="4B785CBA" w14:textId="77777777" w:rsidR="00F76607" w:rsidRDefault="001863F0">
      <w:pPr>
        <w:keepNext/>
        <w:spacing w:before="240"/>
        <w:rPr>
          <w:szCs w:val="24"/>
        </w:rPr>
      </w:pPr>
      <w:r>
        <w:rPr>
          <w:i/>
          <w:iCs/>
          <w:sz w:val="18"/>
          <w:szCs w:val="18"/>
        </w:rPr>
        <w:t xml:space="preserve">General </w:t>
      </w:r>
    </w:p>
    <w:p w14:paraId="638A2BDA" w14:textId="77777777" w:rsidR="00F76607" w:rsidRDefault="001863F0">
      <w:pPr>
        <w:spacing w:before="240"/>
        <w:ind w:firstLine="857"/>
        <w:rPr>
          <w:szCs w:val="24"/>
        </w:rPr>
      </w:pPr>
      <w:r>
        <w:rPr>
          <w:sz w:val="18"/>
          <w:szCs w:val="18"/>
        </w:rPr>
        <w:t>Any distribution of cash or property with respect to Offer Shares (including any amount of any Belgian tax withheld) will generally be treated as a dividend to the extent paid out of the Company’s current or accumulated earnings and profits, as determined under U.S. federal income tax principles, and will be includible in the gross income of a U.S. Holder on the date the distribution is actually or constructively received. The Company does not intend to maintain calculations of its earnings and profits under U.S. federal income tax principles; therefore, any distribution (including for the avoidance of doubt any amount of any Belgian withholding tax) will generally be reported as a “dividend” for U.S. federal income tax purposes. Any such dividend income will not be eligible for the dividends-received deduction generally allowed to corporate U.S. Holders.</w:t>
      </w:r>
    </w:p>
    <w:p w14:paraId="46C133B2" w14:textId="77777777" w:rsidR="00F76607" w:rsidRDefault="001863F0">
      <w:pPr>
        <w:spacing w:before="240"/>
        <w:ind w:firstLine="857"/>
        <w:rPr>
          <w:szCs w:val="24"/>
        </w:rPr>
      </w:pPr>
      <w:r>
        <w:rPr>
          <w:sz w:val="18"/>
          <w:szCs w:val="18"/>
        </w:rPr>
        <w:t>Subject to certain holding period requirements and other conditions, dividends paid to non-corporate U.S. Holders, including individual U.S. Holders, may be eligible for preferential rates of taxation if the dividends are “qualified dividends” for U.S. federal income tax purposes. Dividends received with respect to Offer Shares will be qualified dividends if the Company (</w:t>
      </w:r>
      <w:proofErr w:type="spellStart"/>
      <w:r>
        <w:rPr>
          <w:sz w:val="18"/>
          <w:szCs w:val="18"/>
        </w:rPr>
        <w:t>i</w:t>
      </w:r>
      <w:proofErr w:type="spellEnd"/>
      <w:r>
        <w:rPr>
          <w:sz w:val="18"/>
          <w:szCs w:val="18"/>
        </w:rPr>
        <w:t xml:space="preserve">) is eligible for the benefits the Treaty (which the Company expects will be the case, although no assurance can be given), and (ii) was not, in the year prior to the year in which the dividend was paid, and is not, in the year in which the dividend is paid, a PFIC, for U.S. federal income tax purposes. </w:t>
      </w:r>
    </w:p>
    <w:p w14:paraId="7CE903E9" w14:textId="77777777" w:rsidR="00F76607" w:rsidRDefault="001863F0">
      <w:pPr>
        <w:spacing w:before="240"/>
        <w:ind w:firstLine="857"/>
        <w:rPr>
          <w:szCs w:val="24"/>
        </w:rPr>
      </w:pPr>
      <w:r>
        <w:rPr>
          <w:sz w:val="18"/>
          <w:szCs w:val="18"/>
        </w:rPr>
        <w:t>The amount of any dividend paid in Euro will be the U.S. dollar amount calculated by reference to the exchange rate in effect on the date of receipt, regardless of whether the payment is, in fact, converted into U.S. dollars. If the dividend is converted into U.S. dollars on the date of receipt, U.S. Holders generally will not be required to recognize foreign currency gain or loss in respect of the dividend income. However, a U.S. Holder may have foreign currency gain or loss if the dividend is converted into U.S. dollars after the date of receipt. The gain or loss will be equal to the difference, if any, between (</w:t>
      </w:r>
      <w:proofErr w:type="spellStart"/>
      <w:r>
        <w:rPr>
          <w:sz w:val="18"/>
          <w:szCs w:val="18"/>
        </w:rPr>
        <w:t>i</w:t>
      </w:r>
      <w:proofErr w:type="spellEnd"/>
      <w:r>
        <w:rPr>
          <w:sz w:val="18"/>
          <w:szCs w:val="18"/>
        </w:rPr>
        <w:t xml:space="preserve">) the U.S. dollar value of the amount included in income when the dividend was received and (ii) the amount received on the conversion of Euro into U.S. dollars. Generally, any such gain or loss will be treated as ordinary income or loss and generally will be treated as U.S. source income. U.S. Holders are encouraged to consult their tax advisors regarding the treatment of foreign currency gain or loss on any Euro received that is converted into U.S. dollars on a date subsequent to the date of receipt. </w:t>
      </w:r>
    </w:p>
    <w:p w14:paraId="1247F018" w14:textId="77777777" w:rsidR="00F76607" w:rsidRDefault="001863F0">
      <w:pPr>
        <w:keepNext/>
        <w:spacing w:before="240"/>
        <w:rPr>
          <w:szCs w:val="24"/>
        </w:rPr>
      </w:pPr>
      <w:r>
        <w:rPr>
          <w:i/>
          <w:iCs/>
          <w:sz w:val="18"/>
          <w:szCs w:val="18"/>
        </w:rPr>
        <w:t xml:space="preserve">Effect of Belgian Withholding Taxes </w:t>
      </w:r>
    </w:p>
    <w:p w14:paraId="6CD2724D" w14:textId="3C862E98" w:rsidR="00F76607" w:rsidRDefault="001863F0">
      <w:pPr>
        <w:spacing w:before="240"/>
        <w:ind w:firstLine="857"/>
        <w:rPr>
          <w:szCs w:val="24"/>
        </w:rPr>
      </w:pPr>
      <w:r>
        <w:rPr>
          <w:sz w:val="18"/>
          <w:szCs w:val="18"/>
        </w:rPr>
        <w:t>As discussed in “</w:t>
      </w:r>
      <w:r>
        <w:rPr>
          <w:i/>
          <w:iCs/>
          <w:sz w:val="18"/>
          <w:szCs w:val="18"/>
        </w:rPr>
        <w:t>—Belgian</w:t>
      </w:r>
      <w:r>
        <w:rPr>
          <w:sz w:val="18"/>
          <w:szCs w:val="18"/>
        </w:rPr>
        <w:t xml:space="preserve"> </w:t>
      </w:r>
      <w:r>
        <w:rPr>
          <w:i/>
          <w:iCs/>
          <w:sz w:val="18"/>
          <w:szCs w:val="18"/>
        </w:rPr>
        <w:t>Taxation,</w:t>
      </w:r>
      <w:r>
        <w:rPr>
          <w:sz w:val="18"/>
          <w:szCs w:val="18"/>
        </w:rPr>
        <w:t xml:space="preserve">” under current law, payments of dividends by the Company to foreign investors are generally subject to Belgian withholding tax. For U.S. federal income tax purposes, U.S. Holders will be treated as having received the amount of Belgian taxes withheld by the Company, and as then having paid over the withheld taxes to the Belgian taxing authorities. As a result of this rule, the amount of dividend income included in gross income for U.S. federal income tax purposes by a U.S. Holder with respect to a payment of dividends may be greater than the amount of cash actually received (or receivable) by the U.S. Holder from the Company with respect to the payment. </w:t>
      </w:r>
    </w:p>
    <w:p w14:paraId="6077ECE8" w14:textId="2C4B3428" w:rsidR="00F76607" w:rsidRDefault="001863F0">
      <w:pPr>
        <w:spacing w:before="240"/>
        <w:ind w:firstLine="857"/>
        <w:rPr>
          <w:szCs w:val="24"/>
        </w:rPr>
      </w:pPr>
      <w:r>
        <w:rPr>
          <w:sz w:val="18"/>
          <w:szCs w:val="18"/>
        </w:rPr>
        <w:t>A U.S. Holder generally will be entitled, subject to certain limitations, to a credit against its U.S. federal income tax liability for Belgian income taxes withheld by the Company at the appropriate rate. U.S. Holders that are eligible for benefits under the Treaty will not be entitled to a foreign tax credit for the amount of any Belgian taxes withheld in excess of the 15% maximum rate, and with respect to which the holder is entitled to obtain a refund from the Belgian taxing authorities. In lieu of claiming a credit, a U.S. Holder may elect to deduct any Belgian income tax withheld in computing its taxable income.</w:t>
      </w:r>
      <w:r w:rsidR="00FF2ECC">
        <w:rPr>
          <w:sz w:val="18"/>
          <w:szCs w:val="18"/>
        </w:rPr>
        <w:t xml:space="preserve"> </w:t>
      </w:r>
      <w:r>
        <w:rPr>
          <w:sz w:val="18"/>
          <w:szCs w:val="18"/>
        </w:rPr>
        <w:t>An election to deduct foreign taxes instead of claiming foreign tax credits must be applied to all foreign taxes paid or accrued in the taxable year.</w:t>
      </w:r>
    </w:p>
    <w:p w14:paraId="73C860B6" w14:textId="77777777" w:rsidR="00F76607" w:rsidRDefault="001863F0">
      <w:pPr>
        <w:spacing w:before="180"/>
        <w:rPr>
          <w:sz w:val="2"/>
          <w:szCs w:val="2"/>
        </w:rPr>
      </w:pPr>
      <w:r>
        <w:rPr>
          <w:sz w:val="2"/>
          <w:szCs w:val="2"/>
        </w:rPr>
        <w:t> </w:t>
      </w:r>
    </w:p>
    <w:p w14:paraId="69331D8D" w14:textId="77777777" w:rsidR="00F76607" w:rsidRDefault="001863F0">
      <w:pPr>
        <w:ind w:firstLine="857"/>
        <w:rPr>
          <w:szCs w:val="24"/>
        </w:rPr>
      </w:pPr>
      <w:r>
        <w:rPr>
          <w:sz w:val="18"/>
          <w:szCs w:val="18"/>
        </w:rPr>
        <w:t xml:space="preserve">Dividends paid by the Company generally will constitute foreign source income and will, depending on the circumstances of the U.S. Holder, be either in the “passive category income” or “general category income” baskets for foreign tax credit limitation </w:t>
      </w:r>
      <w:r>
        <w:rPr>
          <w:sz w:val="18"/>
          <w:szCs w:val="18"/>
        </w:rPr>
        <w:lastRenderedPageBreak/>
        <w:t>purposes. The credit for foreign taxes on income in any basket is limited to U.S. federal income tax allocable to that income. If a U.S. Holder receives a dividend from the Company that qualifies for the reduced rate described above under “</w:t>
      </w:r>
      <w:r>
        <w:rPr>
          <w:i/>
          <w:iCs/>
          <w:sz w:val="18"/>
          <w:szCs w:val="18"/>
        </w:rPr>
        <w:t>—</w:t>
      </w:r>
      <w:r>
        <w:rPr>
          <w:sz w:val="18"/>
          <w:szCs w:val="18"/>
        </w:rPr>
        <w:t xml:space="preserve"> </w:t>
      </w:r>
      <w:r>
        <w:rPr>
          <w:i/>
          <w:iCs/>
          <w:sz w:val="18"/>
          <w:szCs w:val="18"/>
        </w:rPr>
        <w:t>Dividends—General,</w:t>
      </w:r>
      <w:r>
        <w:rPr>
          <w:sz w:val="18"/>
          <w:szCs w:val="18"/>
        </w:rPr>
        <w:t xml:space="preserve">” the amount of the dividend taken into account in calculating the foreign tax credit limitation will in general be limited to the gross amount of the dividend, multiplied by the reduced rate divided by the highest rate of tax normally applicable to dividends. In certain circumstances, a U.S. Holder may be unable to claim foreign tax credits (and may instead be allowed deductions) for foreign taxes imposed on a dividend if the U.S. Holder has not held the Offer Shares for at least 16 days in the 31-day period beginning 15 days before the ex-dividend date. </w:t>
      </w:r>
    </w:p>
    <w:p w14:paraId="690198BD" w14:textId="77777777" w:rsidR="00F76607" w:rsidRDefault="001863F0">
      <w:pPr>
        <w:spacing w:before="240"/>
        <w:ind w:firstLine="857"/>
        <w:rPr>
          <w:szCs w:val="24"/>
        </w:rPr>
      </w:pPr>
      <w:r>
        <w:rPr>
          <w:sz w:val="18"/>
          <w:szCs w:val="18"/>
        </w:rPr>
        <w:t xml:space="preserve">U.S. Holders that are accrual basis taxpayers, and who do not otherwise elect, must translate Belgian taxes into U.S. dollars at a rate equal to the average exchange rate for the taxable year in which the taxes accrue, while all U.S. Holders must translate taxable dividend income into U.S. dollars at the spot rate on the date received. This difference in exchange rates may reduce the U.S. dollar value of the credits for Belgian taxes relative to the U.S. Holder’s U.S. federal income tax liability attributable to a dividend. However, cash basis and electing accrual basis U.S. Holders may translate Belgian taxes into U.S. dollars using the exchange rate in effect on the day the taxes were paid. Any such election by an accrual basis U.S. Holder will apply for the taxable year in which it is made, as well as all subsequent taxable years, unless revoked with the consent of the IRS. </w:t>
      </w:r>
    </w:p>
    <w:p w14:paraId="7D4D87C9" w14:textId="77777777" w:rsidR="00F76607" w:rsidRDefault="001863F0">
      <w:pPr>
        <w:spacing w:before="240"/>
        <w:ind w:firstLine="857"/>
        <w:rPr>
          <w:szCs w:val="24"/>
        </w:rPr>
      </w:pPr>
      <w:r>
        <w:rPr>
          <w:sz w:val="18"/>
          <w:szCs w:val="18"/>
        </w:rPr>
        <w:t xml:space="preserve">Prospective purchasers should consult their tax advisors concerning the foreign tax credit implications of the payment of Belgian taxes. </w:t>
      </w:r>
    </w:p>
    <w:p w14:paraId="225F3743" w14:textId="77777777" w:rsidR="00F76607" w:rsidRDefault="001863F0">
      <w:pPr>
        <w:keepNext/>
        <w:spacing w:before="240"/>
        <w:rPr>
          <w:szCs w:val="24"/>
        </w:rPr>
      </w:pPr>
      <w:r>
        <w:rPr>
          <w:b/>
          <w:bCs/>
          <w:i/>
          <w:iCs/>
          <w:sz w:val="18"/>
          <w:szCs w:val="18"/>
        </w:rPr>
        <w:t xml:space="preserve">Sale or other Disposition </w:t>
      </w:r>
    </w:p>
    <w:p w14:paraId="39D7C7F4" w14:textId="77777777" w:rsidR="00F76607" w:rsidRDefault="001863F0">
      <w:pPr>
        <w:spacing w:before="240"/>
        <w:ind w:firstLine="857"/>
        <w:rPr>
          <w:szCs w:val="24"/>
        </w:rPr>
      </w:pPr>
      <w:r>
        <w:rPr>
          <w:sz w:val="18"/>
          <w:szCs w:val="18"/>
        </w:rPr>
        <w:t xml:space="preserve">A U.S. Holder will recognize gain or loss for U.S. federal income tax purposes upon a sale or other disposition of its Offer Shares in an amount equal to the difference, if any, between the amount realized from such sale or disposition and the U.S. Holder’s adjusted tax basis in such Offer Shares. Such gain or loss generally will be capital gain or loss and will be long-term capital gain or loss if the Offer Shares have been held by the U.S. Holder for more than one year. Long-term capital gain of non-corporate U.S. Holders is generally subject to preferential rates of tax. The deductibility of capital losses is subject to limitations. </w:t>
      </w:r>
    </w:p>
    <w:p w14:paraId="261EA17A" w14:textId="77777777" w:rsidR="00F76607" w:rsidRDefault="001863F0">
      <w:pPr>
        <w:spacing w:before="240"/>
        <w:ind w:firstLine="857"/>
        <w:rPr>
          <w:szCs w:val="24"/>
        </w:rPr>
      </w:pPr>
      <w:r>
        <w:rPr>
          <w:sz w:val="18"/>
          <w:szCs w:val="18"/>
        </w:rPr>
        <w:t xml:space="preserve">A U.S. Holder’s tax basis in an Offer Share generally will be its U.S. dollar value of the purchase price paid in the Offering. The amount realized on a sale or other disposition of Offer Shares for an amount in foreign currency will be the U.S. dollar value of this amount on the date of sale or disposition. On the settlement date, the U.S. Holder will recognize U.S.-source foreign currency gain or loss (taxable as ordinary income or loss) equal to the difference, if any, between the U.S. dollar value of the amount received based on the exchange rates in effect on the date of sale or other disposition and the settlement date. Alternatively, in the case of Offer Shares traded on an established securities market that are sold by a cash basis U.S. Holder, or an accrual basis U.S. Holder that so elects, the amount realized will be based on the exchange rate in effect on the settlement date for the sale or other disposition, and no exchange gain or loss will be recognized at that time. If an accrual basis U.S. Holder makes the election, it must be applied consistently from year to year and cannot be revoked without the consent of the IRS. </w:t>
      </w:r>
    </w:p>
    <w:p w14:paraId="002583E4" w14:textId="77777777" w:rsidR="00F76607" w:rsidRDefault="001863F0">
      <w:pPr>
        <w:keepNext/>
        <w:spacing w:before="240"/>
        <w:rPr>
          <w:szCs w:val="24"/>
        </w:rPr>
      </w:pPr>
      <w:r>
        <w:rPr>
          <w:b/>
          <w:bCs/>
          <w:i/>
          <w:iCs/>
          <w:sz w:val="18"/>
          <w:szCs w:val="18"/>
        </w:rPr>
        <w:t xml:space="preserve">Specified Foreign Financial Asset Reporting </w:t>
      </w:r>
    </w:p>
    <w:p w14:paraId="3A4168A4" w14:textId="77777777" w:rsidR="00F76607" w:rsidRDefault="001863F0">
      <w:pPr>
        <w:spacing w:before="240"/>
        <w:ind w:firstLine="857"/>
        <w:rPr>
          <w:szCs w:val="24"/>
        </w:rPr>
      </w:pPr>
      <w:r>
        <w:rPr>
          <w:sz w:val="18"/>
          <w:szCs w:val="18"/>
        </w:rPr>
        <w:t xml:space="preserve">Certain U.S. Holders may be required to submit to the IRS certain information with respect to their beneficial ownership of the Offer Shares, if such Offer Shares are not held on their behalf by certain financial institutions. Penalties may be imposed on a U.S. Holder if such U.S. Holder is required to submit such information to the IRS and fails to do so. U.S. Holders should consult their tax advisors to determine whether they are subject to any foreign asset reporting requirements. </w:t>
      </w:r>
    </w:p>
    <w:p w14:paraId="7A5838DD" w14:textId="77777777" w:rsidR="00F76607" w:rsidRDefault="001863F0">
      <w:pPr>
        <w:spacing w:before="180"/>
        <w:rPr>
          <w:sz w:val="2"/>
          <w:szCs w:val="2"/>
        </w:rPr>
      </w:pPr>
      <w:r>
        <w:rPr>
          <w:sz w:val="2"/>
          <w:szCs w:val="2"/>
        </w:rPr>
        <w:t> </w:t>
      </w:r>
    </w:p>
    <w:p w14:paraId="258A63FB" w14:textId="77777777" w:rsidR="00F76607" w:rsidRDefault="001863F0">
      <w:pPr>
        <w:keepNext/>
        <w:rPr>
          <w:szCs w:val="24"/>
        </w:rPr>
      </w:pPr>
      <w:r>
        <w:rPr>
          <w:b/>
          <w:bCs/>
          <w:i/>
          <w:iCs/>
          <w:sz w:val="18"/>
          <w:szCs w:val="18"/>
        </w:rPr>
        <w:t xml:space="preserve">U.S. Information Reporting and Backup Withholding Tax </w:t>
      </w:r>
    </w:p>
    <w:p w14:paraId="492A6B06" w14:textId="77777777" w:rsidR="00F76607" w:rsidRDefault="001863F0">
      <w:pPr>
        <w:spacing w:before="240"/>
        <w:ind w:firstLine="857"/>
        <w:rPr>
          <w:szCs w:val="24"/>
        </w:rPr>
      </w:pPr>
      <w:r>
        <w:rPr>
          <w:sz w:val="18"/>
          <w:szCs w:val="18"/>
        </w:rPr>
        <w:t>Payments made through a U.S. paying agent or U.S. intermediary to a holder of Offer Shares may be subject to information reporting unless the holder is a corporation or otherwise establishes that payments to it are exempt from these rules. Payments that are subject to information reporting may be subject to backup withholding unless the holder makes the required certification, including providing its taxpayer identification number or otherwise establishes a basis for exemption.</w:t>
      </w:r>
    </w:p>
    <w:p w14:paraId="7B58B305" w14:textId="77777777" w:rsidR="00F76607" w:rsidRDefault="001863F0">
      <w:pPr>
        <w:spacing w:before="240"/>
        <w:ind w:firstLine="857"/>
        <w:rPr>
          <w:sz w:val="18"/>
          <w:szCs w:val="18"/>
        </w:rPr>
      </w:pPr>
      <w:r>
        <w:rPr>
          <w:sz w:val="18"/>
          <w:szCs w:val="18"/>
        </w:rPr>
        <w:t xml:space="preserve">Backup withholding is not an additional tax. The amount of any backup withholding from a payment will be allowed as a credit against such holder’s U.S. federal income tax liability and may entitle such holder to a refund, provided that the required information is timely furnished to the IRS. Holders should consult their own tax advisors regarding the application of the information reporting and backup withholding rules. </w:t>
      </w:r>
    </w:p>
    <w:p w14:paraId="14D8D1F6" w14:textId="77777777" w:rsidR="00F76607" w:rsidRDefault="001863F0">
      <w:pPr>
        <w:spacing w:before="240"/>
        <w:ind w:firstLine="857"/>
        <w:rPr>
          <w:szCs w:val="24"/>
        </w:rPr>
      </w:pPr>
      <w:r>
        <w:rPr>
          <w:rFonts w:ascii="Times New Roman Bold" w:hAnsi="Times New Roman Bold"/>
          <w:b/>
          <w:bCs/>
          <w:caps/>
          <w:sz w:val="18"/>
          <w:szCs w:val="18"/>
        </w:rPr>
        <w:t>THE above discussion is a general SUMMARY, and does not address all tax matters that may be important to a particular investor. A PROSPECTIVE PURCHASER SHOULD CONSULT its TAX ADVISOR AS TO THE PARTICULAR TAX CONSEQUENCES OF investing in THE OFFER SHARES in light of the prospective purchaser's unique circumstances.</w:t>
      </w:r>
    </w:p>
    <w:p w14:paraId="5CFB89AE" w14:textId="77777777" w:rsidR="00F76607" w:rsidRDefault="001863F0">
      <w:r>
        <w:rPr>
          <w:sz w:val="2"/>
          <w:szCs w:val="2"/>
        </w:rPr>
        <w:t> </w:t>
      </w:r>
    </w:p>
    <w:p w14:paraId="38DDC4B5" w14:textId="77777777" w:rsidR="00F76607" w:rsidRDefault="001863F0">
      <w:pPr>
        <w:pStyle w:val="VulcanIISectionTitle"/>
      </w:pPr>
      <w:bookmarkStart w:id="95" w:name="_Toc493194623"/>
      <w:r>
        <w:lastRenderedPageBreak/>
        <w:t>The Offering</w:t>
      </w:r>
      <w:bookmarkEnd w:id="95"/>
      <w:r>
        <w:t xml:space="preserve"> </w:t>
      </w:r>
    </w:p>
    <w:p w14:paraId="2ED02E32" w14:textId="77777777" w:rsidR="00F76607" w:rsidRDefault="001863F0">
      <w:pPr>
        <w:pStyle w:val="NormalWeb"/>
        <w:spacing w:before="240" w:beforeAutospacing="0" w:after="0" w:afterAutospacing="0"/>
        <w:ind w:firstLine="857"/>
      </w:pPr>
      <w:r>
        <w:rPr>
          <w:sz w:val="18"/>
          <w:szCs w:val="18"/>
        </w:rPr>
        <w:t xml:space="preserve">Certain key dates in connection with the Offering are summarized in the following table. These are all anticipated dates, which are subject to any unforeseen circumstances and to an early closing of the Offering Period. </w:t>
      </w:r>
    </w:p>
    <w:p w14:paraId="0388F0DC" w14:textId="77777777" w:rsidR="00F76607" w:rsidRDefault="001863F0">
      <w:pPr>
        <w:pStyle w:val="NormalWeb"/>
        <w:keepNext/>
        <w:spacing w:before="0" w:beforeAutospacing="0" w:after="0" w:afterAutospacing="0"/>
      </w:pPr>
      <w:r>
        <w:t> </w:t>
      </w:r>
    </w:p>
    <w:tbl>
      <w:tblPr>
        <w:tblW w:w="5000" w:type="pct"/>
        <w:jc w:val="center"/>
        <w:tblCellMar>
          <w:left w:w="0" w:type="dxa"/>
          <w:right w:w="0" w:type="dxa"/>
        </w:tblCellMar>
        <w:tblLook w:val="04A0" w:firstRow="1" w:lastRow="0" w:firstColumn="1" w:lastColumn="0" w:noHBand="0" w:noVBand="1"/>
      </w:tblPr>
      <w:tblGrid>
        <w:gridCol w:w="3247"/>
        <w:gridCol w:w="6500"/>
      </w:tblGrid>
      <w:tr w:rsidR="00F76607" w14:paraId="0EA86ABF" w14:textId="77777777" w:rsidTr="002B3FDE">
        <w:trPr>
          <w:tblHeader/>
          <w:jc w:val="center"/>
        </w:trPr>
        <w:tc>
          <w:tcPr>
            <w:tcW w:w="3239" w:type="dxa"/>
            <w:vAlign w:val="center"/>
            <w:hideMark/>
          </w:tcPr>
          <w:p w14:paraId="378CE058" w14:textId="77777777" w:rsidR="00F76607" w:rsidRDefault="00F76607">
            <w:pPr>
              <w:rPr>
                <w:sz w:val="1"/>
                <w:szCs w:val="18"/>
              </w:rPr>
            </w:pPr>
          </w:p>
        </w:tc>
        <w:tc>
          <w:tcPr>
            <w:tcW w:w="6508" w:type="dxa"/>
            <w:vAlign w:val="center"/>
            <w:hideMark/>
          </w:tcPr>
          <w:p w14:paraId="32876131" w14:textId="77777777" w:rsidR="00F76607" w:rsidRDefault="00F76607">
            <w:pPr>
              <w:rPr>
                <w:sz w:val="1"/>
                <w:szCs w:val="18"/>
              </w:rPr>
            </w:pPr>
          </w:p>
        </w:tc>
      </w:tr>
      <w:tr w:rsidR="00F76607" w14:paraId="3183A597" w14:textId="77777777" w:rsidTr="002B3FDE">
        <w:trPr>
          <w:cantSplit/>
          <w:tblHeader/>
          <w:jc w:val="center"/>
        </w:trPr>
        <w:tc>
          <w:tcPr>
            <w:tcW w:w="3239" w:type="dxa"/>
            <w:noWrap/>
            <w:vAlign w:val="bottom"/>
            <w:hideMark/>
          </w:tcPr>
          <w:p w14:paraId="6E13E1F9" w14:textId="77777777" w:rsidR="00F76607" w:rsidRDefault="001863F0">
            <w:pPr>
              <w:pStyle w:val="NormalWeb"/>
              <w:keepNext/>
              <w:spacing w:before="0" w:beforeAutospacing="0" w:after="0" w:afterAutospacing="0"/>
              <w:rPr>
                <w:rFonts w:eastAsiaTheme="minorEastAsia"/>
                <w:sz w:val="16"/>
                <w:szCs w:val="16"/>
              </w:rPr>
            </w:pPr>
            <w:r>
              <w:rPr>
                <w:b/>
                <w:bCs/>
                <w:sz w:val="16"/>
                <w:szCs w:val="16"/>
              </w:rPr>
              <w:t>Date</w:t>
            </w:r>
          </w:p>
          <w:p w14:paraId="0BD0FD54" w14:textId="77777777" w:rsidR="00F76607" w:rsidRDefault="001863F0">
            <w:pPr>
              <w:pStyle w:val="rrdsinglerule"/>
              <w:keepNext/>
              <w:rPr>
                <w:rFonts w:eastAsiaTheme="minorEastAsia"/>
                <w:sz w:val="16"/>
                <w:szCs w:val="16"/>
              </w:rPr>
            </w:pPr>
            <w:r>
              <w:rPr>
                <w:sz w:val="16"/>
                <w:szCs w:val="16"/>
              </w:rPr>
              <w:t> </w:t>
            </w:r>
          </w:p>
        </w:tc>
        <w:tc>
          <w:tcPr>
            <w:tcW w:w="6508" w:type="dxa"/>
            <w:tcMar>
              <w:top w:w="0" w:type="dxa"/>
              <w:left w:w="144" w:type="dxa"/>
              <w:bottom w:w="0" w:type="dxa"/>
              <w:right w:w="0" w:type="dxa"/>
            </w:tcMar>
            <w:vAlign w:val="bottom"/>
            <w:hideMark/>
          </w:tcPr>
          <w:p w14:paraId="6B933A55" w14:textId="77777777" w:rsidR="00F76607" w:rsidRDefault="001863F0">
            <w:pPr>
              <w:pStyle w:val="NormalWeb"/>
              <w:spacing w:before="0" w:beforeAutospacing="0" w:after="0" w:afterAutospacing="0"/>
              <w:rPr>
                <w:rFonts w:eastAsiaTheme="minorEastAsia"/>
                <w:sz w:val="16"/>
                <w:szCs w:val="16"/>
              </w:rPr>
            </w:pPr>
            <w:r>
              <w:rPr>
                <w:b/>
                <w:bCs/>
                <w:sz w:val="16"/>
                <w:szCs w:val="16"/>
              </w:rPr>
              <w:t>Event</w:t>
            </w:r>
          </w:p>
          <w:p w14:paraId="0A31BF46" w14:textId="77777777" w:rsidR="00F76607" w:rsidRDefault="001863F0">
            <w:pPr>
              <w:pStyle w:val="rrdsinglerule"/>
              <w:spacing w:before="0"/>
              <w:rPr>
                <w:rFonts w:eastAsiaTheme="minorEastAsia"/>
                <w:sz w:val="16"/>
                <w:szCs w:val="16"/>
              </w:rPr>
            </w:pPr>
            <w:r>
              <w:rPr>
                <w:sz w:val="16"/>
                <w:szCs w:val="16"/>
              </w:rPr>
              <w:t> </w:t>
            </w:r>
          </w:p>
        </w:tc>
      </w:tr>
      <w:tr w:rsidR="002B3FDE" w14:paraId="6BDE4EFB" w14:textId="77777777" w:rsidTr="002B3FDE">
        <w:trPr>
          <w:cantSplit/>
          <w:jc w:val="center"/>
        </w:trPr>
        <w:tc>
          <w:tcPr>
            <w:tcW w:w="3239" w:type="dxa"/>
            <w:hideMark/>
          </w:tcPr>
          <w:p w14:paraId="22745E6F" w14:textId="15D44040" w:rsidR="002B3FDE" w:rsidRDefault="00E423FB" w:rsidP="002B3FDE">
            <w:pPr>
              <w:pStyle w:val="NormalWeb"/>
              <w:keepNext/>
              <w:tabs>
                <w:tab w:val="right" w:leader="dot" w:pos="3000"/>
              </w:tabs>
              <w:spacing w:before="0" w:beforeAutospacing="0" w:after="0" w:afterAutospacing="0"/>
              <w:ind w:left="240" w:hanging="240"/>
              <w:rPr>
                <w:rFonts w:eastAsiaTheme="minorEastAsia"/>
                <w:sz w:val="18"/>
                <w:szCs w:val="18"/>
              </w:rPr>
            </w:pPr>
            <w:r>
              <w:rPr>
                <w:sz w:val="18"/>
                <w:szCs w:val="18"/>
              </w:rPr>
              <w:t>12 October</w:t>
            </w:r>
            <w:r w:rsidR="002B3FDE">
              <w:rPr>
                <w:sz w:val="18"/>
                <w:szCs w:val="18"/>
              </w:rPr>
              <w:t xml:space="preserve"> 2017</w:t>
            </w:r>
            <w:r w:rsidR="002B3FDE">
              <w:rPr>
                <w:sz w:val="18"/>
                <w:szCs w:val="18"/>
              </w:rPr>
              <w:tab/>
            </w:r>
          </w:p>
        </w:tc>
        <w:tc>
          <w:tcPr>
            <w:tcW w:w="6508" w:type="dxa"/>
            <w:vAlign w:val="bottom"/>
            <w:hideMark/>
          </w:tcPr>
          <w:p w14:paraId="6557943A" w14:textId="77777777" w:rsidR="002B3FDE" w:rsidRDefault="002B3FDE" w:rsidP="002B3FDE">
            <w:pPr>
              <w:rPr>
                <w:sz w:val="18"/>
                <w:szCs w:val="18"/>
              </w:rPr>
            </w:pPr>
            <w:r>
              <w:rPr>
                <w:sz w:val="18"/>
                <w:szCs w:val="18"/>
              </w:rPr>
              <w:t>Expected Start of Offering Period (including Retail Offering)</w:t>
            </w:r>
          </w:p>
        </w:tc>
      </w:tr>
      <w:tr w:rsidR="002B3FDE" w14:paraId="1884FE3A" w14:textId="77777777" w:rsidTr="002B3FDE">
        <w:trPr>
          <w:cantSplit/>
          <w:jc w:val="center"/>
        </w:trPr>
        <w:tc>
          <w:tcPr>
            <w:tcW w:w="3239" w:type="dxa"/>
            <w:hideMark/>
          </w:tcPr>
          <w:p w14:paraId="4A88F230" w14:textId="6A4E0836" w:rsidR="002B3FDE" w:rsidRDefault="0008334F" w:rsidP="002B3FDE">
            <w:pPr>
              <w:pStyle w:val="NormalWeb"/>
              <w:keepNext/>
              <w:tabs>
                <w:tab w:val="right" w:leader="dot" w:pos="3000"/>
              </w:tabs>
              <w:spacing w:before="0" w:beforeAutospacing="0" w:after="0" w:afterAutospacing="0"/>
              <w:ind w:left="240" w:hanging="240"/>
              <w:rPr>
                <w:rFonts w:eastAsiaTheme="minorEastAsia"/>
                <w:sz w:val="18"/>
                <w:szCs w:val="18"/>
              </w:rPr>
            </w:pPr>
            <w:r>
              <w:rPr>
                <w:sz w:val="18"/>
                <w:szCs w:val="18"/>
              </w:rPr>
              <w:t xml:space="preserve">4 </w:t>
            </w:r>
            <w:r w:rsidR="00E423FB">
              <w:rPr>
                <w:sz w:val="18"/>
                <w:szCs w:val="18"/>
              </w:rPr>
              <w:t>p.m.</w:t>
            </w:r>
            <w:r w:rsidR="002B3FDE" w:rsidRPr="004B4EFE">
              <w:rPr>
                <w:sz w:val="18"/>
                <w:szCs w:val="18"/>
              </w:rPr>
              <w:t xml:space="preserve"> CET on </w:t>
            </w:r>
            <w:r w:rsidR="001146AD">
              <w:rPr>
                <w:sz w:val="18"/>
                <w:szCs w:val="18"/>
              </w:rPr>
              <w:t>24</w:t>
            </w:r>
            <w:r w:rsidR="00E423FB">
              <w:rPr>
                <w:sz w:val="18"/>
                <w:szCs w:val="18"/>
              </w:rPr>
              <w:t xml:space="preserve"> October</w:t>
            </w:r>
            <w:r w:rsidR="002B3FDE">
              <w:rPr>
                <w:sz w:val="18"/>
                <w:szCs w:val="18"/>
              </w:rPr>
              <w:t xml:space="preserve"> 2017</w:t>
            </w:r>
            <w:r w:rsidR="002B3FDE">
              <w:rPr>
                <w:sz w:val="18"/>
                <w:szCs w:val="18"/>
              </w:rPr>
              <w:tab/>
            </w:r>
          </w:p>
        </w:tc>
        <w:tc>
          <w:tcPr>
            <w:tcW w:w="6508" w:type="dxa"/>
            <w:vAlign w:val="bottom"/>
            <w:hideMark/>
          </w:tcPr>
          <w:p w14:paraId="02BFF0C9" w14:textId="77777777" w:rsidR="002B3FDE" w:rsidRDefault="002B3FDE" w:rsidP="002B3FDE">
            <w:pPr>
              <w:rPr>
                <w:sz w:val="18"/>
                <w:szCs w:val="18"/>
              </w:rPr>
            </w:pPr>
            <w:r>
              <w:rPr>
                <w:sz w:val="18"/>
                <w:szCs w:val="18"/>
              </w:rPr>
              <w:t>Expected End of Retail Offering</w:t>
            </w:r>
          </w:p>
        </w:tc>
      </w:tr>
      <w:tr w:rsidR="002B3FDE" w14:paraId="04DB1CD3" w14:textId="77777777" w:rsidTr="002B3FDE">
        <w:trPr>
          <w:cantSplit/>
          <w:jc w:val="center"/>
        </w:trPr>
        <w:tc>
          <w:tcPr>
            <w:tcW w:w="3239" w:type="dxa"/>
            <w:hideMark/>
          </w:tcPr>
          <w:p w14:paraId="4119BB2F" w14:textId="46A07B79" w:rsidR="002B3FDE" w:rsidRDefault="001146AD" w:rsidP="002B3FDE">
            <w:r>
              <w:rPr>
                <w:sz w:val="18"/>
                <w:szCs w:val="18"/>
              </w:rPr>
              <w:t>1 p.m. CET on 25</w:t>
            </w:r>
            <w:r w:rsidR="00E423FB">
              <w:rPr>
                <w:sz w:val="18"/>
                <w:szCs w:val="18"/>
              </w:rPr>
              <w:t xml:space="preserve"> October</w:t>
            </w:r>
            <w:r w:rsidR="002B3FDE">
              <w:rPr>
                <w:sz w:val="18"/>
                <w:szCs w:val="18"/>
              </w:rPr>
              <w:t xml:space="preserve"> 2017</w:t>
            </w:r>
            <w:r w:rsidR="002B3FDE" w:rsidRPr="004B4EFE">
              <w:rPr>
                <w:sz w:val="18"/>
                <w:szCs w:val="18"/>
              </w:rPr>
              <w:tab/>
            </w:r>
          </w:p>
        </w:tc>
        <w:tc>
          <w:tcPr>
            <w:tcW w:w="6508" w:type="dxa"/>
            <w:vAlign w:val="bottom"/>
            <w:hideMark/>
          </w:tcPr>
          <w:p w14:paraId="132EC8D4" w14:textId="77777777" w:rsidR="002B3FDE" w:rsidRDefault="002B3FDE" w:rsidP="002B3FDE">
            <w:pPr>
              <w:rPr>
                <w:sz w:val="18"/>
                <w:szCs w:val="18"/>
              </w:rPr>
            </w:pPr>
            <w:r>
              <w:rPr>
                <w:sz w:val="18"/>
                <w:szCs w:val="18"/>
              </w:rPr>
              <w:t>Expected End of Offering Period</w:t>
            </w:r>
          </w:p>
        </w:tc>
      </w:tr>
      <w:tr w:rsidR="002B3FDE" w14:paraId="2E15F420" w14:textId="77777777" w:rsidTr="002B3FDE">
        <w:trPr>
          <w:cantSplit/>
          <w:jc w:val="center"/>
        </w:trPr>
        <w:tc>
          <w:tcPr>
            <w:tcW w:w="3239" w:type="dxa"/>
            <w:hideMark/>
          </w:tcPr>
          <w:p w14:paraId="64ED79C8" w14:textId="70408C6F" w:rsidR="002B3FDE" w:rsidRDefault="001146AD" w:rsidP="002B3FDE">
            <w:r>
              <w:rPr>
                <w:sz w:val="18"/>
                <w:szCs w:val="18"/>
              </w:rPr>
              <w:t>25</w:t>
            </w:r>
            <w:r w:rsidR="00E423FB">
              <w:rPr>
                <w:sz w:val="18"/>
                <w:szCs w:val="18"/>
              </w:rPr>
              <w:t xml:space="preserve"> October</w:t>
            </w:r>
            <w:r w:rsidR="002B3FDE">
              <w:rPr>
                <w:sz w:val="18"/>
                <w:szCs w:val="18"/>
              </w:rPr>
              <w:t xml:space="preserve"> 2017</w:t>
            </w:r>
          </w:p>
        </w:tc>
        <w:tc>
          <w:tcPr>
            <w:tcW w:w="6508" w:type="dxa"/>
            <w:vAlign w:val="bottom"/>
            <w:hideMark/>
          </w:tcPr>
          <w:p w14:paraId="0565D12A" w14:textId="77777777" w:rsidR="002B3FDE" w:rsidRDefault="002B3FDE" w:rsidP="002B3FDE">
            <w:pPr>
              <w:rPr>
                <w:sz w:val="18"/>
                <w:szCs w:val="18"/>
              </w:rPr>
            </w:pPr>
            <w:r>
              <w:rPr>
                <w:sz w:val="18"/>
                <w:szCs w:val="18"/>
              </w:rPr>
              <w:t>Pricing and Allocation</w:t>
            </w:r>
          </w:p>
        </w:tc>
      </w:tr>
      <w:tr w:rsidR="002B3FDE" w14:paraId="6A1CCCFB" w14:textId="77777777" w:rsidTr="002B3FDE">
        <w:trPr>
          <w:cantSplit/>
          <w:jc w:val="center"/>
        </w:trPr>
        <w:tc>
          <w:tcPr>
            <w:tcW w:w="3239" w:type="dxa"/>
            <w:hideMark/>
          </w:tcPr>
          <w:p w14:paraId="1B434E7D" w14:textId="2D3BA63E" w:rsidR="002B3FDE" w:rsidRDefault="001146AD" w:rsidP="002B3FDE">
            <w:r>
              <w:rPr>
                <w:sz w:val="18"/>
                <w:szCs w:val="18"/>
              </w:rPr>
              <w:t>26</w:t>
            </w:r>
            <w:r w:rsidR="00E423FB">
              <w:rPr>
                <w:sz w:val="18"/>
                <w:szCs w:val="18"/>
              </w:rPr>
              <w:t xml:space="preserve"> October</w:t>
            </w:r>
            <w:r w:rsidR="002B3FDE">
              <w:rPr>
                <w:sz w:val="18"/>
                <w:szCs w:val="18"/>
              </w:rPr>
              <w:t xml:space="preserve"> 2017</w:t>
            </w:r>
            <w:r w:rsidR="00C77BF1">
              <w:rPr>
                <w:sz w:val="18"/>
                <w:szCs w:val="18"/>
              </w:rPr>
              <w:t xml:space="preserve"> at the latest</w:t>
            </w:r>
          </w:p>
        </w:tc>
        <w:tc>
          <w:tcPr>
            <w:tcW w:w="6508" w:type="dxa"/>
            <w:vAlign w:val="bottom"/>
            <w:hideMark/>
          </w:tcPr>
          <w:p w14:paraId="0026C33E" w14:textId="77777777" w:rsidR="002B3FDE" w:rsidRDefault="002B3FDE" w:rsidP="002B3FDE">
            <w:pPr>
              <w:rPr>
                <w:sz w:val="18"/>
                <w:szCs w:val="18"/>
              </w:rPr>
            </w:pPr>
            <w:r>
              <w:rPr>
                <w:sz w:val="18"/>
                <w:szCs w:val="18"/>
              </w:rPr>
              <w:t>Publication of Offer Price and Results of the Offering</w:t>
            </w:r>
          </w:p>
        </w:tc>
      </w:tr>
      <w:tr w:rsidR="002B3FDE" w14:paraId="1F67C63A" w14:textId="77777777" w:rsidTr="002B3FDE">
        <w:trPr>
          <w:cantSplit/>
          <w:jc w:val="center"/>
        </w:trPr>
        <w:tc>
          <w:tcPr>
            <w:tcW w:w="3239" w:type="dxa"/>
            <w:hideMark/>
          </w:tcPr>
          <w:p w14:paraId="6DF0A082" w14:textId="13D1FA9F" w:rsidR="002B3FDE" w:rsidRDefault="001146AD" w:rsidP="002B3FDE">
            <w:r>
              <w:rPr>
                <w:sz w:val="18"/>
                <w:szCs w:val="18"/>
              </w:rPr>
              <w:t>27</w:t>
            </w:r>
            <w:r w:rsidR="00E423FB">
              <w:rPr>
                <w:sz w:val="18"/>
                <w:szCs w:val="18"/>
              </w:rPr>
              <w:t xml:space="preserve"> October</w:t>
            </w:r>
            <w:r w:rsidR="002B3FDE">
              <w:rPr>
                <w:sz w:val="18"/>
                <w:szCs w:val="18"/>
              </w:rPr>
              <w:t xml:space="preserve"> 2017</w:t>
            </w:r>
          </w:p>
        </w:tc>
        <w:tc>
          <w:tcPr>
            <w:tcW w:w="6508" w:type="dxa"/>
            <w:vAlign w:val="bottom"/>
            <w:hideMark/>
          </w:tcPr>
          <w:p w14:paraId="434A95F6" w14:textId="77777777" w:rsidR="002B3FDE" w:rsidRDefault="002B3FDE" w:rsidP="002B3FDE">
            <w:pPr>
              <w:rPr>
                <w:sz w:val="18"/>
                <w:szCs w:val="18"/>
              </w:rPr>
            </w:pPr>
            <w:r>
              <w:rPr>
                <w:sz w:val="18"/>
                <w:szCs w:val="18"/>
              </w:rPr>
              <w:t>Expected Closing Date</w:t>
            </w:r>
          </w:p>
        </w:tc>
      </w:tr>
    </w:tbl>
    <w:p w14:paraId="6B2C59F6" w14:textId="77777777" w:rsidR="00F76607" w:rsidRDefault="001863F0">
      <w:pPr>
        <w:pStyle w:val="NormalWeb"/>
        <w:keepNext/>
        <w:spacing w:before="240" w:beforeAutospacing="0" w:after="0" w:afterAutospacing="0"/>
        <w:rPr>
          <w:rFonts w:eastAsiaTheme="minorEastAsia"/>
        </w:rPr>
      </w:pPr>
      <w:r>
        <w:rPr>
          <w:b/>
          <w:bCs/>
          <w:sz w:val="18"/>
          <w:szCs w:val="18"/>
        </w:rPr>
        <w:t xml:space="preserve">Conditions and Nature of the Offering </w:t>
      </w:r>
    </w:p>
    <w:p w14:paraId="1F8429BB" w14:textId="0491EB90" w:rsidR="00F76607" w:rsidRDefault="001863F0">
      <w:pPr>
        <w:pStyle w:val="NormalWeb"/>
        <w:spacing w:before="240" w:beforeAutospacing="0" w:after="0" w:afterAutospacing="0"/>
        <w:ind w:firstLine="857"/>
      </w:pPr>
      <w:r>
        <w:rPr>
          <w:sz w:val="18"/>
          <w:szCs w:val="18"/>
        </w:rPr>
        <w:t xml:space="preserve">The Offering relates to the offering by the </w:t>
      </w:r>
      <w:r w:rsidR="00422C84">
        <w:rPr>
          <w:sz w:val="18"/>
          <w:szCs w:val="18"/>
        </w:rPr>
        <w:t xml:space="preserve">Selling Shareholders of up to </w:t>
      </w:r>
      <w:r w:rsidR="00E423FB">
        <w:rPr>
          <w:sz w:val="18"/>
          <w:szCs w:val="18"/>
        </w:rPr>
        <w:t>4,524,569</w:t>
      </w:r>
      <w:r>
        <w:rPr>
          <w:sz w:val="18"/>
          <w:szCs w:val="18"/>
        </w:rPr>
        <w:t xml:space="preserve"> existing Shares</w:t>
      </w:r>
      <w:r w:rsidR="00E25786" w:rsidRPr="00E25786">
        <w:rPr>
          <w:sz w:val="18"/>
          <w:szCs w:val="18"/>
        </w:rPr>
        <w:t xml:space="preserve"> being</w:t>
      </w:r>
      <w:r w:rsidR="00E25786">
        <w:rPr>
          <w:sz w:val="18"/>
          <w:szCs w:val="18"/>
        </w:rPr>
        <w:t>,</w:t>
      </w:r>
      <w:r w:rsidR="00E25786" w:rsidRPr="00E25786">
        <w:rPr>
          <w:sz w:val="18"/>
          <w:szCs w:val="18"/>
        </w:rPr>
        <w:t xml:space="preserve"> </w:t>
      </w:r>
      <w:r w:rsidR="00DA3505">
        <w:rPr>
          <w:sz w:val="18"/>
          <w:szCs w:val="18"/>
        </w:rPr>
        <w:t xml:space="preserve">approximately </w:t>
      </w:r>
      <w:r w:rsidR="00E423FB">
        <w:rPr>
          <w:sz w:val="18"/>
          <w:szCs w:val="18"/>
        </w:rPr>
        <w:t>24,35</w:t>
      </w:r>
      <w:r w:rsidR="00E25786" w:rsidRPr="00E25786">
        <w:rPr>
          <w:sz w:val="18"/>
          <w:szCs w:val="18"/>
        </w:rPr>
        <w:t>% of the aggregate existing Shares of which VM Invest NV and Bart Van Malderen will jointly offer</w:t>
      </w:r>
      <w:r w:rsidR="00166DBA">
        <w:rPr>
          <w:sz w:val="18"/>
          <w:szCs w:val="18"/>
        </w:rPr>
        <w:t xml:space="preserve"> up to</w:t>
      </w:r>
      <w:r w:rsidR="00E25786" w:rsidRPr="00E25786">
        <w:rPr>
          <w:sz w:val="18"/>
          <w:szCs w:val="18"/>
        </w:rPr>
        <w:t xml:space="preserve"> </w:t>
      </w:r>
      <w:r w:rsidR="00E423FB">
        <w:rPr>
          <w:sz w:val="18"/>
          <w:szCs w:val="18"/>
        </w:rPr>
        <w:t>3,781,247</w:t>
      </w:r>
      <w:r w:rsidR="00E25786">
        <w:rPr>
          <w:sz w:val="18"/>
          <w:szCs w:val="18"/>
        </w:rPr>
        <w:t xml:space="preserve"> Shares</w:t>
      </w:r>
      <w:r w:rsidR="00E25786" w:rsidRPr="00E25786">
        <w:rPr>
          <w:sz w:val="18"/>
          <w:szCs w:val="18"/>
        </w:rPr>
        <w:t xml:space="preserve">, being </w:t>
      </w:r>
      <w:r w:rsidR="00DA3505">
        <w:rPr>
          <w:sz w:val="18"/>
          <w:szCs w:val="18"/>
        </w:rPr>
        <w:t xml:space="preserve">approximately </w:t>
      </w:r>
      <w:r w:rsidR="00E423FB">
        <w:rPr>
          <w:sz w:val="18"/>
          <w:szCs w:val="18"/>
        </w:rPr>
        <w:t>20,35</w:t>
      </w:r>
      <w:r w:rsidR="00E25786" w:rsidRPr="00E25786">
        <w:rPr>
          <w:sz w:val="18"/>
          <w:szCs w:val="18"/>
        </w:rPr>
        <w:t xml:space="preserve">% of the aggregate existing Shares and Little Rock SA </w:t>
      </w:r>
      <w:r w:rsidR="00166DBA">
        <w:rPr>
          <w:sz w:val="18"/>
          <w:szCs w:val="18"/>
        </w:rPr>
        <w:t xml:space="preserve">up to </w:t>
      </w:r>
      <w:r w:rsidR="00E423FB">
        <w:rPr>
          <w:sz w:val="18"/>
          <w:szCs w:val="18"/>
        </w:rPr>
        <w:t>743,322</w:t>
      </w:r>
      <w:r w:rsidR="00E25786">
        <w:rPr>
          <w:sz w:val="18"/>
          <w:szCs w:val="18"/>
        </w:rPr>
        <w:t xml:space="preserve"> Shares</w:t>
      </w:r>
      <w:r w:rsidR="00E25786" w:rsidRPr="00E25786">
        <w:rPr>
          <w:sz w:val="18"/>
          <w:szCs w:val="18"/>
        </w:rPr>
        <w:t xml:space="preserve">, being </w:t>
      </w:r>
      <w:r w:rsidR="00DA3505">
        <w:rPr>
          <w:sz w:val="18"/>
          <w:szCs w:val="18"/>
        </w:rPr>
        <w:t xml:space="preserve">approximately </w:t>
      </w:r>
      <w:r w:rsidR="00E423FB">
        <w:rPr>
          <w:sz w:val="18"/>
          <w:szCs w:val="18"/>
        </w:rPr>
        <w:t>4</w:t>
      </w:r>
      <w:r w:rsidR="00E25786" w:rsidRPr="00E25786">
        <w:rPr>
          <w:sz w:val="18"/>
          <w:szCs w:val="18"/>
        </w:rPr>
        <w:t>% of the aggregate existing Shares</w:t>
      </w:r>
      <w:r>
        <w:rPr>
          <w:sz w:val="18"/>
          <w:szCs w:val="18"/>
        </w:rPr>
        <w:t>. The Offering consists of (</w:t>
      </w:r>
      <w:proofErr w:type="spellStart"/>
      <w:r>
        <w:rPr>
          <w:sz w:val="18"/>
          <w:szCs w:val="18"/>
        </w:rPr>
        <w:t>i</w:t>
      </w:r>
      <w:proofErr w:type="spellEnd"/>
      <w:r>
        <w:rPr>
          <w:sz w:val="18"/>
          <w:szCs w:val="18"/>
        </w:rPr>
        <w:t>) the Belgian Offering (i.e., a public offering to retail and institutional investors in Belgium); (ii) a private placement in the United States to persons who are reasonably believed to be “qualified institutional buyers” or “QIBs” (as defined in Rule 144A under the U.S. Securities Act), in reliance on Rule 144A; and (iii) private placements to institutional investors in certain other jurisdictions. The Offering outside the United States will be made in compliance with Regulation S under the U.S. Securities Act. The offering to investors referred to in (ii) and (iii) above is herein referred to as the “International Institutional Offering” (</w:t>
      </w:r>
      <w:r>
        <w:rPr>
          <w:iCs/>
          <w:sz w:val="18"/>
          <w:szCs w:val="18"/>
        </w:rPr>
        <w:t>i.e</w:t>
      </w:r>
      <w:r>
        <w:rPr>
          <w:sz w:val="18"/>
          <w:szCs w:val="18"/>
        </w:rPr>
        <w:t xml:space="preserve">., a private placement in the United States to QIBs and a private placement to institutional investors in certain other jurisdictions). In the event that the maximum number of Offer Shares </w:t>
      </w:r>
      <w:r w:rsidR="000B7E5D">
        <w:rPr>
          <w:sz w:val="18"/>
          <w:szCs w:val="18"/>
        </w:rPr>
        <w:t xml:space="preserve">(excluding the Increase Option) </w:t>
      </w:r>
      <w:r>
        <w:rPr>
          <w:sz w:val="18"/>
          <w:szCs w:val="18"/>
        </w:rPr>
        <w:t xml:space="preserve">is reduced, including due to an early closing of the Offering Period without placement of the total number of </w:t>
      </w:r>
      <w:r w:rsidR="00C77BF1">
        <w:rPr>
          <w:sz w:val="18"/>
          <w:szCs w:val="18"/>
        </w:rPr>
        <w:t>Offer Shares (excluding the Increase Option)</w:t>
      </w:r>
      <w:r>
        <w:rPr>
          <w:sz w:val="18"/>
          <w:szCs w:val="18"/>
        </w:rPr>
        <w:t xml:space="preserve">, this will be published in a supplement to the Prospectus. The Offer Shares are being offered only in those jurisdictions in which, and only to those persons to whom, offers of Offer Shares may be lawfully made. </w:t>
      </w:r>
    </w:p>
    <w:p w14:paraId="2C41AC0C" w14:textId="5F828047" w:rsidR="00F76607" w:rsidRDefault="001863F0">
      <w:pPr>
        <w:pStyle w:val="NormalWeb"/>
        <w:spacing w:before="240" w:beforeAutospacing="0" w:after="0" w:afterAutospacing="0"/>
        <w:ind w:firstLine="857"/>
      </w:pPr>
      <w:r>
        <w:rPr>
          <w:sz w:val="18"/>
          <w:szCs w:val="18"/>
        </w:rPr>
        <w:t xml:space="preserve">The aggregate number of Offer Shares sold may, pursuant to the Increase </w:t>
      </w:r>
      <w:r w:rsidR="00E423FB">
        <w:rPr>
          <w:sz w:val="18"/>
          <w:szCs w:val="18"/>
        </w:rPr>
        <w:t xml:space="preserve">Option, be increased by up to </w:t>
      </w:r>
      <w:r w:rsidR="002B3FDE">
        <w:rPr>
          <w:sz w:val="18"/>
          <w:szCs w:val="18"/>
        </w:rPr>
        <w:t>25</w:t>
      </w:r>
      <w:r>
        <w:rPr>
          <w:sz w:val="18"/>
          <w:szCs w:val="18"/>
        </w:rPr>
        <w:t>% of the aggregate number of Offer Shares initially offered. Any decision to exercise the Increase Option will be communicated at the latest, on the date of the announcement of the Offer Price. See “</w:t>
      </w:r>
      <w:r>
        <w:rPr>
          <w:i/>
          <w:iCs/>
          <w:sz w:val="18"/>
          <w:szCs w:val="18"/>
        </w:rPr>
        <w:t>Plan</w:t>
      </w:r>
      <w:r>
        <w:rPr>
          <w:sz w:val="18"/>
          <w:szCs w:val="18"/>
        </w:rPr>
        <w:t xml:space="preserve"> </w:t>
      </w:r>
      <w:r>
        <w:rPr>
          <w:i/>
          <w:iCs/>
          <w:sz w:val="18"/>
          <w:szCs w:val="18"/>
        </w:rPr>
        <w:t>of</w:t>
      </w:r>
      <w:r>
        <w:rPr>
          <w:sz w:val="18"/>
          <w:szCs w:val="18"/>
        </w:rPr>
        <w:t xml:space="preserve"> </w:t>
      </w:r>
      <w:r>
        <w:rPr>
          <w:i/>
          <w:iCs/>
          <w:sz w:val="18"/>
          <w:szCs w:val="18"/>
        </w:rPr>
        <w:t>Distribution</w:t>
      </w:r>
      <w:r>
        <w:rPr>
          <w:sz w:val="18"/>
          <w:szCs w:val="18"/>
        </w:rPr>
        <w:t>—</w:t>
      </w:r>
      <w:r>
        <w:rPr>
          <w:i/>
          <w:iCs/>
          <w:sz w:val="18"/>
          <w:szCs w:val="18"/>
        </w:rPr>
        <w:t>Increase</w:t>
      </w:r>
      <w:r>
        <w:rPr>
          <w:sz w:val="18"/>
          <w:szCs w:val="18"/>
        </w:rPr>
        <w:t xml:space="preserve"> </w:t>
      </w:r>
      <w:r>
        <w:rPr>
          <w:i/>
          <w:iCs/>
          <w:sz w:val="18"/>
          <w:szCs w:val="18"/>
        </w:rPr>
        <w:t>Option</w:t>
      </w:r>
      <w:r>
        <w:rPr>
          <w:sz w:val="18"/>
          <w:szCs w:val="18"/>
        </w:rPr>
        <w:t xml:space="preserve">”. </w:t>
      </w:r>
    </w:p>
    <w:p w14:paraId="6E721C47" w14:textId="77777777" w:rsidR="00F76607" w:rsidRDefault="001863F0">
      <w:pPr>
        <w:pStyle w:val="NormalWeb"/>
        <w:spacing w:before="240" w:beforeAutospacing="0" w:after="0" w:afterAutospacing="0"/>
        <w:ind w:firstLine="857"/>
      </w:pPr>
      <w:r>
        <w:rPr>
          <w:sz w:val="18"/>
          <w:szCs w:val="18"/>
        </w:rPr>
        <w:t>The Joint Global Coordinators and Joint Bookrunners are J.P. Morgan and KBC Securities. The Co-Lead Manager is Belfius and the Co-Manager is ING. See “</w:t>
      </w:r>
      <w:r>
        <w:rPr>
          <w:i/>
          <w:iCs/>
          <w:sz w:val="18"/>
          <w:szCs w:val="18"/>
        </w:rPr>
        <w:t>Plan</w:t>
      </w:r>
      <w:r>
        <w:rPr>
          <w:sz w:val="18"/>
          <w:szCs w:val="18"/>
        </w:rPr>
        <w:t xml:space="preserve"> </w:t>
      </w:r>
      <w:r>
        <w:rPr>
          <w:i/>
          <w:iCs/>
          <w:sz w:val="18"/>
          <w:szCs w:val="18"/>
        </w:rPr>
        <w:t>of</w:t>
      </w:r>
      <w:r>
        <w:rPr>
          <w:sz w:val="18"/>
          <w:szCs w:val="18"/>
        </w:rPr>
        <w:t xml:space="preserve"> </w:t>
      </w:r>
      <w:r>
        <w:rPr>
          <w:i/>
          <w:iCs/>
          <w:sz w:val="18"/>
          <w:szCs w:val="18"/>
        </w:rPr>
        <w:t>Distribution</w:t>
      </w:r>
      <w:r>
        <w:rPr>
          <w:sz w:val="18"/>
          <w:szCs w:val="18"/>
        </w:rPr>
        <w:t xml:space="preserve">.” </w:t>
      </w:r>
    </w:p>
    <w:p w14:paraId="2AB3BA6B" w14:textId="7CC2E3B5" w:rsidR="00F76607" w:rsidRDefault="001863F0">
      <w:pPr>
        <w:pStyle w:val="NormalWeb"/>
        <w:spacing w:before="240" w:beforeAutospacing="0" w:after="0" w:afterAutospacing="0"/>
        <w:ind w:firstLine="857"/>
      </w:pPr>
      <w:r>
        <w:rPr>
          <w:sz w:val="18"/>
          <w:szCs w:val="18"/>
        </w:rPr>
        <w:t>The actual number of Offer Shares to be sold by the Selling Shareholders in the Offering will only be determined after the Offering Period and will be announced by means of a Company press release, simultaneously with the publication of the Offer Price and the allocation of Offer Shares to retail investors. Such publication is currently ex</w:t>
      </w:r>
      <w:r w:rsidR="00E423FB">
        <w:rPr>
          <w:sz w:val="18"/>
          <w:szCs w:val="18"/>
        </w:rPr>
        <w:t xml:space="preserve">pected to be made on or about </w:t>
      </w:r>
      <w:r w:rsidR="00DD63B6">
        <w:rPr>
          <w:sz w:val="18"/>
          <w:szCs w:val="18"/>
        </w:rPr>
        <w:t>26</w:t>
      </w:r>
      <w:r w:rsidR="002B3FDE">
        <w:rPr>
          <w:sz w:val="18"/>
          <w:szCs w:val="18"/>
        </w:rPr>
        <w:t xml:space="preserve"> October 2017</w:t>
      </w:r>
      <w:r>
        <w:rPr>
          <w:sz w:val="18"/>
          <w:szCs w:val="18"/>
        </w:rPr>
        <w:t xml:space="preserve"> </w:t>
      </w:r>
      <w:r w:rsidR="00C77BF1">
        <w:rPr>
          <w:sz w:val="18"/>
          <w:szCs w:val="18"/>
        </w:rPr>
        <w:t xml:space="preserve">at the latest </w:t>
      </w:r>
      <w:r>
        <w:rPr>
          <w:sz w:val="18"/>
          <w:szCs w:val="18"/>
        </w:rPr>
        <w:t xml:space="preserve">and in any event no later than the first business day after the end of the Offering Period. </w:t>
      </w:r>
    </w:p>
    <w:p w14:paraId="4C0360A1" w14:textId="0B598E2E" w:rsidR="00F76607" w:rsidRDefault="001863F0">
      <w:pPr>
        <w:pStyle w:val="NormalWeb"/>
        <w:spacing w:before="240" w:beforeAutospacing="0" w:after="0" w:afterAutospacing="0"/>
        <w:ind w:firstLine="857"/>
        <w:rPr>
          <w:sz w:val="18"/>
          <w:szCs w:val="18"/>
        </w:rPr>
      </w:pPr>
      <w:r>
        <w:rPr>
          <w:sz w:val="18"/>
          <w:szCs w:val="18"/>
        </w:rPr>
        <w:t xml:space="preserve">The Selling Shareholders reserve the right to reduce the maximum number of Offer Shares at any time prior to the allocation of the Offer Shares. </w:t>
      </w:r>
      <w:r w:rsidR="002B3FDE">
        <w:rPr>
          <w:sz w:val="18"/>
          <w:szCs w:val="18"/>
        </w:rPr>
        <w:t>There is no minimum size of the Offering</w:t>
      </w:r>
      <w:r>
        <w:rPr>
          <w:sz w:val="18"/>
          <w:szCs w:val="18"/>
        </w:rPr>
        <w:t xml:space="preserve">. </w:t>
      </w:r>
      <w:r w:rsidR="00DE6F7D">
        <w:rPr>
          <w:sz w:val="18"/>
          <w:szCs w:val="18"/>
        </w:rPr>
        <w:t xml:space="preserve">The Offering will be withdrawn in the event no underwriting agreement is executed or in the event the underwriting agreement is executed but is subsequently terminated. </w:t>
      </w:r>
      <w:r>
        <w:rPr>
          <w:sz w:val="18"/>
          <w:szCs w:val="18"/>
        </w:rPr>
        <w:t>Any withdrawal of the Offering will be announced by means of a Company press release. If the Offering is withdrawn, the bank accounts of the retail investors having submitted purchase orders will not be debited. Any withdrawal of the Offering or reduction of the number of Offer Shares will be announced by means of a Company press release, through electronic information services such as Reuters or Bloomberg, and in a supplement to the Prospectus</w:t>
      </w:r>
      <w:r w:rsidR="00A41FAC">
        <w:rPr>
          <w:sz w:val="18"/>
          <w:szCs w:val="18"/>
        </w:rPr>
        <w:t xml:space="preserve"> following which the investors will have the right to withdraw their orders made prior to the publication of such supplement</w:t>
      </w:r>
      <w:r>
        <w:rPr>
          <w:sz w:val="18"/>
          <w:szCs w:val="18"/>
        </w:rPr>
        <w:t xml:space="preserve">. Any changes to the maximum number of Offer Shares will not void purchase orders that have already been submitted. </w:t>
      </w:r>
    </w:p>
    <w:p w14:paraId="389EDE73" w14:textId="3B2D13AB" w:rsidR="00F76607" w:rsidRDefault="001863F0">
      <w:pPr>
        <w:pStyle w:val="NormalWeb"/>
        <w:spacing w:before="240" w:beforeAutospacing="0" w:after="0" w:afterAutospacing="0"/>
        <w:ind w:firstLine="857"/>
      </w:pPr>
      <w:r>
        <w:rPr>
          <w:bCs/>
          <w:sz w:val="18"/>
          <w:szCs w:val="18"/>
          <w:lang w:val="en-GB"/>
        </w:rPr>
        <w:t xml:space="preserve">The Underwriting Agreement has not yet been executed and entering into the Underwriting Agreement may depend on various factors, including, but not limited to, market conditions and the result of the </w:t>
      </w:r>
      <w:proofErr w:type="spellStart"/>
      <w:r>
        <w:rPr>
          <w:bCs/>
          <w:sz w:val="18"/>
          <w:szCs w:val="18"/>
          <w:lang w:val="en-GB"/>
        </w:rPr>
        <w:t>bookbuilding</w:t>
      </w:r>
      <w:proofErr w:type="spellEnd"/>
      <w:r>
        <w:rPr>
          <w:bCs/>
          <w:sz w:val="18"/>
          <w:szCs w:val="18"/>
          <w:lang w:val="en-GB"/>
        </w:rPr>
        <w:t xml:space="preserve"> process. Furthermore, the Underwriting Agreement is, upon execution, expected to provide that the Joint Global Coordinators will, on behalf of the Underwriters, have the right to terminate, on behalf of the Underwriters, the Underwriting Agreement and their obligation thereunder to purchase and deliver the Offer Shares under certain circumstances, including if there is a material adverse effect, which is defined in</w:t>
      </w:r>
      <w:r w:rsidR="00E423FB">
        <w:rPr>
          <w:bCs/>
          <w:sz w:val="18"/>
          <w:szCs w:val="18"/>
          <w:lang w:val="en-GB"/>
        </w:rPr>
        <w:t xml:space="preserve"> the Underwriting Agreement as </w:t>
      </w:r>
      <w:r>
        <w:rPr>
          <w:bCs/>
          <w:sz w:val="18"/>
          <w:szCs w:val="18"/>
          <w:lang w:val="en-GB"/>
        </w:rPr>
        <w:t>any material adverse effect in or any development likely to result in a material adverse effect in the value, state or condition (financial or otherwise) of the shareholders’ equity or in the properties, assets, rights, business, management, prospects (business or financial), earnings, sales, net worth or results of operations of the Group (as a whole), whether or not arising in the ordinary course of business; or (ii) any adverse effect which negatively and significantly affects, or could reasonably be expected so to affect, the market for or the value of the Shares; or (iii) any material adverse effect on the Company’s ability to perform its obligations under the Underwriting Agreement or to consummate the Offering; or (iv) any material adverse effect in in the financial markets in the Unites States, Belgium or the EEA (see section “</w:t>
      </w:r>
      <w:r>
        <w:rPr>
          <w:bCs/>
          <w:i/>
          <w:sz w:val="18"/>
          <w:szCs w:val="18"/>
          <w:lang w:val="en-GB"/>
        </w:rPr>
        <w:t>Plan of distribution</w:t>
      </w:r>
      <w:r>
        <w:rPr>
          <w:bCs/>
          <w:sz w:val="18"/>
          <w:szCs w:val="18"/>
          <w:lang w:val="en-GB"/>
        </w:rPr>
        <w:t>”), it being understood that a material adverse effect shall be deemed to have occurred in all cases where isolated events would not have such an effect, but where two or more of such events would ha</w:t>
      </w:r>
      <w:r w:rsidR="00E423FB">
        <w:rPr>
          <w:bCs/>
          <w:sz w:val="18"/>
          <w:szCs w:val="18"/>
          <w:lang w:val="en-GB"/>
        </w:rPr>
        <w:t>ve in the aggregate such effect</w:t>
      </w:r>
      <w:r w:rsidR="00C01775">
        <w:rPr>
          <w:bCs/>
          <w:sz w:val="18"/>
          <w:szCs w:val="18"/>
          <w:lang w:val="en-GB"/>
        </w:rPr>
        <w:t xml:space="preserve">. </w:t>
      </w:r>
      <w:r>
        <w:rPr>
          <w:bCs/>
          <w:sz w:val="18"/>
          <w:szCs w:val="18"/>
          <w:lang w:val="en-GB"/>
        </w:rPr>
        <w:t xml:space="preserve">See </w:t>
      </w:r>
      <w:r>
        <w:rPr>
          <w:sz w:val="18"/>
          <w:szCs w:val="18"/>
          <w:lang w:eastAsia="nl-BE"/>
        </w:rPr>
        <w:t>“</w:t>
      </w:r>
      <w:r>
        <w:rPr>
          <w:i/>
          <w:iCs/>
          <w:sz w:val="18"/>
          <w:szCs w:val="18"/>
          <w:lang w:eastAsia="nl-BE"/>
        </w:rPr>
        <w:t>Risk Factors—Risks Relating to the Shares and the Offering—The non-execution or termination of the Underwriting Agreement and/or the withdrawal of the Offering could have a material adverse effect on the trading price and underlying value of the Shares.</w:t>
      </w:r>
      <w:r w:rsidR="00934A48">
        <w:rPr>
          <w:sz w:val="18"/>
          <w:szCs w:val="18"/>
          <w:lang w:eastAsia="nl-BE"/>
        </w:rPr>
        <w:t>”</w:t>
      </w:r>
    </w:p>
    <w:p w14:paraId="41C8B313" w14:textId="77777777" w:rsidR="00F76607" w:rsidRDefault="001863F0">
      <w:pPr>
        <w:pStyle w:val="NormalWeb"/>
        <w:keepNext/>
        <w:spacing w:before="240" w:beforeAutospacing="0" w:after="0" w:afterAutospacing="0"/>
      </w:pPr>
      <w:r>
        <w:rPr>
          <w:b/>
          <w:bCs/>
          <w:sz w:val="18"/>
          <w:szCs w:val="18"/>
        </w:rPr>
        <w:lastRenderedPageBreak/>
        <w:t xml:space="preserve">Offer Price </w:t>
      </w:r>
    </w:p>
    <w:p w14:paraId="4B8ABCD0" w14:textId="77777777" w:rsidR="00F76607" w:rsidRDefault="001863F0">
      <w:pPr>
        <w:pStyle w:val="NormalWeb"/>
        <w:spacing w:before="240" w:beforeAutospacing="0" w:after="0" w:afterAutospacing="0"/>
        <w:ind w:firstLine="857"/>
      </w:pPr>
      <w:r>
        <w:rPr>
          <w:sz w:val="18"/>
          <w:szCs w:val="18"/>
        </w:rPr>
        <w:t>The Offer Price will be a single price in Euro, exclusive of the Belgian tax on stock exchange transactions, if applicable (see “</w:t>
      </w:r>
      <w:r>
        <w:rPr>
          <w:i/>
          <w:sz w:val="18"/>
          <w:szCs w:val="18"/>
        </w:rPr>
        <w:t>Taxation –</w:t>
      </w:r>
      <w:r>
        <w:rPr>
          <w:sz w:val="18"/>
          <w:szCs w:val="18"/>
        </w:rPr>
        <w:t xml:space="preserve"> </w:t>
      </w:r>
      <w:r>
        <w:rPr>
          <w:i/>
          <w:iCs/>
          <w:sz w:val="18"/>
          <w:szCs w:val="18"/>
        </w:rPr>
        <w:t>Belgian</w:t>
      </w:r>
      <w:r>
        <w:rPr>
          <w:sz w:val="18"/>
          <w:szCs w:val="18"/>
        </w:rPr>
        <w:t xml:space="preserve"> </w:t>
      </w:r>
      <w:r>
        <w:rPr>
          <w:i/>
          <w:iCs/>
          <w:sz w:val="18"/>
          <w:szCs w:val="18"/>
        </w:rPr>
        <w:t>Taxation</w:t>
      </w:r>
      <w:r>
        <w:rPr>
          <w:sz w:val="18"/>
          <w:szCs w:val="18"/>
        </w:rPr>
        <w:t xml:space="preserve">”), and costs, if any, charged by financial intermediaries for the submission of applications. </w:t>
      </w:r>
    </w:p>
    <w:p w14:paraId="247A5A65" w14:textId="77777777" w:rsidR="00F76607" w:rsidRDefault="001863F0">
      <w:pPr>
        <w:pStyle w:val="NormalWeb"/>
        <w:spacing w:before="240" w:beforeAutospacing="0" w:after="0" w:afterAutospacing="0"/>
        <w:ind w:firstLine="857"/>
      </w:pPr>
      <w:r>
        <w:rPr>
          <w:sz w:val="18"/>
          <w:szCs w:val="18"/>
        </w:rPr>
        <w:t xml:space="preserve">The Offer Price will be determined on the basis of a </w:t>
      </w:r>
      <w:proofErr w:type="spellStart"/>
      <w:r>
        <w:rPr>
          <w:sz w:val="18"/>
          <w:szCs w:val="18"/>
        </w:rPr>
        <w:t>bookbuilding</w:t>
      </w:r>
      <w:proofErr w:type="spellEnd"/>
      <w:r>
        <w:rPr>
          <w:sz w:val="18"/>
          <w:szCs w:val="18"/>
        </w:rPr>
        <w:t xml:space="preserve"> process in which only institutional investors can participate, taking into account various relevant qualitative and quantitative elements, including but not limited to the number of Offer Shares requested, the size of purchase orders received, the condition of the investors submitting such purchase orders and the prices at which the purchase orders were made, as well as market conditions at that time. </w:t>
      </w:r>
    </w:p>
    <w:p w14:paraId="04EA9E93" w14:textId="77777777" w:rsidR="00F76607" w:rsidRDefault="001863F0">
      <w:pPr>
        <w:pStyle w:val="NormalWeb"/>
        <w:spacing w:before="180" w:beforeAutospacing="0" w:after="0" w:afterAutospacing="0"/>
        <w:rPr>
          <w:sz w:val="2"/>
          <w:szCs w:val="2"/>
        </w:rPr>
      </w:pPr>
      <w:r>
        <w:rPr>
          <w:sz w:val="2"/>
          <w:szCs w:val="2"/>
        </w:rPr>
        <w:t> </w:t>
      </w:r>
    </w:p>
    <w:p w14:paraId="37D224A0" w14:textId="77777777" w:rsidR="00F76607" w:rsidRDefault="001863F0">
      <w:pPr>
        <w:pStyle w:val="NormalWeb"/>
        <w:keepNext/>
        <w:spacing w:before="0" w:beforeAutospacing="0" w:after="0" w:afterAutospacing="0"/>
        <w:ind w:firstLine="857"/>
      </w:pPr>
      <w:r>
        <w:rPr>
          <w:sz w:val="18"/>
          <w:szCs w:val="18"/>
        </w:rPr>
        <w:t xml:space="preserve">The Price Range has been determined by the Selling Shareholders following recommendations from the Joint Global Coordinators, taking into account market conditions and factors including but not limited to: </w:t>
      </w:r>
    </w:p>
    <w:p w14:paraId="13D3E2F2" w14:textId="77777777" w:rsidR="00F76607" w:rsidRDefault="001863F0">
      <w:pPr>
        <w:pStyle w:val="VulcanIIbullet"/>
      </w:pPr>
      <w:r>
        <w:t>•</w:t>
      </w:r>
      <w:r>
        <w:tab/>
        <w:t xml:space="preserve">the condition of the financial markets; </w:t>
      </w:r>
    </w:p>
    <w:p w14:paraId="42B62911" w14:textId="77777777" w:rsidR="00F76607" w:rsidRDefault="001863F0">
      <w:pPr>
        <w:pStyle w:val="VulcanIIbullet"/>
      </w:pPr>
      <w:r>
        <w:t>•</w:t>
      </w:r>
      <w:r>
        <w:tab/>
        <w:t xml:space="preserve">the Company’s financial position; </w:t>
      </w:r>
    </w:p>
    <w:p w14:paraId="61525222" w14:textId="77777777" w:rsidR="00F76607" w:rsidRDefault="001863F0">
      <w:pPr>
        <w:pStyle w:val="VulcanIIbullet"/>
      </w:pPr>
      <w:r>
        <w:t>•</w:t>
      </w:r>
      <w:r>
        <w:tab/>
        <w:t xml:space="preserve">qualitative assessment of the demand for the Offer Shares; and </w:t>
      </w:r>
    </w:p>
    <w:p w14:paraId="2E25BDD7" w14:textId="77777777" w:rsidR="00F76607" w:rsidRDefault="001863F0">
      <w:pPr>
        <w:pStyle w:val="VulcanIIbullet"/>
      </w:pPr>
      <w:r>
        <w:t>•</w:t>
      </w:r>
      <w:r>
        <w:tab/>
        <w:t xml:space="preserve">all other factors deemed relevant. </w:t>
      </w:r>
    </w:p>
    <w:p w14:paraId="78F0B2A0" w14:textId="77777777" w:rsidR="00F76607" w:rsidRDefault="001863F0">
      <w:pPr>
        <w:pStyle w:val="NormalWeb"/>
        <w:spacing w:before="240" w:beforeAutospacing="0" w:after="0" w:afterAutospacing="0"/>
        <w:ind w:firstLine="857"/>
      </w:pPr>
      <w:r>
        <w:rPr>
          <w:sz w:val="18"/>
          <w:szCs w:val="18"/>
        </w:rPr>
        <w:t xml:space="preserve">The Selling Shareholders reserve the right to increase or decrease the lower limit of the Price Range or to decrease the upper limit of the Price Range. If the Price Range is modified, the change will be announced by means of a Company press release. Any changes to narrow the Price Range will not void purchase orders that have already been submitted. The Offer Price for investors shall not, however, exceed the higher end of the Price Range. In the event the lower limit of the Price Range is decreased or the Offer Price is set below the lower end of the Price Range, this will be published in a supplement to the Prospectus. </w:t>
      </w:r>
    </w:p>
    <w:p w14:paraId="450195F1" w14:textId="77777777" w:rsidR="00F76607" w:rsidRDefault="001863F0">
      <w:pPr>
        <w:pStyle w:val="NormalWeb"/>
        <w:spacing w:before="240" w:beforeAutospacing="0" w:after="0" w:afterAutospacing="0"/>
        <w:ind w:firstLine="857"/>
      </w:pPr>
      <w:r>
        <w:rPr>
          <w:sz w:val="18"/>
          <w:szCs w:val="18"/>
        </w:rPr>
        <w:t xml:space="preserve">Retail investors in Belgium can only acquire the Offer Shares at the Offer Price and are legally bound to purchase the number of Shares indicated in their purchase order at the Offer Price. </w:t>
      </w:r>
    </w:p>
    <w:p w14:paraId="68E21517" w14:textId="77777777" w:rsidR="00F76607" w:rsidRDefault="001863F0">
      <w:pPr>
        <w:pStyle w:val="NormalWeb"/>
        <w:keepNext/>
        <w:spacing w:before="240" w:beforeAutospacing="0" w:after="0" w:afterAutospacing="0"/>
      </w:pPr>
      <w:r>
        <w:rPr>
          <w:b/>
          <w:bCs/>
          <w:sz w:val="18"/>
          <w:szCs w:val="18"/>
        </w:rPr>
        <w:t xml:space="preserve">Dilution Resulting from the Offering </w:t>
      </w:r>
    </w:p>
    <w:p w14:paraId="44500BB1" w14:textId="77777777" w:rsidR="00F76607" w:rsidRDefault="001863F0">
      <w:pPr>
        <w:pStyle w:val="NormalWeb"/>
        <w:spacing w:before="240" w:beforeAutospacing="0" w:after="0" w:afterAutospacing="0"/>
        <w:ind w:firstLine="857"/>
      </w:pPr>
      <w:r>
        <w:rPr>
          <w:sz w:val="18"/>
          <w:szCs w:val="18"/>
        </w:rPr>
        <w:t>No new shares are issued. Subsequently, no dilution will occur resulting from the completion of the Offering.</w:t>
      </w:r>
    </w:p>
    <w:p w14:paraId="4DDD5433" w14:textId="77777777" w:rsidR="00F76607" w:rsidRDefault="001863F0">
      <w:pPr>
        <w:pStyle w:val="NormalWeb"/>
        <w:keepNext/>
        <w:spacing w:before="240" w:beforeAutospacing="0" w:after="0" w:afterAutospacing="0"/>
      </w:pPr>
      <w:r>
        <w:rPr>
          <w:b/>
          <w:bCs/>
          <w:sz w:val="18"/>
          <w:szCs w:val="18"/>
        </w:rPr>
        <w:t xml:space="preserve">Offering Period </w:t>
      </w:r>
    </w:p>
    <w:p w14:paraId="3EF40CA2" w14:textId="545679C5" w:rsidR="00F76607" w:rsidRDefault="001863F0">
      <w:pPr>
        <w:pStyle w:val="NormalWeb"/>
        <w:spacing w:before="240" w:beforeAutospacing="0" w:after="0" w:afterAutospacing="0"/>
        <w:ind w:firstLine="857"/>
      </w:pPr>
      <w:r>
        <w:rPr>
          <w:sz w:val="18"/>
          <w:szCs w:val="18"/>
        </w:rPr>
        <w:t xml:space="preserve">The </w:t>
      </w:r>
      <w:r w:rsidR="002B3FDE">
        <w:rPr>
          <w:sz w:val="18"/>
          <w:szCs w:val="18"/>
        </w:rPr>
        <w:t>Offering Period will</w:t>
      </w:r>
      <w:r w:rsidR="00E423FB">
        <w:rPr>
          <w:sz w:val="18"/>
          <w:szCs w:val="18"/>
        </w:rPr>
        <w:t xml:space="preserve"> begin on 12</w:t>
      </w:r>
      <w:r w:rsidR="002B3FDE">
        <w:rPr>
          <w:sz w:val="18"/>
          <w:szCs w:val="18"/>
        </w:rPr>
        <w:t xml:space="preserve"> October 2017</w:t>
      </w:r>
      <w:r>
        <w:rPr>
          <w:sz w:val="18"/>
          <w:szCs w:val="18"/>
        </w:rPr>
        <w:t xml:space="preserve"> and is ex</w:t>
      </w:r>
      <w:r w:rsidR="00E423FB">
        <w:rPr>
          <w:sz w:val="18"/>
          <w:szCs w:val="18"/>
        </w:rPr>
        <w:t xml:space="preserve">pected to close no later than 1 p.m. on </w:t>
      </w:r>
      <w:r w:rsidR="001146AD">
        <w:rPr>
          <w:sz w:val="18"/>
          <w:szCs w:val="18"/>
        </w:rPr>
        <w:t>25</w:t>
      </w:r>
      <w:r w:rsidR="002B3FDE">
        <w:rPr>
          <w:sz w:val="18"/>
          <w:szCs w:val="18"/>
        </w:rPr>
        <w:t xml:space="preserve"> October 2017</w:t>
      </w:r>
      <w:r>
        <w:rPr>
          <w:sz w:val="18"/>
          <w:szCs w:val="18"/>
        </w:rPr>
        <w:t>, subject to the possibility of an early closing, provided that the Offering Period will in any event be open for at least three business days from the availability of this Prospectus. The Prospectus will be made available as of the first day of the Offering Period. The Offering Period can be closed, at the earliest, three business days after the start of the Offering Period and, hence, prospective investors can submit their orders at least during three business days after the start of</w:t>
      </w:r>
      <w:r w:rsidR="00D603C2">
        <w:rPr>
          <w:sz w:val="18"/>
          <w:szCs w:val="18"/>
        </w:rPr>
        <w:t xml:space="preserve"> the Offering Period. However, </w:t>
      </w:r>
      <w:r>
        <w:rPr>
          <w:sz w:val="18"/>
          <w:szCs w:val="18"/>
        </w:rPr>
        <w:t xml:space="preserve">and without prejudice to the foregoing, in accordance with the possibility provided for in art. 3, § 2 of the Royal Decree of 17 May 2007 on primary market practices, the Company expects the subscription period for the retail offering to end </w:t>
      </w:r>
      <w:r w:rsidR="002B3FDE" w:rsidRPr="002B3FDE">
        <w:rPr>
          <w:sz w:val="18"/>
          <w:szCs w:val="18"/>
        </w:rPr>
        <w:t xml:space="preserve">no later than </w:t>
      </w:r>
      <w:r w:rsidR="000B7E5D">
        <w:rPr>
          <w:sz w:val="18"/>
          <w:szCs w:val="18"/>
        </w:rPr>
        <w:t>4</w:t>
      </w:r>
      <w:r w:rsidR="001146AD">
        <w:rPr>
          <w:sz w:val="18"/>
          <w:szCs w:val="18"/>
        </w:rPr>
        <w:t xml:space="preserve"> p.m. CET on 24</w:t>
      </w:r>
      <w:r w:rsidR="00E423FB">
        <w:rPr>
          <w:sz w:val="18"/>
          <w:szCs w:val="18"/>
        </w:rPr>
        <w:t xml:space="preserve"> October</w:t>
      </w:r>
      <w:r w:rsidR="002B3FDE" w:rsidRPr="002B3FDE">
        <w:rPr>
          <w:sz w:val="18"/>
          <w:szCs w:val="18"/>
        </w:rPr>
        <w:t xml:space="preserve"> 2017</w:t>
      </w:r>
      <w:r>
        <w:rPr>
          <w:sz w:val="18"/>
          <w:szCs w:val="18"/>
        </w:rPr>
        <w:t xml:space="preserve">, the day before the end of the institutional </w:t>
      </w:r>
      <w:proofErr w:type="spellStart"/>
      <w:r>
        <w:rPr>
          <w:sz w:val="18"/>
          <w:szCs w:val="18"/>
        </w:rPr>
        <w:t>bookbuilding</w:t>
      </w:r>
      <w:proofErr w:type="spellEnd"/>
      <w:r>
        <w:rPr>
          <w:sz w:val="18"/>
          <w:szCs w:val="18"/>
        </w:rPr>
        <w:t xml:space="preserve"> period, due to the timing and logistical constraints associated with the centralization of the subscriptions placed by retail investors with the Underwriters and with other financial institutions. Any early closing of the Offering Period will be announced by means of a Company press release, and the dates for each of pricing, allocation, publication of the Offer Price and the results of the Offering and closing of the Offering will in such case be adjusted accordingly. The Offering Period can only be closed earlier in case of a coordinated action between the Underwriters. </w:t>
      </w:r>
      <w:r w:rsidR="00504EC4">
        <w:rPr>
          <w:sz w:val="18"/>
          <w:szCs w:val="18"/>
        </w:rPr>
        <w:t xml:space="preserve">In the event the Offering Period is </w:t>
      </w:r>
      <w:r w:rsidR="002B3FDE" w:rsidRPr="002B3FDE">
        <w:rPr>
          <w:sz w:val="18"/>
          <w:szCs w:val="18"/>
        </w:rPr>
        <w:t>changed, other than in the event of an early closing of the Offering Period with placement of the total number of Offer Shares</w:t>
      </w:r>
      <w:r w:rsidR="00C77BF1">
        <w:rPr>
          <w:sz w:val="18"/>
          <w:szCs w:val="18"/>
        </w:rPr>
        <w:t xml:space="preserve"> (excluding the Increase Option)</w:t>
      </w:r>
      <w:r w:rsidR="002B3FDE" w:rsidRPr="002B3FDE">
        <w:rPr>
          <w:sz w:val="18"/>
          <w:szCs w:val="18"/>
        </w:rPr>
        <w:t>, this will be announced by means of a Company press release, through electronic information services such as Reuters or Bloomberg, and</w:t>
      </w:r>
      <w:r w:rsidR="002B3FDE">
        <w:rPr>
          <w:sz w:val="18"/>
          <w:szCs w:val="18"/>
        </w:rPr>
        <w:t xml:space="preserve"> </w:t>
      </w:r>
      <w:r w:rsidR="00504EC4">
        <w:rPr>
          <w:sz w:val="18"/>
          <w:szCs w:val="18"/>
        </w:rPr>
        <w:t>will be published in a sup</w:t>
      </w:r>
      <w:r w:rsidR="00D603C2">
        <w:rPr>
          <w:sz w:val="18"/>
          <w:szCs w:val="18"/>
        </w:rPr>
        <w:t xml:space="preserve">plement to the Prospectus. </w:t>
      </w:r>
      <w:r>
        <w:rPr>
          <w:sz w:val="18"/>
          <w:szCs w:val="18"/>
        </w:rPr>
        <w:t xml:space="preserve">Prospective investors can submit their purchase orders during the Offering Period. Taking into account the fact that the Offering Period may be closed early, investors are invited to submit their applications as promptly as possible. </w:t>
      </w:r>
    </w:p>
    <w:p w14:paraId="3395701B" w14:textId="573C4C39" w:rsidR="00F76607" w:rsidRDefault="001863F0">
      <w:pPr>
        <w:pStyle w:val="NormalWeb"/>
        <w:spacing w:before="240" w:beforeAutospacing="0" w:after="0" w:afterAutospacing="0"/>
        <w:ind w:firstLine="857"/>
      </w:pPr>
      <w:r>
        <w:rPr>
          <w:sz w:val="18"/>
          <w:szCs w:val="18"/>
        </w:rPr>
        <w:t xml:space="preserve">Share applications by retail investors may be submitted at the counters of </w:t>
      </w:r>
      <w:r w:rsidR="00855522">
        <w:rPr>
          <w:sz w:val="18"/>
          <w:szCs w:val="18"/>
        </w:rPr>
        <w:t xml:space="preserve">KBC Bank NV, KBC Brussels NV, CBC Banque SA, </w:t>
      </w:r>
      <w:r>
        <w:rPr>
          <w:sz w:val="18"/>
          <w:szCs w:val="18"/>
        </w:rPr>
        <w:t>KBC Securities, Belfius, ING and their affiliates at no cost to the investor. Applications are not binding upon the Selling Shareholders or the Underwriters as long as they have not been accepted in accordance with the allocation rules described below under “</w:t>
      </w:r>
      <w:r>
        <w:rPr>
          <w:i/>
          <w:iCs/>
          <w:sz w:val="18"/>
          <w:szCs w:val="18"/>
        </w:rPr>
        <w:t>Allocation</w:t>
      </w:r>
      <w:r>
        <w:rPr>
          <w:sz w:val="18"/>
          <w:szCs w:val="18"/>
        </w:rPr>
        <w:t xml:space="preserve">.” </w:t>
      </w:r>
    </w:p>
    <w:p w14:paraId="06FA79B4" w14:textId="77777777" w:rsidR="00F76607" w:rsidRDefault="001863F0">
      <w:pPr>
        <w:pStyle w:val="NormalWeb"/>
        <w:spacing w:before="240" w:beforeAutospacing="0" w:after="0" w:afterAutospacing="0"/>
        <w:ind w:firstLine="857"/>
      </w:pPr>
      <w:r>
        <w:rPr>
          <w:sz w:val="18"/>
          <w:szCs w:val="18"/>
        </w:rPr>
        <w:t xml:space="preserve">Investors wishing to place purchase orders for the Offer Shares through intermediaries other than of KBC Securities, Belfius, ING and their affiliates should request details of the costs which these intermediaries may charge, which they will have to pay themselves. </w:t>
      </w:r>
    </w:p>
    <w:p w14:paraId="521BA337" w14:textId="65BDD9C1" w:rsidR="00F76607" w:rsidRDefault="001863F0">
      <w:pPr>
        <w:pStyle w:val="NormalWeb"/>
        <w:spacing w:before="240" w:beforeAutospacing="0" w:after="0" w:afterAutospacing="0"/>
        <w:ind w:firstLine="857"/>
      </w:pPr>
      <w:r>
        <w:rPr>
          <w:sz w:val="18"/>
          <w:szCs w:val="18"/>
        </w:rPr>
        <w:t>To be valid, purchase orders mu</w:t>
      </w:r>
      <w:r w:rsidR="00E423FB">
        <w:rPr>
          <w:sz w:val="18"/>
          <w:szCs w:val="18"/>
        </w:rPr>
        <w:t xml:space="preserve">st be submitted no later than 1 p.m. on </w:t>
      </w:r>
      <w:r w:rsidR="001146AD">
        <w:rPr>
          <w:sz w:val="18"/>
          <w:szCs w:val="18"/>
        </w:rPr>
        <w:t>25</w:t>
      </w:r>
      <w:r w:rsidR="002B3FDE">
        <w:rPr>
          <w:sz w:val="18"/>
          <w:szCs w:val="18"/>
        </w:rPr>
        <w:t xml:space="preserve"> October 2017</w:t>
      </w:r>
      <w:r>
        <w:rPr>
          <w:sz w:val="18"/>
          <w:szCs w:val="18"/>
        </w:rPr>
        <w:t xml:space="preserve">, unless the Offering Period is closed earlier. </w:t>
      </w:r>
    </w:p>
    <w:p w14:paraId="095150FF" w14:textId="77777777" w:rsidR="00F76607" w:rsidRDefault="001863F0">
      <w:pPr>
        <w:pStyle w:val="NormalWeb"/>
        <w:keepNext/>
        <w:spacing w:before="240" w:beforeAutospacing="0" w:after="0" w:afterAutospacing="0"/>
      </w:pPr>
      <w:r>
        <w:rPr>
          <w:b/>
          <w:bCs/>
          <w:sz w:val="18"/>
          <w:szCs w:val="18"/>
        </w:rPr>
        <w:t xml:space="preserve">Retail Investors in Belgium </w:t>
      </w:r>
    </w:p>
    <w:p w14:paraId="0F9CFC37" w14:textId="77777777" w:rsidR="00F76607" w:rsidRDefault="001863F0">
      <w:pPr>
        <w:pStyle w:val="NormalWeb"/>
        <w:spacing w:before="240" w:beforeAutospacing="0" w:after="0" w:afterAutospacing="0"/>
        <w:ind w:firstLine="857"/>
      </w:pPr>
      <w:r>
        <w:rPr>
          <w:sz w:val="18"/>
          <w:szCs w:val="18"/>
        </w:rPr>
        <w:t>A retail investor shall mean an individual person resident in Belgium or a legal entity located in Belgium that does not qualify as a qualified investor (“</w:t>
      </w:r>
      <w:proofErr w:type="spellStart"/>
      <w:r>
        <w:rPr>
          <w:i/>
          <w:iCs/>
          <w:sz w:val="18"/>
          <w:szCs w:val="18"/>
        </w:rPr>
        <w:t>gekwalificeerde</w:t>
      </w:r>
      <w:proofErr w:type="spellEnd"/>
      <w:r>
        <w:rPr>
          <w:sz w:val="18"/>
          <w:szCs w:val="18"/>
        </w:rPr>
        <w:t xml:space="preserve"> </w:t>
      </w:r>
      <w:proofErr w:type="spellStart"/>
      <w:r>
        <w:rPr>
          <w:i/>
          <w:iCs/>
          <w:sz w:val="18"/>
          <w:szCs w:val="18"/>
        </w:rPr>
        <w:t>belegger</w:t>
      </w:r>
      <w:proofErr w:type="spellEnd"/>
      <w:r>
        <w:rPr>
          <w:i/>
          <w:iCs/>
          <w:sz w:val="18"/>
          <w:szCs w:val="18"/>
        </w:rPr>
        <w:t>”/”</w:t>
      </w:r>
      <w:proofErr w:type="spellStart"/>
      <w:r>
        <w:rPr>
          <w:i/>
          <w:iCs/>
          <w:sz w:val="18"/>
          <w:szCs w:val="18"/>
        </w:rPr>
        <w:t>investisseur</w:t>
      </w:r>
      <w:proofErr w:type="spellEnd"/>
      <w:r>
        <w:rPr>
          <w:sz w:val="18"/>
          <w:szCs w:val="18"/>
        </w:rPr>
        <w:t xml:space="preserve"> </w:t>
      </w:r>
      <w:proofErr w:type="spellStart"/>
      <w:r>
        <w:rPr>
          <w:i/>
          <w:iCs/>
          <w:sz w:val="18"/>
          <w:szCs w:val="18"/>
        </w:rPr>
        <w:t>qualifié</w:t>
      </w:r>
      <w:proofErr w:type="spellEnd"/>
      <w:r>
        <w:rPr>
          <w:i/>
          <w:iCs/>
          <w:sz w:val="18"/>
          <w:szCs w:val="18"/>
        </w:rPr>
        <w:t>”</w:t>
      </w:r>
      <w:r>
        <w:rPr>
          <w:sz w:val="18"/>
          <w:szCs w:val="18"/>
        </w:rPr>
        <w:t xml:space="preserve">) as defined in Article 10, § 1 of the Prospectus Law. </w:t>
      </w:r>
    </w:p>
    <w:p w14:paraId="14847897" w14:textId="77777777" w:rsidR="00F76607" w:rsidRDefault="001863F0">
      <w:pPr>
        <w:pStyle w:val="NormalWeb"/>
        <w:spacing w:before="180" w:beforeAutospacing="0" w:after="0" w:afterAutospacing="0"/>
        <w:rPr>
          <w:sz w:val="2"/>
          <w:szCs w:val="2"/>
        </w:rPr>
      </w:pPr>
      <w:r>
        <w:rPr>
          <w:sz w:val="2"/>
          <w:szCs w:val="2"/>
        </w:rPr>
        <w:lastRenderedPageBreak/>
        <w:t> </w:t>
      </w:r>
    </w:p>
    <w:p w14:paraId="3912EB95" w14:textId="77777777" w:rsidR="00F76607" w:rsidRDefault="001863F0">
      <w:pPr>
        <w:pStyle w:val="NormalWeb"/>
        <w:spacing w:before="0" w:beforeAutospacing="0" w:after="0" w:afterAutospacing="0"/>
        <w:ind w:firstLine="857"/>
      </w:pPr>
      <w:r>
        <w:rPr>
          <w:sz w:val="18"/>
          <w:szCs w:val="18"/>
        </w:rPr>
        <w:t xml:space="preserve">Retail investors must indicate in their purchase orders the number of Offer Shares they are committing to purchase. Only one application per retail investor will be accepted. If the Underwriters determine, or have reason to believe, that a single retail investor has submitted several purchase orders, through one or more intermediaries, they may disregard such purchase orders. There is no minimum or maximum amount of Offer Shares that may be purchased in one purchase order. </w:t>
      </w:r>
    </w:p>
    <w:p w14:paraId="25E48BD9" w14:textId="3BB5D2B3" w:rsidR="00F76607" w:rsidRDefault="001863F0">
      <w:pPr>
        <w:pStyle w:val="NormalWeb"/>
        <w:spacing w:before="240" w:beforeAutospacing="0" w:after="0" w:afterAutospacing="0"/>
        <w:ind w:firstLine="857"/>
      </w:pPr>
      <w:r>
        <w:rPr>
          <w:sz w:val="18"/>
          <w:szCs w:val="18"/>
        </w:rPr>
        <w:t>To be valid, purchase orders mu</w:t>
      </w:r>
      <w:r w:rsidR="00E423FB">
        <w:rPr>
          <w:sz w:val="18"/>
          <w:szCs w:val="18"/>
        </w:rPr>
        <w:t xml:space="preserve">st be submitted no later than </w:t>
      </w:r>
      <w:r w:rsidR="000B7E5D">
        <w:rPr>
          <w:sz w:val="18"/>
          <w:szCs w:val="18"/>
        </w:rPr>
        <w:t>4</w:t>
      </w:r>
      <w:r w:rsidR="00E423FB">
        <w:rPr>
          <w:sz w:val="18"/>
          <w:szCs w:val="18"/>
        </w:rPr>
        <w:t xml:space="preserve"> p.m. on </w:t>
      </w:r>
      <w:r w:rsidR="001146AD">
        <w:rPr>
          <w:sz w:val="18"/>
          <w:szCs w:val="18"/>
        </w:rPr>
        <w:t>24</w:t>
      </w:r>
      <w:r w:rsidR="002B3FDE">
        <w:rPr>
          <w:sz w:val="18"/>
          <w:szCs w:val="18"/>
        </w:rPr>
        <w:t xml:space="preserve"> October 2017</w:t>
      </w:r>
      <w:r>
        <w:rPr>
          <w:sz w:val="18"/>
          <w:szCs w:val="18"/>
        </w:rPr>
        <w:t xml:space="preserve">, unless the Offering Period is closed earlier. </w:t>
      </w:r>
    </w:p>
    <w:p w14:paraId="4BD5B9B5" w14:textId="77777777" w:rsidR="00F76607" w:rsidRDefault="001863F0">
      <w:pPr>
        <w:pStyle w:val="NormalWeb"/>
        <w:spacing w:before="240" w:beforeAutospacing="0" w:after="0" w:afterAutospacing="0"/>
        <w:ind w:firstLine="857"/>
      </w:pPr>
      <w:r>
        <w:rPr>
          <w:sz w:val="18"/>
          <w:szCs w:val="18"/>
        </w:rPr>
        <w:t xml:space="preserve">Other than in cases where right of withdrawal exists, orders will be irrevocable (even in case of reduction) and investors are legally bound to purchase the number of Shares indicated in their purchase order which have been allocated to them at the Offer Price. However, in the event that the Offering is withdrawn or a supplement to this Prospectus is published, Retail Investors shall have the right to withdraw their share applications made prior to the publication of the supplement within the time limits set out in the supplement (which shall not be shorter than two business days after publication of the supplement). </w:t>
      </w:r>
    </w:p>
    <w:p w14:paraId="61421F3B" w14:textId="77777777" w:rsidR="00F76607" w:rsidRDefault="001863F0">
      <w:pPr>
        <w:pStyle w:val="NormalWeb"/>
        <w:keepNext/>
        <w:spacing w:before="240" w:beforeAutospacing="0" w:after="0" w:afterAutospacing="0"/>
      </w:pPr>
      <w:r>
        <w:rPr>
          <w:b/>
          <w:bCs/>
          <w:sz w:val="18"/>
          <w:szCs w:val="18"/>
        </w:rPr>
        <w:t xml:space="preserve">Institutional Investors </w:t>
      </w:r>
    </w:p>
    <w:p w14:paraId="40B50967" w14:textId="77777777" w:rsidR="00F76607" w:rsidRDefault="001863F0">
      <w:pPr>
        <w:pStyle w:val="NormalWeb"/>
        <w:spacing w:before="240" w:beforeAutospacing="0" w:after="0" w:afterAutospacing="0"/>
        <w:ind w:firstLine="857"/>
      </w:pPr>
      <w:r>
        <w:rPr>
          <w:sz w:val="18"/>
          <w:szCs w:val="18"/>
        </w:rPr>
        <w:t xml:space="preserve">Institutional investors must indicate in their purchase orders the number of Offer Shares they are committing to purchase, and the prices at which they are making such purchase orders during the </w:t>
      </w:r>
      <w:proofErr w:type="spellStart"/>
      <w:r>
        <w:rPr>
          <w:sz w:val="18"/>
          <w:szCs w:val="18"/>
        </w:rPr>
        <w:t>bookbuilding</w:t>
      </w:r>
      <w:proofErr w:type="spellEnd"/>
      <w:r>
        <w:rPr>
          <w:sz w:val="18"/>
          <w:szCs w:val="18"/>
        </w:rPr>
        <w:t xml:space="preserve"> period. Only institutional investors can participate in the </w:t>
      </w:r>
      <w:proofErr w:type="spellStart"/>
      <w:r>
        <w:rPr>
          <w:sz w:val="18"/>
          <w:szCs w:val="18"/>
        </w:rPr>
        <w:t>bookbuilding</w:t>
      </w:r>
      <w:proofErr w:type="spellEnd"/>
      <w:r>
        <w:rPr>
          <w:sz w:val="18"/>
          <w:szCs w:val="18"/>
        </w:rPr>
        <w:t xml:space="preserve"> process during the Offering Period. </w:t>
      </w:r>
    </w:p>
    <w:p w14:paraId="7C368EA1" w14:textId="77777777" w:rsidR="00F76607" w:rsidRDefault="001863F0">
      <w:pPr>
        <w:pStyle w:val="NormalWeb"/>
        <w:keepNext/>
        <w:spacing w:before="240" w:beforeAutospacing="0" w:after="0" w:afterAutospacing="0"/>
      </w:pPr>
      <w:r>
        <w:rPr>
          <w:b/>
          <w:bCs/>
          <w:sz w:val="18"/>
          <w:szCs w:val="18"/>
        </w:rPr>
        <w:t xml:space="preserve">Supplement—Right to Withdraw Order </w:t>
      </w:r>
    </w:p>
    <w:p w14:paraId="540AAB00" w14:textId="77777777" w:rsidR="00F76607" w:rsidRDefault="001863F0">
      <w:pPr>
        <w:pStyle w:val="NormalWeb"/>
        <w:spacing w:before="240" w:beforeAutospacing="0" w:after="0" w:afterAutospacing="0"/>
        <w:ind w:firstLine="857"/>
      </w:pPr>
      <w:r>
        <w:rPr>
          <w:sz w:val="18"/>
          <w:szCs w:val="18"/>
        </w:rPr>
        <w:t xml:space="preserve">If an important new factor, material mistake or inaccuracy relating to information contained in the Prospectus, which could influence the investors’ evaluation of the securities, occurs before the end of the Offering Period, a supplement to the Prospectus shall be published in accordance with Article 34 of the Prospectus Law. </w:t>
      </w:r>
    </w:p>
    <w:p w14:paraId="384F0A39" w14:textId="6AE73416" w:rsidR="00F76607" w:rsidRDefault="001863F0">
      <w:pPr>
        <w:pStyle w:val="NormalWeb"/>
        <w:spacing w:before="240" w:beforeAutospacing="0" w:after="0" w:afterAutospacing="0"/>
        <w:ind w:firstLine="857"/>
      </w:pPr>
      <w:r>
        <w:rPr>
          <w:sz w:val="18"/>
          <w:szCs w:val="18"/>
        </w:rPr>
        <w:t>A supplement to this Prospectus will b</w:t>
      </w:r>
      <w:r w:rsidR="000B7E5D">
        <w:rPr>
          <w:sz w:val="18"/>
          <w:szCs w:val="18"/>
        </w:rPr>
        <w:t>e published in accordance with a</w:t>
      </w:r>
      <w:r>
        <w:rPr>
          <w:sz w:val="18"/>
          <w:szCs w:val="18"/>
        </w:rPr>
        <w:t>rticle 34 of the Prospectus Law in the event (</w:t>
      </w:r>
      <w:proofErr w:type="spellStart"/>
      <w:r>
        <w:rPr>
          <w:sz w:val="18"/>
          <w:szCs w:val="18"/>
        </w:rPr>
        <w:t>i</w:t>
      </w:r>
      <w:proofErr w:type="spellEnd"/>
      <w:r>
        <w:rPr>
          <w:sz w:val="18"/>
          <w:szCs w:val="18"/>
        </w:rPr>
        <w:t>) the Offering Period is extended, (ii) the lower limit of the Price Range is decreased or the Offer Price is set below the lower end of the Price Ran</w:t>
      </w:r>
      <w:r w:rsidR="00EB5A41">
        <w:rPr>
          <w:sz w:val="18"/>
          <w:szCs w:val="18"/>
        </w:rPr>
        <w:t>ge,</w:t>
      </w:r>
      <w:r w:rsidR="002B3FDE">
        <w:rPr>
          <w:sz w:val="18"/>
          <w:szCs w:val="18"/>
        </w:rPr>
        <w:t xml:space="preserve"> (iii) the maximum number</w:t>
      </w:r>
      <w:r w:rsidR="002B3FDE" w:rsidRPr="002B3FDE">
        <w:rPr>
          <w:sz w:val="18"/>
          <w:szCs w:val="18"/>
        </w:rPr>
        <w:t xml:space="preserve"> of Offer Shares</w:t>
      </w:r>
      <w:r w:rsidR="000B7E5D">
        <w:rPr>
          <w:sz w:val="18"/>
          <w:szCs w:val="18"/>
        </w:rPr>
        <w:t xml:space="preserve"> is reduced, including due to any early closing of the Offering Period without placement of the total number of Offer Shares (excluding the Increase Option)</w:t>
      </w:r>
      <w:r w:rsidR="002B3FDE" w:rsidRPr="002B3FDE">
        <w:rPr>
          <w:sz w:val="18"/>
          <w:szCs w:val="18"/>
        </w:rPr>
        <w:t>,</w:t>
      </w:r>
      <w:r w:rsidR="002B3FDE">
        <w:rPr>
          <w:sz w:val="18"/>
          <w:szCs w:val="18"/>
        </w:rPr>
        <w:t xml:space="preserve"> </w:t>
      </w:r>
      <w:r w:rsidR="000B7E5D">
        <w:rPr>
          <w:sz w:val="18"/>
          <w:szCs w:val="18"/>
        </w:rPr>
        <w:t xml:space="preserve">or </w:t>
      </w:r>
      <w:r w:rsidR="002B3FDE" w:rsidRPr="002B3FDE">
        <w:rPr>
          <w:sz w:val="18"/>
          <w:szCs w:val="18"/>
        </w:rPr>
        <w:t>(iv) the underwriting agreement is not executed or is executed but subsequently terminated</w:t>
      </w:r>
      <w:r w:rsidR="000B7E5D">
        <w:rPr>
          <w:sz w:val="18"/>
          <w:szCs w:val="18"/>
        </w:rPr>
        <w:t xml:space="preserve"> and</w:t>
      </w:r>
      <w:r w:rsidR="002B3FDE" w:rsidRPr="002B3FDE">
        <w:rPr>
          <w:sz w:val="18"/>
          <w:szCs w:val="18"/>
        </w:rPr>
        <w:t xml:space="preserve"> the Offering is withdrawn</w:t>
      </w:r>
      <w:r>
        <w:rPr>
          <w:sz w:val="18"/>
          <w:szCs w:val="18"/>
        </w:rPr>
        <w:t xml:space="preserve">. </w:t>
      </w:r>
    </w:p>
    <w:p w14:paraId="4B4803C6" w14:textId="77777777" w:rsidR="00F76607" w:rsidRDefault="001863F0">
      <w:pPr>
        <w:pStyle w:val="NormalWeb"/>
        <w:spacing w:before="240" w:beforeAutospacing="0" w:after="0" w:afterAutospacing="0"/>
        <w:ind w:firstLine="857"/>
      </w:pPr>
      <w:r>
        <w:rPr>
          <w:sz w:val="18"/>
          <w:szCs w:val="18"/>
        </w:rPr>
        <w:t xml:space="preserve">If such supplement to the Prospectus is published, investors will have the right to withdraw their orders made prior to the publication of the supplement. Such withdrawal must be done within the time period set forth in the supplement (which shall not be shorter than two business days after publication of the supplement). </w:t>
      </w:r>
    </w:p>
    <w:p w14:paraId="24C59F51" w14:textId="77777777" w:rsidR="00F76607" w:rsidRDefault="001863F0">
      <w:pPr>
        <w:pStyle w:val="NormalWeb"/>
        <w:keepNext/>
        <w:spacing w:before="240" w:beforeAutospacing="0" w:after="0" w:afterAutospacing="0"/>
      </w:pPr>
      <w:r>
        <w:rPr>
          <w:b/>
          <w:bCs/>
          <w:sz w:val="18"/>
          <w:szCs w:val="18"/>
        </w:rPr>
        <w:t xml:space="preserve">Allocation </w:t>
      </w:r>
    </w:p>
    <w:p w14:paraId="4C7DBED7" w14:textId="77777777" w:rsidR="00F76607" w:rsidRDefault="001863F0">
      <w:pPr>
        <w:pStyle w:val="NormalWeb"/>
        <w:spacing w:before="240" w:beforeAutospacing="0" w:after="0" w:afterAutospacing="0"/>
        <w:ind w:firstLine="857"/>
      </w:pPr>
      <w:r>
        <w:rPr>
          <w:sz w:val="18"/>
          <w:szCs w:val="18"/>
        </w:rPr>
        <w:t xml:space="preserve">The number of Offer Shares allotted to investors will be determined at the end of the Offering Period by the Selling Shareholders in consultation with the Joint Global Coordinators on the basis of the respective demand of both retail and institutional investors and on the quantitative and, for institutional investors only, the qualitative analysis of the order book, and in accordance with Belgian regulations relating to allocation to retail and institutional investors as set forth below. </w:t>
      </w:r>
    </w:p>
    <w:p w14:paraId="0F0F24D6" w14:textId="6BDA7175" w:rsidR="00F76607" w:rsidRDefault="001863F0">
      <w:pPr>
        <w:pStyle w:val="NormalWeb"/>
        <w:spacing w:before="240" w:beforeAutospacing="0" w:after="0" w:afterAutospacing="0"/>
        <w:ind w:firstLine="857"/>
        <w:rPr>
          <w:sz w:val="18"/>
          <w:szCs w:val="18"/>
        </w:rPr>
      </w:pPr>
      <w:r>
        <w:rPr>
          <w:sz w:val="18"/>
          <w:szCs w:val="18"/>
        </w:rPr>
        <w:t xml:space="preserve">In accordance with Belgian regulations, a minimum of 10% of the Offer Shares must be allocated to retail investors in Belgium, subject to sufficient retail demand. </w:t>
      </w:r>
    </w:p>
    <w:p w14:paraId="5304DA57" w14:textId="3A8DEA2F" w:rsidR="00F76607" w:rsidRDefault="001863F0">
      <w:pPr>
        <w:pStyle w:val="NormalWeb"/>
        <w:spacing w:before="240" w:beforeAutospacing="0" w:after="0" w:afterAutospacing="0"/>
        <w:ind w:firstLine="857"/>
      </w:pPr>
      <w:r>
        <w:rPr>
          <w:sz w:val="18"/>
          <w:szCs w:val="18"/>
        </w:rPr>
        <w:t>Provided that there is sufficient demand,</w:t>
      </w:r>
      <w:r w:rsidR="00CA4EA5">
        <w:rPr>
          <w:sz w:val="18"/>
          <w:szCs w:val="18"/>
        </w:rPr>
        <w:t xml:space="preserve"> it is intended that at least </w:t>
      </w:r>
      <w:r w:rsidR="002B3FDE">
        <w:rPr>
          <w:sz w:val="18"/>
          <w:szCs w:val="18"/>
        </w:rPr>
        <w:t>10</w:t>
      </w:r>
      <w:r>
        <w:rPr>
          <w:sz w:val="18"/>
          <w:szCs w:val="18"/>
        </w:rPr>
        <w:t>% of the Offer Shares will be allocated to retail investors in Belgium.</w:t>
      </w:r>
      <w:r>
        <w:t xml:space="preserve"> </w:t>
      </w:r>
      <w:r>
        <w:rPr>
          <w:sz w:val="18"/>
          <w:szCs w:val="18"/>
        </w:rPr>
        <w:t>The proportion of Offer Shares allocated to retail investors in Belgium may be increased or reduced if applications received from them exceed o</w:t>
      </w:r>
      <w:r w:rsidR="00CA4EA5">
        <w:rPr>
          <w:sz w:val="18"/>
          <w:szCs w:val="18"/>
        </w:rPr>
        <w:t xml:space="preserve">r do not reach, respectively, </w:t>
      </w:r>
      <w:r w:rsidR="002B3FDE">
        <w:rPr>
          <w:sz w:val="18"/>
          <w:szCs w:val="18"/>
        </w:rPr>
        <w:t>10</w:t>
      </w:r>
      <w:r>
        <w:rPr>
          <w:sz w:val="18"/>
          <w:szCs w:val="18"/>
        </w:rPr>
        <w:t xml:space="preserve">% of the Offer Shares. </w:t>
      </w:r>
    </w:p>
    <w:p w14:paraId="7C392913" w14:textId="77777777" w:rsidR="00F76607" w:rsidRDefault="001863F0">
      <w:pPr>
        <w:pStyle w:val="NormalWeb"/>
        <w:spacing w:before="240" w:beforeAutospacing="0" w:after="0" w:afterAutospacing="0"/>
        <w:ind w:firstLine="857"/>
      </w:pPr>
      <w:r>
        <w:rPr>
          <w:sz w:val="18"/>
          <w:szCs w:val="18"/>
        </w:rPr>
        <w:t xml:space="preserve">In case of over-subscription of the Offer Shares reserved for retail investors, the allocation to retail investors will be made on the basis of objective and quantitative allocation criteria, i.e. the number of shares for which applications are submitted by retail investors. Therefore, retail investors may receive fewer Offer Shares than they subscribed for. </w:t>
      </w:r>
    </w:p>
    <w:p w14:paraId="37E9A634" w14:textId="7E17709D" w:rsidR="00F76607" w:rsidRDefault="001863F0">
      <w:pPr>
        <w:pStyle w:val="NormalWeb"/>
        <w:spacing w:before="240" w:beforeAutospacing="0" w:after="0" w:afterAutospacing="0"/>
        <w:ind w:firstLine="857"/>
      </w:pPr>
      <w:r>
        <w:rPr>
          <w:sz w:val="18"/>
          <w:szCs w:val="18"/>
        </w:rPr>
        <w:t>The results of the Offering, the allocation for retail investors and the Offer Price will be announced by means of a Company press release, which is currently expected to take place on or</w:t>
      </w:r>
      <w:r w:rsidR="00E423FB">
        <w:rPr>
          <w:sz w:val="18"/>
          <w:szCs w:val="18"/>
        </w:rPr>
        <w:t xml:space="preserve"> about </w:t>
      </w:r>
      <w:r w:rsidR="001146AD">
        <w:rPr>
          <w:sz w:val="18"/>
          <w:szCs w:val="18"/>
        </w:rPr>
        <w:t>26</w:t>
      </w:r>
      <w:r w:rsidR="002B3FDE">
        <w:rPr>
          <w:sz w:val="18"/>
          <w:szCs w:val="18"/>
        </w:rPr>
        <w:t xml:space="preserve"> October 2017</w:t>
      </w:r>
      <w:r w:rsidR="00C77BF1">
        <w:rPr>
          <w:sz w:val="18"/>
          <w:szCs w:val="18"/>
        </w:rPr>
        <w:t xml:space="preserve"> at the latest</w:t>
      </w:r>
      <w:r>
        <w:rPr>
          <w:sz w:val="18"/>
          <w:szCs w:val="18"/>
        </w:rPr>
        <w:t xml:space="preserve"> and in any event no later than the first business day after the end of the Offering Period. </w:t>
      </w:r>
    </w:p>
    <w:p w14:paraId="1999ECBD" w14:textId="77777777" w:rsidR="00F76607" w:rsidRDefault="001863F0">
      <w:pPr>
        <w:pStyle w:val="NormalWeb"/>
        <w:spacing w:before="240" w:beforeAutospacing="0" w:after="0" w:afterAutospacing="0"/>
        <w:ind w:firstLine="857"/>
      </w:pPr>
      <w:r>
        <w:rPr>
          <w:sz w:val="18"/>
          <w:szCs w:val="18"/>
        </w:rPr>
        <w:t>The Underwriters will use reasonable efforts to deliver the Offer Shares to individual persons residing in Belgium and to investors subject to Belgian income tax on legal entities (“</w:t>
      </w:r>
      <w:proofErr w:type="spellStart"/>
      <w:r>
        <w:rPr>
          <w:i/>
          <w:iCs/>
          <w:sz w:val="18"/>
          <w:szCs w:val="18"/>
        </w:rPr>
        <w:t>rechtspersonenbelasting</w:t>
      </w:r>
      <w:proofErr w:type="spellEnd"/>
      <w:r>
        <w:rPr>
          <w:i/>
          <w:iCs/>
          <w:sz w:val="18"/>
          <w:szCs w:val="18"/>
        </w:rPr>
        <w:t>”/”</w:t>
      </w:r>
      <w:proofErr w:type="spellStart"/>
      <w:r>
        <w:rPr>
          <w:i/>
          <w:iCs/>
          <w:sz w:val="18"/>
          <w:szCs w:val="18"/>
        </w:rPr>
        <w:t>impôt</w:t>
      </w:r>
      <w:proofErr w:type="spellEnd"/>
      <w:r>
        <w:rPr>
          <w:sz w:val="18"/>
          <w:szCs w:val="18"/>
        </w:rPr>
        <w:t xml:space="preserve"> </w:t>
      </w:r>
      <w:r>
        <w:rPr>
          <w:i/>
          <w:iCs/>
          <w:sz w:val="18"/>
          <w:szCs w:val="18"/>
        </w:rPr>
        <w:t>des</w:t>
      </w:r>
      <w:r>
        <w:rPr>
          <w:sz w:val="18"/>
          <w:szCs w:val="18"/>
        </w:rPr>
        <w:t xml:space="preserve"> </w:t>
      </w:r>
      <w:proofErr w:type="spellStart"/>
      <w:r>
        <w:rPr>
          <w:i/>
          <w:iCs/>
          <w:sz w:val="18"/>
          <w:szCs w:val="18"/>
        </w:rPr>
        <w:t>personnes</w:t>
      </w:r>
      <w:proofErr w:type="spellEnd"/>
      <w:r>
        <w:rPr>
          <w:sz w:val="18"/>
          <w:szCs w:val="18"/>
        </w:rPr>
        <w:t xml:space="preserve"> </w:t>
      </w:r>
      <w:proofErr w:type="spellStart"/>
      <w:r>
        <w:rPr>
          <w:i/>
          <w:iCs/>
          <w:sz w:val="18"/>
          <w:szCs w:val="18"/>
        </w:rPr>
        <w:t>morales</w:t>
      </w:r>
      <w:proofErr w:type="spellEnd"/>
      <w:r>
        <w:rPr>
          <w:i/>
          <w:iCs/>
          <w:sz w:val="18"/>
          <w:szCs w:val="18"/>
        </w:rPr>
        <w:t>”</w:t>
      </w:r>
      <w:r>
        <w:rPr>
          <w:sz w:val="18"/>
          <w:szCs w:val="18"/>
        </w:rPr>
        <w:t xml:space="preserve">), in this order of priority. </w:t>
      </w:r>
    </w:p>
    <w:p w14:paraId="411BCBF4" w14:textId="77777777" w:rsidR="00F76607" w:rsidRDefault="001863F0">
      <w:pPr>
        <w:pStyle w:val="NormalWeb"/>
        <w:spacing w:before="180" w:beforeAutospacing="0" w:after="0" w:afterAutospacing="0"/>
        <w:rPr>
          <w:sz w:val="2"/>
          <w:szCs w:val="2"/>
        </w:rPr>
      </w:pPr>
      <w:r>
        <w:rPr>
          <w:sz w:val="2"/>
          <w:szCs w:val="2"/>
        </w:rPr>
        <w:t> </w:t>
      </w:r>
    </w:p>
    <w:p w14:paraId="626C1971" w14:textId="77777777" w:rsidR="00F76607" w:rsidRDefault="001863F0">
      <w:pPr>
        <w:pStyle w:val="NormalWeb"/>
        <w:keepNext/>
        <w:spacing w:before="0" w:beforeAutospacing="0" w:after="0" w:afterAutospacing="0"/>
      </w:pPr>
      <w:r>
        <w:rPr>
          <w:b/>
          <w:bCs/>
          <w:sz w:val="18"/>
          <w:szCs w:val="18"/>
        </w:rPr>
        <w:t xml:space="preserve">Payment and Taxes </w:t>
      </w:r>
    </w:p>
    <w:p w14:paraId="68190107" w14:textId="3C47BB2C" w:rsidR="00F76607" w:rsidRDefault="001863F0">
      <w:pPr>
        <w:pStyle w:val="NormalWeb"/>
        <w:spacing w:before="240" w:beforeAutospacing="0" w:after="0" w:afterAutospacing="0"/>
        <w:ind w:firstLine="857"/>
        <w:rPr>
          <w:sz w:val="18"/>
          <w:szCs w:val="18"/>
        </w:rPr>
      </w:pPr>
      <w:r>
        <w:rPr>
          <w:sz w:val="18"/>
          <w:szCs w:val="18"/>
        </w:rPr>
        <w:t xml:space="preserve">The Offer Price must be paid by the investors in full, in Euro, together with any applicable stock exchange taxes and costs. </w:t>
      </w:r>
      <w:r w:rsidR="004F203C">
        <w:rPr>
          <w:sz w:val="18"/>
          <w:szCs w:val="18"/>
        </w:rPr>
        <w:t>In particular, a</w:t>
      </w:r>
      <w:r w:rsidR="004F203C" w:rsidRPr="004F203C">
        <w:rPr>
          <w:sz w:val="18"/>
          <w:szCs w:val="18"/>
        </w:rPr>
        <w:t xml:space="preserve"> tax</w:t>
      </w:r>
      <w:r w:rsidR="004F203C">
        <w:rPr>
          <w:sz w:val="18"/>
          <w:szCs w:val="18"/>
        </w:rPr>
        <w:t xml:space="preserve"> on stock exchange transactions</w:t>
      </w:r>
      <w:r w:rsidR="004F203C" w:rsidRPr="004F203C">
        <w:rPr>
          <w:sz w:val="18"/>
          <w:szCs w:val="18"/>
        </w:rPr>
        <w:t xml:space="preserve"> is levied at a rate of 0.27% of the purchase price, capped at € 1,600 per transaction and per party. </w:t>
      </w:r>
      <w:r>
        <w:rPr>
          <w:sz w:val="18"/>
          <w:szCs w:val="18"/>
        </w:rPr>
        <w:t>For further information about applicable taxes, see “</w:t>
      </w:r>
      <w:r>
        <w:rPr>
          <w:i/>
          <w:iCs/>
          <w:sz w:val="18"/>
          <w:szCs w:val="18"/>
        </w:rPr>
        <w:t>Taxation—Belgian</w:t>
      </w:r>
      <w:r>
        <w:rPr>
          <w:sz w:val="18"/>
          <w:szCs w:val="18"/>
        </w:rPr>
        <w:t xml:space="preserve"> </w:t>
      </w:r>
      <w:r>
        <w:rPr>
          <w:i/>
          <w:iCs/>
          <w:sz w:val="18"/>
          <w:szCs w:val="18"/>
        </w:rPr>
        <w:t>Taxation</w:t>
      </w:r>
      <w:r>
        <w:rPr>
          <w:sz w:val="18"/>
          <w:szCs w:val="18"/>
        </w:rPr>
        <w:t xml:space="preserve">.” </w:t>
      </w:r>
      <w:r w:rsidR="007A139C" w:rsidRPr="007A139C">
        <w:rPr>
          <w:sz w:val="18"/>
          <w:szCs w:val="18"/>
        </w:rPr>
        <w:t xml:space="preserve">Investors should request details of </w:t>
      </w:r>
      <w:r w:rsidR="007A139C" w:rsidRPr="007A139C">
        <w:rPr>
          <w:sz w:val="18"/>
          <w:szCs w:val="18"/>
        </w:rPr>
        <w:lastRenderedPageBreak/>
        <w:t>the costs and fees (including custody fees), if any, which financial intermediaries may charge, which investors will have to pay themselves.</w:t>
      </w:r>
    </w:p>
    <w:p w14:paraId="224968D9" w14:textId="3BAC1856" w:rsidR="00F76607" w:rsidRDefault="001863F0">
      <w:pPr>
        <w:pStyle w:val="NormalWeb"/>
        <w:spacing w:before="240" w:beforeAutospacing="0" w:after="0" w:afterAutospacing="0"/>
        <w:ind w:firstLine="857"/>
      </w:pPr>
      <w:r>
        <w:rPr>
          <w:sz w:val="18"/>
          <w:szCs w:val="18"/>
        </w:rPr>
        <w:t>The C</w:t>
      </w:r>
      <w:r w:rsidR="00E423FB">
        <w:rPr>
          <w:sz w:val="18"/>
          <w:szCs w:val="18"/>
        </w:rPr>
        <w:t xml:space="preserve">losing Date is expected to be </w:t>
      </w:r>
      <w:r w:rsidR="00DD63B6">
        <w:rPr>
          <w:sz w:val="18"/>
          <w:szCs w:val="18"/>
        </w:rPr>
        <w:t>27</w:t>
      </w:r>
      <w:r w:rsidR="002B3FDE">
        <w:rPr>
          <w:sz w:val="18"/>
          <w:szCs w:val="18"/>
        </w:rPr>
        <w:t xml:space="preserve"> October</w:t>
      </w:r>
      <w:r w:rsidR="00E423FB">
        <w:rPr>
          <w:sz w:val="18"/>
          <w:szCs w:val="18"/>
        </w:rPr>
        <w:t xml:space="preserve"> </w:t>
      </w:r>
      <w:r w:rsidR="002B3FDE">
        <w:rPr>
          <w:sz w:val="18"/>
          <w:szCs w:val="18"/>
        </w:rPr>
        <w:t>2017</w:t>
      </w:r>
      <w:r>
        <w:rPr>
          <w:sz w:val="18"/>
          <w:szCs w:val="18"/>
        </w:rPr>
        <w:t xml:space="preserve"> unless the Offering Period is closed earlier. The Offer Price must be paid by investors by authorizing their financial institutions to debit their bank accounts with such amount for value on the Closing Date, unless the Offering has been withdrawn. </w:t>
      </w:r>
    </w:p>
    <w:p w14:paraId="7548179C" w14:textId="77777777" w:rsidR="00F76607" w:rsidRDefault="001863F0">
      <w:pPr>
        <w:pStyle w:val="NormalWeb"/>
        <w:keepNext/>
        <w:spacing w:before="240" w:beforeAutospacing="0" w:after="0" w:afterAutospacing="0"/>
      </w:pPr>
      <w:r>
        <w:rPr>
          <w:b/>
          <w:bCs/>
          <w:sz w:val="18"/>
          <w:szCs w:val="18"/>
        </w:rPr>
        <w:t xml:space="preserve">Form of the Offer Shares and Delivery </w:t>
      </w:r>
    </w:p>
    <w:p w14:paraId="69BEA026" w14:textId="77777777" w:rsidR="00F76607" w:rsidRDefault="001863F0">
      <w:pPr>
        <w:pStyle w:val="NormalWeb"/>
        <w:spacing w:before="240" w:beforeAutospacing="0" w:after="0" w:afterAutospacing="0"/>
        <w:ind w:firstLine="857"/>
      </w:pPr>
      <w:r>
        <w:rPr>
          <w:sz w:val="18"/>
          <w:szCs w:val="18"/>
        </w:rPr>
        <w:t>The Offer Shares will have the same rights and benefits as the other Shares, including the right to dividends for the financial year ending 31 December 2017 and future years. For a further description of the Shares and the rights and benefits attached thereto, see “</w:t>
      </w:r>
      <w:r>
        <w:rPr>
          <w:i/>
          <w:iCs/>
          <w:sz w:val="18"/>
          <w:szCs w:val="18"/>
        </w:rPr>
        <w:t>Description</w:t>
      </w:r>
      <w:r>
        <w:rPr>
          <w:sz w:val="18"/>
          <w:szCs w:val="18"/>
        </w:rPr>
        <w:t xml:space="preserve"> </w:t>
      </w:r>
      <w:r>
        <w:rPr>
          <w:i/>
          <w:iCs/>
          <w:sz w:val="18"/>
          <w:szCs w:val="18"/>
        </w:rPr>
        <w:t>of</w:t>
      </w:r>
      <w:r>
        <w:rPr>
          <w:sz w:val="18"/>
          <w:szCs w:val="18"/>
        </w:rPr>
        <w:t xml:space="preserve"> </w:t>
      </w:r>
      <w:r>
        <w:rPr>
          <w:i/>
          <w:iCs/>
          <w:sz w:val="18"/>
          <w:szCs w:val="18"/>
        </w:rPr>
        <w:t>Share</w:t>
      </w:r>
      <w:r>
        <w:rPr>
          <w:sz w:val="18"/>
          <w:szCs w:val="18"/>
        </w:rPr>
        <w:t xml:space="preserve"> </w:t>
      </w:r>
      <w:r>
        <w:rPr>
          <w:i/>
          <w:iCs/>
          <w:sz w:val="18"/>
          <w:szCs w:val="18"/>
        </w:rPr>
        <w:t>Capital</w:t>
      </w:r>
      <w:r>
        <w:rPr>
          <w:sz w:val="18"/>
          <w:szCs w:val="18"/>
        </w:rPr>
        <w:t xml:space="preserve"> </w:t>
      </w:r>
      <w:r>
        <w:rPr>
          <w:i/>
          <w:iCs/>
          <w:sz w:val="18"/>
          <w:szCs w:val="18"/>
        </w:rPr>
        <w:t>and</w:t>
      </w:r>
      <w:r>
        <w:rPr>
          <w:sz w:val="18"/>
          <w:szCs w:val="18"/>
        </w:rPr>
        <w:t xml:space="preserve"> </w:t>
      </w:r>
      <w:r>
        <w:rPr>
          <w:i/>
          <w:iCs/>
          <w:sz w:val="18"/>
          <w:szCs w:val="18"/>
        </w:rPr>
        <w:t>Articles</w:t>
      </w:r>
      <w:r>
        <w:rPr>
          <w:sz w:val="18"/>
          <w:szCs w:val="18"/>
        </w:rPr>
        <w:t xml:space="preserve"> </w:t>
      </w:r>
      <w:r>
        <w:rPr>
          <w:i/>
          <w:iCs/>
          <w:sz w:val="18"/>
          <w:szCs w:val="18"/>
        </w:rPr>
        <w:t>of</w:t>
      </w:r>
      <w:r>
        <w:rPr>
          <w:sz w:val="18"/>
          <w:szCs w:val="18"/>
        </w:rPr>
        <w:t xml:space="preserve"> </w:t>
      </w:r>
      <w:r>
        <w:rPr>
          <w:i/>
          <w:iCs/>
          <w:sz w:val="18"/>
          <w:szCs w:val="18"/>
        </w:rPr>
        <w:t>Association</w:t>
      </w:r>
      <w:r>
        <w:rPr>
          <w:sz w:val="18"/>
          <w:szCs w:val="18"/>
        </w:rPr>
        <w:t xml:space="preserve">.” </w:t>
      </w:r>
    </w:p>
    <w:p w14:paraId="5112C1F9" w14:textId="77777777" w:rsidR="00F76607" w:rsidRDefault="001863F0">
      <w:pPr>
        <w:pStyle w:val="NormalWeb"/>
        <w:spacing w:before="240" w:beforeAutospacing="0" w:after="0" w:afterAutospacing="0"/>
        <w:ind w:firstLine="857"/>
      </w:pPr>
      <w:r>
        <w:rPr>
          <w:sz w:val="18"/>
          <w:szCs w:val="18"/>
        </w:rPr>
        <w:t xml:space="preserve">All Offer Shares will be delivered in book-entry form only, and will be credited on or around the Closing Date to investors’ securities accounts via Euroclear Belgium, the Belgian central securities depository, </w:t>
      </w:r>
      <w:proofErr w:type="spellStart"/>
      <w:r>
        <w:rPr>
          <w:sz w:val="18"/>
          <w:szCs w:val="18"/>
        </w:rPr>
        <w:t>Koning</w:t>
      </w:r>
      <w:proofErr w:type="spellEnd"/>
      <w:r>
        <w:rPr>
          <w:sz w:val="18"/>
          <w:szCs w:val="18"/>
        </w:rPr>
        <w:t xml:space="preserve"> Albert II </w:t>
      </w:r>
      <w:proofErr w:type="spellStart"/>
      <w:r>
        <w:rPr>
          <w:sz w:val="18"/>
          <w:szCs w:val="18"/>
        </w:rPr>
        <w:t>laan</w:t>
      </w:r>
      <w:proofErr w:type="spellEnd"/>
      <w:r>
        <w:rPr>
          <w:sz w:val="18"/>
          <w:szCs w:val="18"/>
        </w:rPr>
        <w:t xml:space="preserve"> 1, B-1210 Brussels, Belgium. </w:t>
      </w:r>
    </w:p>
    <w:p w14:paraId="57A84413" w14:textId="77777777" w:rsidR="00F76607" w:rsidRDefault="001863F0">
      <w:pPr>
        <w:pStyle w:val="NormalWeb"/>
        <w:spacing w:before="240" w:beforeAutospacing="0" w:after="0" w:afterAutospacing="0"/>
        <w:ind w:firstLine="857"/>
      </w:pPr>
      <w:r>
        <w:rPr>
          <w:sz w:val="18"/>
          <w:szCs w:val="18"/>
        </w:rPr>
        <w:t xml:space="preserve">Investors who, after delivery, wish to have their shares registered, should request that the Company record the Shares in the Company’s share register. </w:t>
      </w:r>
    </w:p>
    <w:p w14:paraId="6D4865D7" w14:textId="77777777" w:rsidR="00F76607" w:rsidRDefault="001863F0">
      <w:pPr>
        <w:pStyle w:val="NormalWeb"/>
        <w:spacing w:before="240" w:beforeAutospacing="0" w:after="0" w:afterAutospacing="0"/>
        <w:ind w:firstLine="857"/>
      </w:pPr>
      <w:r>
        <w:rPr>
          <w:sz w:val="18"/>
          <w:szCs w:val="18"/>
        </w:rPr>
        <w:t xml:space="preserve">Holders of registered shares may request that their registered shares be converted into dematerialized shares and vice versa. Any costs incurred in connection with the conversion of Shares into another form will be borne by such shareholders. </w:t>
      </w:r>
    </w:p>
    <w:p w14:paraId="0D77DA40" w14:textId="77777777" w:rsidR="00F76607" w:rsidRDefault="001863F0">
      <w:pPr>
        <w:pStyle w:val="NormalWeb"/>
        <w:spacing w:before="240" w:beforeAutospacing="0" w:after="0" w:afterAutospacing="0"/>
        <w:ind w:firstLine="857"/>
      </w:pPr>
      <w:r>
        <w:rPr>
          <w:sz w:val="18"/>
          <w:szCs w:val="18"/>
        </w:rPr>
        <w:t>All Offer Shares will be fully paid-up upon their delivery and freely transferable, subject to what is set forth under “</w:t>
      </w:r>
      <w:r>
        <w:rPr>
          <w:i/>
          <w:iCs/>
          <w:sz w:val="18"/>
          <w:szCs w:val="18"/>
        </w:rPr>
        <w:t>Plan</w:t>
      </w:r>
      <w:r>
        <w:rPr>
          <w:sz w:val="18"/>
          <w:szCs w:val="18"/>
        </w:rPr>
        <w:t xml:space="preserve"> </w:t>
      </w:r>
      <w:r>
        <w:rPr>
          <w:i/>
          <w:iCs/>
          <w:sz w:val="18"/>
          <w:szCs w:val="18"/>
        </w:rPr>
        <w:t>of</w:t>
      </w:r>
      <w:r>
        <w:rPr>
          <w:sz w:val="18"/>
          <w:szCs w:val="18"/>
        </w:rPr>
        <w:t xml:space="preserve"> </w:t>
      </w:r>
      <w:r>
        <w:rPr>
          <w:i/>
          <w:iCs/>
          <w:sz w:val="18"/>
          <w:szCs w:val="18"/>
        </w:rPr>
        <w:t>Distribution</w:t>
      </w:r>
      <w:r>
        <w:rPr>
          <w:sz w:val="18"/>
          <w:szCs w:val="18"/>
        </w:rPr>
        <w:t xml:space="preserve">.” </w:t>
      </w:r>
    </w:p>
    <w:p w14:paraId="49FC8784" w14:textId="77777777" w:rsidR="00F76607" w:rsidRDefault="001863F0">
      <w:pPr>
        <w:pStyle w:val="NormalWeb"/>
        <w:keepNext/>
        <w:spacing w:before="240" w:beforeAutospacing="0" w:after="0" w:afterAutospacing="0"/>
      </w:pPr>
      <w:r>
        <w:rPr>
          <w:b/>
          <w:bCs/>
          <w:sz w:val="18"/>
          <w:szCs w:val="18"/>
        </w:rPr>
        <w:t xml:space="preserve">Trading on Euronext Brussels </w:t>
      </w:r>
    </w:p>
    <w:p w14:paraId="77E7AA9E" w14:textId="77777777" w:rsidR="00F76607" w:rsidRDefault="001863F0">
      <w:pPr>
        <w:pStyle w:val="NormalWeb"/>
        <w:spacing w:before="240" w:beforeAutospacing="0" w:after="0" w:afterAutospacing="0"/>
        <w:ind w:firstLine="857"/>
      </w:pPr>
      <w:r>
        <w:rPr>
          <w:sz w:val="18"/>
          <w:szCs w:val="18"/>
        </w:rPr>
        <w:t>The Offer Shares are listed on the regulated market of Euronext Brussels and admitted for trading under the symbol “VGP” with an ISIN code of BE0003878957.</w:t>
      </w:r>
    </w:p>
    <w:p w14:paraId="0D895D2C" w14:textId="77777777" w:rsidR="00F76607" w:rsidRDefault="001863F0">
      <w:pPr>
        <w:pStyle w:val="NormalWeb"/>
        <w:keepNext/>
        <w:spacing w:before="240" w:beforeAutospacing="0" w:after="0" w:afterAutospacing="0"/>
        <w:rPr>
          <w:b/>
          <w:bCs/>
          <w:sz w:val="18"/>
          <w:szCs w:val="18"/>
        </w:rPr>
      </w:pPr>
      <w:r>
        <w:rPr>
          <w:b/>
          <w:bCs/>
          <w:sz w:val="18"/>
          <w:szCs w:val="18"/>
        </w:rPr>
        <w:t>Stabilization</w:t>
      </w:r>
    </w:p>
    <w:p w14:paraId="69C81881" w14:textId="39329122" w:rsidR="00F76607" w:rsidRDefault="001863F0">
      <w:pPr>
        <w:pStyle w:val="NormalWeb"/>
        <w:spacing w:before="240" w:beforeAutospacing="0" w:after="0" w:afterAutospacing="0"/>
        <w:ind w:firstLine="857"/>
      </w:pPr>
      <w:r>
        <w:rPr>
          <w:sz w:val="18"/>
          <w:szCs w:val="18"/>
        </w:rPr>
        <w:t xml:space="preserve">The Selling Shareholders are also expected to grant to the Underwriters (represented by the Stabilization Manager) the Over-allotment Option to purchase, at the Offer Price, additional Shares in </w:t>
      </w:r>
      <w:r w:rsidR="002B3FDE">
        <w:rPr>
          <w:sz w:val="18"/>
          <w:szCs w:val="18"/>
        </w:rPr>
        <w:t>an aggregate amount of up to 15</w:t>
      </w:r>
      <w:r>
        <w:rPr>
          <w:sz w:val="18"/>
          <w:szCs w:val="18"/>
        </w:rPr>
        <w:t xml:space="preserve">% of the number of subscribed Offer Shares for the purpose of covering any such over-allotments (i.e., to cover the short position resulting from the aforementioned over-allotment) and thus facilitate stabilization activities, if any. The Over-allotment Option will be exercisable for a period of 30 days following the Pricing Date. </w:t>
      </w:r>
    </w:p>
    <w:p w14:paraId="3C60FD8E" w14:textId="77777777" w:rsidR="00F76607" w:rsidRDefault="001863F0">
      <w:pPr>
        <w:pStyle w:val="NormalWeb"/>
        <w:keepNext/>
        <w:spacing w:before="240" w:beforeAutospacing="0" w:after="0" w:afterAutospacing="0"/>
      </w:pPr>
      <w:r>
        <w:rPr>
          <w:b/>
          <w:bCs/>
          <w:sz w:val="18"/>
          <w:szCs w:val="18"/>
        </w:rPr>
        <w:t xml:space="preserve">Authorizations </w:t>
      </w:r>
    </w:p>
    <w:p w14:paraId="6FEC119E" w14:textId="7175B9F9" w:rsidR="00F76607" w:rsidRDefault="001863F0">
      <w:pPr>
        <w:pStyle w:val="NormalWeb"/>
        <w:spacing w:before="240" w:beforeAutospacing="0" w:after="0" w:afterAutospacing="0"/>
        <w:ind w:firstLine="857"/>
      </w:pPr>
      <w:r>
        <w:rPr>
          <w:sz w:val="18"/>
          <w:szCs w:val="18"/>
        </w:rPr>
        <w:t>This Prospectus and the participation of each Selling Shareholder in the Offering were approved by (</w:t>
      </w:r>
      <w:proofErr w:type="spellStart"/>
      <w:r>
        <w:rPr>
          <w:sz w:val="18"/>
          <w:szCs w:val="18"/>
        </w:rPr>
        <w:t>i</w:t>
      </w:r>
      <w:proofErr w:type="spellEnd"/>
      <w:r>
        <w:rPr>
          <w:sz w:val="18"/>
          <w:szCs w:val="18"/>
        </w:rPr>
        <w:t>) the board of d</w:t>
      </w:r>
      <w:r w:rsidR="00E423FB">
        <w:rPr>
          <w:sz w:val="18"/>
          <w:szCs w:val="18"/>
        </w:rPr>
        <w:t xml:space="preserve">irectors of Little Rock SA on </w:t>
      </w:r>
      <w:r w:rsidR="00422C84">
        <w:rPr>
          <w:sz w:val="18"/>
          <w:szCs w:val="18"/>
        </w:rPr>
        <w:t>9 October 2017</w:t>
      </w:r>
      <w:r>
        <w:rPr>
          <w:sz w:val="18"/>
          <w:szCs w:val="18"/>
        </w:rPr>
        <w:t>, (ii) the board of</w:t>
      </w:r>
      <w:r w:rsidR="00422C84">
        <w:rPr>
          <w:sz w:val="18"/>
          <w:szCs w:val="18"/>
        </w:rPr>
        <w:t xml:space="preserve"> directors of VM Invest </w:t>
      </w:r>
      <w:r w:rsidR="00E423FB">
        <w:rPr>
          <w:sz w:val="18"/>
          <w:szCs w:val="18"/>
        </w:rPr>
        <w:t xml:space="preserve">NV on </w:t>
      </w:r>
      <w:r w:rsidR="00422C84">
        <w:rPr>
          <w:sz w:val="18"/>
          <w:szCs w:val="18"/>
        </w:rPr>
        <w:t>9 October 2017</w:t>
      </w:r>
      <w:r>
        <w:rPr>
          <w:sz w:val="18"/>
          <w:szCs w:val="18"/>
        </w:rPr>
        <w:t>, and (iii) the board o</w:t>
      </w:r>
      <w:r w:rsidR="00E423FB">
        <w:rPr>
          <w:sz w:val="18"/>
          <w:szCs w:val="18"/>
        </w:rPr>
        <w:t xml:space="preserve">f directors of the Company on </w:t>
      </w:r>
      <w:r w:rsidR="00422C84">
        <w:rPr>
          <w:sz w:val="18"/>
          <w:szCs w:val="18"/>
        </w:rPr>
        <w:t>9 October 2017</w:t>
      </w:r>
      <w:r>
        <w:rPr>
          <w:sz w:val="18"/>
          <w:szCs w:val="18"/>
        </w:rPr>
        <w:t>.</w:t>
      </w:r>
    </w:p>
    <w:p w14:paraId="4E6CBCDB" w14:textId="77777777" w:rsidR="00F76607" w:rsidRDefault="001863F0">
      <w:pPr>
        <w:pStyle w:val="NormalWeb"/>
        <w:spacing w:before="180" w:beforeAutospacing="0" w:after="0" w:afterAutospacing="0"/>
        <w:rPr>
          <w:sz w:val="2"/>
          <w:szCs w:val="2"/>
        </w:rPr>
      </w:pPr>
      <w:r>
        <w:rPr>
          <w:sz w:val="2"/>
          <w:szCs w:val="2"/>
        </w:rPr>
        <w:t> </w:t>
      </w:r>
    </w:p>
    <w:p w14:paraId="3C95EB1C" w14:textId="77777777" w:rsidR="00F76607" w:rsidRDefault="001863F0">
      <w:pPr>
        <w:pStyle w:val="NormalWeb"/>
        <w:keepNext/>
        <w:spacing w:before="0" w:beforeAutospacing="0" w:after="0" w:afterAutospacing="0"/>
      </w:pPr>
      <w:r>
        <w:rPr>
          <w:b/>
          <w:bCs/>
          <w:sz w:val="18"/>
          <w:szCs w:val="18"/>
        </w:rPr>
        <w:t xml:space="preserve">Interest of natural and legal persons involved in the Offering </w:t>
      </w:r>
    </w:p>
    <w:p w14:paraId="5E696AEF" w14:textId="758A51A7" w:rsidR="00F76607" w:rsidRDefault="001863F0">
      <w:pPr>
        <w:pStyle w:val="NormalWeb"/>
        <w:spacing w:before="240" w:beforeAutospacing="0" w:after="0" w:afterAutospacing="0"/>
        <w:ind w:firstLine="857"/>
      </w:pPr>
      <w:r>
        <w:rPr>
          <w:sz w:val="18"/>
          <w:szCs w:val="18"/>
        </w:rPr>
        <w:t>Assuming placement of the maximum number of Offer Shares (including the full exercise of the Increase Option), that the Offer Price is at the mid-point of the Price Range and that the Over-allotment Option is exercised in full, the</w:t>
      </w:r>
      <w:r w:rsidR="00E423FB">
        <w:rPr>
          <w:sz w:val="18"/>
          <w:szCs w:val="18"/>
        </w:rPr>
        <w:t xml:space="preserve"> underwriting fees will be € 13,560,289.54</w:t>
      </w:r>
      <w:r>
        <w:rPr>
          <w:sz w:val="18"/>
          <w:szCs w:val="18"/>
        </w:rPr>
        <w:t>. This does not include any incentive fees which may be paid at the discretion of the Selling Shareholders. The underwriting fees of 3.50% of the gross proceeds of the Offering, plus any discretionary incentive fees up to 0.50% of the gross proceeds of the Offering, will be paid by the Selling Shareholders. The Selling Shareholders have also agreed to reimburse the Underwriters for certain expenses incurred by them i</w:t>
      </w:r>
      <w:r w:rsidR="00E423FB">
        <w:rPr>
          <w:sz w:val="18"/>
          <w:szCs w:val="18"/>
        </w:rPr>
        <w:t>n connection with the Offering.</w:t>
      </w:r>
      <w:r>
        <w:rPr>
          <w:sz w:val="18"/>
          <w:szCs w:val="18"/>
        </w:rPr>
        <w:t xml:space="preserve"> </w:t>
      </w:r>
    </w:p>
    <w:p w14:paraId="0D3843E5" w14:textId="77777777" w:rsidR="00F76607" w:rsidRDefault="001863F0">
      <w:pPr>
        <w:pStyle w:val="NormalWeb"/>
        <w:spacing w:before="240" w:beforeAutospacing="0" w:after="0" w:afterAutospacing="0"/>
        <w:ind w:firstLine="857"/>
      </w:pPr>
      <w:r>
        <w:rPr>
          <w:sz w:val="18"/>
          <w:szCs w:val="18"/>
        </w:rPr>
        <w:t xml:space="preserve">All fees and expenses related to the Offering will be borne by the Selling Shareholders. Except as disclosed above, no other party has a material interest in the Offering other than the Company’s management, the Selling Shareholders and the Company. </w:t>
      </w:r>
    </w:p>
    <w:p w14:paraId="42915F57" w14:textId="77777777" w:rsidR="00F76607" w:rsidRDefault="001863F0">
      <w:pPr>
        <w:pStyle w:val="NormalWeb"/>
        <w:keepNext/>
        <w:spacing w:before="240" w:beforeAutospacing="0" w:after="0" w:afterAutospacing="0"/>
      </w:pPr>
      <w:r>
        <w:rPr>
          <w:b/>
          <w:bCs/>
          <w:sz w:val="18"/>
          <w:szCs w:val="18"/>
        </w:rPr>
        <w:t xml:space="preserve">Financial Service </w:t>
      </w:r>
    </w:p>
    <w:p w14:paraId="5E035A74" w14:textId="4F0E826C" w:rsidR="00F76607" w:rsidRDefault="001863F0">
      <w:pPr>
        <w:pStyle w:val="NormalWeb"/>
        <w:spacing w:before="240" w:beforeAutospacing="0" w:after="0" w:afterAutospacing="0"/>
        <w:ind w:firstLine="857"/>
      </w:pPr>
      <w:r>
        <w:rPr>
          <w:sz w:val="18"/>
          <w:szCs w:val="18"/>
        </w:rPr>
        <w:t>From the Closing Date, the financial service for the shares o</w:t>
      </w:r>
      <w:r w:rsidR="002B3FDE">
        <w:rPr>
          <w:sz w:val="18"/>
          <w:szCs w:val="18"/>
        </w:rPr>
        <w:t>f the Company is provided by KBC Securities</w:t>
      </w:r>
      <w:r>
        <w:rPr>
          <w:sz w:val="18"/>
          <w:szCs w:val="18"/>
        </w:rPr>
        <w:t xml:space="preserve">. Should the Company alter its policy in this respect, this will be announced in accordance with applicable law. </w:t>
      </w:r>
    </w:p>
    <w:p w14:paraId="41B209C7" w14:textId="77777777" w:rsidR="00F76607" w:rsidRDefault="001863F0">
      <w:pPr>
        <w:pStyle w:val="NormalWeb"/>
        <w:keepNext/>
        <w:spacing w:before="240" w:beforeAutospacing="0" w:after="0" w:afterAutospacing="0"/>
        <w:rPr>
          <w:b/>
          <w:bCs/>
          <w:sz w:val="18"/>
          <w:szCs w:val="18"/>
        </w:rPr>
      </w:pPr>
      <w:r>
        <w:rPr>
          <w:b/>
          <w:bCs/>
          <w:sz w:val="18"/>
          <w:szCs w:val="18"/>
        </w:rPr>
        <w:t xml:space="preserve">Liquidity provider </w:t>
      </w:r>
    </w:p>
    <w:p w14:paraId="662DF7E0" w14:textId="77777777" w:rsidR="00F76607" w:rsidRDefault="001863F0">
      <w:pPr>
        <w:pStyle w:val="NormalWeb"/>
        <w:spacing w:before="240" w:beforeAutospacing="0" w:after="0" w:afterAutospacing="0"/>
        <w:ind w:firstLine="857"/>
        <w:rPr>
          <w:sz w:val="18"/>
          <w:szCs w:val="18"/>
        </w:rPr>
      </w:pPr>
      <w:r>
        <w:rPr>
          <w:sz w:val="18"/>
          <w:szCs w:val="18"/>
        </w:rPr>
        <w:t>The Company has appointed KBC Securities as liquidity provider in order to ensure a sufficiently active market in the Company’s Share by maintaining adequate liquidity in normal market conditions. The liquidity contract will not be suspended during the Offering nor thereafter as a result of the Offering.</w:t>
      </w:r>
    </w:p>
    <w:p w14:paraId="0C8B2B63" w14:textId="77777777" w:rsidR="00F76607" w:rsidRDefault="001863F0">
      <w:pPr>
        <w:pStyle w:val="NormalWeb"/>
        <w:keepNext/>
        <w:spacing w:before="240" w:beforeAutospacing="0" w:after="0" w:afterAutospacing="0"/>
      </w:pPr>
      <w:r>
        <w:rPr>
          <w:b/>
          <w:bCs/>
          <w:sz w:val="18"/>
          <w:szCs w:val="18"/>
        </w:rPr>
        <w:lastRenderedPageBreak/>
        <w:t xml:space="preserve">Jurisdiction and Competent Courts </w:t>
      </w:r>
    </w:p>
    <w:p w14:paraId="520C34BA" w14:textId="77777777" w:rsidR="00F76607" w:rsidRDefault="001863F0">
      <w:pPr>
        <w:pStyle w:val="NormalWeb"/>
        <w:spacing w:before="240" w:beforeAutospacing="0" w:after="0" w:afterAutospacing="0"/>
        <w:ind w:firstLine="857"/>
        <w:rPr>
          <w:sz w:val="18"/>
          <w:szCs w:val="18"/>
        </w:rPr>
      </w:pPr>
      <w:r>
        <w:rPr>
          <w:sz w:val="18"/>
          <w:szCs w:val="18"/>
        </w:rPr>
        <w:t xml:space="preserve">The Belgian Offering is subject to Belgian law and the courts of Brussels are exclusively competent to adjudicate any and all disputes with investors concerning the Belgian Offering. </w:t>
      </w:r>
    </w:p>
    <w:p w14:paraId="394FB384" w14:textId="77777777" w:rsidR="00F76607" w:rsidRDefault="001863F0">
      <w:pPr>
        <w:pStyle w:val="NormalWeb"/>
        <w:spacing w:before="240" w:beforeAutospacing="0" w:after="0" w:afterAutospacing="0"/>
        <w:rPr>
          <w:sz w:val="2"/>
          <w:szCs w:val="2"/>
        </w:rPr>
      </w:pPr>
      <w:r>
        <w:rPr>
          <w:sz w:val="2"/>
          <w:szCs w:val="2"/>
        </w:rPr>
        <w:t> </w:t>
      </w:r>
    </w:p>
    <w:p w14:paraId="41A690AA" w14:textId="77777777" w:rsidR="00F76607" w:rsidRDefault="001863F0">
      <w:pPr>
        <w:pStyle w:val="VulcanIISectionTitle"/>
      </w:pPr>
      <w:bookmarkStart w:id="96" w:name="_Toc493194624"/>
      <w:r>
        <w:lastRenderedPageBreak/>
        <w:t>Plan of Distribution</w:t>
      </w:r>
      <w:bookmarkEnd w:id="96"/>
      <w:r>
        <w:t xml:space="preserve"> </w:t>
      </w:r>
    </w:p>
    <w:p w14:paraId="2E08AF10" w14:textId="77777777" w:rsidR="00F76607" w:rsidRDefault="001863F0">
      <w:pPr>
        <w:widowControl w:val="0"/>
        <w:kinsoku w:val="0"/>
        <w:overflowPunct w:val="0"/>
        <w:spacing w:before="210" w:line="213" w:lineRule="exact"/>
        <w:textAlignment w:val="baseline"/>
        <w:rPr>
          <w:b/>
          <w:bCs/>
          <w:sz w:val="18"/>
          <w:szCs w:val="18"/>
          <w:lang w:eastAsia="nl-BE"/>
        </w:rPr>
      </w:pPr>
      <w:r>
        <w:rPr>
          <w:b/>
          <w:bCs/>
          <w:sz w:val="18"/>
          <w:szCs w:val="18"/>
          <w:lang w:eastAsia="nl-BE"/>
        </w:rPr>
        <w:t xml:space="preserve">Underwriting </w:t>
      </w:r>
    </w:p>
    <w:p w14:paraId="1E30C278" w14:textId="20175C46" w:rsidR="00F76607" w:rsidRDefault="001863F0">
      <w:pPr>
        <w:widowControl w:val="0"/>
        <w:kinsoku w:val="0"/>
        <w:overflowPunct w:val="0"/>
        <w:spacing w:before="203" w:after="182" w:line="220" w:lineRule="exact"/>
        <w:ind w:right="72" w:firstLine="720"/>
        <w:textAlignment w:val="baseline"/>
        <w:rPr>
          <w:spacing w:val="1"/>
          <w:sz w:val="18"/>
          <w:szCs w:val="18"/>
          <w:lang w:eastAsia="nl-BE"/>
        </w:rPr>
      </w:pPr>
      <w:r>
        <w:rPr>
          <w:spacing w:val="1"/>
          <w:sz w:val="18"/>
          <w:szCs w:val="18"/>
          <w:lang w:eastAsia="nl-BE"/>
        </w:rPr>
        <w:t>The Company, the Selling Shareholders and the Underwriters named below expect to enter into an under</w:t>
      </w:r>
      <w:r w:rsidR="00E423FB">
        <w:rPr>
          <w:spacing w:val="1"/>
          <w:sz w:val="18"/>
          <w:szCs w:val="18"/>
          <w:lang w:eastAsia="nl-BE"/>
        </w:rPr>
        <w:t xml:space="preserve">writing agreement on or about </w:t>
      </w:r>
      <w:r w:rsidR="00DD63B6">
        <w:rPr>
          <w:spacing w:val="1"/>
          <w:sz w:val="18"/>
          <w:szCs w:val="18"/>
          <w:lang w:eastAsia="nl-BE"/>
        </w:rPr>
        <w:t>25</w:t>
      </w:r>
      <w:r w:rsidR="002B3FDE">
        <w:rPr>
          <w:spacing w:val="1"/>
          <w:sz w:val="18"/>
          <w:szCs w:val="18"/>
          <w:lang w:eastAsia="nl-BE"/>
        </w:rPr>
        <w:t xml:space="preserve"> October</w:t>
      </w:r>
      <w:r>
        <w:rPr>
          <w:spacing w:val="1"/>
          <w:sz w:val="18"/>
          <w:szCs w:val="18"/>
          <w:lang w:eastAsia="nl-BE"/>
        </w:rPr>
        <w:t xml:space="preserve"> 2017 (the “Underwriting Agreement”) with respect to the offer and sale of the Offer Shares in the Offering. Entering into the Underwriting Agreement may depend on various factors, including, but not limited to, market conditions and the result of the </w:t>
      </w:r>
      <w:proofErr w:type="spellStart"/>
      <w:r>
        <w:rPr>
          <w:spacing w:val="1"/>
          <w:sz w:val="18"/>
          <w:szCs w:val="18"/>
          <w:lang w:eastAsia="nl-BE"/>
        </w:rPr>
        <w:t>bookbuilding</w:t>
      </w:r>
      <w:proofErr w:type="spellEnd"/>
      <w:r>
        <w:rPr>
          <w:spacing w:val="1"/>
          <w:sz w:val="18"/>
          <w:szCs w:val="18"/>
          <w:lang w:eastAsia="nl-BE"/>
        </w:rPr>
        <w:t xml:space="preserve"> process. Subject to certain conditions set forth in the Underwriting Agreement, the Selling Shareholders will agree to sell the Offer Shares offered in the Offering and the Underwriters will severally agree to purchase, with a view to immediate placement with investors, the following percentage of the total number of the Offer Shares:</w:t>
      </w:r>
    </w:p>
    <w:tbl>
      <w:tblPr>
        <w:tblW w:w="0" w:type="auto"/>
        <w:tblLook w:val="04A0" w:firstRow="1" w:lastRow="0" w:firstColumn="1" w:lastColumn="0" w:noHBand="0" w:noVBand="1"/>
      </w:tblPr>
      <w:tblGrid>
        <w:gridCol w:w="7054"/>
        <w:gridCol w:w="2226"/>
      </w:tblGrid>
      <w:tr w:rsidR="00F76607" w14:paraId="3CF52511" w14:textId="77777777">
        <w:trPr>
          <w:trHeight w:val="70"/>
        </w:trPr>
        <w:tc>
          <w:tcPr>
            <w:tcW w:w="7054" w:type="dxa"/>
            <w:vAlign w:val="bottom"/>
          </w:tcPr>
          <w:p w14:paraId="4FA13E46" w14:textId="77777777" w:rsidR="00F76607" w:rsidRDefault="001863F0">
            <w:pPr>
              <w:widowControl w:val="0"/>
              <w:pBdr>
                <w:bottom w:val="single" w:sz="4" w:space="1" w:color="auto"/>
              </w:pBdr>
              <w:kinsoku w:val="0"/>
              <w:overflowPunct w:val="0"/>
              <w:spacing w:line="220" w:lineRule="exact"/>
              <w:textAlignment w:val="baseline"/>
              <w:rPr>
                <w:b/>
                <w:sz w:val="18"/>
                <w:szCs w:val="18"/>
                <w:lang w:val="nl-BE" w:eastAsia="nl-BE"/>
              </w:rPr>
            </w:pPr>
            <w:proofErr w:type="spellStart"/>
            <w:r>
              <w:rPr>
                <w:b/>
                <w:sz w:val="18"/>
                <w:szCs w:val="18"/>
                <w:lang w:val="nl-BE" w:eastAsia="nl-BE"/>
              </w:rPr>
              <w:t>Underwriters</w:t>
            </w:r>
            <w:proofErr w:type="spellEnd"/>
          </w:p>
        </w:tc>
        <w:tc>
          <w:tcPr>
            <w:tcW w:w="2226" w:type="dxa"/>
            <w:vAlign w:val="bottom"/>
          </w:tcPr>
          <w:p w14:paraId="77DEE49C" w14:textId="77777777" w:rsidR="00F76607" w:rsidRDefault="001863F0">
            <w:pPr>
              <w:widowControl w:val="0"/>
              <w:pBdr>
                <w:bottom w:val="single" w:sz="4" w:space="1" w:color="auto"/>
              </w:pBdr>
              <w:kinsoku w:val="0"/>
              <w:overflowPunct w:val="0"/>
              <w:spacing w:line="220" w:lineRule="exact"/>
              <w:jc w:val="center"/>
              <w:textAlignment w:val="baseline"/>
              <w:rPr>
                <w:b/>
                <w:sz w:val="18"/>
                <w:szCs w:val="18"/>
                <w:lang w:eastAsia="nl-BE"/>
              </w:rPr>
            </w:pPr>
            <w:r>
              <w:rPr>
                <w:b/>
                <w:sz w:val="18"/>
                <w:szCs w:val="18"/>
                <w:lang w:eastAsia="nl-BE"/>
              </w:rPr>
              <w:t>Percentage of Offer Shares to be sold</w:t>
            </w:r>
          </w:p>
        </w:tc>
      </w:tr>
      <w:tr w:rsidR="002B3FDE" w14:paraId="75002930" w14:textId="77777777">
        <w:tc>
          <w:tcPr>
            <w:tcW w:w="7054" w:type="dxa"/>
          </w:tcPr>
          <w:p w14:paraId="239BC256" w14:textId="508852D4" w:rsidR="002B3FDE" w:rsidRDefault="002B3FDE" w:rsidP="002B3FDE">
            <w:pPr>
              <w:widowControl w:val="0"/>
              <w:kinsoku w:val="0"/>
              <w:overflowPunct w:val="0"/>
              <w:spacing w:line="220" w:lineRule="exact"/>
              <w:textAlignment w:val="baseline"/>
              <w:rPr>
                <w:sz w:val="18"/>
                <w:szCs w:val="18"/>
                <w:lang w:val="nl-BE" w:eastAsia="nl-BE"/>
              </w:rPr>
            </w:pPr>
            <w:r>
              <w:rPr>
                <w:sz w:val="18"/>
                <w:szCs w:val="18"/>
                <w:lang w:val="nl-BE" w:eastAsia="nl-BE"/>
              </w:rPr>
              <w:t xml:space="preserve">J.P. Morgan </w:t>
            </w:r>
          </w:p>
        </w:tc>
        <w:tc>
          <w:tcPr>
            <w:tcW w:w="2226" w:type="dxa"/>
          </w:tcPr>
          <w:p w14:paraId="297B29D2" w14:textId="36127B5C" w:rsidR="002B3FDE" w:rsidRDefault="00E423FB" w:rsidP="002B3FDE">
            <w:pPr>
              <w:widowControl w:val="0"/>
              <w:kinsoku w:val="0"/>
              <w:overflowPunct w:val="0"/>
              <w:spacing w:line="220" w:lineRule="exact"/>
              <w:ind w:firstLine="720"/>
              <w:textAlignment w:val="baseline"/>
              <w:rPr>
                <w:sz w:val="18"/>
                <w:szCs w:val="18"/>
                <w:lang w:val="nl-BE" w:eastAsia="nl-BE"/>
              </w:rPr>
            </w:pPr>
            <w:r>
              <w:rPr>
                <w:sz w:val="18"/>
                <w:szCs w:val="18"/>
                <w:lang w:val="nl-BE" w:eastAsia="nl-BE"/>
              </w:rPr>
              <w:t>44</w:t>
            </w:r>
            <w:r w:rsidR="002B3FDE">
              <w:rPr>
                <w:sz w:val="18"/>
                <w:szCs w:val="18"/>
                <w:lang w:val="nl-BE" w:eastAsia="nl-BE"/>
              </w:rPr>
              <w:t>%</w:t>
            </w:r>
          </w:p>
        </w:tc>
      </w:tr>
      <w:tr w:rsidR="002B3FDE" w14:paraId="6100D187" w14:textId="77777777">
        <w:tc>
          <w:tcPr>
            <w:tcW w:w="7054" w:type="dxa"/>
          </w:tcPr>
          <w:p w14:paraId="223916B8" w14:textId="27A2E8A5" w:rsidR="002B3FDE" w:rsidRDefault="002B3FDE" w:rsidP="002B3FDE">
            <w:pPr>
              <w:widowControl w:val="0"/>
              <w:kinsoku w:val="0"/>
              <w:overflowPunct w:val="0"/>
              <w:spacing w:line="220" w:lineRule="exact"/>
              <w:textAlignment w:val="baseline"/>
              <w:rPr>
                <w:sz w:val="18"/>
                <w:szCs w:val="18"/>
                <w:lang w:eastAsia="nl-BE"/>
              </w:rPr>
            </w:pPr>
            <w:r>
              <w:rPr>
                <w:sz w:val="18"/>
                <w:szCs w:val="18"/>
                <w:lang w:eastAsia="nl-BE"/>
              </w:rPr>
              <w:t xml:space="preserve">KBC Securities </w:t>
            </w:r>
          </w:p>
        </w:tc>
        <w:tc>
          <w:tcPr>
            <w:tcW w:w="2226" w:type="dxa"/>
          </w:tcPr>
          <w:p w14:paraId="03294320" w14:textId="0FF0ECE5" w:rsidR="002B3FDE" w:rsidRDefault="00E423FB" w:rsidP="002B3FDE">
            <w:pPr>
              <w:widowControl w:val="0"/>
              <w:kinsoku w:val="0"/>
              <w:overflowPunct w:val="0"/>
              <w:spacing w:line="220" w:lineRule="exact"/>
              <w:ind w:firstLine="720"/>
              <w:textAlignment w:val="baseline"/>
              <w:rPr>
                <w:sz w:val="18"/>
                <w:szCs w:val="18"/>
                <w:lang w:val="nl-BE" w:eastAsia="nl-BE"/>
              </w:rPr>
            </w:pPr>
            <w:r>
              <w:rPr>
                <w:sz w:val="18"/>
                <w:szCs w:val="18"/>
                <w:lang w:val="nl-BE" w:eastAsia="nl-BE"/>
              </w:rPr>
              <w:t>44</w:t>
            </w:r>
            <w:r w:rsidR="002B3FDE">
              <w:rPr>
                <w:sz w:val="18"/>
                <w:szCs w:val="18"/>
                <w:lang w:val="nl-BE" w:eastAsia="nl-BE"/>
              </w:rPr>
              <w:t>%</w:t>
            </w:r>
          </w:p>
        </w:tc>
      </w:tr>
      <w:tr w:rsidR="002B3FDE" w14:paraId="4C27161C" w14:textId="77777777">
        <w:tc>
          <w:tcPr>
            <w:tcW w:w="7054" w:type="dxa"/>
          </w:tcPr>
          <w:p w14:paraId="77731D01" w14:textId="06E7A3F0" w:rsidR="002B3FDE" w:rsidRDefault="002B3FDE" w:rsidP="002B3FDE">
            <w:pPr>
              <w:widowControl w:val="0"/>
              <w:kinsoku w:val="0"/>
              <w:overflowPunct w:val="0"/>
              <w:spacing w:line="220" w:lineRule="exact"/>
              <w:textAlignment w:val="baseline"/>
              <w:rPr>
                <w:sz w:val="18"/>
                <w:szCs w:val="18"/>
                <w:lang w:eastAsia="nl-BE"/>
              </w:rPr>
            </w:pPr>
            <w:r>
              <w:rPr>
                <w:sz w:val="18"/>
                <w:szCs w:val="18"/>
                <w:lang w:eastAsia="nl-BE"/>
              </w:rPr>
              <w:t xml:space="preserve">Belfius </w:t>
            </w:r>
          </w:p>
        </w:tc>
        <w:tc>
          <w:tcPr>
            <w:tcW w:w="2226" w:type="dxa"/>
          </w:tcPr>
          <w:p w14:paraId="162CB4F7" w14:textId="63B6E217" w:rsidR="002B3FDE" w:rsidRDefault="00E423FB" w:rsidP="002B3FDE">
            <w:pPr>
              <w:widowControl w:val="0"/>
              <w:kinsoku w:val="0"/>
              <w:overflowPunct w:val="0"/>
              <w:spacing w:line="220" w:lineRule="exact"/>
              <w:ind w:firstLine="720"/>
              <w:textAlignment w:val="baseline"/>
              <w:rPr>
                <w:sz w:val="18"/>
                <w:szCs w:val="18"/>
                <w:lang w:val="nl-BE" w:eastAsia="nl-BE"/>
              </w:rPr>
            </w:pPr>
            <w:r>
              <w:rPr>
                <w:sz w:val="18"/>
                <w:szCs w:val="18"/>
                <w:lang w:val="nl-BE" w:eastAsia="nl-BE"/>
              </w:rPr>
              <w:t>8</w:t>
            </w:r>
            <w:r w:rsidR="002B3FDE">
              <w:rPr>
                <w:sz w:val="18"/>
                <w:szCs w:val="18"/>
                <w:lang w:val="nl-BE" w:eastAsia="nl-BE"/>
              </w:rPr>
              <w:t>%</w:t>
            </w:r>
          </w:p>
        </w:tc>
      </w:tr>
      <w:tr w:rsidR="002B3FDE" w14:paraId="689BDDD8" w14:textId="77777777">
        <w:tc>
          <w:tcPr>
            <w:tcW w:w="7054" w:type="dxa"/>
          </w:tcPr>
          <w:p w14:paraId="12881AB9" w14:textId="401B15E1" w:rsidR="002B3FDE" w:rsidRDefault="002B3FDE" w:rsidP="002B3FDE">
            <w:pPr>
              <w:widowControl w:val="0"/>
              <w:kinsoku w:val="0"/>
              <w:overflowPunct w:val="0"/>
              <w:spacing w:line="220" w:lineRule="exact"/>
              <w:textAlignment w:val="baseline"/>
              <w:rPr>
                <w:sz w:val="18"/>
                <w:szCs w:val="18"/>
                <w:lang w:eastAsia="nl-BE"/>
              </w:rPr>
            </w:pPr>
            <w:r>
              <w:rPr>
                <w:sz w:val="18"/>
                <w:szCs w:val="18"/>
                <w:lang w:eastAsia="nl-BE"/>
              </w:rPr>
              <w:t xml:space="preserve">ING </w:t>
            </w:r>
          </w:p>
        </w:tc>
        <w:tc>
          <w:tcPr>
            <w:tcW w:w="2226" w:type="dxa"/>
          </w:tcPr>
          <w:p w14:paraId="0A75E9ED" w14:textId="37BFCD15" w:rsidR="002B3FDE" w:rsidRDefault="00E423FB" w:rsidP="002B3FDE">
            <w:pPr>
              <w:widowControl w:val="0"/>
              <w:pBdr>
                <w:bottom w:val="single" w:sz="4" w:space="1" w:color="auto"/>
              </w:pBdr>
              <w:kinsoku w:val="0"/>
              <w:overflowPunct w:val="0"/>
              <w:spacing w:line="220" w:lineRule="exact"/>
              <w:ind w:firstLine="720"/>
              <w:textAlignment w:val="baseline"/>
              <w:rPr>
                <w:sz w:val="18"/>
                <w:szCs w:val="18"/>
                <w:lang w:val="nl-BE" w:eastAsia="nl-BE"/>
              </w:rPr>
            </w:pPr>
            <w:r>
              <w:rPr>
                <w:sz w:val="18"/>
                <w:szCs w:val="18"/>
                <w:lang w:val="nl-BE" w:eastAsia="nl-BE"/>
              </w:rPr>
              <w:t>4</w:t>
            </w:r>
            <w:r w:rsidR="002B3FDE">
              <w:rPr>
                <w:sz w:val="18"/>
                <w:szCs w:val="18"/>
                <w:lang w:val="nl-BE" w:eastAsia="nl-BE"/>
              </w:rPr>
              <w:t>%</w:t>
            </w:r>
          </w:p>
        </w:tc>
      </w:tr>
      <w:tr w:rsidR="00F76607" w14:paraId="0EC5B5EC" w14:textId="77777777">
        <w:tc>
          <w:tcPr>
            <w:tcW w:w="7054" w:type="dxa"/>
          </w:tcPr>
          <w:p w14:paraId="3E9AA2E0" w14:textId="77777777" w:rsidR="00F76607" w:rsidRDefault="001863F0">
            <w:pPr>
              <w:widowControl w:val="0"/>
              <w:kinsoku w:val="0"/>
              <w:overflowPunct w:val="0"/>
              <w:spacing w:line="220" w:lineRule="exact"/>
              <w:textAlignment w:val="baseline"/>
              <w:rPr>
                <w:sz w:val="18"/>
                <w:szCs w:val="18"/>
                <w:lang w:eastAsia="nl-BE"/>
              </w:rPr>
            </w:pPr>
            <w:r>
              <w:rPr>
                <w:b/>
                <w:bCs/>
                <w:sz w:val="18"/>
                <w:szCs w:val="18"/>
                <w:lang w:eastAsia="nl-BE"/>
              </w:rPr>
              <w:t>Total percentage of Offer Shares to be sold</w:t>
            </w:r>
          </w:p>
        </w:tc>
        <w:tc>
          <w:tcPr>
            <w:tcW w:w="2226" w:type="dxa"/>
          </w:tcPr>
          <w:p w14:paraId="4D674B6F" w14:textId="77777777" w:rsidR="00F76607" w:rsidRDefault="001863F0">
            <w:pPr>
              <w:widowControl w:val="0"/>
              <w:kinsoku w:val="0"/>
              <w:overflowPunct w:val="0"/>
              <w:spacing w:line="220" w:lineRule="exact"/>
              <w:ind w:firstLine="720"/>
              <w:textAlignment w:val="baseline"/>
              <w:rPr>
                <w:b/>
                <w:sz w:val="18"/>
                <w:szCs w:val="18"/>
                <w:lang w:eastAsia="nl-BE"/>
              </w:rPr>
            </w:pPr>
            <w:r>
              <w:rPr>
                <w:b/>
                <w:sz w:val="18"/>
                <w:szCs w:val="18"/>
                <w:lang w:eastAsia="nl-BE"/>
              </w:rPr>
              <w:t>100%</w:t>
            </w:r>
          </w:p>
        </w:tc>
      </w:tr>
    </w:tbl>
    <w:p w14:paraId="51E0D4FB" w14:textId="77777777" w:rsidR="00F76607" w:rsidRDefault="001863F0">
      <w:pPr>
        <w:widowControl w:val="0"/>
        <w:kinsoku w:val="0"/>
        <w:overflowPunct w:val="0"/>
        <w:spacing w:before="201" w:line="220" w:lineRule="exact"/>
        <w:ind w:firstLine="720"/>
        <w:textAlignment w:val="baseline"/>
        <w:rPr>
          <w:sz w:val="18"/>
          <w:szCs w:val="18"/>
          <w:lang w:eastAsia="nl-BE"/>
        </w:rPr>
      </w:pPr>
      <w:r>
        <w:rPr>
          <w:sz w:val="18"/>
          <w:szCs w:val="18"/>
          <w:lang w:eastAsia="nl-BE"/>
        </w:rPr>
        <w:t>The Underwriting Agreement being a soft underwriting agreement, the Underwriters will be under no obligation to purchase any Offer Shares prior to the execution of the Underwriting Agreement (and then only on the terms and subject to the conditions set out therein). The Underwriting Agreement is expected to provide that if an Underwriter defaults, in certain circumstances, the purchase commitments of the non-defaulting Underwriters may be increased or the Underwriting Agreement may be terminated. The Underwriters will distribute the Offer Shares to investors, subject to prior sale, when, as and if they will have been delivered to them, subject to the satisfaction or waiver of the conditions that will be contained in the Underwriting Agreement, including the receipt by the Underwriters of certificates from the Company and certain legal opinions. In the Underwriting Agreement, the Company and the Selling Shareholders will make certain customary representations and warranties and the Company and the Selling Shareholders will agree to indemnify the Underwriters against certain liabilities, including liability under the U.S. Securities Act. If the Underwriting Agreement is not executed or is executed but subsequently terminated, a supplement to the Prospectus to this effect will be published.</w:t>
      </w:r>
    </w:p>
    <w:p w14:paraId="39578E81" w14:textId="07025A55" w:rsidR="00F76607" w:rsidRDefault="001863F0">
      <w:pPr>
        <w:widowControl w:val="0"/>
        <w:kinsoku w:val="0"/>
        <w:overflowPunct w:val="0"/>
        <w:spacing w:before="205" w:line="220" w:lineRule="exact"/>
        <w:ind w:firstLine="720"/>
        <w:textAlignment w:val="baseline"/>
        <w:rPr>
          <w:sz w:val="18"/>
          <w:szCs w:val="18"/>
          <w:lang w:eastAsia="nl-BE"/>
        </w:rPr>
      </w:pPr>
      <w:r>
        <w:rPr>
          <w:sz w:val="18"/>
          <w:szCs w:val="18"/>
          <w:lang w:eastAsia="nl-BE"/>
        </w:rPr>
        <w:t>The actual number of Offer Shares to be sold by the Selling Shareholders in the Offering will only be determined after the Offering Period and will be announced by means of a Company press release, simultaneously with the publication of the Offer Price and the allocation to retail investors, which are currently expec</w:t>
      </w:r>
      <w:r w:rsidR="00E423FB">
        <w:rPr>
          <w:sz w:val="18"/>
          <w:szCs w:val="18"/>
          <w:lang w:eastAsia="nl-BE"/>
        </w:rPr>
        <w:t xml:space="preserve">ted to take place on or about </w:t>
      </w:r>
      <w:r w:rsidR="001146AD">
        <w:rPr>
          <w:sz w:val="18"/>
          <w:szCs w:val="18"/>
          <w:lang w:eastAsia="nl-BE"/>
        </w:rPr>
        <w:t>26</w:t>
      </w:r>
      <w:r w:rsidR="002B3FDE">
        <w:rPr>
          <w:sz w:val="18"/>
          <w:szCs w:val="18"/>
          <w:lang w:eastAsia="nl-BE"/>
        </w:rPr>
        <w:t xml:space="preserve"> October</w:t>
      </w:r>
      <w:r>
        <w:rPr>
          <w:sz w:val="18"/>
          <w:szCs w:val="18"/>
          <w:lang w:eastAsia="nl-BE"/>
        </w:rPr>
        <w:t xml:space="preserve"> 2017</w:t>
      </w:r>
      <w:r w:rsidR="00C77BF1">
        <w:rPr>
          <w:sz w:val="18"/>
          <w:szCs w:val="18"/>
          <w:lang w:eastAsia="nl-BE"/>
        </w:rPr>
        <w:t xml:space="preserve"> at the latest</w:t>
      </w:r>
      <w:r>
        <w:rPr>
          <w:sz w:val="18"/>
          <w:szCs w:val="18"/>
          <w:lang w:eastAsia="nl-BE"/>
        </w:rPr>
        <w:t xml:space="preserve"> and, in any event, no later than the first business day after the end of the Offering Period.</w:t>
      </w:r>
    </w:p>
    <w:p w14:paraId="6F02C539" w14:textId="77777777" w:rsidR="00F76607" w:rsidRDefault="001863F0">
      <w:pPr>
        <w:widowControl w:val="0"/>
        <w:kinsoku w:val="0"/>
        <w:overflowPunct w:val="0"/>
        <w:spacing w:before="201" w:line="220" w:lineRule="exact"/>
        <w:ind w:firstLine="720"/>
        <w:textAlignment w:val="baseline"/>
        <w:rPr>
          <w:sz w:val="18"/>
          <w:szCs w:val="18"/>
          <w:lang w:eastAsia="nl-BE"/>
        </w:rPr>
      </w:pPr>
      <w:r>
        <w:rPr>
          <w:sz w:val="18"/>
          <w:szCs w:val="18"/>
          <w:lang w:eastAsia="nl-BE"/>
        </w:rPr>
        <w:t>The Price Range set forth on the cover page of this Prospectus is subject to change as a result of market conditions and other factors. There can be no assurance that an active trading market will develop and sustained for the Shares or that the Shares will trade in the public market after the Offering at or above the Offer Price. For further information, see “</w:t>
      </w:r>
      <w:r>
        <w:rPr>
          <w:i/>
          <w:iCs/>
          <w:sz w:val="18"/>
          <w:szCs w:val="18"/>
          <w:lang w:eastAsia="nl-BE"/>
        </w:rPr>
        <w:t>Risk Factors—Risks Relating to the Shares and the Offering—The Shares may experience (increased) price and volume fluctuations.</w:t>
      </w:r>
      <w:r>
        <w:rPr>
          <w:sz w:val="18"/>
          <w:szCs w:val="18"/>
          <w:lang w:eastAsia="nl-BE"/>
        </w:rPr>
        <w:t>”</w:t>
      </w:r>
    </w:p>
    <w:p w14:paraId="58551E28" w14:textId="268CFFEE" w:rsidR="00F76607" w:rsidRDefault="001863F0">
      <w:pPr>
        <w:widowControl w:val="0"/>
        <w:kinsoku w:val="0"/>
        <w:overflowPunct w:val="0"/>
        <w:spacing w:before="203" w:line="220" w:lineRule="exact"/>
        <w:ind w:right="144" w:firstLine="720"/>
        <w:textAlignment w:val="baseline"/>
        <w:rPr>
          <w:sz w:val="18"/>
          <w:szCs w:val="18"/>
          <w:lang w:eastAsia="nl-BE"/>
        </w:rPr>
      </w:pPr>
      <w:r>
        <w:rPr>
          <w:sz w:val="18"/>
          <w:szCs w:val="18"/>
          <w:lang w:eastAsia="nl-BE"/>
        </w:rPr>
        <w:t xml:space="preserve">The Underwriters will offer the Offer Shares at the Offer Price. Assuming placement of the maximum number of Offer Shares (including the full exercise of the Increase Option), that the Offer Price is at the mid-point of the Price Range and that the Over-allotment Option is exercised in full, the underwriting fees for the Offering will be </w:t>
      </w:r>
      <w:r w:rsidRPr="00AE7C9B">
        <w:rPr>
          <w:sz w:val="18"/>
          <w:szCs w:val="18"/>
          <w:lang w:eastAsia="nl-BE"/>
        </w:rPr>
        <w:t>€</w:t>
      </w:r>
      <w:r w:rsidR="00AE7C9B">
        <w:rPr>
          <w:sz w:val="18"/>
          <w:szCs w:val="18"/>
          <w:lang w:eastAsia="nl-BE"/>
        </w:rPr>
        <w:t xml:space="preserve"> </w:t>
      </w:r>
      <w:r w:rsidR="000E243B">
        <w:rPr>
          <w:sz w:val="18"/>
          <w:szCs w:val="18"/>
          <w:lang w:eastAsia="nl-BE"/>
        </w:rPr>
        <w:t>13,560,289.54</w:t>
      </w:r>
      <w:r>
        <w:rPr>
          <w:sz w:val="18"/>
          <w:szCs w:val="18"/>
          <w:lang w:eastAsia="nl-BE"/>
        </w:rPr>
        <w:t>. This does not include any incentive fees which may be paid at the discretion of the Selling Shareholders. The underwriting fees, including any incentive fees, will be paid by the Selling Sharehold</w:t>
      </w:r>
      <w:r w:rsidR="00E423FB">
        <w:rPr>
          <w:sz w:val="18"/>
          <w:szCs w:val="18"/>
          <w:lang w:eastAsia="nl-BE"/>
        </w:rPr>
        <w:t xml:space="preserve">ers. The underwriting fees of </w:t>
      </w:r>
      <w:r w:rsidR="00932B9E">
        <w:rPr>
          <w:sz w:val="18"/>
          <w:szCs w:val="18"/>
          <w:lang w:eastAsia="nl-BE"/>
        </w:rPr>
        <w:t>3.5</w:t>
      </w:r>
      <w:r>
        <w:rPr>
          <w:sz w:val="18"/>
          <w:szCs w:val="18"/>
          <w:lang w:eastAsia="nl-BE"/>
        </w:rPr>
        <w:t xml:space="preserve">% of the gross proceeds of the Offering, plus any discretionary incentive fees up </w:t>
      </w:r>
      <w:r w:rsidR="00E423FB">
        <w:rPr>
          <w:sz w:val="18"/>
          <w:szCs w:val="18"/>
          <w:lang w:eastAsia="nl-BE"/>
        </w:rPr>
        <w:t xml:space="preserve">to </w:t>
      </w:r>
      <w:r w:rsidR="00932B9E">
        <w:rPr>
          <w:sz w:val="18"/>
          <w:szCs w:val="18"/>
          <w:lang w:eastAsia="nl-BE"/>
        </w:rPr>
        <w:t>0.5</w:t>
      </w:r>
      <w:r>
        <w:rPr>
          <w:sz w:val="18"/>
          <w:szCs w:val="18"/>
          <w:lang w:eastAsia="nl-BE"/>
        </w:rPr>
        <w:t>% of the gross proceeds of the Offering, will be paid by the Selling Shareholders. The Selling Shareholders have also agreed to reimburse the Underwriters for certain expenses incurred by them in connection with the Offering.</w:t>
      </w:r>
    </w:p>
    <w:p w14:paraId="5472C783" w14:textId="7310E23A" w:rsidR="00F76607" w:rsidRDefault="001863F0">
      <w:pPr>
        <w:widowControl w:val="0"/>
        <w:kinsoku w:val="0"/>
        <w:overflowPunct w:val="0"/>
        <w:spacing w:before="201" w:line="220" w:lineRule="exact"/>
        <w:ind w:firstLine="720"/>
        <w:textAlignment w:val="baseline"/>
        <w:rPr>
          <w:spacing w:val="-1"/>
          <w:sz w:val="18"/>
          <w:szCs w:val="18"/>
          <w:lang w:eastAsia="nl-BE"/>
        </w:rPr>
      </w:pPr>
      <w:r>
        <w:rPr>
          <w:spacing w:val="-1"/>
          <w:sz w:val="18"/>
          <w:szCs w:val="18"/>
          <w:lang w:eastAsia="nl-BE"/>
        </w:rPr>
        <w:t>The Underwriting Agreement is expected to provide that the Joint Global Coordinators will, on behalf of the Underwriters, have the right to terminate, on behalf of the Underwriters, the Underwriting Agreement and their obligation thereunder to purchase and deliver the Offer Shares (</w:t>
      </w:r>
      <w:proofErr w:type="spellStart"/>
      <w:r>
        <w:rPr>
          <w:spacing w:val="-1"/>
          <w:sz w:val="18"/>
          <w:szCs w:val="18"/>
          <w:lang w:eastAsia="nl-BE"/>
        </w:rPr>
        <w:t>i</w:t>
      </w:r>
      <w:proofErr w:type="spellEnd"/>
      <w:r>
        <w:rPr>
          <w:spacing w:val="-1"/>
          <w:sz w:val="18"/>
          <w:szCs w:val="18"/>
          <w:lang w:eastAsia="nl-BE"/>
        </w:rPr>
        <w:t xml:space="preserve">) upon the occurrence of certain customary events </w:t>
      </w:r>
      <w:r w:rsidR="000E243B">
        <w:rPr>
          <w:spacing w:val="-1"/>
          <w:sz w:val="18"/>
          <w:szCs w:val="18"/>
          <w:lang w:eastAsia="nl-BE"/>
        </w:rPr>
        <w:t xml:space="preserve">including, but not limited to, </w:t>
      </w:r>
      <w:r>
        <w:rPr>
          <w:spacing w:val="-1"/>
          <w:sz w:val="18"/>
          <w:szCs w:val="18"/>
          <w:lang w:eastAsia="nl-BE"/>
        </w:rPr>
        <w:t xml:space="preserve">if the Company or the Selling Shareholders fail to comply with any material obligation contained in the Underwriting Agreement; if there is a material adverse change in the financial markets in the United States, Belgium or the EEA; or if admission to listing of the Shares on the regulated market of </w:t>
      </w:r>
      <w:r w:rsidR="000E243B">
        <w:rPr>
          <w:spacing w:val="-1"/>
          <w:sz w:val="18"/>
          <w:szCs w:val="18"/>
          <w:lang w:eastAsia="nl-BE"/>
        </w:rPr>
        <w:t>Euronext Brussels is withdrawn,</w:t>
      </w:r>
      <w:r>
        <w:rPr>
          <w:spacing w:val="-1"/>
          <w:sz w:val="18"/>
          <w:szCs w:val="18"/>
          <w:lang w:eastAsia="nl-BE"/>
        </w:rPr>
        <w:t xml:space="preserve"> and (ii) if the conditions contained in the Underwriting Agreement, such as the delivery of certificates from the Company and the Selling Shareholders and legal opinions, are not satisfied or waived. In the event that the Underwriting Agreement is not executed or is executed but subsequently terminated, a supplement to this Prospectus shall be published. After publication of the supplement, the subscriptions for the Offer Shares will automatically be cancelled and withdrawn, and subscribers will not have any claim to delivery of the Offer Shares or to any compensation.</w:t>
      </w:r>
    </w:p>
    <w:p w14:paraId="525CC468" w14:textId="77777777" w:rsidR="00F76607" w:rsidRDefault="00F76607">
      <w:pPr>
        <w:widowControl w:val="0"/>
        <w:kinsoku w:val="0"/>
        <w:overflowPunct w:val="0"/>
        <w:spacing w:before="13" w:line="218" w:lineRule="exact"/>
        <w:textAlignment w:val="baseline"/>
        <w:rPr>
          <w:b/>
          <w:bCs/>
          <w:spacing w:val="-4"/>
          <w:sz w:val="19"/>
          <w:szCs w:val="19"/>
          <w:lang w:eastAsia="nl-BE"/>
        </w:rPr>
      </w:pPr>
    </w:p>
    <w:p w14:paraId="4BE79F20" w14:textId="77777777" w:rsidR="00F76607" w:rsidRDefault="001863F0">
      <w:pPr>
        <w:widowControl w:val="0"/>
        <w:kinsoku w:val="0"/>
        <w:overflowPunct w:val="0"/>
        <w:spacing w:before="13" w:line="218" w:lineRule="exact"/>
        <w:textAlignment w:val="baseline"/>
        <w:rPr>
          <w:b/>
          <w:bCs/>
          <w:spacing w:val="-4"/>
          <w:sz w:val="18"/>
          <w:szCs w:val="18"/>
          <w:lang w:eastAsia="nl-BE"/>
        </w:rPr>
      </w:pPr>
      <w:r>
        <w:rPr>
          <w:b/>
          <w:bCs/>
          <w:spacing w:val="-4"/>
          <w:sz w:val="18"/>
          <w:szCs w:val="18"/>
          <w:lang w:eastAsia="nl-BE"/>
        </w:rPr>
        <w:t xml:space="preserve">Lock-up Arrangements </w:t>
      </w:r>
    </w:p>
    <w:p w14:paraId="0FD06432" w14:textId="3EA70FBA" w:rsidR="00F76607" w:rsidRDefault="001863F0">
      <w:pPr>
        <w:widowControl w:val="0"/>
        <w:kinsoku w:val="0"/>
        <w:overflowPunct w:val="0"/>
        <w:spacing w:before="201" w:line="220" w:lineRule="exact"/>
        <w:ind w:firstLine="720"/>
        <w:textAlignment w:val="baseline"/>
        <w:rPr>
          <w:spacing w:val="-1"/>
          <w:sz w:val="18"/>
          <w:szCs w:val="18"/>
          <w:lang w:eastAsia="nl-BE"/>
        </w:rPr>
      </w:pPr>
      <w:r>
        <w:rPr>
          <w:spacing w:val="-1"/>
          <w:sz w:val="18"/>
          <w:szCs w:val="18"/>
          <w:lang w:eastAsia="nl-BE"/>
        </w:rPr>
        <w:t>The Company is expected to agree pursuant to the Underwriting Agreement (which is expected t</w:t>
      </w:r>
      <w:r w:rsidR="000E243B">
        <w:rPr>
          <w:spacing w:val="-1"/>
          <w:sz w:val="18"/>
          <w:szCs w:val="18"/>
          <w:lang w:eastAsia="nl-BE"/>
        </w:rPr>
        <w:t xml:space="preserve">o be entered into on or about </w:t>
      </w:r>
      <w:r w:rsidR="001146AD">
        <w:rPr>
          <w:spacing w:val="-1"/>
          <w:sz w:val="18"/>
          <w:szCs w:val="18"/>
          <w:lang w:eastAsia="nl-BE"/>
        </w:rPr>
        <w:t>25</w:t>
      </w:r>
      <w:r w:rsidR="00932B9E">
        <w:rPr>
          <w:spacing w:val="-1"/>
          <w:sz w:val="18"/>
          <w:szCs w:val="18"/>
          <w:lang w:eastAsia="nl-BE"/>
        </w:rPr>
        <w:t xml:space="preserve"> October 2017</w:t>
      </w:r>
      <w:r>
        <w:rPr>
          <w:spacing w:val="-1"/>
          <w:sz w:val="18"/>
          <w:szCs w:val="18"/>
          <w:lang w:eastAsia="nl-BE"/>
        </w:rPr>
        <w:t>) that it will not, and will procure that none of its subsidiaries will, for a period of 180 days from the Closing Date, without the prior written consent of the Joint Global Coordinators, acting on behalf of the Underwriters (subject to certain limited exceptions): (</w:t>
      </w:r>
      <w:proofErr w:type="spellStart"/>
      <w:r>
        <w:rPr>
          <w:spacing w:val="-1"/>
          <w:sz w:val="18"/>
          <w:szCs w:val="18"/>
          <w:lang w:eastAsia="nl-BE"/>
        </w:rPr>
        <w:t>i</w:t>
      </w:r>
      <w:proofErr w:type="spellEnd"/>
      <w:r>
        <w:rPr>
          <w:spacing w:val="-1"/>
          <w:sz w:val="18"/>
          <w:szCs w:val="18"/>
          <w:lang w:eastAsia="nl-BE"/>
        </w:rPr>
        <w:t xml:space="preserve">) directly or indirectly, issue, offer, pledge, sell, contract to sell, sell or grant any option, right, warrant or contract to purchase, exercise any option to sell, purchase any option or contract to sell, or lend or otherwise transfer or dispose of any Shares or other shares of the Company, or any securities convertible into or exercisable or exchangeable for Shares or other shares of the </w:t>
      </w:r>
      <w:r>
        <w:rPr>
          <w:spacing w:val="-1"/>
          <w:sz w:val="18"/>
          <w:szCs w:val="18"/>
          <w:lang w:eastAsia="nl-BE"/>
        </w:rPr>
        <w:lastRenderedPageBreak/>
        <w:t>Company, or file any registration statement under the U.S. Securities Act or any similar document with any other securities regulator, stock exchange or listing authority with respect to any of the foregoing; (ii) enter into any swap or any other agreement or any transaction that transfers, in whole or in part, directly or indirectly, the economic consequence of ownership of any Shares or other shares of the Company, whether any such transaction described in (</w:t>
      </w:r>
      <w:proofErr w:type="spellStart"/>
      <w:r>
        <w:rPr>
          <w:spacing w:val="-1"/>
          <w:sz w:val="18"/>
          <w:szCs w:val="18"/>
          <w:lang w:eastAsia="nl-BE"/>
        </w:rPr>
        <w:t>i</w:t>
      </w:r>
      <w:proofErr w:type="spellEnd"/>
      <w:r>
        <w:rPr>
          <w:spacing w:val="-1"/>
          <w:sz w:val="18"/>
          <w:szCs w:val="18"/>
          <w:lang w:eastAsia="nl-BE"/>
        </w:rPr>
        <w:t>) or (ii) above is to be settled by delivery of Shares or other securities, in cash or otherwise; or (iii) publicly announce such an intention to effect any such transaction. The foregoing shall not apply to: (</w:t>
      </w:r>
      <w:proofErr w:type="spellStart"/>
      <w:r>
        <w:rPr>
          <w:spacing w:val="-1"/>
          <w:sz w:val="18"/>
          <w:szCs w:val="18"/>
          <w:lang w:eastAsia="nl-BE"/>
        </w:rPr>
        <w:t>i</w:t>
      </w:r>
      <w:proofErr w:type="spellEnd"/>
      <w:r>
        <w:rPr>
          <w:spacing w:val="-1"/>
          <w:sz w:val="18"/>
          <w:szCs w:val="18"/>
          <w:lang w:eastAsia="nl-BE"/>
        </w:rPr>
        <w:t>) any corporate action in connection with a takeover offer, capital reorganization, legal merger, split up or similar transaction or process, in each case to the extent involving the Company; (ii) the issuance of any non-convertible bonds or other financial instruments by the Company for the purposes of financing or refinancing its outstanding obligations, (iii) the granting of awards in options or Shares by the Company or the issuance of Shares upon exercise of options granted by the Company pursuant to employee incentive schemes, or (iv) the disposal of any Shares by the Associate.</w:t>
      </w:r>
    </w:p>
    <w:p w14:paraId="48A09646" w14:textId="0742E3E7" w:rsidR="00F76607" w:rsidRDefault="001863F0">
      <w:pPr>
        <w:widowControl w:val="0"/>
        <w:kinsoku w:val="0"/>
        <w:overflowPunct w:val="0"/>
        <w:spacing w:before="201" w:line="220" w:lineRule="exact"/>
        <w:ind w:firstLine="720"/>
        <w:textAlignment w:val="baseline"/>
        <w:rPr>
          <w:spacing w:val="-1"/>
          <w:sz w:val="18"/>
          <w:szCs w:val="18"/>
          <w:lang w:eastAsia="nl-BE"/>
        </w:rPr>
      </w:pPr>
      <w:r>
        <w:rPr>
          <w:spacing w:val="-1"/>
          <w:sz w:val="18"/>
          <w:szCs w:val="18"/>
          <w:lang w:eastAsia="nl-BE"/>
        </w:rPr>
        <w:t>In addition, the Selling Shareholders are expected to agree pursuant to the Underwriting Agreement (which is expected t</w:t>
      </w:r>
      <w:r w:rsidR="000E243B">
        <w:rPr>
          <w:spacing w:val="-1"/>
          <w:sz w:val="18"/>
          <w:szCs w:val="18"/>
          <w:lang w:eastAsia="nl-BE"/>
        </w:rPr>
        <w:t xml:space="preserve">o be entered into on or about </w:t>
      </w:r>
      <w:r w:rsidR="001146AD">
        <w:rPr>
          <w:spacing w:val="-1"/>
          <w:sz w:val="18"/>
          <w:szCs w:val="18"/>
          <w:lang w:eastAsia="nl-BE"/>
        </w:rPr>
        <w:t>25</w:t>
      </w:r>
      <w:r w:rsidR="00932B9E">
        <w:rPr>
          <w:spacing w:val="-1"/>
          <w:sz w:val="18"/>
          <w:szCs w:val="18"/>
          <w:lang w:eastAsia="nl-BE"/>
        </w:rPr>
        <w:t xml:space="preserve"> October 2017</w:t>
      </w:r>
      <w:r>
        <w:rPr>
          <w:spacing w:val="-1"/>
          <w:sz w:val="18"/>
          <w:szCs w:val="18"/>
          <w:lang w:eastAsia="nl-BE"/>
        </w:rPr>
        <w:t>) that for a period of 180 days from the Closing Date, they will not, without the prior written consent of the Joint Global Coordinators, acting on behalf of the Underwriters (</w:t>
      </w:r>
      <w:proofErr w:type="spellStart"/>
      <w:r>
        <w:rPr>
          <w:spacing w:val="-1"/>
          <w:sz w:val="18"/>
          <w:szCs w:val="18"/>
          <w:lang w:eastAsia="nl-BE"/>
        </w:rPr>
        <w:t>i</w:t>
      </w:r>
      <w:proofErr w:type="spellEnd"/>
      <w:r>
        <w:rPr>
          <w:spacing w:val="-1"/>
          <w:sz w:val="18"/>
          <w:szCs w:val="18"/>
          <w:lang w:eastAsia="nl-BE"/>
        </w:rPr>
        <w:t>) directly or indirectly, issue, offer, pledge, sell, contract to sell, sell or grant any option, right, warrant or contract to purchase, exercise any option to sell, purchase any option or contract to sell, or lend or otherwise transfer or dispose of any Shares or other shares of the Company, or any securities convertible into or exercisable or exchangeable for Shares or other shares of the Company, or request or demand that the Company file any registration statement under the U.S. Securities Act or any similar document with any other securities regulator, stock exchange or listing authority with respect to any of the foregoing; or (ii) enter into any swap or any other agreement or any transaction that transfers, in whole or in part, directly or indirectly, the economic consequence of ownership of any Shares or other shares of the Company, whether any such transaction described in (</w:t>
      </w:r>
      <w:proofErr w:type="spellStart"/>
      <w:r>
        <w:rPr>
          <w:spacing w:val="-1"/>
          <w:sz w:val="18"/>
          <w:szCs w:val="18"/>
          <w:lang w:eastAsia="nl-BE"/>
        </w:rPr>
        <w:t>i</w:t>
      </w:r>
      <w:proofErr w:type="spellEnd"/>
      <w:r>
        <w:rPr>
          <w:spacing w:val="-1"/>
          <w:sz w:val="18"/>
          <w:szCs w:val="18"/>
          <w:lang w:eastAsia="nl-BE"/>
        </w:rPr>
        <w:t>) or (ii) above is to be settled by delivery of Shares or other securities, in cash or otherwise; or (iii) publicly announce such an intention to effect any such transaction. The restrictions to which the Selling Shareholders are subject shall not prohibit any Selling Shareholder or its relevant shareholders from (</w:t>
      </w:r>
      <w:proofErr w:type="spellStart"/>
      <w:r>
        <w:rPr>
          <w:spacing w:val="-1"/>
          <w:sz w:val="18"/>
          <w:szCs w:val="18"/>
          <w:lang w:eastAsia="nl-BE"/>
        </w:rPr>
        <w:t>i</w:t>
      </w:r>
      <w:proofErr w:type="spellEnd"/>
      <w:r>
        <w:rPr>
          <w:spacing w:val="-1"/>
          <w:sz w:val="18"/>
          <w:szCs w:val="18"/>
          <w:lang w:eastAsia="nl-BE"/>
        </w:rPr>
        <w:t>) disposing or lending of Shares for the purposes of the Offering; (ii) accepting a general offer for all of the ordinary share capital of the Company, giving an irrevocable commitment to accept such an offer, or disposing of shares to an offeror or potential offeror during the period of such an offer; (iii) any disposal required by law, regulation or a court of competent jurisdiction; (iv) transferring Shares intra-group or intra-family</w:t>
      </w:r>
      <w:r w:rsidR="00F52DE7" w:rsidRPr="00F52DE7">
        <w:rPr>
          <w:sz w:val="18"/>
          <w:szCs w:val="18"/>
        </w:rPr>
        <w:t xml:space="preserve"> </w:t>
      </w:r>
      <w:r w:rsidR="00F52DE7" w:rsidRPr="00F52DE7">
        <w:rPr>
          <w:spacing w:val="-1"/>
          <w:sz w:val="18"/>
          <w:szCs w:val="18"/>
          <w:lang w:eastAsia="nl-BE"/>
        </w:rPr>
        <w:t>provided that the transferees or recipients of such Shares agree to enter into an equivalent lock-up agreement for the remainder of the lock-up period</w:t>
      </w:r>
      <w:r>
        <w:rPr>
          <w:spacing w:val="-1"/>
          <w:sz w:val="18"/>
          <w:szCs w:val="18"/>
          <w:lang w:eastAsia="nl-BE"/>
        </w:rPr>
        <w:t>; (v) transferring Shares to managers pursuant to management incentive schemes established prior to the Closing of the Offering, and (vi) any transaction entered into by Little Rock SA to the extent such transaction does not lead to the shareholding of Jan Van Geet, directly or indirectly, in the Company to drop below 25% of the outstanding share capital of the Company and provided that the transferees or recipients of such Shares agree to enter into an equivalent lock-up agreement for the remainder of the lock-up period.</w:t>
      </w:r>
    </w:p>
    <w:p w14:paraId="53B1D98A" w14:textId="77777777" w:rsidR="00F76607" w:rsidRDefault="001863F0">
      <w:pPr>
        <w:widowControl w:val="0"/>
        <w:kinsoku w:val="0"/>
        <w:overflowPunct w:val="0"/>
        <w:spacing w:before="211" w:line="214" w:lineRule="exact"/>
        <w:textAlignment w:val="baseline"/>
        <w:rPr>
          <w:b/>
          <w:bCs/>
          <w:spacing w:val="-3"/>
          <w:sz w:val="18"/>
          <w:szCs w:val="18"/>
          <w:lang w:eastAsia="nl-BE"/>
        </w:rPr>
      </w:pPr>
      <w:r>
        <w:rPr>
          <w:b/>
          <w:bCs/>
          <w:spacing w:val="-3"/>
          <w:sz w:val="18"/>
          <w:szCs w:val="18"/>
          <w:lang w:eastAsia="nl-BE"/>
        </w:rPr>
        <w:t>Increase Option</w:t>
      </w:r>
    </w:p>
    <w:p w14:paraId="68F3625D" w14:textId="25A10DBB" w:rsidR="00F76607" w:rsidRDefault="001863F0">
      <w:pPr>
        <w:widowControl w:val="0"/>
        <w:kinsoku w:val="0"/>
        <w:overflowPunct w:val="0"/>
        <w:spacing w:before="213" w:line="220" w:lineRule="exact"/>
        <w:ind w:right="72" w:firstLine="720"/>
        <w:textAlignment w:val="baseline"/>
        <w:rPr>
          <w:spacing w:val="1"/>
          <w:sz w:val="18"/>
          <w:szCs w:val="18"/>
          <w:lang w:eastAsia="nl-BE"/>
        </w:rPr>
      </w:pPr>
      <w:r>
        <w:rPr>
          <w:spacing w:val="1"/>
          <w:sz w:val="18"/>
          <w:szCs w:val="18"/>
          <w:lang w:eastAsia="nl-BE"/>
        </w:rPr>
        <w:t>Depending on the volume of demand, the aggregate number of Offer Shares sold in the Offering m</w:t>
      </w:r>
      <w:r w:rsidR="000E243B">
        <w:rPr>
          <w:spacing w:val="1"/>
          <w:sz w:val="18"/>
          <w:szCs w:val="18"/>
          <w:lang w:eastAsia="nl-BE"/>
        </w:rPr>
        <w:t xml:space="preserve">ay be increased by up to </w:t>
      </w:r>
      <w:r w:rsidR="00932B9E">
        <w:rPr>
          <w:spacing w:val="1"/>
          <w:sz w:val="18"/>
          <w:szCs w:val="18"/>
          <w:lang w:eastAsia="nl-BE"/>
        </w:rPr>
        <w:t>25</w:t>
      </w:r>
      <w:r>
        <w:rPr>
          <w:spacing w:val="1"/>
          <w:sz w:val="18"/>
          <w:szCs w:val="18"/>
          <w:lang w:eastAsia="nl-BE"/>
        </w:rPr>
        <w:t>% of the aggregate number of Offer Shares initially offered. Any decision to exercise the Increase Option will be communicated at the latest on the date of announcement of the Offer Price, which is currently expected to be on or</w:t>
      </w:r>
      <w:r w:rsidR="000E243B">
        <w:rPr>
          <w:spacing w:val="1"/>
          <w:sz w:val="18"/>
          <w:szCs w:val="18"/>
          <w:lang w:eastAsia="nl-BE"/>
        </w:rPr>
        <w:t xml:space="preserve"> around </w:t>
      </w:r>
      <w:r w:rsidR="001146AD">
        <w:rPr>
          <w:spacing w:val="1"/>
          <w:sz w:val="18"/>
          <w:szCs w:val="18"/>
          <w:lang w:eastAsia="nl-BE"/>
        </w:rPr>
        <w:t>26</w:t>
      </w:r>
      <w:r w:rsidR="00932B9E">
        <w:rPr>
          <w:spacing w:val="1"/>
          <w:sz w:val="18"/>
          <w:szCs w:val="18"/>
          <w:lang w:eastAsia="nl-BE"/>
        </w:rPr>
        <w:t xml:space="preserve"> October</w:t>
      </w:r>
      <w:r>
        <w:rPr>
          <w:spacing w:val="1"/>
          <w:sz w:val="18"/>
          <w:szCs w:val="18"/>
          <w:lang w:eastAsia="nl-BE"/>
        </w:rPr>
        <w:t xml:space="preserve"> 2017</w:t>
      </w:r>
      <w:r w:rsidR="00C77BF1">
        <w:rPr>
          <w:spacing w:val="1"/>
          <w:sz w:val="18"/>
          <w:szCs w:val="18"/>
          <w:lang w:eastAsia="nl-BE"/>
        </w:rPr>
        <w:t xml:space="preserve"> at the latest</w:t>
      </w:r>
      <w:r>
        <w:rPr>
          <w:spacing w:val="1"/>
          <w:sz w:val="18"/>
          <w:szCs w:val="18"/>
          <w:lang w:eastAsia="nl-BE"/>
        </w:rPr>
        <w:t>. To the extent that such Increase Option has been exercised, the Underwriters will severally purchase the additional Shares in the same proportion as set forth in the table under “</w:t>
      </w:r>
      <w:r>
        <w:rPr>
          <w:i/>
          <w:iCs/>
          <w:spacing w:val="1"/>
          <w:sz w:val="18"/>
          <w:szCs w:val="18"/>
          <w:lang w:eastAsia="nl-BE"/>
        </w:rPr>
        <w:t>Plan of Distribution</w:t>
      </w:r>
      <w:r>
        <w:rPr>
          <w:spacing w:val="1"/>
          <w:sz w:val="18"/>
          <w:szCs w:val="18"/>
          <w:lang w:eastAsia="nl-BE"/>
        </w:rPr>
        <w:t>—</w:t>
      </w:r>
      <w:r>
        <w:rPr>
          <w:i/>
          <w:iCs/>
          <w:spacing w:val="1"/>
          <w:sz w:val="18"/>
          <w:szCs w:val="18"/>
          <w:lang w:eastAsia="nl-BE"/>
        </w:rPr>
        <w:t>Underwriting</w:t>
      </w:r>
      <w:r>
        <w:rPr>
          <w:spacing w:val="1"/>
          <w:sz w:val="18"/>
          <w:szCs w:val="18"/>
          <w:lang w:eastAsia="nl-BE"/>
        </w:rPr>
        <w:t>” above.</w:t>
      </w:r>
    </w:p>
    <w:p w14:paraId="5C1184D1" w14:textId="77777777" w:rsidR="00F76607" w:rsidRDefault="001863F0">
      <w:pPr>
        <w:widowControl w:val="0"/>
        <w:kinsoku w:val="0"/>
        <w:overflowPunct w:val="0"/>
        <w:spacing w:before="211" w:line="214" w:lineRule="exact"/>
        <w:textAlignment w:val="baseline"/>
        <w:rPr>
          <w:b/>
          <w:bCs/>
          <w:spacing w:val="-3"/>
          <w:sz w:val="18"/>
          <w:szCs w:val="18"/>
          <w:lang w:eastAsia="nl-BE"/>
        </w:rPr>
      </w:pPr>
      <w:r>
        <w:rPr>
          <w:b/>
          <w:bCs/>
          <w:spacing w:val="-3"/>
          <w:sz w:val="18"/>
          <w:szCs w:val="18"/>
          <w:lang w:eastAsia="nl-BE"/>
        </w:rPr>
        <w:t>Over-allotment Option and Price Stabilization</w:t>
      </w:r>
    </w:p>
    <w:p w14:paraId="27212982" w14:textId="19CEA8B8" w:rsidR="00F76607" w:rsidRDefault="001863F0">
      <w:pPr>
        <w:widowControl w:val="0"/>
        <w:kinsoku w:val="0"/>
        <w:overflowPunct w:val="0"/>
        <w:spacing w:before="211" w:line="220" w:lineRule="exact"/>
        <w:ind w:right="144" w:firstLine="720"/>
        <w:textAlignment w:val="baseline"/>
        <w:rPr>
          <w:sz w:val="18"/>
          <w:szCs w:val="18"/>
          <w:lang w:eastAsia="nl-BE"/>
        </w:rPr>
      </w:pPr>
      <w:r>
        <w:rPr>
          <w:sz w:val="18"/>
          <w:szCs w:val="18"/>
          <w:lang w:eastAsia="nl-BE"/>
        </w:rPr>
        <w:t>The Selling Sharehold</w:t>
      </w:r>
      <w:r w:rsidR="00932B9E">
        <w:rPr>
          <w:sz w:val="18"/>
          <w:szCs w:val="18"/>
          <w:lang w:eastAsia="nl-BE"/>
        </w:rPr>
        <w:t xml:space="preserve">ers are expected to grant to </w:t>
      </w:r>
      <w:r w:rsidR="00CA4EA5">
        <w:rPr>
          <w:sz w:val="18"/>
          <w:szCs w:val="18"/>
          <w:lang w:eastAsia="nl-BE"/>
        </w:rPr>
        <w:t>KBC Securities</w:t>
      </w:r>
      <w:r>
        <w:rPr>
          <w:sz w:val="18"/>
          <w:szCs w:val="18"/>
          <w:lang w:eastAsia="nl-BE"/>
        </w:rPr>
        <w:t xml:space="preserve">, as Stabilization Manager, on behalf of itself and the Underwriters, an Over-allotment Option, i.e., an option to purchase additional Shares in an aggregate amount equal to up to </w:t>
      </w:r>
      <w:r w:rsidR="00932B9E">
        <w:rPr>
          <w:sz w:val="18"/>
          <w:szCs w:val="18"/>
          <w:lang w:eastAsia="nl-BE"/>
        </w:rPr>
        <w:t>15</w:t>
      </w:r>
      <w:r>
        <w:rPr>
          <w:sz w:val="18"/>
          <w:szCs w:val="18"/>
          <w:lang w:eastAsia="nl-BE"/>
        </w:rPr>
        <w:t xml:space="preserve">% of the aggregate number of subscribed Offer Shares initially offered (including the Offer Shares sold pursuant to the effective exercise of the Increase Option) to cover over-allotments or short positions, if any, at the Offer Price. The Over-allotment Option may be exercised for a period of 30 days following the Pricing Date. To the extent the Over-allotment Option is exercised, each Underwriter will become severally obligated, subject to certain conditions, to purchase the same proportion of Shares for which the Over-allotment Option is exercised as set forth in the table under “— </w:t>
      </w:r>
      <w:r>
        <w:rPr>
          <w:i/>
          <w:iCs/>
          <w:sz w:val="18"/>
          <w:szCs w:val="18"/>
          <w:lang w:eastAsia="nl-BE"/>
        </w:rPr>
        <w:t>Underwriting</w:t>
      </w:r>
      <w:r>
        <w:rPr>
          <w:sz w:val="18"/>
          <w:szCs w:val="18"/>
          <w:lang w:eastAsia="nl-BE"/>
        </w:rPr>
        <w:t>” above. In order to be able to effect any over-allotments made prior to the exercise of the Over-allotment Option, it is expected that the Selling Shareholders will lend shares to the Stabilization Manager.</w:t>
      </w:r>
    </w:p>
    <w:p w14:paraId="3E422310" w14:textId="77777777" w:rsidR="00F76607" w:rsidRDefault="001863F0">
      <w:pPr>
        <w:widowControl w:val="0"/>
        <w:kinsoku w:val="0"/>
        <w:overflowPunct w:val="0"/>
        <w:spacing w:before="209" w:line="220" w:lineRule="exact"/>
        <w:ind w:firstLine="720"/>
        <w:textAlignment w:val="baseline"/>
        <w:rPr>
          <w:sz w:val="18"/>
          <w:szCs w:val="18"/>
          <w:lang w:eastAsia="nl-BE"/>
        </w:rPr>
      </w:pPr>
      <w:r>
        <w:rPr>
          <w:sz w:val="18"/>
          <w:szCs w:val="18"/>
          <w:lang w:eastAsia="nl-BE"/>
        </w:rPr>
        <w:t>In connection with the Offering, the Stabilization Manager or its agents may, during the Stabilization Period and to the extent permitted by applicable law, over-allot and effect transactions to stabilize the price of the Shares or any options, warrants or rights with respect to, or other interest in, the Shares or other securities of the Company. These activities may support the market price of the Shares at a level higher than that which might otherwise prevail and may affect the price of the Shares or any options, warrants or rights with respect to, or other interest in, the Shares or other securities of the Company. Stabilization will not be executed above the Offer Price. The Stabilization Manager and its agents are not required to engage in any of these activities and, as such, there is no assurance that these activities will be undertaken; if undertaken, the Stabilization Manager or its agents may end any of these activities at any time and must be brought to an end within 30 days after the Pricing Date.</w:t>
      </w:r>
    </w:p>
    <w:p w14:paraId="0A47F78E" w14:textId="6952DC01" w:rsidR="00F76607" w:rsidRDefault="001863F0">
      <w:pPr>
        <w:widowControl w:val="0"/>
        <w:kinsoku w:val="0"/>
        <w:overflowPunct w:val="0"/>
        <w:spacing w:before="211" w:line="220" w:lineRule="exact"/>
        <w:ind w:right="72" w:firstLine="720"/>
        <w:textAlignment w:val="baseline"/>
        <w:rPr>
          <w:sz w:val="18"/>
          <w:szCs w:val="18"/>
          <w:lang w:eastAsia="nl-BE"/>
        </w:rPr>
      </w:pPr>
      <w:r>
        <w:rPr>
          <w:sz w:val="18"/>
          <w:szCs w:val="18"/>
          <w:lang w:eastAsia="nl-BE"/>
        </w:rPr>
        <w:t xml:space="preserve">Within </w:t>
      </w:r>
      <w:r w:rsidR="00DE3564">
        <w:rPr>
          <w:sz w:val="18"/>
          <w:szCs w:val="18"/>
          <w:lang w:eastAsia="nl-BE"/>
        </w:rPr>
        <w:t>five business days</w:t>
      </w:r>
      <w:r>
        <w:rPr>
          <w:sz w:val="18"/>
          <w:szCs w:val="18"/>
          <w:lang w:eastAsia="nl-BE"/>
        </w:rPr>
        <w:t xml:space="preserve"> of the end of the Stabilization Period, the following information will be made public: (</w:t>
      </w:r>
      <w:proofErr w:type="spellStart"/>
      <w:r>
        <w:rPr>
          <w:sz w:val="18"/>
          <w:szCs w:val="18"/>
          <w:lang w:eastAsia="nl-BE"/>
        </w:rPr>
        <w:t>i</w:t>
      </w:r>
      <w:proofErr w:type="spellEnd"/>
      <w:r>
        <w:rPr>
          <w:sz w:val="18"/>
          <w:szCs w:val="18"/>
          <w:lang w:eastAsia="nl-BE"/>
        </w:rPr>
        <w:t>) whether or not stabilization was undertaken; (ii) the date on which stabilization started; (iii) the date on which stabilization last occurred; (iv) the price range within which stabilization was carried out, for each of the dates on which stabilization transactions were carried out; (v) the final size of the Offering, including the result of the Stabilization and the exercise of the Over-allotment Option, if any and (vi) the trading venue on which the stabilization transactions were carried out, where applicable.</w:t>
      </w:r>
    </w:p>
    <w:p w14:paraId="05F0B4CB" w14:textId="77777777" w:rsidR="00F76607" w:rsidRDefault="001863F0">
      <w:pPr>
        <w:widowControl w:val="0"/>
        <w:kinsoku w:val="0"/>
        <w:overflowPunct w:val="0"/>
        <w:spacing w:before="211" w:line="214" w:lineRule="exact"/>
        <w:textAlignment w:val="baseline"/>
        <w:rPr>
          <w:b/>
          <w:bCs/>
          <w:spacing w:val="-3"/>
          <w:sz w:val="18"/>
          <w:szCs w:val="18"/>
          <w:lang w:eastAsia="nl-BE"/>
        </w:rPr>
      </w:pPr>
      <w:r>
        <w:rPr>
          <w:b/>
          <w:bCs/>
          <w:spacing w:val="-3"/>
          <w:sz w:val="18"/>
          <w:szCs w:val="18"/>
          <w:lang w:eastAsia="nl-BE"/>
        </w:rPr>
        <w:lastRenderedPageBreak/>
        <w:t>Other Relationships with the Underwriters</w:t>
      </w:r>
    </w:p>
    <w:p w14:paraId="7E5477AE" w14:textId="77777777" w:rsidR="00F76607" w:rsidRDefault="001863F0">
      <w:pPr>
        <w:widowControl w:val="0"/>
        <w:kinsoku w:val="0"/>
        <w:overflowPunct w:val="0"/>
        <w:spacing w:before="211" w:line="220" w:lineRule="exact"/>
        <w:ind w:firstLine="720"/>
        <w:textAlignment w:val="baseline"/>
        <w:rPr>
          <w:sz w:val="18"/>
          <w:szCs w:val="18"/>
          <w:lang w:eastAsia="nl-BE"/>
        </w:rPr>
      </w:pPr>
      <w:r>
        <w:rPr>
          <w:sz w:val="18"/>
          <w:szCs w:val="18"/>
          <w:lang w:eastAsia="nl-BE"/>
        </w:rPr>
        <w:t>In connection with the Offering, each of the Underwriters and any of their respective affiliates, acting as an investor for its own account, may take up Shares in the Offering and in that capacity may retain, purchase or sell for its own account such securities and any Shares or related investments and may offer or sell such Shares or other investments otherwise than in connection with the Offering. Accordingly, references in the Prospectus to Shares being offered or placed should be read as including any offering or placement of Shares to any of the Underwriters or any of their respective affiliates acting in such capacity. None of the Underwriters intends to disclose the extent of any such investment or transactions otherwise than in accordance with any legal or regulatory obligation to do so. In addition certain of the Underwriters or their affiliates may enter into financing arrangements (including swaps) with investors in connection with which such Underwriters (or their affiliates) may from time to time acquire, hold or dispose of Shares.</w:t>
      </w:r>
    </w:p>
    <w:p w14:paraId="0980474C" w14:textId="77777777" w:rsidR="00F76607" w:rsidRDefault="001863F0">
      <w:pPr>
        <w:widowControl w:val="0"/>
        <w:kinsoku w:val="0"/>
        <w:overflowPunct w:val="0"/>
        <w:spacing w:before="210" w:line="220" w:lineRule="exact"/>
        <w:ind w:right="72" w:firstLine="720"/>
        <w:textAlignment w:val="baseline"/>
        <w:rPr>
          <w:sz w:val="18"/>
          <w:szCs w:val="18"/>
          <w:lang w:eastAsia="nl-BE"/>
        </w:rPr>
      </w:pPr>
      <w:r>
        <w:rPr>
          <w:sz w:val="18"/>
          <w:szCs w:val="18"/>
          <w:lang w:eastAsia="nl-BE"/>
        </w:rPr>
        <w:t>Certain of the Underwriters and/or their respective affiliates have engaged or may in the future, from time to time, engage in commercial banking (including loans and credit facilities), investment banking and financial advisory and ancillary activities in the ordinary course of their business with the Company or any parties related to it, in respect of which they have received or may in the future receive customary fees and commissions.</w:t>
      </w:r>
    </w:p>
    <w:p w14:paraId="193BF678" w14:textId="77777777" w:rsidR="00F76607" w:rsidRDefault="001863F0">
      <w:pPr>
        <w:widowControl w:val="0"/>
        <w:kinsoku w:val="0"/>
        <w:overflowPunct w:val="0"/>
        <w:spacing w:before="208" w:line="220" w:lineRule="exact"/>
        <w:ind w:right="432" w:firstLine="720"/>
        <w:textAlignment w:val="baseline"/>
        <w:rPr>
          <w:sz w:val="18"/>
          <w:szCs w:val="18"/>
          <w:lang w:eastAsia="nl-BE"/>
        </w:rPr>
      </w:pPr>
      <w:r>
        <w:rPr>
          <w:sz w:val="18"/>
          <w:szCs w:val="18"/>
          <w:lang w:eastAsia="nl-BE"/>
        </w:rPr>
        <w:t>The Company and/or other members of the Group have also entered into several agreements with a number of Underwriters (or their affiliates), including the following:</w:t>
      </w:r>
    </w:p>
    <w:p w14:paraId="2C6B147D" w14:textId="77777777" w:rsidR="00F76607" w:rsidRDefault="001863F0">
      <w:pPr>
        <w:pStyle w:val="VulcanIIbullet"/>
        <w:rPr>
          <w:lang w:eastAsia="nl-BE"/>
        </w:rPr>
      </w:pPr>
      <w:r>
        <w:rPr>
          <w:lang w:eastAsia="nl-BE"/>
        </w:rPr>
        <w:t>In June 2017, September 2016 and November 2013, KBC Securities acted as Lead Manager and Bookrunner with respect to the public offering of bonds issued by the Company.</w:t>
      </w:r>
    </w:p>
    <w:p w14:paraId="22FDD069" w14:textId="77777777" w:rsidR="00F76607" w:rsidRDefault="001863F0">
      <w:pPr>
        <w:pStyle w:val="VulcanIIbullet"/>
        <w:rPr>
          <w:lang w:eastAsia="nl-BE"/>
        </w:rPr>
      </w:pPr>
      <w:r>
        <w:rPr>
          <w:lang w:eastAsia="nl-BE"/>
        </w:rPr>
        <w:t>In March 2017, KBC Bank NV acted as sole manager and bookrunner for the private placement of bonds issued by the Company.</w:t>
      </w:r>
    </w:p>
    <w:p w14:paraId="7E310D2E" w14:textId="518265AD" w:rsidR="00F76607" w:rsidRDefault="001863F0">
      <w:pPr>
        <w:pStyle w:val="VulcanIIbullet"/>
        <w:rPr>
          <w:lang w:eastAsia="nl-BE"/>
        </w:rPr>
      </w:pPr>
      <w:r>
        <w:rPr>
          <w:lang w:eastAsia="nl-BE"/>
        </w:rPr>
        <w:t>The Company entered into an interest rate swap with KBC Bank NV, for a notional amount of € 75 million during the first half of 2015. This interest rate swap will start in December 2018 and will run until December 2023. This interest rate swap is intended to cover future, expected floating interest rate exposures</w:t>
      </w:r>
      <w:r>
        <w:rPr>
          <w:bCs/>
          <w:lang w:eastAsia="nl-BE"/>
        </w:rPr>
        <w:t>. The interest r</w:t>
      </w:r>
      <w:r w:rsidR="008B73C6">
        <w:rPr>
          <w:bCs/>
          <w:lang w:eastAsia="nl-BE"/>
        </w:rPr>
        <w:t>ate which has been fixed is 0.965</w:t>
      </w:r>
      <w:r>
        <w:rPr>
          <w:bCs/>
          <w:lang w:eastAsia="nl-BE"/>
        </w:rPr>
        <w:t>% per annum.</w:t>
      </w:r>
    </w:p>
    <w:p w14:paraId="3AD39107" w14:textId="77777777" w:rsidR="00F76607" w:rsidRDefault="001863F0">
      <w:pPr>
        <w:widowControl w:val="0"/>
        <w:kinsoku w:val="0"/>
        <w:overflowPunct w:val="0"/>
        <w:spacing w:before="146" w:line="211" w:lineRule="exact"/>
        <w:textAlignment w:val="baseline"/>
        <w:rPr>
          <w:b/>
          <w:bCs/>
          <w:sz w:val="18"/>
          <w:szCs w:val="18"/>
          <w:lang w:eastAsia="nl-BE"/>
        </w:rPr>
      </w:pPr>
      <w:r>
        <w:rPr>
          <w:b/>
          <w:bCs/>
          <w:sz w:val="18"/>
          <w:szCs w:val="18"/>
          <w:lang w:eastAsia="nl-BE"/>
        </w:rPr>
        <w:t>No Public Offering Outside Belgium</w:t>
      </w:r>
    </w:p>
    <w:p w14:paraId="616F81FF" w14:textId="77777777" w:rsidR="00F76607" w:rsidRDefault="001863F0">
      <w:pPr>
        <w:widowControl w:val="0"/>
        <w:kinsoku w:val="0"/>
        <w:overflowPunct w:val="0"/>
        <w:spacing w:before="142" w:line="220" w:lineRule="exact"/>
        <w:ind w:firstLine="720"/>
        <w:textAlignment w:val="baseline"/>
        <w:rPr>
          <w:sz w:val="18"/>
          <w:szCs w:val="18"/>
          <w:lang w:eastAsia="nl-BE"/>
        </w:rPr>
      </w:pPr>
      <w:r>
        <w:rPr>
          <w:sz w:val="18"/>
          <w:szCs w:val="18"/>
          <w:lang w:eastAsia="nl-BE"/>
        </w:rPr>
        <w:t>No action has been or will be taken in any jurisdiction other than Belgium that would permit a public offering of the Offer Shares, or the possession, circulation or distribution of this Prospectus or any other material relating to the Offer Shares, in any jurisdiction where action for that purpose is required. Accordingly, the Offer Shares may not be offered or sold, directly or indirectly, and neither this Prospectus nor any other offering material or advertisements in connection with the Offer Shares may be distributed or published, in or from any country or jurisdiction, except in compliance with any applicable rules and regulations of such country or jurisdiction.</w:t>
      </w:r>
    </w:p>
    <w:p w14:paraId="0DDB0648" w14:textId="77777777" w:rsidR="00F76607" w:rsidRDefault="001863F0">
      <w:pPr>
        <w:widowControl w:val="0"/>
        <w:kinsoku w:val="0"/>
        <w:overflowPunct w:val="0"/>
        <w:spacing w:before="136" w:line="219" w:lineRule="exact"/>
        <w:ind w:right="216" w:firstLine="720"/>
        <w:textAlignment w:val="baseline"/>
        <w:rPr>
          <w:sz w:val="18"/>
          <w:szCs w:val="18"/>
          <w:lang w:eastAsia="nl-BE"/>
        </w:rPr>
      </w:pPr>
      <w:r>
        <w:rPr>
          <w:sz w:val="18"/>
          <w:szCs w:val="18"/>
          <w:lang w:eastAsia="nl-BE"/>
        </w:rPr>
        <w:t>Purchasers of the Offer Shares may be required to pay stamp taxes and other charges in accordance with the laws and practices of the country of purchase in addition to the Offer Price.</w:t>
      </w:r>
    </w:p>
    <w:p w14:paraId="268CA830" w14:textId="77777777" w:rsidR="00F76607" w:rsidRDefault="001863F0">
      <w:pPr>
        <w:widowControl w:val="0"/>
        <w:kinsoku w:val="0"/>
        <w:overflowPunct w:val="0"/>
        <w:spacing w:line="359" w:lineRule="exact"/>
        <w:ind w:right="7632"/>
        <w:textAlignment w:val="baseline"/>
        <w:rPr>
          <w:b/>
          <w:bCs/>
          <w:i/>
          <w:iCs/>
          <w:sz w:val="18"/>
          <w:szCs w:val="18"/>
          <w:lang w:eastAsia="nl-BE"/>
        </w:rPr>
      </w:pPr>
      <w:r>
        <w:rPr>
          <w:b/>
          <w:bCs/>
          <w:sz w:val="18"/>
          <w:szCs w:val="18"/>
          <w:lang w:eastAsia="nl-BE"/>
        </w:rPr>
        <w:t xml:space="preserve">Selling Restrictions </w:t>
      </w:r>
      <w:r>
        <w:rPr>
          <w:b/>
          <w:bCs/>
          <w:i/>
          <w:iCs/>
          <w:sz w:val="18"/>
          <w:szCs w:val="18"/>
          <w:lang w:eastAsia="nl-BE"/>
        </w:rPr>
        <w:t>General</w:t>
      </w:r>
    </w:p>
    <w:p w14:paraId="7D1CFD78" w14:textId="77777777" w:rsidR="00F76607" w:rsidRDefault="001863F0">
      <w:pPr>
        <w:widowControl w:val="0"/>
        <w:kinsoku w:val="0"/>
        <w:overflowPunct w:val="0"/>
        <w:spacing w:before="141" w:line="220" w:lineRule="exact"/>
        <w:ind w:firstLine="720"/>
        <w:textAlignment w:val="baseline"/>
        <w:rPr>
          <w:sz w:val="18"/>
          <w:szCs w:val="18"/>
          <w:lang w:eastAsia="nl-BE"/>
        </w:rPr>
      </w:pPr>
      <w:r>
        <w:rPr>
          <w:sz w:val="18"/>
          <w:szCs w:val="18"/>
          <w:lang w:eastAsia="nl-BE"/>
        </w:rPr>
        <w:t>No public offer is being made and no one has taken any action that would, or is intended to, permit a public offering in any country or jurisdiction, other than Belgium, where any such action for such purpose is required. Accordingly, the Offer Shares may not be offered or sold, directly or indirectly, and neither this Prospectus nor any other offering material or advertisement in connection with the Offer Shares may be distributed or published in any country or jurisdiction except in compliance with any applicable rules and regulations of such country or jurisdiction.</w:t>
      </w:r>
    </w:p>
    <w:p w14:paraId="5C34E219" w14:textId="77777777" w:rsidR="00F76607" w:rsidRDefault="001863F0">
      <w:pPr>
        <w:widowControl w:val="0"/>
        <w:kinsoku w:val="0"/>
        <w:overflowPunct w:val="0"/>
        <w:spacing w:before="139" w:line="220" w:lineRule="exact"/>
        <w:ind w:firstLine="720"/>
        <w:textAlignment w:val="baseline"/>
        <w:rPr>
          <w:spacing w:val="1"/>
          <w:sz w:val="18"/>
          <w:szCs w:val="18"/>
          <w:lang w:eastAsia="nl-BE"/>
        </w:rPr>
      </w:pPr>
      <w:r>
        <w:rPr>
          <w:spacing w:val="1"/>
          <w:sz w:val="18"/>
          <w:szCs w:val="18"/>
          <w:lang w:eastAsia="nl-BE"/>
        </w:rPr>
        <w:t>Persons into whose hands this Prospectus comes are required by the Company, the Selling Shareholders and the Underwriters to comply with all applicable laws and regulations in each country or jurisdiction in or from which they purchase, offer, sell or deliver Offer Shares or have in their possession or distribute such offering material, in all cases at their own expense. Neither the Company, the Selling Shareholders nor the Underwriters accept any legal responsibility for any violation by any person, whether or not a prospective subscriber or purchaser of any of the Offer Shares, of any such restrictions.</w:t>
      </w:r>
    </w:p>
    <w:p w14:paraId="73D2BC82" w14:textId="77777777" w:rsidR="00F76607" w:rsidRDefault="001863F0">
      <w:pPr>
        <w:widowControl w:val="0"/>
        <w:kinsoku w:val="0"/>
        <w:overflowPunct w:val="0"/>
        <w:spacing w:before="146" w:line="211" w:lineRule="exact"/>
        <w:textAlignment w:val="baseline"/>
        <w:rPr>
          <w:b/>
          <w:bCs/>
          <w:i/>
          <w:iCs/>
          <w:spacing w:val="-1"/>
          <w:sz w:val="18"/>
          <w:szCs w:val="18"/>
          <w:lang w:eastAsia="nl-BE"/>
        </w:rPr>
      </w:pPr>
      <w:r>
        <w:rPr>
          <w:b/>
          <w:bCs/>
          <w:i/>
          <w:iCs/>
          <w:spacing w:val="-1"/>
          <w:sz w:val="18"/>
          <w:szCs w:val="18"/>
          <w:lang w:eastAsia="nl-BE"/>
        </w:rPr>
        <w:t>United States</w:t>
      </w:r>
    </w:p>
    <w:p w14:paraId="7696C8D9" w14:textId="77777777" w:rsidR="00F76607" w:rsidRDefault="001863F0">
      <w:pPr>
        <w:widowControl w:val="0"/>
        <w:kinsoku w:val="0"/>
        <w:overflowPunct w:val="0"/>
        <w:spacing w:before="139" w:line="220" w:lineRule="exact"/>
        <w:ind w:firstLine="720"/>
        <w:textAlignment w:val="baseline"/>
        <w:rPr>
          <w:sz w:val="18"/>
          <w:szCs w:val="18"/>
          <w:lang w:eastAsia="nl-BE"/>
        </w:rPr>
      </w:pPr>
      <w:r>
        <w:rPr>
          <w:sz w:val="18"/>
          <w:szCs w:val="18"/>
          <w:lang w:eastAsia="nl-BE"/>
        </w:rPr>
        <w:t xml:space="preserve">The Offer Shares have not been and will not be registered under the Securities Act or under any applicable securities laws or </w:t>
      </w:r>
      <w:r>
        <w:rPr>
          <w:spacing w:val="1"/>
          <w:sz w:val="18"/>
          <w:szCs w:val="18"/>
          <w:lang w:eastAsia="nl-BE"/>
        </w:rPr>
        <w:t>regulations</w:t>
      </w:r>
      <w:r>
        <w:rPr>
          <w:sz w:val="18"/>
          <w:szCs w:val="18"/>
          <w:lang w:eastAsia="nl-BE"/>
        </w:rPr>
        <w:t xml:space="preserve"> of any state of the United States and, subject to certain exceptions, may not be offered or sold within the United States except to persons reasonably believed to be QIBs in reliance on Rule 144A or another exemption from, or in a transaction not subject to, the registration requirements of the Securities Act. The Offer Shares are being offered and sold outside the United States in offshore transactions in reliance on Regulation S.</w:t>
      </w:r>
    </w:p>
    <w:p w14:paraId="11A43654" w14:textId="77777777" w:rsidR="00F76607" w:rsidRDefault="001863F0">
      <w:pPr>
        <w:widowControl w:val="0"/>
        <w:kinsoku w:val="0"/>
        <w:overflowPunct w:val="0"/>
        <w:spacing w:before="139" w:line="220" w:lineRule="exact"/>
        <w:ind w:firstLine="720"/>
        <w:textAlignment w:val="baseline"/>
        <w:rPr>
          <w:sz w:val="18"/>
          <w:szCs w:val="18"/>
          <w:lang w:eastAsia="nl-BE"/>
        </w:rPr>
      </w:pPr>
      <w:r>
        <w:rPr>
          <w:sz w:val="18"/>
          <w:szCs w:val="18"/>
          <w:lang w:eastAsia="nl-BE"/>
        </w:rPr>
        <w:t xml:space="preserve">In addition, until 40 days after the commencement of the Offer of the Offer Shares an offer or sale of Offer Shares within the United </w:t>
      </w:r>
      <w:r>
        <w:rPr>
          <w:spacing w:val="1"/>
          <w:sz w:val="18"/>
          <w:szCs w:val="18"/>
          <w:lang w:eastAsia="nl-BE"/>
        </w:rPr>
        <w:t>States</w:t>
      </w:r>
      <w:r>
        <w:rPr>
          <w:sz w:val="18"/>
          <w:szCs w:val="18"/>
          <w:lang w:eastAsia="nl-BE"/>
        </w:rPr>
        <w:t xml:space="preserve"> by any dealer (whether or not participating in the Offer) may violate the registration requirements of the Securities Act if such offer or sale is made otherwise than in accordance with Rule 144A or another exemption from, or transaction not subject to, the registration requirements of the Securities Act.</w:t>
      </w:r>
    </w:p>
    <w:p w14:paraId="63C4F3FA" w14:textId="77777777" w:rsidR="00F76607" w:rsidRDefault="001863F0">
      <w:pPr>
        <w:widowControl w:val="0"/>
        <w:kinsoku w:val="0"/>
        <w:overflowPunct w:val="0"/>
        <w:spacing w:before="139" w:line="220" w:lineRule="exact"/>
        <w:ind w:firstLine="720"/>
        <w:textAlignment w:val="baseline"/>
        <w:rPr>
          <w:sz w:val="18"/>
          <w:szCs w:val="18"/>
          <w:lang w:eastAsia="nl-BE"/>
        </w:rPr>
      </w:pPr>
      <w:r>
        <w:rPr>
          <w:sz w:val="18"/>
          <w:szCs w:val="18"/>
          <w:lang w:eastAsia="nl-BE"/>
        </w:rPr>
        <w:lastRenderedPageBreak/>
        <w:t xml:space="preserve">The Underwriting Agreement is expected to provide that the Underwriters may directly or through their respective United States broker-dealer </w:t>
      </w:r>
      <w:r>
        <w:rPr>
          <w:spacing w:val="1"/>
          <w:sz w:val="18"/>
          <w:szCs w:val="18"/>
          <w:lang w:eastAsia="nl-BE"/>
        </w:rPr>
        <w:t>affiliates</w:t>
      </w:r>
      <w:r>
        <w:rPr>
          <w:sz w:val="18"/>
          <w:szCs w:val="18"/>
          <w:lang w:eastAsia="nl-BE"/>
        </w:rPr>
        <w:t xml:space="preserve"> arrange for the offer and resale of Offer Shares within the United States only to QIBs in reliance on Rule 144A or another exemption from, or transaction not subject to, the registration requirements of the Securities Act.</w:t>
      </w:r>
    </w:p>
    <w:p w14:paraId="15D0B842" w14:textId="77777777" w:rsidR="00F76607" w:rsidRDefault="001863F0">
      <w:pPr>
        <w:widowControl w:val="0"/>
        <w:kinsoku w:val="0"/>
        <w:overflowPunct w:val="0"/>
        <w:spacing w:before="139" w:line="220" w:lineRule="exact"/>
        <w:ind w:firstLine="720"/>
        <w:textAlignment w:val="baseline"/>
        <w:rPr>
          <w:sz w:val="18"/>
          <w:szCs w:val="18"/>
          <w:lang w:eastAsia="nl-BE"/>
        </w:rPr>
      </w:pPr>
      <w:r>
        <w:rPr>
          <w:sz w:val="18"/>
          <w:szCs w:val="18"/>
          <w:lang w:eastAsia="nl-BE"/>
        </w:rPr>
        <w:t>Each acquirer of Offer Shares within the United States, by accepting delivery of this document, will be deemed to have represented, agreed and acknowledged that it has received a copy of this document and such other information as it deems necessary to make an investment decision and that:</w:t>
      </w:r>
    </w:p>
    <w:p w14:paraId="033967D0" w14:textId="77777777" w:rsidR="00F76607" w:rsidRDefault="001863F0">
      <w:pPr>
        <w:spacing w:before="240" w:after="180"/>
        <w:ind w:left="720" w:hanging="720"/>
        <w:rPr>
          <w:sz w:val="18"/>
          <w:szCs w:val="18"/>
        </w:rPr>
      </w:pPr>
      <w:r>
        <w:rPr>
          <w:sz w:val="18"/>
          <w:szCs w:val="18"/>
        </w:rPr>
        <w:t>(a)</w:t>
      </w:r>
      <w:r>
        <w:rPr>
          <w:sz w:val="18"/>
          <w:szCs w:val="18"/>
        </w:rPr>
        <w:tab/>
        <w:t>it is (a) a QIB within the meaning of Rule 144A, (b) acquiring the Offer Shares for its own account or for the account of one or more QIBs with respect to whom it has the authority to make, and does make, the representations and warranties set forth herein, (c) acquiring the Offer Shares for investment purposes, and not with a view to further distribution of such Offer Shares, and (d) aware, and each beneficial owner of the Offer Shares has been advised, that the sale of the Offer Shares to it is being made in reliance on Rule 144A or in reliance on another exemption from, or in a transaction not subject to, the registration requirements of the Securities Act.</w:t>
      </w:r>
    </w:p>
    <w:p w14:paraId="4C505401" w14:textId="77777777" w:rsidR="00F76607" w:rsidRDefault="001863F0">
      <w:pPr>
        <w:spacing w:after="180"/>
        <w:ind w:left="720" w:hanging="720"/>
        <w:rPr>
          <w:sz w:val="18"/>
          <w:szCs w:val="18"/>
        </w:rPr>
      </w:pPr>
      <w:r>
        <w:rPr>
          <w:sz w:val="18"/>
          <w:szCs w:val="18"/>
        </w:rPr>
        <w:t>(b)</w:t>
      </w:r>
      <w:r>
        <w:rPr>
          <w:sz w:val="18"/>
          <w:szCs w:val="18"/>
        </w:rPr>
        <w:tab/>
        <w:t>it understands that the Offer Shares are being offered and sold in the United States only in a transaction not involving any public offering within the meaning of the Securities Act and that the Offer Shares have not been and will not be registered under the Securities Act or with any securities regulatory authority of any state or other jurisdiction of the United States and may not be offered, sold, pledged or otherwise transferred except (a) to a person that it and any person acting on its behalf reasonably believe is a QIB purchasing for its own account or for the account of a QIB in a transaction meeting the requirements of Rule 144A, or another exemption from, or in a transaction not subject to, the registration requirements of the Securities Act, (b) in an offshore transaction in accordance with Rule 903 or Rule 904 of Regulation S, (c) pursuant to an exemption from registration under the Securities Act provided by Rule 144 thereunder (if available) or (d) pursuant to an effective registration statement under the Securities Act, in each case in accordance with any applicable securities laws of any state of the United States. It further (a) understands that the Offer Shares may not be deposited into any unrestricted depositary receipt facility in respect of the Offer Shares established or maintained by a depositary bank, (b) acknowledges that the Offer Shares are “restricted securities” within the meaning of Rule 144(a)(3) under the Securities Act and that no representation is made as to the availability of the exemption provided by Rule 144 for resales of the Offer Shares and (c) understands that the Company may not recognize any offer, sale, resale, pledge or other transfer of the Offer Shares made other than in compliance with the above-stated restrictions.</w:t>
      </w:r>
    </w:p>
    <w:p w14:paraId="40B3821B" w14:textId="77777777" w:rsidR="00F76607" w:rsidRDefault="001863F0">
      <w:pPr>
        <w:spacing w:after="180"/>
        <w:ind w:left="720" w:hanging="720"/>
        <w:rPr>
          <w:sz w:val="18"/>
          <w:szCs w:val="18"/>
        </w:rPr>
      </w:pPr>
      <w:r>
        <w:rPr>
          <w:sz w:val="18"/>
          <w:szCs w:val="18"/>
        </w:rPr>
        <w:t>(c)</w:t>
      </w:r>
      <w:r>
        <w:rPr>
          <w:sz w:val="18"/>
          <w:szCs w:val="18"/>
        </w:rPr>
        <w:tab/>
        <w:t>it understands that the Offer Shares (to the extent they are in certificated form), unless otherwise determined by the Company in accordance with applicable law, will bear a legend substantially to the following effect:</w:t>
      </w:r>
    </w:p>
    <w:p w14:paraId="41932B30" w14:textId="64499E92" w:rsidR="00F76607" w:rsidRDefault="001863F0">
      <w:pPr>
        <w:spacing w:after="180"/>
        <w:ind w:left="720"/>
        <w:rPr>
          <w:b/>
          <w:sz w:val="18"/>
          <w:szCs w:val="18"/>
        </w:rPr>
      </w:pPr>
      <w:r>
        <w:rPr>
          <w:b/>
          <w:sz w:val="18"/>
          <w:szCs w:val="18"/>
        </w:rPr>
        <w:t>THE OFFER SHARES REPRESENTED HEREBY</w:t>
      </w:r>
      <w:r w:rsidR="00FF2ECC">
        <w:rPr>
          <w:b/>
          <w:sz w:val="18"/>
          <w:szCs w:val="18"/>
        </w:rPr>
        <w:t xml:space="preserve"> </w:t>
      </w:r>
      <w:r>
        <w:rPr>
          <w:b/>
          <w:sz w:val="18"/>
          <w:szCs w:val="18"/>
        </w:rPr>
        <w:t xml:space="preserve">REGISTERED UNDER THE SECURITIES ACT, OR WITH ANY SECURITIES REGULATORY AUTHORITY OF ANY STATE OR OTHER JURISDICTION OF THE UNITED STATES AND MAY NOT BE OFFERED, SOLD, PLEDGED OR OTHERWISE TRANSFERRED EXCEPT (1) TO A PERSON THAT THE SELLER AND ANY PERSON ACTING ON ITS BEHALF REASONABLY BELIEVE IS A QUALIFIED INSTITUTIONAL BUYER WITHIN THE MEANING OF RULE 144A UNDER THE SECURITIES ACT PURCHASING FOR ITS OWN ACCOUNT OR FOR THE ACCOUNT OF A QUALIFIED INSTITUTIONAL BUYER, (2) IN AN OFFSHORE TRANSACTION IN ACCORDANCE WITH RULE 903 OR RULE 904 OF REGULATION S, (3) PURSUANT TO AN EXEMPTION FROM REGISTRATION UNDER THE SECURITIES ACT PROVIDED BY RULE 144 THEREUNDER (IF AVAILABLE) OR (4) PURSUANT TO AN EFFECTIVE REGISTRATION STATEMENT UNDER THE SECURITIES ACT, IN EACH CASE IN ACCORDANCE WITH ANY APPLICABLE SECURITIES LAWS OF ANY STATE OF THE UNITED STATES. NO REPRESENTATION CAN BE MADE AS TO THE AVAILABILITY OF THE EXEMPTION PROVIDED BY RULE 144 UNDER THE SECURITIES ACT FOR RESALES OF THE OFFER SHARES. NOTWITHSTANDING ANYTHING TO THE CONTRARY IN THE FOREGOING, THE OFFER SHARES REPRESENTED HEREBY MAY NOT BE DEPOSITED INTO ANY UNRESTRICTED DEPOSITARY RECEIPT FACILITY IN RESPECT OF THE OFFER SHARES ESTABLISHED OR MAINTAINED BY A DEPOSITARY BANK. EACH HOLDER, BY ITS ACCEPTANCE OF OFFER SHARES, REPRESENTS THAT IT UNDERSTANDS AND AGREES TO THE FOREGOING RESTRICTIONS; </w:t>
      </w:r>
      <w:r>
        <w:rPr>
          <w:bCs/>
          <w:sz w:val="18"/>
          <w:szCs w:val="18"/>
        </w:rPr>
        <w:t>and</w:t>
      </w:r>
    </w:p>
    <w:p w14:paraId="45ECA10F" w14:textId="77777777" w:rsidR="00F76607" w:rsidRDefault="001863F0">
      <w:pPr>
        <w:ind w:left="720" w:hanging="720"/>
        <w:rPr>
          <w:sz w:val="18"/>
          <w:szCs w:val="18"/>
        </w:rPr>
      </w:pPr>
      <w:r>
        <w:rPr>
          <w:sz w:val="18"/>
          <w:szCs w:val="18"/>
        </w:rPr>
        <w:t>(d)</w:t>
      </w:r>
      <w:r>
        <w:rPr>
          <w:sz w:val="18"/>
          <w:szCs w:val="18"/>
        </w:rPr>
        <w:tab/>
        <w:t>it represents that if, in the future, it offers, resells, pledges or otherwise transfers such Offer Shares while they remain “restricted securities” within the meaning of Rule 144, it shall notify such subsequent transferee of the restrictions set out above.</w:t>
      </w:r>
    </w:p>
    <w:p w14:paraId="21EBA760" w14:textId="77777777" w:rsidR="00F76607" w:rsidRDefault="001863F0">
      <w:pPr>
        <w:widowControl w:val="0"/>
        <w:kinsoku w:val="0"/>
        <w:overflowPunct w:val="0"/>
        <w:spacing w:before="139" w:line="220" w:lineRule="exact"/>
        <w:ind w:firstLine="720"/>
        <w:textAlignment w:val="baseline"/>
        <w:rPr>
          <w:sz w:val="18"/>
          <w:szCs w:val="18"/>
          <w:lang w:eastAsia="nl-BE"/>
        </w:rPr>
      </w:pPr>
      <w:r>
        <w:rPr>
          <w:sz w:val="18"/>
          <w:szCs w:val="18"/>
          <w:lang w:eastAsia="nl-BE"/>
        </w:rPr>
        <w:t>The Company, the Selling Shareholders, the Underwriters and their affiliates and others will rely on the truth and accuracy of the foregoing acknowledgements, representations and agreements.</w:t>
      </w:r>
    </w:p>
    <w:p w14:paraId="6880C911" w14:textId="77777777" w:rsidR="00F76607" w:rsidRDefault="001863F0">
      <w:pPr>
        <w:widowControl w:val="0"/>
        <w:kinsoku w:val="0"/>
        <w:overflowPunct w:val="0"/>
        <w:spacing w:before="146" w:line="211" w:lineRule="exact"/>
        <w:textAlignment w:val="baseline"/>
        <w:rPr>
          <w:b/>
          <w:bCs/>
          <w:i/>
          <w:iCs/>
          <w:sz w:val="18"/>
          <w:szCs w:val="18"/>
          <w:lang w:eastAsia="nl-BE"/>
        </w:rPr>
      </w:pPr>
      <w:r>
        <w:rPr>
          <w:b/>
          <w:bCs/>
          <w:i/>
          <w:iCs/>
          <w:sz w:val="18"/>
          <w:szCs w:val="18"/>
          <w:lang w:eastAsia="nl-BE"/>
        </w:rPr>
        <w:t>European Economic Area</w:t>
      </w:r>
    </w:p>
    <w:p w14:paraId="2FAE7E0C" w14:textId="77777777" w:rsidR="00F76607" w:rsidRDefault="001863F0">
      <w:pPr>
        <w:widowControl w:val="0"/>
        <w:kinsoku w:val="0"/>
        <w:overflowPunct w:val="0"/>
        <w:spacing w:before="141" w:line="220" w:lineRule="exact"/>
        <w:ind w:right="144" w:firstLine="720"/>
        <w:textAlignment w:val="baseline"/>
        <w:rPr>
          <w:sz w:val="18"/>
          <w:szCs w:val="18"/>
          <w:lang w:eastAsia="nl-BE"/>
        </w:rPr>
      </w:pPr>
      <w:r>
        <w:rPr>
          <w:sz w:val="18"/>
          <w:szCs w:val="18"/>
          <w:lang w:eastAsia="nl-BE"/>
        </w:rPr>
        <w:t xml:space="preserve">In relation to each Relevant Member State, an offer to the public of any Offer Shares may not be made in that Relevant Member State unless the Prospectus has been approved by the competent authority in such Relevant Member State or </w:t>
      </w:r>
      <w:proofErr w:type="spellStart"/>
      <w:r>
        <w:rPr>
          <w:sz w:val="18"/>
          <w:szCs w:val="18"/>
          <w:lang w:eastAsia="nl-BE"/>
        </w:rPr>
        <w:t>passported</w:t>
      </w:r>
      <w:proofErr w:type="spellEnd"/>
      <w:r>
        <w:rPr>
          <w:sz w:val="18"/>
          <w:szCs w:val="18"/>
          <w:lang w:eastAsia="nl-BE"/>
        </w:rPr>
        <w:t xml:space="preserve"> and published in accordance with the Prospectus Directive as implemented in such Relevant Member State, except that the Offer Shares may be offered to the public in that Relevant Member State at any time under the following exemptions under the Prospectus Directive, if they have been implemented in that Relevant Member State:</w:t>
      </w:r>
    </w:p>
    <w:p w14:paraId="54266946" w14:textId="77777777" w:rsidR="00F76607" w:rsidRDefault="001863F0">
      <w:pPr>
        <w:widowControl w:val="0"/>
        <w:numPr>
          <w:ilvl w:val="0"/>
          <w:numId w:val="74"/>
        </w:numPr>
        <w:kinsoku w:val="0"/>
        <w:overflowPunct w:val="0"/>
        <w:spacing w:before="140" w:line="220" w:lineRule="exact"/>
        <w:textAlignment w:val="baseline"/>
        <w:rPr>
          <w:sz w:val="18"/>
          <w:szCs w:val="18"/>
          <w:lang w:eastAsia="nl-BE"/>
        </w:rPr>
      </w:pPr>
      <w:r>
        <w:rPr>
          <w:sz w:val="18"/>
          <w:szCs w:val="18"/>
          <w:lang w:eastAsia="nl-BE"/>
        </w:rPr>
        <w:t>to any legal entity which is a qualified investor as defined under the Prospectus Directive;</w:t>
      </w:r>
    </w:p>
    <w:p w14:paraId="60A1973E" w14:textId="77777777" w:rsidR="00F76607" w:rsidRDefault="001863F0">
      <w:pPr>
        <w:widowControl w:val="0"/>
        <w:numPr>
          <w:ilvl w:val="0"/>
          <w:numId w:val="74"/>
        </w:numPr>
        <w:kinsoku w:val="0"/>
        <w:overflowPunct w:val="0"/>
        <w:spacing w:before="137" w:line="220" w:lineRule="exact"/>
        <w:textAlignment w:val="baseline"/>
        <w:rPr>
          <w:sz w:val="18"/>
          <w:szCs w:val="18"/>
          <w:lang w:eastAsia="nl-BE"/>
        </w:rPr>
      </w:pPr>
      <w:r>
        <w:rPr>
          <w:sz w:val="18"/>
          <w:szCs w:val="18"/>
          <w:lang w:eastAsia="nl-BE"/>
        </w:rPr>
        <w:t>by the Underwriters to fewer than 150 natural or legal persons (other than qualified investors as defined in the Prospectus Directive) subject to obtaining the prior consent of the Joint Global Coordinators for any such offer; or</w:t>
      </w:r>
    </w:p>
    <w:p w14:paraId="3234062F" w14:textId="77777777" w:rsidR="00F76607" w:rsidRDefault="001863F0">
      <w:pPr>
        <w:widowControl w:val="0"/>
        <w:numPr>
          <w:ilvl w:val="0"/>
          <w:numId w:val="74"/>
        </w:numPr>
        <w:kinsoku w:val="0"/>
        <w:overflowPunct w:val="0"/>
        <w:spacing w:before="140" w:line="220" w:lineRule="exact"/>
        <w:textAlignment w:val="baseline"/>
        <w:rPr>
          <w:sz w:val="18"/>
          <w:szCs w:val="18"/>
          <w:lang w:eastAsia="nl-BE"/>
        </w:rPr>
      </w:pPr>
      <w:r>
        <w:rPr>
          <w:sz w:val="18"/>
          <w:szCs w:val="18"/>
          <w:lang w:eastAsia="nl-BE"/>
        </w:rPr>
        <w:lastRenderedPageBreak/>
        <w:t>in any other circumstances falling within Article 3(2) of the Prospectus Directive,</w:t>
      </w:r>
    </w:p>
    <w:p w14:paraId="10DDF8B1" w14:textId="77777777" w:rsidR="00F76607" w:rsidRDefault="001863F0">
      <w:pPr>
        <w:widowControl w:val="0"/>
        <w:kinsoku w:val="0"/>
        <w:overflowPunct w:val="0"/>
        <w:spacing w:before="139" w:line="220" w:lineRule="exact"/>
        <w:textAlignment w:val="baseline"/>
        <w:rPr>
          <w:sz w:val="18"/>
          <w:szCs w:val="18"/>
          <w:lang w:eastAsia="nl-BE"/>
        </w:rPr>
      </w:pPr>
      <w:r>
        <w:rPr>
          <w:sz w:val="18"/>
          <w:szCs w:val="18"/>
          <w:lang w:eastAsia="nl-BE"/>
        </w:rPr>
        <w:t xml:space="preserve">provided that no such offer of Offer Shares shall result in a requirement for the publication by the Company, the Selling Shareholders or any Underwriter of a Prospectus pursuant to Article 3 of the Prospectus Directive and each person who initially acquires Offer Shares or to whom any offer is made will be deemed to have represented, warranted and agreed to and with the Underwriters and the Company that it is a “qualified investor” within the meaning of the law in that Relevant Member State implementing Article 2(1)(e) of the Prospectus Directive. </w:t>
      </w:r>
    </w:p>
    <w:p w14:paraId="2E9A59F2" w14:textId="77777777" w:rsidR="00F76607" w:rsidRDefault="001863F0">
      <w:pPr>
        <w:widowControl w:val="0"/>
        <w:kinsoku w:val="0"/>
        <w:overflowPunct w:val="0"/>
        <w:spacing w:before="139" w:line="220" w:lineRule="exact"/>
        <w:textAlignment w:val="baseline"/>
        <w:rPr>
          <w:sz w:val="18"/>
          <w:szCs w:val="18"/>
          <w:lang w:eastAsia="nl-BE"/>
        </w:rPr>
      </w:pPr>
      <w:r>
        <w:rPr>
          <w:sz w:val="18"/>
          <w:szCs w:val="18"/>
          <w:lang w:eastAsia="nl-BE"/>
        </w:rPr>
        <w:t>The Company, the Selling Shareholders, the Underwriters and their affiliates and others will rely upon the truth and accuracy of the foregoing representation, acknowledgement, and agreement. Notwithstanding the above, a person who is not a qualified investor and who has notified the Underwriters of such fact in writing may, with the consent of the Underwriters, be permitted to purchase Offer Shares in the Offering.</w:t>
      </w:r>
    </w:p>
    <w:p w14:paraId="727962DE" w14:textId="77777777" w:rsidR="00F76607" w:rsidRDefault="001863F0">
      <w:pPr>
        <w:widowControl w:val="0"/>
        <w:kinsoku w:val="0"/>
        <w:overflowPunct w:val="0"/>
        <w:spacing w:before="198" w:line="207" w:lineRule="exact"/>
        <w:ind w:right="72"/>
        <w:textAlignment w:val="baseline"/>
        <w:rPr>
          <w:b/>
          <w:bCs/>
          <w:i/>
          <w:iCs/>
          <w:sz w:val="18"/>
          <w:szCs w:val="18"/>
          <w:lang w:eastAsia="nl-BE"/>
        </w:rPr>
      </w:pPr>
      <w:r>
        <w:rPr>
          <w:b/>
          <w:bCs/>
          <w:i/>
          <w:iCs/>
          <w:sz w:val="18"/>
          <w:szCs w:val="18"/>
          <w:lang w:eastAsia="nl-BE"/>
        </w:rPr>
        <w:t>United Kingdom</w:t>
      </w:r>
    </w:p>
    <w:p w14:paraId="35D2C334" w14:textId="77777777" w:rsidR="00F76607" w:rsidRDefault="001863F0">
      <w:pPr>
        <w:widowControl w:val="0"/>
        <w:kinsoku w:val="0"/>
        <w:overflowPunct w:val="0"/>
        <w:spacing w:before="199" w:line="207" w:lineRule="exact"/>
        <w:ind w:right="72"/>
        <w:textAlignment w:val="baseline"/>
        <w:rPr>
          <w:sz w:val="18"/>
          <w:szCs w:val="18"/>
          <w:lang w:eastAsia="nl-BE"/>
        </w:rPr>
      </w:pPr>
      <w:r>
        <w:rPr>
          <w:sz w:val="18"/>
          <w:szCs w:val="18"/>
          <w:lang w:eastAsia="nl-BE"/>
        </w:rPr>
        <w:t>In the United Kingdom, this Prospectus is only addressed to and directed to Qualified Investors (</w:t>
      </w:r>
      <w:proofErr w:type="spellStart"/>
      <w:r>
        <w:rPr>
          <w:sz w:val="18"/>
          <w:szCs w:val="18"/>
          <w:lang w:eastAsia="nl-BE"/>
        </w:rPr>
        <w:t>i</w:t>
      </w:r>
      <w:proofErr w:type="spellEnd"/>
      <w:r>
        <w:rPr>
          <w:sz w:val="18"/>
          <w:szCs w:val="18"/>
          <w:lang w:eastAsia="nl-BE"/>
        </w:rPr>
        <w:t xml:space="preserve">) who have professional experience in matters relating to investments falling within Article 19(5) of the Financial Services and Markets Act 2000 (Financial Promotion) Order 2005, as amended (the “Order”), and/or (ii) who are high net worth entities falling within Article 49(2)(a) to (d) of the Order, and other persons to whom it may otherwise lawfully be communicated (all such persons together being referred to as “Relevant Persons”). The securities described herein are only available in the United Kingdom, and any invitation, offer or agreement to subscribe, purchase or otherwise acquire such securities in the United Kingdom will be engaged in only with, Relevant Persons. Any person in the United Kingdom who is not a Relevant Person should not act or rely on this Prospectus or any of its contents. </w:t>
      </w:r>
    </w:p>
    <w:p w14:paraId="719772BC" w14:textId="77777777" w:rsidR="00F76607" w:rsidRDefault="001863F0">
      <w:pPr>
        <w:widowControl w:val="0"/>
        <w:kinsoku w:val="0"/>
        <w:overflowPunct w:val="0"/>
        <w:spacing w:before="199" w:line="207" w:lineRule="exact"/>
        <w:ind w:right="72"/>
        <w:textAlignment w:val="baseline"/>
        <w:rPr>
          <w:b/>
          <w:bCs/>
          <w:i/>
          <w:iCs/>
          <w:spacing w:val="13"/>
          <w:sz w:val="18"/>
          <w:szCs w:val="18"/>
          <w:lang w:eastAsia="nl-BE"/>
        </w:rPr>
      </w:pPr>
      <w:r>
        <w:rPr>
          <w:b/>
          <w:bCs/>
          <w:i/>
          <w:iCs/>
          <w:spacing w:val="13"/>
          <w:sz w:val="18"/>
          <w:szCs w:val="18"/>
          <w:lang w:eastAsia="nl-BE"/>
        </w:rPr>
        <w:t>Japan</w:t>
      </w:r>
    </w:p>
    <w:p w14:paraId="5A199620" w14:textId="77777777" w:rsidR="00F76607" w:rsidRDefault="001863F0">
      <w:pPr>
        <w:widowControl w:val="0"/>
        <w:kinsoku w:val="0"/>
        <w:overflowPunct w:val="0"/>
        <w:spacing w:before="199" w:line="220" w:lineRule="exact"/>
        <w:ind w:right="72" w:firstLine="720"/>
        <w:textAlignment w:val="baseline"/>
        <w:rPr>
          <w:sz w:val="18"/>
          <w:szCs w:val="18"/>
          <w:lang w:eastAsia="nl-BE"/>
        </w:rPr>
      </w:pPr>
      <w:r>
        <w:rPr>
          <w:sz w:val="18"/>
          <w:szCs w:val="18"/>
          <w:lang w:eastAsia="nl-BE"/>
        </w:rPr>
        <w:t xml:space="preserve">The Shares have not been and will not be registered under the Financial Instruments and Exchange Law, as amended (the “FIEL”). This document is not an offer of securities for sale, directly or indirectly, in Japan or to, or for the benefit of, any resident of Japan (which term as used herein means any person resident in Japan, including any corporation or entity </w:t>
      </w:r>
      <w:proofErr w:type="spellStart"/>
      <w:r>
        <w:rPr>
          <w:sz w:val="18"/>
          <w:szCs w:val="18"/>
          <w:lang w:eastAsia="nl-BE"/>
        </w:rPr>
        <w:t>organised</w:t>
      </w:r>
      <w:proofErr w:type="spellEnd"/>
      <w:r>
        <w:rPr>
          <w:sz w:val="18"/>
          <w:szCs w:val="18"/>
          <w:lang w:eastAsia="nl-BE"/>
        </w:rPr>
        <w:t xml:space="preserve"> under the laws of Japan) or to others for reoffer or resale, directly or indirectly, in Japan or to, or for the benefit of, any resident of Japan, except pursuant to an exemption from the registration requirements under the FIEL and otherwise in compliance with such law and any other applicable laws, regulations and ministerial guidelines of Japan.</w:t>
      </w:r>
    </w:p>
    <w:p w14:paraId="22A11EF8" w14:textId="77777777" w:rsidR="00F76607" w:rsidRDefault="001863F0">
      <w:pPr>
        <w:widowControl w:val="0"/>
        <w:kinsoku w:val="0"/>
        <w:overflowPunct w:val="0"/>
        <w:spacing w:before="199" w:line="207" w:lineRule="exact"/>
        <w:ind w:right="72"/>
        <w:textAlignment w:val="baseline"/>
        <w:rPr>
          <w:b/>
          <w:bCs/>
          <w:i/>
          <w:iCs/>
          <w:sz w:val="18"/>
          <w:szCs w:val="18"/>
          <w:lang w:eastAsia="nl-BE"/>
        </w:rPr>
      </w:pPr>
      <w:r>
        <w:rPr>
          <w:b/>
          <w:bCs/>
          <w:i/>
          <w:iCs/>
          <w:sz w:val="18"/>
          <w:szCs w:val="18"/>
          <w:lang w:eastAsia="nl-BE"/>
        </w:rPr>
        <w:t>Switzerland</w:t>
      </w:r>
    </w:p>
    <w:p w14:paraId="1A2DE5AA" w14:textId="77777777" w:rsidR="00F76607" w:rsidRDefault="001863F0">
      <w:pPr>
        <w:widowControl w:val="0"/>
        <w:kinsoku w:val="0"/>
        <w:overflowPunct w:val="0"/>
        <w:spacing w:before="199" w:line="220" w:lineRule="exact"/>
        <w:ind w:right="72" w:firstLine="720"/>
        <w:textAlignment w:val="baseline"/>
        <w:rPr>
          <w:sz w:val="18"/>
          <w:szCs w:val="18"/>
          <w:lang w:eastAsia="nl-BE"/>
        </w:rPr>
      </w:pPr>
      <w:r>
        <w:rPr>
          <w:sz w:val="18"/>
          <w:szCs w:val="18"/>
          <w:lang w:eastAsia="nl-BE"/>
        </w:rPr>
        <w:t>The Shares may not be publicly offered in Switzerland and will not be listed on the SIX Swiss Exchange (“SIX”) or on any other stock exchange or regulated trading facility in Switzerland. This document has been prepared without regard to the disclosure standards for issuance prospectuses under art. 652a or art. 1156 of the Swiss Code of Obligations or the disclosure standards for listing prospectuses under art. 27 ff. of the SIX Listing Rules or the listing rules of any other stock exchange or regulated trading facility in Switzerland. Neither this Prospectus nor any other offering or marketing material relating to the Offer Shares or the Offering may be publicly distributed or otherwise made publicly available in Switzerland.</w:t>
      </w:r>
    </w:p>
    <w:p w14:paraId="6DD06EDD" w14:textId="77777777" w:rsidR="00F76607" w:rsidRDefault="001863F0">
      <w:pPr>
        <w:widowControl w:val="0"/>
        <w:kinsoku w:val="0"/>
        <w:overflowPunct w:val="0"/>
        <w:spacing w:before="196" w:line="220" w:lineRule="exact"/>
        <w:ind w:right="72" w:firstLine="720"/>
        <w:textAlignment w:val="baseline"/>
        <w:rPr>
          <w:sz w:val="18"/>
          <w:szCs w:val="18"/>
          <w:lang w:eastAsia="nl-BE"/>
        </w:rPr>
      </w:pPr>
      <w:r>
        <w:rPr>
          <w:sz w:val="18"/>
          <w:szCs w:val="18"/>
          <w:lang w:eastAsia="nl-BE"/>
        </w:rPr>
        <w:t>Neither this Prospectus nor any other offering or marketing material relating to the Offering, the Company or the Shares have been or will be filed with or approved by any Swiss regulatory authority. In particular, this Prospectus will not be filed with, and the offer of Offer Shares will not be supervised by, the Swiss Financial Market Supervisory Authority FINMA (FINMA), and the Offering has not been and will not be authorized under the Swiss Federal Act on Collective Investment Schemes (“CISA”). The investor protection afforded to acquirers of interests in collective investment schemes under the CISA does not extend to acquirers of Shares.</w:t>
      </w:r>
    </w:p>
    <w:p w14:paraId="703A18C1" w14:textId="77777777" w:rsidR="00F76607" w:rsidRDefault="001863F0">
      <w:pPr>
        <w:widowControl w:val="0"/>
        <w:kinsoku w:val="0"/>
        <w:overflowPunct w:val="0"/>
        <w:spacing w:before="199" w:line="207" w:lineRule="exact"/>
        <w:ind w:right="72"/>
        <w:textAlignment w:val="baseline"/>
        <w:rPr>
          <w:b/>
          <w:bCs/>
          <w:i/>
          <w:iCs/>
          <w:spacing w:val="12"/>
          <w:sz w:val="18"/>
          <w:szCs w:val="18"/>
          <w:lang w:eastAsia="nl-BE"/>
        </w:rPr>
      </w:pPr>
      <w:r>
        <w:rPr>
          <w:b/>
          <w:bCs/>
          <w:i/>
          <w:iCs/>
          <w:spacing w:val="12"/>
          <w:sz w:val="18"/>
          <w:szCs w:val="18"/>
          <w:lang w:eastAsia="nl-BE"/>
        </w:rPr>
        <w:t>Canada</w:t>
      </w:r>
    </w:p>
    <w:p w14:paraId="7FD4A9B5" w14:textId="77777777" w:rsidR="00F76607" w:rsidRDefault="001863F0">
      <w:pPr>
        <w:widowControl w:val="0"/>
        <w:kinsoku w:val="0"/>
        <w:overflowPunct w:val="0"/>
        <w:spacing w:before="198" w:line="220" w:lineRule="exact"/>
        <w:ind w:right="72" w:firstLine="720"/>
        <w:textAlignment w:val="baseline"/>
        <w:rPr>
          <w:sz w:val="18"/>
          <w:szCs w:val="18"/>
          <w:lang w:eastAsia="nl-BE"/>
        </w:rPr>
      </w:pPr>
      <w:r>
        <w:rPr>
          <w:sz w:val="18"/>
          <w:szCs w:val="18"/>
          <w:lang w:eastAsia="nl-BE"/>
        </w:rPr>
        <w:t>The Offer Shares may be sold only to purchasers purchasing, or deemed to be purchasing, as principal that are accredited investors, as defined in National Instrument 45-106 Prospectus Exemptions or subsection 73.3(1) of the Securities Act (Ontario), and are permitted clients, as defined in National Instrument 31-103 Registration Requirements, Exemptions and Ongoing Registrant Obligations. Any resale of the Offer Shares must be made in accordance with an exemption from, or in a transaction not subject to, the prospectus requirements of applicable securities laws.</w:t>
      </w:r>
    </w:p>
    <w:p w14:paraId="1C7F7FDD" w14:textId="77777777" w:rsidR="00F76607" w:rsidRDefault="001863F0">
      <w:pPr>
        <w:widowControl w:val="0"/>
        <w:kinsoku w:val="0"/>
        <w:overflowPunct w:val="0"/>
        <w:spacing w:before="192" w:line="220" w:lineRule="exact"/>
        <w:ind w:right="72" w:firstLine="720"/>
        <w:textAlignment w:val="baseline"/>
        <w:rPr>
          <w:sz w:val="18"/>
          <w:szCs w:val="18"/>
          <w:lang w:eastAsia="nl-BE"/>
        </w:rPr>
      </w:pPr>
      <w:r>
        <w:rPr>
          <w:sz w:val="18"/>
          <w:szCs w:val="18"/>
          <w:lang w:eastAsia="nl-BE"/>
        </w:rPr>
        <w:t>Securities legislation in certain provinces or territories of Canada may provide a purchaser with remedies for rescission or damages if this prospectus (including any amendment thereto) contains a misrepresentation, provided that the remedies for rescission or damages are exercised by the purchaser within the time limit prescribed by the securities legislation of the purchaser’s province or territory. The purchaser should refer to any applicable provisions of the securities legislation of the purchaser’s province or territory for particulars of these rights or consult with a legal advisor.</w:t>
      </w:r>
    </w:p>
    <w:p w14:paraId="6259058B" w14:textId="77777777" w:rsidR="00F76607" w:rsidRDefault="001863F0">
      <w:pPr>
        <w:widowControl w:val="0"/>
        <w:kinsoku w:val="0"/>
        <w:overflowPunct w:val="0"/>
        <w:spacing w:before="195" w:line="220" w:lineRule="exact"/>
        <w:ind w:right="72" w:firstLine="720"/>
        <w:textAlignment w:val="baseline"/>
        <w:rPr>
          <w:sz w:val="18"/>
          <w:szCs w:val="18"/>
          <w:lang w:eastAsia="nl-BE"/>
        </w:rPr>
      </w:pPr>
      <w:r>
        <w:rPr>
          <w:sz w:val="18"/>
          <w:szCs w:val="18"/>
          <w:lang w:eastAsia="nl-BE"/>
        </w:rPr>
        <w:t>Pursuant to section 3A.3 (or, in the case of securities issued or guaranteed by the government of a non-Canadian jurisdiction, section 3A.4) of National Instrument 33-105 Underwriting Conflicts (NI 33-105), the Managers are not required to comply with the disclosure requirements of NI 33-105 regarding underwriter conflicts of interest in connection with this Offering.</w:t>
      </w:r>
    </w:p>
    <w:p w14:paraId="0C36918C" w14:textId="77777777" w:rsidR="00F76607" w:rsidRDefault="001863F0">
      <w:pPr>
        <w:widowControl w:val="0"/>
        <w:kinsoku w:val="0"/>
        <w:overflowPunct w:val="0"/>
        <w:spacing w:before="248" w:line="207" w:lineRule="exact"/>
        <w:textAlignment w:val="baseline"/>
        <w:rPr>
          <w:b/>
          <w:bCs/>
          <w:i/>
          <w:iCs/>
          <w:spacing w:val="1"/>
          <w:sz w:val="18"/>
          <w:szCs w:val="18"/>
          <w:lang w:eastAsia="nl-BE"/>
        </w:rPr>
      </w:pPr>
      <w:r>
        <w:rPr>
          <w:b/>
          <w:bCs/>
          <w:i/>
          <w:iCs/>
          <w:spacing w:val="1"/>
          <w:sz w:val="18"/>
          <w:szCs w:val="18"/>
          <w:lang w:eastAsia="nl-BE"/>
        </w:rPr>
        <w:t>Australia</w:t>
      </w:r>
    </w:p>
    <w:p w14:paraId="247A587D" w14:textId="77777777" w:rsidR="00F76607" w:rsidRDefault="001863F0">
      <w:pPr>
        <w:widowControl w:val="0"/>
        <w:kinsoku w:val="0"/>
        <w:overflowPunct w:val="0"/>
        <w:spacing w:before="243" w:line="220" w:lineRule="exact"/>
        <w:ind w:firstLine="720"/>
        <w:textAlignment w:val="baseline"/>
        <w:rPr>
          <w:sz w:val="18"/>
          <w:szCs w:val="18"/>
          <w:lang w:eastAsia="nl-BE"/>
        </w:rPr>
      </w:pPr>
      <w:r>
        <w:rPr>
          <w:sz w:val="18"/>
          <w:szCs w:val="18"/>
          <w:lang w:eastAsia="nl-BE"/>
        </w:rPr>
        <w:t xml:space="preserve">This document (a) does not constitute a prospectus, a product disclosure statement or other disclosure document under the </w:t>
      </w:r>
      <w:r>
        <w:rPr>
          <w:sz w:val="18"/>
          <w:szCs w:val="18"/>
          <w:lang w:eastAsia="nl-BE"/>
        </w:rPr>
        <w:lastRenderedPageBreak/>
        <w:t>Corporations Act 2001 of the Commonwealth of Australia (“Corporations Act”); (b) does not purport to include the information required of a prospectus, a product disclosure statement or other disclosure document under the Corporations Act; (c) has not been, nor will it be, lodged as a disclosure document with, or registered by, the Australian Securities and Investments Commission (“ASIC”), the Australian Securities Exchange operated by ASX Limited or any other regulatory body or agency in Australia; and (d) may not be provided in Australia other than to select investors (“Exempt Investors”) who are able to demonstrate that they both (</w:t>
      </w:r>
      <w:proofErr w:type="spellStart"/>
      <w:r>
        <w:rPr>
          <w:sz w:val="18"/>
          <w:szCs w:val="18"/>
          <w:lang w:eastAsia="nl-BE"/>
        </w:rPr>
        <w:t>i</w:t>
      </w:r>
      <w:proofErr w:type="spellEnd"/>
      <w:r>
        <w:rPr>
          <w:sz w:val="18"/>
          <w:szCs w:val="18"/>
          <w:lang w:eastAsia="nl-BE"/>
        </w:rPr>
        <w:t>) fall within one or more of the categories of investors under section 708(8) or 708(11) of the Corporations Act to whom an offer may be made without disclosure under Part 6D.2 of the Corporations Act and (ii) are “wholesale clients” for the purpose of section 761G of the Corporations Act.</w:t>
      </w:r>
    </w:p>
    <w:p w14:paraId="04A188D5" w14:textId="77777777" w:rsidR="00F76607" w:rsidRDefault="001863F0">
      <w:pPr>
        <w:widowControl w:val="0"/>
        <w:kinsoku w:val="0"/>
        <w:overflowPunct w:val="0"/>
        <w:spacing w:before="241" w:line="220" w:lineRule="exact"/>
        <w:ind w:firstLine="720"/>
        <w:textAlignment w:val="baseline"/>
        <w:rPr>
          <w:sz w:val="18"/>
          <w:szCs w:val="18"/>
          <w:lang w:eastAsia="nl-BE"/>
        </w:rPr>
      </w:pPr>
      <w:r>
        <w:rPr>
          <w:sz w:val="18"/>
          <w:szCs w:val="18"/>
          <w:lang w:eastAsia="nl-BE"/>
        </w:rPr>
        <w:t>The Offer Shares may not be directly or indirectly offered for subscription or purchased or sold, and no invitations to subscribe for, or buy, the Offer Shares may be issued, and no draft or definitive offering memorandum, advertisement or other offering material relating to any Offer Shares may be distributed, received or published in Australia, except where disclosure to investors is not required under Chapters 6D and 7 of the Corporations Act or is otherwise in compliance with all applicable Australian laws and regulations. By submitting an application for the Offer Shares, each purchaser or subscriber of Offer Shares represents and warrants to the Company, the Selling Shareholders, the Underwriters and their affiliates that such purchaser or subscriber is an Exempt Investor.</w:t>
      </w:r>
    </w:p>
    <w:p w14:paraId="440B098D" w14:textId="77777777" w:rsidR="00F76607" w:rsidRDefault="001863F0">
      <w:pPr>
        <w:widowControl w:val="0"/>
        <w:kinsoku w:val="0"/>
        <w:overflowPunct w:val="0"/>
        <w:spacing w:before="242" w:line="220" w:lineRule="exact"/>
        <w:ind w:firstLine="720"/>
        <w:textAlignment w:val="baseline"/>
        <w:rPr>
          <w:sz w:val="18"/>
          <w:szCs w:val="18"/>
          <w:lang w:eastAsia="nl-BE"/>
        </w:rPr>
      </w:pPr>
      <w:r>
        <w:rPr>
          <w:sz w:val="18"/>
          <w:szCs w:val="18"/>
          <w:lang w:eastAsia="nl-BE"/>
        </w:rPr>
        <w:t>As any offer of Offer Shares under this document, any supplement or the accompanying prospectus or other document will be made without disclosure in Australia under Parts 6D.2 and 7.9 of the Corporations Act, the offer of those Offer Shares for resale in Australia within 12 months may, under the Corporations Act, require disclosure to investors if none of the exemptions in the Corporations Act applies to that resale. By applying for the Offer Shares each purchaser or subscriber of Offer Shares undertakes to the Company, the Selling Shareholders and the Underwriters that such purchaser or subscriber will not, for a period of 12 months from the date of issue or purchase of the Offer Shares, offer, transfer, assign or otherwise alienate those Offer Shares to investors in Australia except in circumstances where disclosure to investors is not required under the Corporations Act or where a compliant disclosure document is prepared and lodged with ASIC.</w:t>
      </w:r>
    </w:p>
    <w:p w14:paraId="767A4C92" w14:textId="77777777" w:rsidR="00F76607" w:rsidRDefault="001863F0">
      <w:pPr>
        <w:widowControl w:val="0"/>
        <w:kinsoku w:val="0"/>
        <w:overflowPunct w:val="0"/>
        <w:spacing w:before="238" w:line="220" w:lineRule="exact"/>
        <w:ind w:right="144" w:firstLine="720"/>
        <w:textAlignment w:val="baseline"/>
        <w:rPr>
          <w:spacing w:val="-1"/>
          <w:sz w:val="18"/>
          <w:szCs w:val="18"/>
          <w:lang w:eastAsia="nl-BE"/>
        </w:rPr>
      </w:pPr>
      <w:r>
        <w:rPr>
          <w:spacing w:val="-1"/>
          <w:sz w:val="18"/>
          <w:szCs w:val="18"/>
          <w:lang w:eastAsia="nl-BE"/>
        </w:rPr>
        <w:t>This document contains general information only and does not take account of the investment objectives, financial situation or particular needs of any particular person. It does not contain any securities recommendations or financial product advice. Before making an investment decision, investors need to consider whether the information in this document is appropriate to their needs, objectives and circumstances, and, if necessary, seek expert advice on those matters.</w:t>
      </w:r>
    </w:p>
    <w:p w14:paraId="4CD881E3" w14:textId="77777777" w:rsidR="00F76607" w:rsidRDefault="001863F0">
      <w:pPr>
        <w:widowControl w:val="0"/>
        <w:kinsoku w:val="0"/>
        <w:overflowPunct w:val="0"/>
        <w:spacing w:before="248" w:line="207" w:lineRule="exact"/>
        <w:textAlignment w:val="baseline"/>
        <w:rPr>
          <w:b/>
          <w:bCs/>
          <w:i/>
          <w:iCs/>
          <w:spacing w:val="1"/>
          <w:sz w:val="18"/>
          <w:szCs w:val="18"/>
          <w:lang w:eastAsia="nl-BE"/>
        </w:rPr>
      </w:pPr>
      <w:r>
        <w:rPr>
          <w:b/>
          <w:bCs/>
          <w:i/>
          <w:iCs/>
          <w:spacing w:val="1"/>
          <w:sz w:val="18"/>
          <w:szCs w:val="18"/>
          <w:lang w:eastAsia="nl-BE"/>
        </w:rPr>
        <w:t>South Africa</w:t>
      </w:r>
    </w:p>
    <w:p w14:paraId="28FBBD41" w14:textId="77777777" w:rsidR="00F76607" w:rsidRDefault="001863F0">
      <w:pPr>
        <w:widowControl w:val="0"/>
        <w:kinsoku w:val="0"/>
        <w:overflowPunct w:val="0"/>
        <w:spacing w:before="238" w:line="220" w:lineRule="exact"/>
        <w:ind w:right="144" w:firstLine="720"/>
        <w:textAlignment w:val="baseline"/>
        <w:rPr>
          <w:spacing w:val="-1"/>
          <w:sz w:val="18"/>
          <w:szCs w:val="18"/>
          <w:lang w:eastAsia="nl-BE"/>
        </w:rPr>
      </w:pPr>
      <w:r>
        <w:rPr>
          <w:spacing w:val="-1"/>
          <w:sz w:val="18"/>
          <w:szCs w:val="18"/>
          <w:lang w:val="en-GB" w:eastAsia="nl-BE"/>
        </w:rPr>
        <w:t>In South Africa, any offer of the Offer Shares will only be made by way of private placement to, and be capable of acceptance by, persons falling within the exemptions set out in Section 96(1)(a) of the South African Companies Act and to whom the Offer will be specifically addressed (“Qualifying Investors”) and this Prospectus is only being made available to such Qualifying Investors. The Offering and the Prospectus do not constitute an offer for the sale of or subscription for, or the solicitation of an offer to buy and to subscribe for, shares to the public as defined in the South African Companies Act and will not be made or distributed, as applicable, to any person in South Africa in any manner which could be construed as an offer to the public in terms of the South African Companies Act. Should any person who is not a Qualifying Investor receive this Prospectus they should not and will not be entitled to acquire any Offer Shares or otherwise act thereon. This Prospectus does not, nor is it intended to, constitute a prospectus prepared and registered under the South African Companies Act.</w:t>
      </w:r>
    </w:p>
    <w:p w14:paraId="5C982DA5" w14:textId="77777777" w:rsidR="00F76607" w:rsidRDefault="001863F0">
      <w:pPr>
        <w:pStyle w:val="VulcanIISectionTitle"/>
      </w:pPr>
      <w:bookmarkStart w:id="97" w:name="_Toc493194625"/>
      <w:r>
        <w:lastRenderedPageBreak/>
        <w:t>Transfer Restrictions</w:t>
      </w:r>
      <w:bookmarkEnd w:id="97"/>
      <w:r>
        <w:t xml:space="preserve"> </w:t>
      </w:r>
    </w:p>
    <w:p w14:paraId="551BF446" w14:textId="77777777" w:rsidR="00F76607" w:rsidRDefault="001863F0">
      <w:pPr>
        <w:spacing w:before="240"/>
        <w:ind w:firstLine="857"/>
        <w:rPr>
          <w:szCs w:val="24"/>
        </w:rPr>
      </w:pPr>
      <w:r>
        <w:rPr>
          <w:sz w:val="18"/>
          <w:szCs w:val="18"/>
        </w:rPr>
        <w:t xml:space="preserve">The Shares have not been and will not be registered under the U.S. Securities Act or the applicable securities laws of any state or other jurisdiction of the United States and may not be offered, sold, pledged or transferred within the United States, except pursuant to an applicable exemption from, or in a transaction not subject to, the registration requirements of the U.S. Securities Act and applicable state securities laws. </w:t>
      </w:r>
    </w:p>
    <w:p w14:paraId="2C76F966" w14:textId="77777777" w:rsidR="00F76607" w:rsidRDefault="001863F0">
      <w:pPr>
        <w:keepNext/>
        <w:spacing w:before="240"/>
        <w:ind w:firstLine="857"/>
        <w:rPr>
          <w:szCs w:val="24"/>
        </w:rPr>
      </w:pPr>
      <w:r>
        <w:rPr>
          <w:sz w:val="18"/>
          <w:szCs w:val="18"/>
        </w:rPr>
        <w:t xml:space="preserve">Each purchaser of the Offer Shares outside the United States will be deemed to have represented and agreed that it has received a copy of this Prospectus and such other information as it deems necessary to make an informed investment decision and that: </w:t>
      </w:r>
    </w:p>
    <w:p w14:paraId="6B4A7AF8" w14:textId="77777777" w:rsidR="00F76607" w:rsidRDefault="001863F0">
      <w:pPr>
        <w:spacing w:before="240"/>
        <w:ind w:left="1836" w:hanging="857"/>
        <w:rPr>
          <w:szCs w:val="24"/>
        </w:rPr>
      </w:pPr>
      <w:r>
        <w:rPr>
          <w:sz w:val="18"/>
          <w:szCs w:val="18"/>
        </w:rPr>
        <w:t>(1)</w:t>
      </w:r>
      <w:r>
        <w:rPr>
          <w:sz w:val="18"/>
          <w:szCs w:val="18"/>
        </w:rPr>
        <w:tab/>
        <w:t xml:space="preserve">the purchaser is authorized to consummate the purchase of the Offer Shares in compliance with all applicable laws and regulations; </w:t>
      </w:r>
    </w:p>
    <w:p w14:paraId="235C6FC9" w14:textId="77777777" w:rsidR="00F76607" w:rsidRDefault="001863F0">
      <w:pPr>
        <w:spacing w:before="240"/>
        <w:ind w:left="1836" w:hanging="857"/>
        <w:rPr>
          <w:szCs w:val="24"/>
        </w:rPr>
      </w:pPr>
      <w:r>
        <w:rPr>
          <w:sz w:val="18"/>
          <w:szCs w:val="18"/>
        </w:rPr>
        <w:t>(2)</w:t>
      </w:r>
      <w:r>
        <w:rPr>
          <w:sz w:val="18"/>
          <w:szCs w:val="18"/>
        </w:rPr>
        <w:tab/>
        <w:t xml:space="preserve">the purchaser acknowledges that the Offer Shares have not been and will not be registered under the U.S. Securities Act, or with any securities regulatory authority of any state of the United States, and, subject to certain exceptions, may not be offered or sold within the United States; </w:t>
      </w:r>
    </w:p>
    <w:p w14:paraId="2C3936E1" w14:textId="77777777" w:rsidR="00F76607" w:rsidRDefault="001863F0">
      <w:pPr>
        <w:spacing w:before="240"/>
        <w:ind w:left="1836" w:hanging="857"/>
        <w:rPr>
          <w:szCs w:val="24"/>
        </w:rPr>
      </w:pPr>
      <w:r>
        <w:rPr>
          <w:sz w:val="18"/>
          <w:szCs w:val="18"/>
        </w:rPr>
        <w:t>(3)</w:t>
      </w:r>
      <w:r>
        <w:rPr>
          <w:sz w:val="18"/>
          <w:szCs w:val="18"/>
        </w:rPr>
        <w:tab/>
        <w:t xml:space="preserve">the purchaser and the person, if any, for whose account or benefit the purchaser is acquiring the Offer Shares, was located outside the United States at the time the buy order for the Offer Shares was originated and continues to be located outside the United States and has not entered into any arrangement for the transfer of the Offer Shares or any economic interest therein to any person in the United States; </w:t>
      </w:r>
    </w:p>
    <w:p w14:paraId="29FB2CCE" w14:textId="77777777" w:rsidR="00F76607" w:rsidRDefault="001863F0">
      <w:pPr>
        <w:spacing w:before="240"/>
        <w:ind w:left="1836" w:hanging="857"/>
        <w:rPr>
          <w:szCs w:val="24"/>
        </w:rPr>
      </w:pPr>
      <w:r>
        <w:rPr>
          <w:sz w:val="18"/>
          <w:szCs w:val="18"/>
        </w:rPr>
        <w:t>(4)</w:t>
      </w:r>
      <w:r>
        <w:rPr>
          <w:sz w:val="18"/>
          <w:szCs w:val="18"/>
        </w:rPr>
        <w:tab/>
        <w:t xml:space="preserve">the purchaser is not an affiliate of the Company or a person acting on behalf of such affiliate; </w:t>
      </w:r>
    </w:p>
    <w:p w14:paraId="23F2B739" w14:textId="77777777" w:rsidR="00F76607" w:rsidRDefault="001863F0">
      <w:pPr>
        <w:spacing w:before="240"/>
        <w:ind w:left="1836" w:hanging="857"/>
        <w:rPr>
          <w:szCs w:val="24"/>
        </w:rPr>
      </w:pPr>
      <w:r>
        <w:rPr>
          <w:sz w:val="18"/>
          <w:szCs w:val="18"/>
        </w:rPr>
        <w:t>(5)</w:t>
      </w:r>
      <w:r>
        <w:rPr>
          <w:sz w:val="18"/>
          <w:szCs w:val="18"/>
        </w:rPr>
        <w:tab/>
        <w:t xml:space="preserve">the Offer Shares have not been offered to it by means of any “directed selling efforts” as defined in Regulation S; </w:t>
      </w:r>
    </w:p>
    <w:p w14:paraId="316BDE20" w14:textId="77777777" w:rsidR="00F76607" w:rsidRDefault="001863F0">
      <w:pPr>
        <w:spacing w:before="240"/>
        <w:ind w:left="1836" w:hanging="857"/>
        <w:rPr>
          <w:szCs w:val="24"/>
        </w:rPr>
      </w:pPr>
      <w:r>
        <w:rPr>
          <w:sz w:val="18"/>
          <w:szCs w:val="18"/>
        </w:rPr>
        <w:t>(6)</w:t>
      </w:r>
      <w:r>
        <w:rPr>
          <w:sz w:val="18"/>
          <w:szCs w:val="18"/>
        </w:rPr>
        <w:tab/>
        <w:t xml:space="preserve">if it is acquiring any of the Offer Shares as a fiduciary or agent for one or more accounts, the purchaser represents that it has sole investment discretion with respect to each such account and that it has full power to make the foregoing acknowledgements, representations and agreements on behalf of each such account; and </w:t>
      </w:r>
    </w:p>
    <w:p w14:paraId="123531FE" w14:textId="77777777" w:rsidR="00F76607" w:rsidRDefault="001863F0">
      <w:pPr>
        <w:spacing w:before="240"/>
        <w:ind w:left="1836" w:hanging="857"/>
        <w:rPr>
          <w:szCs w:val="24"/>
        </w:rPr>
      </w:pPr>
      <w:r>
        <w:rPr>
          <w:sz w:val="18"/>
          <w:szCs w:val="18"/>
        </w:rPr>
        <w:t>(7)</w:t>
      </w:r>
      <w:r>
        <w:rPr>
          <w:sz w:val="18"/>
          <w:szCs w:val="18"/>
        </w:rPr>
        <w:tab/>
        <w:t xml:space="preserve">the purchaser acknowledges that the Company, the Selling Shareholders, the Underwriters and their respective affiliates will rely upon the truth and accuracy of the foregoing acknowledgements, representations and agreements. </w:t>
      </w:r>
    </w:p>
    <w:p w14:paraId="1DCB91E0" w14:textId="77777777" w:rsidR="00F76607" w:rsidRDefault="001863F0">
      <w:pPr>
        <w:keepNext/>
        <w:spacing w:before="240"/>
        <w:ind w:firstLine="857"/>
        <w:rPr>
          <w:szCs w:val="24"/>
        </w:rPr>
      </w:pPr>
      <w:r>
        <w:rPr>
          <w:sz w:val="18"/>
          <w:szCs w:val="18"/>
        </w:rPr>
        <w:t xml:space="preserve">Each purchaser of the Offer Shares within the United States will be deemed to have represented and agreed that it has received a copy of this Prospectus and such other information as it deems necessary to make an informed investment decision and that: </w:t>
      </w:r>
    </w:p>
    <w:p w14:paraId="25A8057C" w14:textId="77777777" w:rsidR="00F76607" w:rsidRDefault="001863F0">
      <w:pPr>
        <w:spacing w:before="240"/>
        <w:ind w:left="1836" w:hanging="857"/>
        <w:rPr>
          <w:szCs w:val="24"/>
        </w:rPr>
      </w:pPr>
      <w:r>
        <w:rPr>
          <w:sz w:val="18"/>
          <w:szCs w:val="18"/>
        </w:rPr>
        <w:t>(1)</w:t>
      </w:r>
      <w:r>
        <w:rPr>
          <w:sz w:val="18"/>
          <w:szCs w:val="18"/>
        </w:rPr>
        <w:tab/>
        <w:t xml:space="preserve">the purchaser is authorized to consummate the purchase of the Offer Shares in compliance with all applicable laws and regulations; </w:t>
      </w:r>
    </w:p>
    <w:p w14:paraId="39E727FC" w14:textId="77777777" w:rsidR="00F76607" w:rsidRDefault="001863F0">
      <w:pPr>
        <w:spacing w:before="240"/>
        <w:ind w:left="1836" w:hanging="857"/>
        <w:rPr>
          <w:szCs w:val="24"/>
        </w:rPr>
      </w:pPr>
      <w:r>
        <w:rPr>
          <w:sz w:val="18"/>
          <w:szCs w:val="18"/>
        </w:rPr>
        <w:t>(2)</w:t>
      </w:r>
      <w:r>
        <w:rPr>
          <w:sz w:val="18"/>
          <w:szCs w:val="18"/>
        </w:rPr>
        <w:tab/>
        <w:t xml:space="preserve">the purchaser acknowledges that the Offer Shares have not been and will not be registered under the U.S. Securities Act or with any securities regulatory authority of any state of the United States and are subject to restrictions on transfer; </w:t>
      </w:r>
    </w:p>
    <w:p w14:paraId="73F5C264" w14:textId="77777777" w:rsidR="00F76607" w:rsidRDefault="001863F0">
      <w:pPr>
        <w:spacing w:before="240"/>
        <w:ind w:left="1836" w:hanging="857"/>
        <w:rPr>
          <w:szCs w:val="24"/>
        </w:rPr>
      </w:pPr>
      <w:r>
        <w:rPr>
          <w:sz w:val="18"/>
          <w:szCs w:val="18"/>
        </w:rPr>
        <w:t>(3)</w:t>
      </w:r>
      <w:r>
        <w:rPr>
          <w:sz w:val="18"/>
          <w:szCs w:val="18"/>
        </w:rPr>
        <w:tab/>
        <w:t>the purchaser is (</w:t>
      </w:r>
      <w:proofErr w:type="spellStart"/>
      <w:r>
        <w:rPr>
          <w:sz w:val="18"/>
          <w:szCs w:val="18"/>
        </w:rPr>
        <w:t>i</w:t>
      </w:r>
      <w:proofErr w:type="spellEnd"/>
      <w:r>
        <w:rPr>
          <w:sz w:val="18"/>
          <w:szCs w:val="18"/>
        </w:rPr>
        <w:t xml:space="preserve">) a qualified institutional buyer as defined in Rule 144A under the U.S. Securities Act (a "QIB"); (ii) aware that the sale to it is being made pursuant to an exemption from the registration requirements of the U.S. Securities Act; and (iii) acquiring such Offer Shares for its own account or for the account of a QIB; </w:t>
      </w:r>
    </w:p>
    <w:p w14:paraId="362F59FC" w14:textId="77777777" w:rsidR="00F76607" w:rsidRDefault="001863F0">
      <w:pPr>
        <w:spacing w:before="240"/>
        <w:ind w:left="1836" w:hanging="857"/>
        <w:rPr>
          <w:szCs w:val="24"/>
        </w:rPr>
      </w:pPr>
      <w:r>
        <w:rPr>
          <w:sz w:val="18"/>
          <w:szCs w:val="18"/>
        </w:rPr>
        <w:t>(4)</w:t>
      </w:r>
      <w:r>
        <w:rPr>
          <w:sz w:val="18"/>
          <w:szCs w:val="18"/>
        </w:rPr>
        <w:tab/>
        <w:t xml:space="preserve">the purchaser is aware that the Offer Shares are being offered in the United States in a transaction not involving any public offering in the United States within the meaning of the U.S. Securities Act; </w:t>
      </w:r>
    </w:p>
    <w:p w14:paraId="519BE280" w14:textId="77777777" w:rsidR="00F76607" w:rsidRDefault="001863F0">
      <w:pPr>
        <w:spacing w:before="240"/>
        <w:ind w:left="1836" w:hanging="857"/>
        <w:rPr>
          <w:szCs w:val="24"/>
        </w:rPr>
      </w:pPr>
      <w:r>
        <w:rPr>
          <w:sz w:val="18"/>
          <w:szCs w:val="18"/>
        </w:rPr>
        <w:t>(5)</w:t>
      </w:r>
      <w:r>
        <w:rPr>
          <w:sz w:val="18"/>
          <w:szCs w:val="18"/>
        </w:rPr>
        <w:tab/>
        <w:t>if in the future, the purchaser decides to offer, resell, pledge or otherwise transfer such Offer Shares, or any economic interest therein, such Offer Shares or any economic interest therein may be offered, sold, pledged or otherwise transferred only (</w:t>
      </w:r>
      <w:proofErr w:type="spellStart"/>
      <w:r>
        <w:rPr>
          <w:sz w:val="18"/>
          <w:szCs w:val="18"/>
        </w:rPr>
        <w:t>i</w:t>
      </w:r>
      <w:proofErr w:type="spellEnd"/>
      <w:r>
        <w:rPr>
          <w:sz w:val="18"/>
          <w:szCs w:val="18"/>
        </w:rPr>
        <w:t xml:space="preserve">) to a person whom the beneficial owner and/or any person acting on its behalf reasonably believes is a QIB in a transaction meeting the requirements of Rule 144A; (ii) in compliance with Regulation S under the U.S. Securities Act; or (iii) in accordance with Rule 144 under the U.S. Securities Act (if available), in each case in accordance with any applicable securities laws of any state of the United States or any other jurisdiction; </w:t>
      </w:r>
    </w:p>
    <w:p w14:paraId="644D2D0D" w14:textId="77777777" w:rsidR="00F76607" w:rsidRDefault="001863F0">
      <w:pPr>
        <w:spacing w:before="180"/>
        <w:rPr>
          <w:sz w:val="2"/>
          <w:szCs w:val="2"/>
        </w:rPr>
      </w:pPr>
      <w:r>
        <w:rPr>
          <w:sz w:val="2"/>
          <w:szCs w:val="2"/>
        </w:rPr>
        <w:t> </w:t>
      </w:r>
    </w:p>
    <w:p w14:paraId="7FC642C8" w14:textId="77777777" w:rsidR="00F76607" w:rsidRDefault="001863F0">
      <w:pPr>
        <w:ind w:left="1836" w:hanging="857"/>
        <w:rPr>
          <w:szCs w:val="24"/>
        </w:rPr>
      </w:pPr>
      <w:r>
        <w:rPr>
          <w:sz w:val="18"/>
          <w:szCs w:val="18"/>
        </w:rPr>
        <w:t>(6)</w:t>
      </w:r>
      <w:r>
        <w:rPr>
          <w:sz w:val="18"/>
          <w:szCs w:val="18"/>
        </w:rPr>
        <w:tab/>
        <w:t xml:space="preserve">the purchaser acknowledges that the Offer Shares are “restricted securities” within the meaning of Rule 144(a)(3) under the U.S. Securities Act and no representation is made as to the availability of the exemption provided by Rule 144 for resales of any Offer Shares; </w:t>
      </w:r>
    </w:p>
    <w:p w14:paraId="73FCE48B" w14:textId="77777777" w:rsidR="00F76607" w:rsidRDefault="001863F0">
      <w:pPr>
        <w:spacing w:before="240"/>
        <w:ind w:left="1836" w:hanging="857"/>
        <w:rPr>
          <w:szCs w:val="24"/>
        </w:rPr>
      </w:pPr>
      <w:r>
        <w:rPr>
          <w:sz w:val="18"/>
          <w:szCs w:val="18"/>
        </w:rPr>
        <w:t>(7)</w:t>
      </w:r>
      <w:r>
        <w:rPr>
          <w:sz w:val="18"/>
          <w:szCs w:val="18"/>
        </w:rPr>
        <w:tab/>
        <w:t xml:space="preserve">the purchaser will not deposit or cause to be deposited such Offer Shares into any depositary receipt facility established or maintained by a depositary bank other than a Rule 144A restricted depositary receipt facility, </w:t>
      </w:r>
      <w:r>
        <w:rPr>
          <w:sz w:val="18"/>
          <w:szCs w:val="18"/>
        </w:rPr>
        <w:lastRenderedPageBreak/>
        <w:t xml:space="preserve">so long as such Offer Shares are “restricted securities” within the meaning of Rule 144(a)(3) under the U.S. Securities Act; </w:t>
      </w:r>
    </w:p>
    <w:p w14:paraId="47D8AC4B" w14:textId="77777777" w:rsidR="00F76607" w:rsidRDefault="001863F0">
      <w:pPr>
        <w:spacing w:before="240"/>
        <w:ind w:left="1836" w:hanging="857"/>
        <w:rPr>
          <w:szCs w:val="24"/>
        </w:rPr>
      </w:pPr>
      <w:r>
        <w:rPr>
          <w:sz w:val="18"/>
          <w:szCs w:val="18"/>
        </w:rPr>
        <w:t>(8)</w:t>
      </w:r>
      <w:r>
        <w:rPr>
          <w:sz w:val="18"/>
          <w:szCs w:val="18"/>
        </w:rPr>
        <w:tab/>
        <w:t xml:space="preserve">if it is acquiring any of the Offer Shares as a fiduciary or agent for one or more accounts, the purchaser represents that it has sole investment discretion with respect to each such account and that it has full power to make the foregoing acknowledgements, representations and agreements on behalf of such account; and </w:t>
      </w:r>
    </w:p>
    <w:p w14:paraId="5E56A691" w14:textId="77777777" w:rsidR="00F76607" w:rsidRDefault="001863F0">
      <w:pPr>
        <w:spacing w:before="240"/>
        <w:ind w:left="1836" w:hanging="857"/>
        <w:rPr>
          <w:szCs w:val="24"/>
        </w:rPr>
      </w:pPr>
      <w:r>
        <w:rPr>
          <w:sz w:val="18"/>
          <w:szCs w:val="18"/>
        </w:rPr>
        <w:t>(9)</w:t>
      </w:r>
      <w:r>
        <w:rPr>
          <w:sz w:val="18"/>
          <w:szCs w:val="18"/>
        </w:rPr>
        <w:tab/>
        <w:t xml:space="preserve">the purchaser acknowledges that the Company, the Selling Shareholder, the Underwriters and their respective affiliates will rely upon the truth and accuracy of the foregoing acknowledgements, representations and agreements. </w:t>
      </w:r>
    </w:p>
    <w:p w14:paraId="3D40E30A" w14:textId="77777777" w:rsidR="00F76607" w:rsidRDefault="001863F0">
      <w:pPr>
        <w:keepNext/>
        <w:spacing w:before="240"/>
        <w:ind w:firstLine="857"/>
        <w:rPr>
          <w:szCs w:val="24"/>
        </w:rPr>
      </w:pPr>
      <w:r>
        <w:rPr>
          <w:sz w:val="18"/>
          <w:szCs w:val="18"/>
        </w:rPr>
        <w:t xml:space="preserve">Each person in a Relevant Member State, other than persons receiving offers contemplated in the Prospectus in Belgium, who receives any communication in respect of, or who acquires any Offer Shares under, the offers contemplated hereby will be deemed to have represented, warranted and agreed to and with each of the Underwriters, the Selling Shareholders and the Company that: </w:t>
      </w:r>
    </w:p>
    <w:p w14:paraId="7D52D2B7" w14:textId="77777777" w:rsidR="00F76607" w:rsidRDefault="001863F0">
      <w:pPr>
        <w:spacing w:before="240"/>
        <w:ind w:left="1836" w:hanging="857"/>
        <w:rPr>
          <w:sz w:val="18"/>
          <w:szCs w:val="18"/>
        </w:rPr>
      </w:pPr>
      <w:r>
        <w:rPr>
          <w:sz w:val="18"/>
          <w:szCs w:val="18"/>
        </w:rPr>
        <w:t>(1)</w:t>
      </w:r>
      <w:r>
        <w:rPr>
          <w:sz w:val="18"/>
          <w:szCs w:val="18"/>
        </w:rPr>
        <w:tab/>
        <w:t>it is a qualified investor within the meaning of the law in that Relevant Member State implementing Article 2(1)(e) of the Prospectus Directive; and</w:t>
      </w:r>
    </w:p>
    <w:p w14:paraId="6D6ABFBF" w14:textId="77777777" w:rsidR="00F76607" w:rsidRDefault="001863F0">
      <w:pPr>
        <w:spacing w:before="240"/>
        <w:ind w:left="1836" w:hanging="857"/>
      </w:pPr>
      <w:r>
        <w:rPr>
          <w:sz w:val="18"/>
          <w:szCs w:val="18"/>
        </w:rPr>
        <w:t>(2)</w:t>
      </w:r>
      <w:r>
        <w:rPr>
          <w:sz w:val="18"/>
          <w:szCs w:val="18"/>
        </w:rPr>
        <w:tab/>
        <w:t>in the case of any Offer Shares acquired by it as a financial intermediary, as that term is used in Article 3(2) of the Prospectus Directive, (</w:t>
      </w:r>
      <w:proofErr w:type="spellStart"/>
      <w:r>
        <w:rPr>
          <w:sz w:val="18"/>
          <w:szCs w:val="18"/>
        </w:rPr>
        <w:t>i</w:t>
      </w:r>
      <w:proofErr w:type="spellEnd"/>
      <w:r>
        <w:rPr>
          <w:sz w:val="18"/>
          <w:szCs w:val="18"/>
        </w:rPr>
        <w:t>) the Offer Shares acquired by it in the offer have not been acquired on behalf of, nor have they been acquired with a view to their offer or resale to, persons in any Relevant Member State other than qualified investors, as that term is defined in the Prospectus Directive, or in other circumstances falling within Article 3(2) of the Prospectus Directive and the prior consent of the Joint Global Coordinators has been given to the offer or resale; or (ii) where Offer Shares have been acquired by it on behalf of persons in any Relevant Member State other than qualified investors, the offer of those Offer Shares to it is not treated under the Prospectus Directive as having been made to such persons.</w:t>
      </w:r>
    </w:p>
    <w:p w14:paraId="334AF999" w14:textId="77777777" w:rsidR="00F76607" w:rsidRDefault="001863F0">
      <w:pPr>
        <w:pStyle w:val="VulcanIISectionTitle"/>
      </w:pPr>
      <w:bookmarkStart w:id="98" w:name="_Toc493194626"/>
      <w:r>
        <w:lastRenderedPageBreak/>
        <w:t>Legal Matters</w:t>
      </w:r>
      <w:bookmarkEnd w:id="98"/>
      <w:r>
        <w:t xml:space="preserve"> </w:t>
      </w:r>
    </w:p>
    <w:p w14:paraId="5E563C1F" w14:textId="77777777" w:rsidR="00F76607" w:rsidRDefault="001863F0">
      <w:pPr>
        <w:pStyle w:val="NormalWeb"/>
        <w:spacing w:before="240" w:beforeAutospacing="0" w:after="0" w:afterAutospacing="0"/>
        <w:ind w:firstLine="857"/>
      </w:pPr>
      <w:r>
        <w:rPr>
          <w:sz w:val="18"/>
          <w:szCs w:val="18"/>
        </w:rPr>
        <w:t xml:space="preserve">Certain legal matters in connection with this Offering have been passed upon for the Company by </w:t>
      </w:r>
      <w:proofErr w:type="spellStart"/>
      <w:r>
        <w:rPr>
          <w:sz w:val="18"/>
          <w:szCs w:val="18"/>
        </w:rPr>
        <w:t>Dentons</w:t>
      </w:r>
      <w:proofErr w:type="spellEnd"/>
      <w:r>
        <w:rPr>
          <w:sz w:val="18"/>
          <w:szCs w:val="18"/>
        </w:rPr>
        <w:t xml:space="preserve"> UKMEA LLP, with respect to the laws of the United States and by Argo Law BCVBA for the Company and for the Selling Shareholders with respect to the laws of Belgium. Certain legal matters in connection with this Offering have been passed upon for the Underwriters by </w:t>
      </w:r>
      <w:proofErr w:type="spellStart"/>
      <w:r>
        <w:rPr>
          <w:sz w:val="18"/>
          <w:szCs w:val="18"/>
        </w:rPr>
        <w:t>Freshfields</w:t>
      </w:r>
      <w:proofErr w:type="spellEnd"/>
      <w:r>
        <w:rPr>
          <w:sz w:val="18"/>
          <w:szCs w:val="18"/>
        </w:rPr>
        <w:t xml:space="preserve"> Bruckhaus </w:t>
      </w:r>
      <w:proofErr w:type="spellStart"/>
      <w:r>
        <w:rPr>
          <w:sz w:val="18"/>
          <w:szCs w:val="18"/>
        </w:rPr>
        <w:t>Deringer</w:t>
      </w:r>
      <w:proofErr w:type="spellEnd"/>
      <w:r>
        <w:rPr>
          <w:sz w:val="18"/>
          <w:szCs w:val="18"/>
        </w:rPr>
        <w:t xml:space="preserve"> LLP, with respect to the laws of the United States, England &amp; Wales and Belgium. </w:t>
      </w:r>
    </w:p>
    <w:p w14:paraId="2D4D4D6D" w14:textId="77777777" w:rsidR="00F76607" w:rsidRDefault="001863F0">
      <w:pPr>
        <w:pStyle w:val="NormalWeb"/>
        <w:spacing w:before="240" w:beforeAutospacing="0" w:after="0" w:afterAutospacing="0"/>
        <w:rPr>
          <w:sz w:val="2"/>
          <w:szCs w:val="2"/>
        </w:rPr>
      </w:pPr>
      <w:r>
        <w:rPr>
          <w:sz w:val="2"/>
          <w:szCs w:val="2"/>
        </w:rPr>
        <w:t> </w:t>
      </w:r>
    </w:p>
    <w:p w14:paraId="09A0121D" w14:textId="77777777" w:rsidR="00F76607" w:rsidRDefault="001863F0">
      <w:pPr>
        <w:pStyle w:val="VulcanIISectionTitle"/>
      </w:pPr>
      <w:bookmarkStart w:id="99" w:name="_Toc493194627"/>
      <w:r>
        <w:lastRenderedPageBreak/>
        <w:t>Independent Auditors</w:t>
      </w:r>
      <w:bookmarkEnd w:id="99"/>
      <w:r>
        <w:t xml:space="preserve"> </w:t>
      </w:r>
    </w:p>
    <w:p w14:paraId="5CE388E6" w14:textId="77777777" w:rsidR="00F76607" w:rsidRDefault="001863F0">
      <w:pPr>
        <w:pStyle w:val="NormalWeb"/>
        <w:spacing w:before="240" w:beforeAutospacing="0" w:after="0" w:afterAutospacing="0"/>
        <w:ind w:firstLine="857"/>
        <w:rPr>
          <w:sz w:val="18"/>
          <w:szCs w:val="18"/>
        </w:rPr>
      </w:pPr>
      <w:r>
        <w:rPr>
          <w:sz w:val="18"/>
          <w:szCs w:val="18"/>
        </w:rPr>
        <w:t xml:space="preserve">The audited consolidated financial statements of VGP NV as of and for the years ended 31 December 2016, 31 December 2015, and 31 December 2014, all prepared in accordance with IFRS and included elsewhere in this Prospectus, have been audited by </w:t>
      </w:r>
      <w:r>
        <w:rPr>
          <w:sz w:val="18"/>
          <w:szCs w:val="18"/>
          <w:lang w:val="en-GB"/>
        </w:rPr>
        <w:t xml:space="preserve">Deloitte </w:t>
      </w:r>
      <w:proofErr w:type="spellStart"/>
      <w:r>
        <w:rPr>
          <w:sz w:val="18"/>
          <w:szCs w:val="18"/>
          <w:lang w:val="en-GB"/>
        </w:rPr>
        <w:t>Bedrijfsrevisoren</w:t>
      </w:r>
      <w:proofErr w:type="spellEnd"/>
      <w:r>
        <w:rPr>
          <w:sz w:val="18"/>
          <w:szCs w:val="18"/>
          <w:lang w:val="en-GB"/>
        </w:rPr>
        <w:t xml:space="preserve"> BV </w:t>
      </w:r>
      <w:proofErr w:type="spellStart"/>
      <w:r>
        <w:rPr>
          <w:sz w:val="18"/>
          <w:szCs w:val="18"/>
          <w:lang w:val="en-GB"/>
        </w:rPr>
        <w:t>o.v.v.e</w:t>
      </w:r>
      <w:proofErr w:type="spellEnd"/>
      <w:r>
        <w:rPr>
          <w:sz w:val="18"/>
          <w:szCs w:val="18"/>
          <w:lang w:val="en-GB"/>
        </w:rPr>
        <w:t>. CVBA, represented by Rik Neckebroeck (member of the “</w:t>
      </w:r>
      <w:proofErr w:type="spellStart"/>
      <w:r>
        <w:rPr>
          <w:i/>
          <w:sz w:val="18"/>
          <w:szCs w:val="18"/>
          <w:lang w:val="en-GB"/>
        </w:rPr>
        <w:t>Institut</w:t>
      </w:r>
      <w:proofErr w:type="spellEnd"/>
      <w:r>
        <w:rPr>
          <w:i/>
          <w:sz w:val="18"/>
          <w:szCs w:val="18"/>
          <w:lang w:val="en-GB"/>
        </w:rPr>
        <w:t xml:space="preserve"> des </w:t>
      </w:r>
      <w:proofErr w:type="spellStart"/>
      <w:r>
        <w:rPr>
          <w:i/>
          <w:sz w:val="18"/>
          <w:szCs w:val="18"/>
          <w:lang w:val="en-GB"/>
        </w:rPr>
        <w:t>Réviseurs</w:t>
      </w:r>
      <w:proofErr w:type="spellEnd"/>
      <w:r>
        <w:rPr>
          <w:i/>
          <w:sz w:val="18"/>
          <w:szCs w:val="18"/>
          <w:lang w:val="en-GB"/>
        </w:rPr>
        <w:t xml:space="preserve"> </w:t>
      </w:r>
      <w:proofErr w:type="spellStart"/>
      <w:r>
        <w:rPr>
          <w:i/>
          <w:sz w:val="18"/>
          <w:szCs w:val="18"/>
          <w:lang w:val="en-GB"/>
        </w:rPr>
        <w:t>d'Entreprises</w:t>
      </w:r>
      <w:proofErr w:type="spellEnd"/>
      <w:r>
        <w:rPr>
          <w:i/>
          <w:sz w:val="18"/>
          <w:szCs w:val="18"/>
          <w:lang w:val="en-GB"/>
        </w:rPr>
        <w:t>”</w:t>
      </w:r>
      <w:r>
        <w:rPr>
          <w:sz w:val="18"/>
          <w:szCs w:val="18"/>
          <w:lang w:val="en-GB"/>
        </w:rPr>
        <w:t xml:space="preserve"> / “</w:t>
      </w:r>
      <w:proofErr w:type="spellStart"/>
      <w:r>
        <w:rPr>
          <w:i/>
          <w:sz w:val="18"/>
          <w:szCs w:val="18"/>
          <w:lang w:val="en-GB"/>
        </w:rPr>
        <w:t>Instituut</w:t>
      </w:r>
      <w:proofErr w:type="spellEnd"/>
      <w:r>
        <w:rPr>
          <w:i/>
          <w:sz w:val="18"/>
          <w:szCs w:val="18"/>
          <w:lang w:val="en-GB"/>
        </w:rPr>
        <w:t xml:space="preserve"> der </w:t>
      </w:r>
      <w:proofErr w:type="spellStart"/>
      <w:r>
        <w:rPr>
          <w:i/>
          <w:sz w:val="18"/>
          <w:szCs w:val="18"/>
          <w:lang w:val="en-GB"/>
        </w:rPr>
        <w:t>Bedrijfsrevisoren</w:t>
      </w:r>
      <w:proofErr w:type="spellEnd"/>
      <w:r>
        <w:rPr>
          <w:i/>
          <w:sz w:val="18"/>
          <w:szCs w:val="18"/>
          <w:lang w:val="en-GB"/>
        </w:rPr>
        <w:t>”</w:t>
      </w:r>
      <w:r>
        <w:rPr>
          <w:sz w:val="18"/>
          <w:szCs w:val="18"/>
          <w:lang w:val="en-GB"/>
        </w:rPr>
        <w:t>)</w:t>
      </w:r>
      <w:r>
        <w:rPr>
          <w:sz w:val="18"/>
          <w:szCs w:val="18"/>
        </w:rPr>
        <w:t xml:space="preserve">. </w:t>
      </w:r>
    </w:p>
    <w:p w14:paraId="2007B965" w14:textId="77777777" w:rsidR="00F76607" w:rsidRDefault="001863F0">
      <w:pPr>
        <w:pStyle w:val="NormalWeb"/>
        <w:spacing w:before="240" w:beforeAutospacing="0" w:after="0" w:afterAutospacing="0"/>
        <w:rPr>
          <w:sz w:val="2"/>
          <w:szCs w:val="2"/>
        </w:rPr>
      </w:pPr>
      <w:r>
        <w:rPr>
          <w:sz w:val="2"/>
          <w:szCs w:val="2"/>
        </w:rPr>
        <w:t> </w:t>
      </w:r>
    </w:p>
    <w:p w14:paraId="6360295D" w14:textId="77777777" w:rsidR="00F76607" w:rsidRDefault="001863F0">
      <w:pPr>
        <w:pStyle w:val="VulcanIISectionTitle"/>
      </w:pPr>
      <w:bookmarkStart w:id="100" w:name="_Toc493194628"/>
      <w:r>
        <w:lastRenderedPageBreak/>
        <w:t>Certain Definitions</w:t>
      </w:r>
      <w:bookmarkEnd w:id="100"/>
      <w:r>
        <w:t xml:space="preserve"> </w:t>
      </w:r>
    </w:p>
    <w:p w14:paraId="7B1FAE2C" w14:textId="77777777" w:rsidR="00F76607" w:rsidRDefault="001863F0">
      <w:pPr>
        <w:pStyle w:val="NormalWeb"/>
        <w:keepNext/>
        <w:spacing w:before="240" w:beforeAutospacing="0" w:after="0" w:afterAutospacing="0"/>
        <w:ind w:firstLine="857"/>
      </w:pPr>
      <w:r>
        <w:rPr>
          <w:sz w:val="18"/>
          <w:szCs w:val="18"/>
        </w:rPr>
        <w:t xml:space="preserve">The following definitions apply throughout this Prospectus unless the context requires otherwise: </w:t>
      </w:r>
    </w:p>
    <w:p w14:paraId="0969C294" w14:textId="77777777" w:rsidR="00F76607" w:rsidRDefault="001863F0">
      <w:pPr>
        <w:pStyle w:val="NormalWeb"/>
        <w:keepNext/>
        <w:spacing w:before="0" w:beforeAutospacing="0" w:after="0" w:afterAutospacing="0"/>
        <w:rPr>
          <w:rFonts w:eastAsiaTheme="minorEastAsia"/>
        </w:rPr>
      </w:pPr>
      <w:r>
        <w:t> </w:t>
      </w:r>
    </w:p>
    <w:p w14:paraId="395A4D28" w14:textId="77777777" w:rsidR="00F76607" w:rsidRDefault="00F76607">
      <w:pPr>
        <w:pStyle w:val="NormalWeb"/>
        <w:keepNext/>
        <w:spacing w:before="0" w:beforeAutospacing="0" w:after="0" w:afterAutospacing="0"/>
        <w:rPr>
          <w:rFonts w:eastAsiaTheme="minorEastAsia"/>
        </w:rPr>
      </w:pPr>
    </w:p>
    <w:tbl>
      <w:tblPr>
        <w:tblStyle w:val="TableGrid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8"/>
        <w:gridCol w:w="5129"/>
      </w:tblGrid>
      <w:tr w:rsidR="00F76607" w14:paraId="3C488DB1" w14:textId="77777777">
        <w:tc>
          <w:tcPr>
            <w:tcW w:w="3518" w:type="dxa"/>
          </w:tcPr>
          <w:p w14:paraId="584EC382"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“2017 Bond”</w:t>
            </w:r>
          </w:p>
        </w:tc>
        <w:tc>
          <w:tcPr>
            <w:tcW w:w="5129" w:type="dxa"/>
          </w:tcPr>
          <w:p w14:paraId="60AF331B"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€ 75 million fixed rate bond which matured on 12 July 2017 and which carried a coupon of 5.15% per annum (and as was listed on the regulated market of Euronext Brussels with ISIN Code: BE0002201672 – Common Code: 094682118);</w:t>
            </w:r>
          </w:p>
        </w:tc>
      </w:tr>
      <w:tr w:rsidR="00F76607" w14:paraId="1BC13444" w14:textId="77777777">
        <w:tc>
          <w:tcPr>
            <w:tcW w:w="3518" w:type="dxa"/>
          </w:tcPr>
          <w:p w14:paraId="467094F2"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“2018 Bond”</w:t>
            </w:r>
          </w:p>
        </w:tc>
        <w:tc>
          <w:tcPr>
            <w:tcW w:w="5129" w:type="dxa"/>
          </w:tcPr>
          <w:p w14:paraId="680ED2FD"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€ 75 million fixed rate bond maturing on 6 December 2018 which carries a coupon of 5.10% per annum (listed on the regulated market of Euronext Brussels with ISIN Code: BE0002208743 – Common Code: 099582871);</w:t>
            </w:r>
          </w:p>
        </w:tc>
      </w:tr>
      <w:tr w:rsidR="00F76607" w14:paraId="28298893" w14:textId="77777777">
        <w:tc>
          <w:tcPr>
            <w:tcW w:w="3518" w:type="dxa"/>
          </w:tcPr>
          <w:p w14:paraId="5DFECDF2"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“2023 Bond”</w:t>
            </w:r>
          </w:p>
        </w:tc>
        <w:tc>
          <w:tcPr>
            <w:tcW w:w="5129" w:type="dxa"/>
          </w:tcPr>
          <w:p w14:paraId="132FB46E"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€ 225 million fixed rate bond maturing on 21 September 2023 which carries a coupon of 3.90% per annum (listed on the regulated market of Euronext Brussels with ISIN Code: BE0002258276 – Common Code: 148397694);</w:t>
            </w:r>
          </w:p>
        </w:tc>
      </w:tr>
      <w:tr w:rsidR="00F76607" w14:paraId="01432F64" w14:textId="77777777">
        <w:tc>
          <w:tcPr>
            <w:tcW w:w="3518" w:type="dxa"/>
          </w:tcPr>
          <w:p w14:paraId="5C69341C"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“2024 Bond”</w:t>
            </w:r>
          </w:p>
        </w:tc>
        <w:tc>
          <w:tcPr>
            <w:tcW w:w="5129" w:type="dxa"/>
          </w:tcPr>
          <w:p w14:paraId="4B0105AA"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€ 75 million fixed rated bond maturing on 6 July 2024 which carries a coupon of 3.25% per annum (listed on the regulated market of Euronext Brussels with ISIN Code:</w:t>
            </w:r>
            <w:r>
              <w:t xml:space="preserve"> </w:t>
            </w:r>
            <w:r>
              <w:rPr>
                <w:rFonts w:ascii="Times New Roman" w:hAnsi="Times New Roman" w:cs="Times New Roman"/>
                <w:sz w:val="18"/>
                <w:szCs w:val="18"/>
              </w:rPr>
              <w:t>BE0002287564 – Common Code: 163738783:</w:t>
            </w:r>
          </w:p>
        </w:tc>
      </w:tr>
      <w:tr w:rsidR="00F76607" w14:paraId="021CA34B" w14:textId="77777777">
        <w:tc>
          <w:tcPr>
            <w:tcW w:w="3518" w:type="dxa"/>
          </w:tcPr>
          <w:p w14:paraId="097DC0A2"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 xml:space="preserve">“2025 Bond” </w:t>
            </w:r>
          </w:p>
        </w:tc>
        <w:tc>
          <w:tcPr>
            <w:tcW w:w="5129" w:type="dxa"/>
          </w:tcPr>
          <w:p w14:paraId="3853CE43"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€ 80 million fixed rate bond maturing on 30 March 2025 which carries a coupon of 3.35% per annum (unlisted with ISIN Code: BE6294349194 – Common Code: 159049558);</w:t>
            </w:r>
          </w:p>
        </w:tc>
      </w:tr>
      <w:tr w:rsidR="00F76607" w14:paraId="0765FA9D" w14:textId="77777777">
        <w:tc>
          <w:tcPr>
            <w:tcW w:w="3518" w:type="dxa"/>
          </w:tcPr>
          <w:p w14:paraId="1FB11FDB"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“Accounting Standards”</w:t>
            </w:r>
          </w:p>
        </w:tc>
        <w:tc>
          <w:tcPr>
            <w:tcW w:w="5129" w:type="dxa"/>
          </w:tcPr>
          <w:p w14:paraId="691FE375"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the accounting standards that are generally accepted in Belgium, including IFRS, to the extent applicable to the relevant financial statements;</w:t>
            </w:r>
          </w:p>
        </w:tc>
      </w:tr>
      <w:tr w:rsidR="00F76607" w14:paraId="08DA546D" w14:textId="77777777">
        <w:tc>
          <w:tcPr>
            <w:tcW w:w="3518" w:type="dxa"/>
          </w:tcPr>
          <w:p w14:paraId="6E4C1D38"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“Aggregate Net Rental Income”</w:t>
            </w:r>
          </w:p>
        </w:tc>
        <w:tc>
          <w:tcPr>
            <w:tcW w:w="5129" w:type="dxa"/>
          </w:tcPr>
          <w:p w14:paraId="7909D26B"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the sum of any and all income of any member of the Group related to rent of its respective Project Buildings less the Rental Expenses;</w:t>
            </w:r>
          </w:p>
        </w:tc>
      </w:tr>
      <w:tr w:rsidR="00F76607" w14:paraId="19A4C084" w14:textId="77777777">
        <w:tc>
          <w:tcPr>
            <w:tcW w:w="3518" w:type="dxa"/>
          </w:tcPr>
          <w:p w14:paraId="3AE58F52"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“Allianz”</w:t>
            </w:r>
          </w:p>
        </w:tc>
        <w:tc>
          <w:tcPr>
            <w:tcW w:w="5129" w:type="dxa"/>
          </w:tcPr>
          <w:p w14:paraId="13B81FB3"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lang w:val="en-US"/>
              </w:rPr>
              <w:t xml:space="preserve">Allianz AZ Finance VII Luxembourg S.A., SAS Allianz </w:t>
            </w:r>
            <w:proofErr w:type="spellStart"/>
            <w:r>
              <w:rPr>
                <w:rFonts w:ascii="Times New Roman" w:hAnsi="Times New Roman" w:cs="Times New Roman"/>
                <w:sz w:val="18"/>
                <w:szCs w:val="18"/>
                <w:lang w:val="en-US"/>
              </w:rPr>
              <w:t>Logistique</w:t>
            </w:r>
            <w:proofErr w:type="spellEnd"/>
            <w:r>
              <w:rPr>
                <w:rFonts w:ascii="Times New Roman" w:hAnsi="Times New Roman" w:cs="Times New Roman"/>
                <w:sz w:val="18"/>
                <w:szCs w:val="18"/>
                <w:lang w:val="en-US"/>
              </w:rPr>
              <w:t xml:space="preserve"> S.A.S.U. and Allianz Benelux SA (all affiliated companies of Allianz Real Estate GmbH) taken together;</w:t>
            </w:r>
          </w:p>
        </w:tc>
      </w:tr>
      <w:tr w:rsidR="00F76607" w14:paraId="295F5ACA" w14:textId="77777777">
        <w:tc>
          <w:tcPr>
            <w:tcW w:w="3518" w:type="dxa"/>
          </w:tcPr>
          <w:p w14:paraId="607A3B0D"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“Annual Relevant Period”</w:t>
            </w:r>
          </w:p>
        </w:tc>
        <w:tc>
          <w:tcPr>
            <w:tcW w:w="5129" w:type="dxa"/>
          </w:tcPr>
          <w:p w14:paraId="4C385D47"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each period of 12 months ending on the last day of a financial year of the Company and each period of 12 months ending on the last day of the first half of the financial year of the Company;</w:t>
            </w:r>
          </w:p>
        </w:tc>
      </w:tr>
      <w:tr w:rsidR="00F76607" w14:paraId="5AEE734F" w14:textId="77777777">
        <w:tc>
          <w:tcPr>
            <w:tcW w:w="3518" w:type="dxa"/>
          </w:tcPr>
          <w:p w14:paraId="4A2AC3BC"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“Annual Financial Statements”</w:t>
            </w:r>
          </w:p>
        </w:tc>
        <w:tc>
          <w:tcPr>
            <w:tcW w:w="5129" w:type="dxa"/>
          </w:tcPr>
          <w:p w14:paraId="65A3E0A8"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w:t>
            </w:r>
            <w:r>
              <w:rPr>
                <w:rFonts w:ascii="Times New Roman" w:hAnsi="Times New Roman" w:cs="Times New Roman"/>
                <w:sz w:val="18"/>
                <w:szCs w:val="18"/>
                <w:lang w:val="en-US"/>
              </w:rPr>
              <w:t>he audited consolidated financial statements of the Company as of and for the years ended 31 December 2016, 2015 and 2014;</w:t>
            </w:r>
          </w:p>
        </w:tc>
      </w:tr>
      <w:tr w:rsidR="00F76607" w14:paraId="35FFDDAA" w14:textId="77777777">
        <w:tc>
          <w:tcPr>
            <w:tcW w:w="3518" w:type="dxa"/>
          </w:tcPr>
          <w:p w14:paraId="4805AB02"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 xml:space="preserve">“Annualised Committed Leases” </w:t>
            </w:r>
            <w:r>
              <w:rPr>
                <w:rFonts w:ascii="Times New Roman" w:hAnsi="Times New Roman" w:cs="Times New Roman"/>
                <w:sz w:val="18"/>
                <w:szCs w:val="18"/>
              </w:rPr>
              <w:t xml:space="preserve">or </w:t>
            </w:r>
            <w:r>
              <w:rPr>
                <w:rFonts w:ascii="Times New Roman" w:hAnsi="Times New Roman" w:cs="Times New Roman"/>
                <w:b/>
                <w:sz w:val="18"/>
                <w:szCs w:val="18"/>
              </w:rPr>
              <w:t>“Annualised Rent Income”</w:t>
            </w:r>
          </w:p>
        </w:tc>
        <w:tc>
          <w:tcPr>
            <w:tcW w:w="5129" w:type="dxa"/>
          </w:tcPr>
          <w:p w14:paraId="1C7E57ED"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annualised rent income generated or to be generated by executed lease – and future lease agreements;</w:t>
            </w:r>
          </w:p>
        </w:tc>
      </w:tr>
      <w:tr w:rsidR="00F76607" w14:paraId="1BF68E7C" w14:textId="77777777">
        <w:tc>
          <w:tcPr>
            <w:tcW w:w="3518" w:type="dxa"/>
          </w:tcPr>
          <w:p w14:paraId="33E78FEF"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“Articles of Association”</w:t>
            </w:r>
          </w:p>
        </w:tc>
        <w:tc>
          <w:tcPr>
            <w:tcW w:w="5129" w:type="dxa"/>
          </w:tcPr>
          <w:p w14:paraId="5589A11C"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articles of association of the Company;</w:t>
            </w:r>
          </w:p>
        </w:tc>
      </w:tr>
      <w:tr w:rsidR="00F76607" w14:paraId="7F441F75" w14:textId="77777777">
        <w:tc>
          <w:tcPr>
            <w:tcW w:w="3518" w:type="dxa"/>
          </w:tcPr>
          <w:p w14:paraId="5CC4E052" w14:textId="77777777" w:rsidR="00F76607" w:rsidRDefault="001863F0">
            <w:pPr>
              <w:pStyle w:val="ABody"/>
              <w:rPr>
                <w:rFonts w:ascii="Times New Roman" w:hAnsi="Times New Roman" w:cs="Times New Roman"/>
                <w:sz w:val="18"/>
                <w:szCs w:val="18"/>
              </w:rPr>
            </w:pPr>
            <w:r>
              <w:rPr>
                <w:rFonts w:ascii="Times New Roman" w:hAnsi="Times New Roman" w:cs="Times New Roman"/>
                <w:b/>
                <w:sz w:val="18"/>
                <w:szCs w:val="18"/>
              </w:rPr>
              <w:t>“Associate”</w:t>
            </w:r>
          </w:p>
        </w:tc>
        <w:tc>
          <w:tcPr>
            <w:tcW w:w="5129" w:type="dxa"/>
          </w:tcPr>
          <w:p w14:paraId="07DE8940"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VGP MISV Comm. VA in which the Company holds 43.23%;</w:t>
            </w:r>
          </w:p>
        </w:tc>
      </w:tr>
      <w:tr w:rsidR="00F76607" w14:paraId="61B2A4E3" w14:textId="77777777">
        <w:tc>
          <w:tcPr>
            <w:tcW w:w="3518" w:type="dxa"/>
          </w:tcPr>
          <w:p w14:paraId="7377C915"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“Audit Committee”</w:t>
            </w:r>
          </w:p>
        </w:tc>
        <w:tc>
          <w:tcPr>
            <w:tcW w:w="5129" w:type="dxa"/>
          </w:tcPr>
          <w:p w14:paraId="556A14F4"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lang w:val="en-US"/>
              </w:rPr>
              <w:t>the audit committee of the Company supervising among others the integrity of the financial information provided by the Company;</w:t>
            </w:r>
          </w:p>
        </w:tc>
      </w:tr>
      <w:tr w:rsidR="00F76607" w14:paraId="4433A20C" w14:textId="77777777">
        <w:tc>
          <w:tcPr>
            <w:tcW w:w="3518" w:type="dxa"/>
          </w:tcPr>
          <w:p w14:paraId="1D6C86E9"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“Auditor”</w:t>
            </w:r>
          </w:p>
        </w:tc>
        <w:tc>
          <w:tcPr>
            <w:tcW w:w="5129" w:type="dxa"/>
          </w:tcPr>
          <w:p w14:paraId="67806871"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 xml:space="preserve">DELOITTE </w:t>
            </w:r>
            <w:proofErr w:type="spellStart"/>
            <w:r>
              <w:rPr>
                <w:rFonts w:ascii="Times New Roman" w:hAnsi="Times New Roman" w:cs="Times New Roman"/>
                <w:sz w:val="18"/>
                <w:szCs w:val="18"/>
              </w:rPr>
              <w:t>Bedrijfsrevisoren</w:t>
            </w:r>
            <w:proofErr w:type="spellEnd"/>
            <w:r>
              <w:rPr>
                <w:rFonts w:ascii="Times New Roman" w:hAnsi="Times New Roman" w:cs="Times New Roman"/>
                <w:sz w:val="18"/>
                <w:szCs w:val="18"/>
              </w:rPr>
              <w:t xml:space="preserve"> BV </w:t>
            </w:r>
            <w:proofErr w:type="spellStart"/>
            <w:r>
              <w:rPr>
                <w:rFonts w:ascii="Times New Roman" w:hAnsi="Times New Roman" w:cs="Times New Roman"/>
                <w:sz w:val="18"/>
                <w:szCs w:val="18"/>
              </w:rPr>
              <w:t>o.v.v.e</w:t>
            </w:r>
            <w:proofErr w:type="spellEnd"/>
            <w:r>
              <w:rPr>
                <w:rFonts w:ascii="Times New Roman" w:hAnsi="Times New Roman" w:cs="Times New Roman"/>
                <w:sz w:val="18"/>
                <w:szCs w:val="18"/>
              </w:rPr>
              <w:t xml:space="preserve">. CVBA, with registered office at Gateway Building, </w:t>
            </w:r>
            <w:proofErr w:type="spellStart"/>
            <w:r>
              <w:rPr>
                <w:rFonts w:ascii="Times New Roman" w:hAnsi="Times New Roman" w:cs="Times New Roman"/>
                <w:sz w:val="18"/>
                <w:szCs w:val="18"/>
              </w:rPr>
              <w:t>Luchthaven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Nationaal</w:t>
            </w:r>
            <w:proofErr w:type="spellEnd"/>
            <w:r>
              <w:rPr>
                <w:rFonts w:ascii="Times New Roman" w:hAnsi="Times New Roman" w:cs="Times New Roman"/>
                <w:sz w:val="18"/>
                <w:szCs w:val="18"/>
              </w:rPr>
              <w:t xml:space="preserve"> 1 J, 1930 </w:t>
            </w:r>
            <w:proofErr w:type="spellStart"/>
            <w:r>
              <w:rPr>
                <w:rFonts w:ascii="Times New Roman" w:hAnsi="Times New Roman" w:cs="Times New Roman"/>
                <w:sz w:val="18"/>
                <w:szCs w:val="18"/>
              </w:rPr>
              <w:t>Zaventem</w:t>
            </w:r>
            <w:proofErr w:type="spellEnd"/>
            <w:r>
              <w:rPr>
                <w:rFonts w:ascii="Times New Roman" w:hAnsi="Times New Roman" w:cs="Times New Roman"/>
                <w:sz w:val="18"/>
                <w:szCs w:val="18"/>
              </w:rPr>
              <w:t>, Belgium, represented by Mr Rik Neckebroeck (or such auditor or statutory auditor of the Company as may be appointed from time to time);</w:t>
            </w:r>
          </w:p>
        </w:tc>
      </w:tr>
      <w:tr w:rsidR="00F76607" w14:paraId="0390EE7E" w14:textId="77777777">
        <w:tc>
          <w:tcPr>
            <w:tcW w:w="3518" w:type="dxa"/>
          </w:tcPr>
          <w:p w14:paraId="0BDC8EE3"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“Belfius”</w:t>
            </w:r>
          </w:p>
        </w:tc>
        <w:tc>
          <w:tcPr>
            <w:tcW w:w="5129" w:type="dxa"/>
          </w:tcPr>
          <w:p w14:paraId="27625CDA"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 xml:space="preserve">Belfius Bank NV; </w:t>
            </w:r>
          </w:p>
        </w:tc>
      </w:tr>
      <w:tr w:rsidR="00F76607" w14:paraId="4A9951E2" w14:textId="77777777">
        <w:tc>
          <w:tcPr>
            <w:tcW w:w="3518" w:type="dxa"/>
          </w:tcPr>
          <w:p w14:paraId="6A19FC56"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lastRenderedPageBreak/>
              <w:t>“Belgian Company Code”</w:t>
            </w:r>
          </w:p>
        </w:tc>
        <w:tc>
          <w:tcPr>
            <w:tcW w:w="5129" w:type="dxa"/>
          </w:tcPr>
          <w:p w14:paraId="01F261A9"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the Belgian Company Code (</w:t>
            </w:r>
            <w:proofErr w:type="spellStart"/>
            <w:r>
              <w:rPr>
                <w:rFonts w:ascii="Times New Roman" w:hAnsi="Times New Roman" w:cs="Times New Roman"/>
                <w:i/>
                <w:sz w:val="18"/>
                <w:szCs w:val="18"/>
              </w:rPr>
              <w:t>Wetboek</w:t>
            </w:r>
            <w:proofErr w:type="spellEnd"/>
            <w:r>
              <w:rPr>
                <w:rFonts w:ascii="Times New Roman" w:hAnsi="Times New Roman" w:cs="Times New Roman"/>
                <w:i/>
                <w:sz w:val="18"/>
                <w:szCs w:val="18"/>
              </w:rPr>
              <w:t xml:space="preserve"> van </w:t>
            </w:r>
            <w:proofErr w:type="spellStart"/>
            <w:r>
              <w:rPr>
                <w:rFonts w:ascii="Times New Roman" w:hAnsi="Times New Roman" w:cs="Times New Roman"/>
                <w:i/>
                <w:sz w:val="18"/>
                <w:szCs w:val="18"/>
              </w:rPr>
              <w:t>Vennootschappen</w:t>
            </w:r>
            <w:proofErr w:type="spellEnd"/>
            <w:r>
              <w:rPr>
                <w:rFonts w:ascii="Times New Roman" w:hAnsi="Times New Roman" w:cs="Times New Roman"/>
                <w:sz w:val="18"/>
                <w:szCs w:val="18"/>
              </w:rPr>
              <w:t xml:space="preserve"> / </w:t>
            </w:r>
            <w:r>
              <w:rPr>
                <w:rFonts w:ascii="Times New Roman" w:hAnsi="Times New Roman" w:cs="Times New Roman"/>
                <w:i/>
                <w:sz w:val="18"/>
                <w:szCs w:val="18"/>
              </w:rPr>
              <w:t xml:space="preserve">Code des </w:t>
            </w:r>
            <w:proofErr w:type="spellStart"/>
            <w:r>
              <w:rPr>
                <w:rFonts w:ascii="Times New Roman" w:hAnsi="Times New Roman" w:cs="Times New Roman"/>
                <w:i/>
                <w:sz w:val="18"/>
                <w:szCs w:val="18"/>
              </w:rPr>
              <w:t>Sociétés</w:t>
            </w:r>
            <w:proofErr w:type="spellEnd"/>
            <w:r>
              <w:rPr>
                <w:rFonts w:ascii="Times New Roman" w:hAnsi="Times New Roman" w:cs="Times New Roman"/>
                <w:sz w:val="18"/>
                <w:szCs w:val="18"/>
              </w:rPr>
              <w:t>);</w:t>
            </w:r>
          </w:p>
        </w:tc>
      </w:tr>
      <w:tr w:rsidR="00F76607" w14:paraId="592FD53E" w14:textId="77777777">
        <w:tc>
          <w:tcPr>
            <w:tcW w:w="3518" w:type="dxa"/>
          </w:tcPr>
          <w:p w14:paraId="76E71B80"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 xml:space="preserve">“Belgian Corporate Governance Code” </w:t>
            </w:r>
          </w:p>
        </w:tc>
        <w:tc>
          <w:tcPr>
            <w:tcW w:w="5129" w:type="dxa"/>
          </w:tcPr>
          <w:p w14:paraId="1B16EA86"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lang w:val="en-US"/>
              </w:rPr>
              <w:t>means the code d</w:t>
            </w:r>
            <w:proofErr w:type="spellStart"/>
            <w:r>
              <w:rPr>
                <w:rFonts w:ascii="Times New Roman" w:hAnsi="Times New Roman" w:cs="Times New Roman"/>
                <w:sz w:val="18"/>
                <w:szCs w:val="18"/>
              </w:rPr>
              <w:t>rawn</w:t>
            </w:r>
            <w:proofErr w:type="spellEnd"/>
            <w:r>
              <w:rPr>
                <w:rFonts w:ascii="Times New Roman" w:hAnsi="Times New Roman" w:cs="Times New Roman"/>
                <w:sz w:val="18"/>
                <w:szCs w:val="18"/>
              </w:rPr>
              <w:t xml:space="preserve"> up by the Corporate Governance Commission and including the governance practices and provisions to be met by companies under Belgian law which shares are listed on a regulated market;</w:t>
            </w:r>
          </w:p>
        </w:tc>
      </w:tr>
      <w:tr w:rsidR="00F76607" w14:paraId="5121CC64" w14:textId="77777777">
        <w:tc>
          <w:tcPr>
            <w:tcW w:w="3518" w:type="dxa"/>
          </w:tcPr>
          <w:p w14:paraId="1B149F11" w14:textId="77777777" w:rsidR="00F76607" w:rsidRDefault="001863F0">
            <w:pPr>
              <w:pStyle w:val="ABody"/>
              <w:rPr>
                <w:rFonts w:ascii="Times New Roman" w:hAnsi="Times New Roman" w:cs="Times New Roman"/>
                <w:b/>
                <w:sz w:val="18"/>
                <w:szCs w:val="18"/>
              </w:rPr>
            </w:pPr>
            <w:r>
              <w:rPr>
                <w:rFonts w:ascii="Times New Roman" w:hAnsi="Times New Roman" w:cs="Times New Roman"/>
                <w:b/>
                <w:bCs/>
                <w:sz w:val="18"/>
                <w:szCs w:val="18"/>
              </w:rPr>
              <w:t xml:space="preserve">“Belgian Investor” </w:t>
            </w:r>
          </w:p>
        </w:tc>
        <w:tc>
          <w:tcPr>
            <w:tcW w:w="5129" w:type="dxa"/>
          </w:tcPr>
          <w:p w14:paraId="0127061A"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either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private individuals with habitual residence in Belgium, or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legal entities for the account of their seat or establishment in Belgium;</w:t>
            </w:r>
          </w:p>
        </w:tc>
      </w:tr>
      <w:tr w:rsidR="00F76607" w14:paraId="463D2939" w14:textId="77777777">
        <w:tc>
          <w:tcPr>
            <w:tcW w:w="3518" w:type="dxa"/>
          </w:tcPr>
          <w:p w14:paraId="18AAF3F8" w14:textId="77777777" w:rsidR="00F76607" w:rsidRDefault="001863F0">
            <w:pPr>
              <w:pStyle w:val="ABody"/>
              <w:rPr>
                <w:rFonts w:ascii="Times New Roman" w:hAnsi="Times New Roman" w:cs="Times New Roman"/>
                <w:b/>
                <w:bCs/>
                <w:sz w:val="18"/>
                <w:szCs w:val="18"/>
              </w:rPr>
            </w:pPr>
            <w:r>
              <w:rPr>
                <w:rFonts w:ascii="Times New Roman" w:hAnsi="Times New Roman" w:cs="Times New Roman"/>
                <w:b/>
                <w:bCs/>
                <w:sz w:val="18"/>
                <w:szCs w:val="18"/>
              </w:rPr>
              <w:t>“Belgian Offering”</w:t>
            </w:r>
          </w:p>
        </w:tc>
        <w:tc>
          <w:tcPr>
            <w:tcW w:w="5129" w:type="dxa"/>
          </w:tcPr>
          <w:p w14:paraId="715E35A7" w14:textId="48758188"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 xml:space="preserve">the </w:t>
            </w:r>
            <w:r w:rsidR="005A6542">
              <w:rPr>
                <w:rFonts w:ascii="Times New Roman" w:hAnsi="Times New Roman" w:cs="Times New Roman"/>
                <w:sz w:val="18"/>
                <w:szCs w:val="18"/>
              </w:rPr>
              <w:t>secondary</w:t>
            </w:r>
            <w:r>
              <w:rPr>
                <w:rFonts w:ascii="Times New Roman" w:hAnsi="Times New Roman" w:cs="Times New Roman"/>
                <w:sz w:val="18"/>
                <w:szCs w:val="18"/>
              </w:rPr>
              <w:t xml:space="preserve"> public offering to retail and institutional investors in Belgium;</w:t>
            </w:r>
          </w:p>
        </w:tc>
      </w:tr>
      <w:tr w:rsidR="00F76607" w14:paraId="49B4C3AA" w14:textId="77777777">
        <w:tc>
          <w:tcPr>
            <w:tcW w:w="3518" w:type="dxa"/>
          </w:tcPr>
          <w:tbl>
            <w:tblPr>
              <w:tblW w:w="5000" w:type="pct"/>
              <w:tblCellMar>
                <w:left w:w="0" w:type="dxa"/>
                <w:right w:w="0" w:type="dxa"/>
              </w:tblCellMar>
              <w:tblLook w:val="04A0" w:firstRow="1" w:lastRow="0" w:firstColumn="1" w:lastColumn="0" w:noHBand="0" w:noVBand="1"/>
            </w:tblPr>
            <w:tblGrid>
              <w:gridCol w:w="1255"/>
              <w:gridCol w:w="2047"/>
            </w:tblGrid>
            <w:tr w:rsidR="00F76607" w14:paraId="5DF38BCE" w14:textId="77777777">
              <w:tc>
                <w:tcPr>
                  <w:tcW w:w="1900" w:type="pct"/>
                  <w:hideMark/>
                </w:tcPr>
                <w:p w14:paraId="33635CBB" w14:textId="77777777" w:rsidR="00F76607" w:rsidRDefault="001863F0">
                  <w:pPr>
                    <w:pStyle w:val="ABody"/>
                    <w:rPr>
                      <w:rFonts w:ascii="Times New Roman" w:eastAsiaTheme="minorHAnsi" w:hAnsi="Times New Roman" w:cs="Times New Roman"/>
                      <w:bCs/>
                      <w:sz w:val="18"/>
                      <w:szCs w:val="18"/>
                    </w:rPr>
                  </w:pPr>
                  <w:r>
                    <w:rPr>
                      <w:rFonts w:ascii="Times New Roman" w:eastAsiaTheme="minorHAnsi" w:hAnsi="Times New Roman" w:cs="Times New Roman"/>
                      <w:bCs/>
                      <w:sz w:val="18"/>
                      <w:szCs w:val="18"/>
                    </w:rPr>
                    <w:t>“</w:t>
                  </w:r>
                  <w:r>
                    <w:rPr>
                      <w:rFonts w:ascii="Times New Roman" w:eastAsiaTheme="minorHAnsi" w:hAnsi="Times New Roman" w:cs="Times New Roman"/>
                      <w:b/>
                      <w:bCs/>
                      <w:sz w:val="18"/>
                      <w:szCs w:val="18"/>
                    </w:rPr>
                    <w:t>Benelux</w:t>
                  </w:r>
                  <w:r>
                    <w:rPr>
                      <w:rFonts w:ascii="Times New Roman" w:eastAsiaTheme="minorHAnsi" w:hAnsi="Times New Roman" w:cs="Times New Roman"/>
                      <w:bCs/>
                      <w:sz w:val="18"/>
                      <w:szCs w:val="18"/>
                    </w:rPr>
                    <w:t xml:space="preserve">” </w:t>
                  </w:r>
                </w:p>
              </w:tc>
              <w:tc>
                <w:tcPr>
                  <w:tcW w:w="0" w:type="auto"/>
                  <w:hideMark/>
                </w:tcPr>
                <w:p w14:paraId="05E9306D" w14:textId="77777777" w:rsidR="00F76607" w:rsidRDefault="00F76607">
                  <w:pPr>
                    <w:pStyle w:val="ABody"/>
                    <w:rPr>
                      <w:rFonts w:ascii="Times New Roman" w:eastAsiaTheme="minorHAnsi" w:hAnsi="Times New Roman" w:cs="Times New Roman"/>
                      <w:bCs/>
                      <w:sz w:val="18"/>
                      <w:szCs w:val="18"/>
                    </w:rPr>
                  </w:pPr>
                </w:p>
              </w:tc>
            </w:tr>
          </w:tbl>
          <w:p w14:paraId="63473F3E" w14:textId="77777777" w:rsidR="00F76607" w:rsidRDefault="00F76607">
            <w:pPr>
              <w:pStyle w:val="ABody"/>
              <w:rPr>
                <w:rFonts w:ascii="Times New Roman" w:hAnsi="Times New Roman" w:cs="Times New Roman"/>
                <w:bCs/>
                <w:sz w:val="18"/>
                <w:szCs w:val="18"/>
              </w:rPr>
            </w:pPr>
          </w:p>
        </w:tc>
        <w:tc>
          <w:tcPr>
            <w:tcW w:w="5129" w:type="dxa"/>
          </w:tcPr>
          <w:p w14:paraId="3F520C75" w14:textId="77777777" w:rsidR="00F76607" w:rsidRDefault="001863F0">
            <w:pPr>
              <w:pStyle w:val="ABody"/>
              <w:rPr>
                <w:rFonts w:ascii="Times New Roman" w:hAnsi="Times New Roman" w:cs="Times New Roman"/>
                <w:sz w:val="18"/>
                <w:szCs w:val="18"/>
              </w:rPr>
            </w:pPr>
            <w:r>
              <w:rPr>
                <w:rFonts w:ascii="Times New Roman" w:hAnsi="Times New Roman" w:cs="Times New Roman"/>
                <w:bCs/>
                <w:sz w:val="18"/>
                <w:szCs w:val="18"/>
                <w:lang w:val="en-US"/>
              </w:rPr>
              <w:t>Belgium, the Netherlands and Luxembourg;</w:t>
            </w:r>
          </w:p>
        </w:tc>
      </w:tr>
      <w:tr w:rsidR="00F76607" w14:paraId="681BF1B7" w14:textId="77777777">
        <w:tc>
          <w:tcPr>
            <w:tcW w:w="3518" w:type="dxa"/>
          </w:tcPr>
          <w:p w14:paraId="36C31E76"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“BITC 1992”</w:t>
            </w:r>
          </w:p>
        </w:tc>
        <w:tc>
          <w:tcPr>
            <w:tcW w:w="5129" w:type="dxa"/>
          </w:tcPr>
          <w:p w14:paraId="76745634"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the Belgian code on income tax of 1992 (</w:t>
            </w:r>
            <w:r>
              <w:rPr>
                <w:rFonts w:ascii="Times New Roman" w:hAnsi="Times New Roman" w:cs="Times New Roman"/>
                <w:i/>
                <w:sz w:val="18"/>
                <w:szCs w:val="18"/>
              </w:rPr>
              <w:t xml:space="preserve">code des </w:t>
            </w:r>
            <w:proofErr w:type="spellStart"/>
            <w:r>
              <w:rPr>
                <w:rFonts w:ascii="Times New Roman" w:hAnsi="Times New Roman" w:cs="Times New Roman"/>
                <w:i/>
                <w:sz w:val="18"/>
                <w:szCs w:val="18"/>
              </w:rPr>
              <w:t>impôts</w:t>
            </w:r>
            <w:proofErr w:type="spellEnd"/>
            <w:r>
              <w:rPr>
                <w:rFonts w:ascii="Times New Roman" w:hAnsi="Times New Roman" w:cs="Times New Roman"/>
                <w:i/>
                <w:sz w:val="18"/>
                <w:szCs w:val="18"/>
              </w:rPr>
              <w:t xml:space="preserve"> sur les </w:t>
            </w:r>
            <w:proofErr w:type="spellStart"/>
            <w:r>
              <w:rPr>
                <w:rFonts w:ascii="Times New Roman" w:hAnsi="Times New Roman" w:cs="Times New Roman"/>
                <w:i/>
                <w:sz w:val="18"/>
                <w:szCs w:val="18"/>
              </w:rPr>
              <w:t>revenus</w:t>
            </w:r>
            <w:proofErr w:type="spellEnd"/>
            <w:r>
              <w:rPr>
                <w:rFonts w:ascii="Times New Roman" w:hAnsi="Times New Roman" w:cs="Times New Roman"/>
                <w:i/>
                <w:sz w:val="18"/>
                <w:szCs w:val="18"/>
              </w:rPr>
              <w:t xml:space="preserve"> 1992 </w:t>
            </w:r>
            <w:r>
              <w:rPr>
                <w:rFonts w:ascii="Times New Roman" w:hAnsi="Times New Roman" w:cs="Times New Roman"/>
                <w:sz w:val="18"/>
                <w:szCs w:val="18"/>
              </w:rPr>
              <w:t xml:space="preserve">/ </w:t>
            </w:r>
            <w:proofErr w:type="spellStart"/>
            <w:r>
              <w:rPr>
                <w:rFonts w:ascii="Times New Roman" w:hAnsi="Times New Roman" w:cs="Times New Roman"/>
                <w:i/>
                <w:sz w:val="18"/>
                <w:szCs w:val="18"/>
              </w:rPr>
              <w:t>wetboek</w:t>
            </w:r>
            <w:proofErr w:type="spellEnd"/>
            <w:r>
              <w:rPr>
                <w:rFonts w:ascii="Times New Roman" w:hAnsi="Times New Roman" w:cs="Times New Roman"/>
                <w:i/>
                <w:sz w:val="18"/>
                <w:szCs w:val="18"/>
              </w:rPr>
              <w:t xml:space="preserve"> van de </w:t>
            </w:r>
            <w:proofErr w:type="spellStart"/>
            <w:r>
              <w:rPr>
                <w:rFonts w:ascii="Times New Roman" w:hAnsi="Times New Roman" w:cs="Times New Roman"/>
                <w:i/>
                <w:sz w:val="18"/>
                <w:szCs w:val="18"/>
              </w:rPr>
              <w:t>inkomstenbelastingen</w:t>
            </w:r>
            <w:proofErr w:type="spellEnd"/>
            <w:r>
              <w:rPr>
                <w:rFonts w:ascii="Times New Roman" w:hAnsi="Times New Roman" w:cs="Times New Roman"/>
                <w:i/>
                <w:sz w:val="18"/>
                <w:szCs w:val="18"/>
              </w:rPr>
              <w:t xml:space="preserve"> 1992);</w:t>
            </w:r>
          </w:p>
        </w:tc>
      </w:tr>
      <w:tr w:rsidR="00F76607" w14:paraId="4DE0D3B2" w14:textId="77777777">
        <w:tc>
          <w:tcPr>
            <w:tcW w:w="3518" w:type="dxa"/>
          </w:tcPr>
          <w:p w14:paraId="1314D7D1"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 xml:space="preserve">“Board” </w:t>
            </w:r>
            <w:r>
              <w:rPr>
                <w:rFonts w:ascii="Times New Roman" w:hAnsi="Times New Roman" w:cs="Times New Roman"/>
                <w:sz w:val="18"/>
                <w:szCs w:val="18"/>
                <w:lang w:val="en-US"/>
              </w:rPr>
              <w:t>or “</w:t>
            </w:r>
            <w:r>
              <w:rPr>
                <w:rFonts w:ascii="Times New Roman" w:hAnsi="Times New Roman" w:cs="Times New Roman"/>
                <w:b/>
                <w:sz w:val="18"/>
                <w:szCs w:val="18"/>
                <w:lang w:val="en-US"/>
              </w:rPr>
              <w:t>Board of Directors”</w:t>
            </w:r>
          </w:p>
        </w:tc>
        <w:tc>
          <w:tcPr>
            <w:tcW w:w="5129" w:type="dxa"/>
          </w:tcPr>
          <w:p w14:paraId="21A83AB4"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the board of directors of the Company or any committee thereof duly authorised to act on behalf of the board of directors;</w:t>
            </w:r>
          </w:p>
        </w:tc>
      </w:tr>
      <w:tr w:rsidR="00F76607" w14:paraId="3E877E4E" w14:textId="77777777">
        <w:tc>
          <w:tcPr>
            <w:tcW w:w="3518" w:type="dxa"/>
          </w:tcPr>
          <w:p w14:paraId="4526385E"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 xml:space="preserve">“CAGR” </w:t>
            </w:r>
          </w:p>
        </w:tc>
        <w:tc>
          <w:tcPr>
            <w:tcW w:w="5129" w:type="dxa"/>
          </w:tcPr>
          <w:p w14:paraId="664D4CC8"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compounded annual growth rate;</w:t>
            </w:r>
          </w:p>
        </w:tc>
      </w:tr>
      <w:tr w:rsidR="00F76607" w14:paraId="3B7DA9D7" w14:textId="77777777">
        <w:tc>
          <w:tcPr>
            <w:tcW w:w="3518" w:type="dxa"/>
          </w:tcPr>
          <w:p w14:paraId="6F055485"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 xml:space="preserve">“Cash” </w:t>
            </w:r>
            <w:r>
              <w:rPr>
                <w:rFonts w:ascii="Times New Roman" w:hAnsi="Times New Roman" w:cs="Times New Roman"/>
                <w:sz w:val="18"/>
                <w:szCs w:val="18"/>
                <w:lang w:val="en-US"/>
              </w:rPr>
              <w:t>or</w:t>
            </w:r>
            <w:r>
              <w:rPr>
                <w:rFonts w:ascii="Times New Roman" w:hAnsi="Times New Roman" w:cs="Times New Roman"/>
                <w:b/>
                <w:sz w:val="18"/>
                <w:szCs w:val="18"/>
                <w:lang w:val="en-US"/>
              </w:rPr>
              <w:t xml:space="preserve"> “Cash Equivalents”</w:t>
            </w:r>
          </w:p>
        </w:tc>
        <w:tc>
          <w:tcPr>
            <w:tcW w:w="5129" w:type="dxa"/>
          </w:tcPr>
          <w:p w14:paraId="3A885885" w14:textId="77777777" w:rsidR="00F76607" w:rsidRDefault="001863F0">
            <w:pPr>
              <w:pStyle w:val="ASpecialLowerCaseAlpha2"/>
              <w:rPr>
                <w:rFonts w:ascii="Times New Roman" w:hAnsi="Times New Roman" w:cs="Times New Roman"/>
                <w:sz w:val="18"/>
                <w:szCs w:val="18"/>
              </w:rPr>
            </w:pPr>
            <w:r>
              <w:rPr>
                <w:rFonts w:ascii="Times New Roman" w:hAnsi="Times New Roman" w:cs="Times New Roman"/>
                <w:sz w:val="18"/>
                <w:szCs w:val="18"/>
              </w:rPr>
              <w:t>any cash at hand or on a deposit that is callable on first demand; and</w:t>
            </w:r>
          </w:p>
          <w:p w14:paraId="1BB8B6DE" w14:textId="77777777" w:rsidR="00F76607" w:rsidRDefault="001863F0">
            <w:pPr>
              <w:pStyle w:val="ASpecialLowerCaseAlpha2"/>
              <w:numPr>
                <w:ilvl w:val="0"/>
                <w:numId w:val="49"/>
              </w:numPr>
              <w:rPr>
                <w:rFonts w:ascii="Times New Roman" w:hAnsi="Times New Roman" w:cs="Times New Roman"/>
                <w:sz w:val="18"/>
                <w:szCs w:val="18"/>
              </w:rPr>
            </w:pPr>
            <w:r>
              <w:rPr>
                <w:rFonts w:ascii="Times New Roman" w:hAnsi="Times New Roman" w:cs="Times New Roman"/>
                <w:sz w:val="18"/>
                <w:szCs w:val="18"/>
              </w:rPr>
              <w:t>highly liquid financial instruments that are easily convertible into cash, for which a recognised trading market exists, and which are not issued or guaranteed by any member of the Group or subject to any Security,</w:t>
            </w:r>
          </w:p>
          <w:p w14:paraId="184C203E"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which in both cases (a) and (b) are freely available for the repayment of any Financial Indebtedness and are held by any member of the Group, and shall exclude restricted or unavailable cash;</w:t>
            </w:r>
          </w:p>
        </w:tc>
      </w:tr>
      <w:tr w:rsidR="00F76607" w14:paraId="3E3C597B" w14:textId="77777777">
        <w:tc>
          <w:tcPr>
            <w:tcW w:w="3518" w:type="dxa"/>
          </w:tcPr>
          <w:p w14:paraId="5EE9633D"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“Cash Available for Debt Service”</w:t>
            </w:r>
          </w:p>
        </w:tc>
        <w:tc>
          <w:tcPr>
            <w:tcW w:w="5129" w:type="dxa"/>
          </w:tcPr>
          <w:p w14:paraId="3A90F599"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for any Annual Relevant Period:</w:t>
            </w:r>
          </w:p>
          <w:p w14:paraId="662AD1A3" w14:textId="77777777" w:rsidR="00F76607" w:rsidRDefault="001863F0">
            <w:pPr>
              <w:pStyle w:val="ASpecialLowerCaseAlpha2"/>
              <w:numPr>
                <w:ilvl w:val="0"/>
                <w:numId w:val="62"/>
              </w:numPr>
              <w:rPr>
                <w:rFonts w:ascii="Times New Roman" w:hAnsi="Times New Roman" w:cs="Times New Roman"/>
                <w:sz w:val="18"/>
                <w:szCs w:val="18"/>
              </w:rPr>
            </w:pPr>
            <w:r>
              <w:rPr>
                <w:rFonts w:ascii="Times New Roman" w:hAnsi="Times New Roman" w:cs="Times New Roman"/>
                <w:sz w:val="18"/>
                <w:szCs w:val="18"/>
              </w:rPr>
              <w:t>after tax profit of the Company earned in the relevant Annual Relevant Period;</w:t>
            </w:r>
          </w:p>
          <w:p w14:paraId="13B93901" w14:textId="77777777" w:rsidR="00F76607" w:rsidRDefault="001863F0">
            <w:pPr>
              <w:pStyle w:val="ASpecialLowerCaseAlpha2"/>
              <w:numPr>
                <w:ilvl w:val="0"/>
                <w:numId w:val="62"/>
              </w:numPr>
              <w:rPr>
                <w:rFonts w:ascii="Times New Roman" w:hAnsi="Times New Roman" w:cs="Times New Roman"/>
                <w:sz w:val="18"/>
                <w:szCs w:val="18"/>
              </w:rPr>
            </w:pPr>
            <w:r>
              <w:rPr>
                <w:rFonts w:ascii="Times New Roman" w:hAnsi="Times New Roman" w:cs="Times New Roman"/>
                <w:b/>
                <w:sz w:val="18"/>
                <w:szCs w:val="18"/>
              </w:rPr>
              <w:t>plus</w:t>
            </w:r>
            <w:r>
              <w:rPr>
                <w:rFonts w:ascii="Times New Roman" w:hAnsi="Times New Roman" w:cs="Times New Roman"/>
                <w:sz w:val="18"/>
                <w:szCs w:val="18"/>
              </w:rPr>
              <w:t xml:space="preserve"> any interest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accounted for but unpaid or (ii) accounted for and paid by all members of the Group under the subordinated Financial Indebtedness provided for by the Company during the relevant Annual Relevant Period;</w:t>
            </w:r>
          </w:p>
          <w:p w14:paraId="43CC8639" w14:textId="77777777" w:rsidR="00F76607" w:rsidRDefault="001863F0">
            <w:pPr>
              <w:pStyle w:val="ASpecialLowerCaseAlpha2"/>
              <w:numPr>
                <w:ilvl w:val="0"/>
                <w:numId w:val="62"/>
              </w:numPr>
              <w:rPr>
                <w:rFonts w:ascii="Times New Roman" w:hAnsi="Times New Roman" w:cs="Times New Roman"/>
                <w:sz w:val="18"/>
                <w:szCs w:val="18"/>
              </w:rPr>
            </w:pPr>
            <w:r>
              <w:rPr>
                <w:rFonts w:ascii="Times New Roman" w:hAnsi="Times New Roman" w:cs="Times New Roman"/>
                <w:b/>
                <w:sz w:val="18"/>
                <w:szCs w:val="18"/>
              </w:rPr>
              <w:t>plus</w:t>
            </w:r>
            <w:r>
              <w:rPr>
                <w:rFonts w:ascii="Times New Roman" w:hAnsi="Times New Roman" w:cs="Times New Roman"/>
                <w:sz w:val="18"/>
                <w:szCs w:val="18"/>
              </w:rPr>
              <w:t xml:space="preserve"> any amount accounted for by all members of the Group in respect of depreciation and amortisation during the relevant Annual Relevant Period;</w:t>
            </w:r>
          </w:p>
          <w:p w14:paraId="18460EA7" w14:textId="77777777" w:rsidR="00F76607" w:rsidRDefault="001863F0">
            <w:pPr>
              <w:pStyle w:val="ASpecialLowerCaseAlpha2"/>
              <w:numPr>
                <w:ilvl w:val="0"/>
                <w:numId w:val="62"/>
              </w:numPr>
              <w:rPr>
                <w:rFonts w:ascii="Times New Roman" w:hAnsi="Times New Roman" w:cs="Times New Roman"/>
                <w:sz w:val="18"/>
                <w:szCs w:val="18"/>
              </w:rPr>
            </w:pPr>
            <w:r>
              <w:rPr>
                <w:rFonts w:ascii="Times New Roman" w:hAnsi="Times New Roman" w:cs="Times New Roman"/>
                <w:b/>
                <w:sz w:val="18"/>
                <w:szCs w:val="18"/>
              </w:rPr>
              <w:t>plus</w:t>
            </w:r>
            <w:r>
              <w:rPr>
                <w:rFonts w:ascii="Times New Roman" w:hAnsi="Times New Roman" w:cs="Times New Roman"/>
                <w:sz w:val="18"/>
                <w:szCs w:val="18"/>
              </w:rPr>
              <w:t xml:space="preserve"> any expenses accounted for and payable by all members of the Group on non-realised foreign exchange losses in respect of such relevant Annual Relevant Period;</w:t>
            </w:r>
          </w:p>
          <w:p w14:paraId="52ACDD41" w14:textId="77777777" w:rsidR="00F76607" w:rsidRDefault="001863F0">
            <w:pPr>
              <w:pStyle w:val="ASpecialLowerCaseAlpha2"/>
              <w:numPr>
                <w:ilvl w:val="0"/>
                <w:numId w:val="62"/>
              </w:numPr>
              <w:rPr>
                <w:rFonts w:ascii="Times New Roman" w:hAnsi="Times New Roman" w:cs="Times New Roman"/>
                <w:sz w:val="18"/>
                <w:szCs w:val="18"/>
              </w:rPr>
            </w:pPr>
            <w:r>
              <w:rPr>
                <w:rFonts w:ascii="Times New Roman" w:hAnsi="Times New Roman" w:cs="Times New Roman"/>
                <w:b/>
                <w:sz w:val="18"/>
                <w:szCs w:val="18"/>
              </w:rPr>
              <w:t>plus</w:t>
            </w:r>
            <w:r>
              <w:rPr>
                <w:rFonts w:ascii="Times New Roman" w:hAnsi="Times New Roman" w:cs="Times New Roman"/>
                <w:sz w:val="18"/>
                <w:szCs w:val="18"/>
              </w:rPr>
              <w:t xml:space="preserve"> the aggregate amount of interest, commissions and other finance charges (including any Interest Rate Hedging costs) due and payable by all the members of the Group under any Financial Indebtedness in such relevant Annual Relevant Period;</w:t>
            </w:r>
          </w:p>
          <w:p w14:paraId="4CB0F67B" w14:textId="77777777" w:rsidR="00F76607" w:rsidRDefault="001863F0">
            <w:pPr>
              <w:pStyle w:val="ASpecialLowerCaseAlpha2"/>
              <w:numPr>
                <w:ilvl w:val="0"/>
                <w:numId w:val="62"/>
              </w:numPr>
              <w:rPr>
                <w:rFonts w:ascii="Times New Roman" w:hAnsi="Times New Roman" w:cs="Times New Roman"/>
                <w:sz w:val="18"/>
                <w:szCs w:val="18"/>
              </w:rPr>
            </w:pPr>
            <w:r>
              <w:rPr>
                <w:rFonts w:ascii="Times New Roman" w:hAnsi="Times New Roman" w:cs="Times New Roman"/>
                <w:b/>
                <w:sz w:val="18"/>
                <w:szCs w:val="18"/>
              </w:rPr>
              <w:lastRenderedPageBreak/>
              <w:t>less</w:t>
            </w:r>
            <w:r>
              <w:rPr>
                <w:rFonts w:ascii="Times New Roman" w:hAnsi="Times New Roman" w:cs="Times New Roman"/>
                <w:sz w:val="18"/>
                <w:szCs w:val="18"/>
              </w:rPr>
              <w:t xml:space="preserve"> any revenue resulting from re-evaluation (accounted for but unpaid) of any derivatives, options, futures or hedging or other similar financial instruments or contracts;</w:t>
            </w:r>
          </w:p>
          <w:p w14:paraId="3BECADCB" w14:textId="77777777" w:rsidR="00F76607" w:rsidRDefault="001863F0">
            <w:pPr>
              <w:pStyle w:val="ASpecialLowerCaseAlpha2"/>
              <w:numPr>
                <w:ilvl w:val="0"/>
                <w:numId w:val="62"/>
              </w:numPr>
              <w:rPr>
                <w:rFonts w:ascii="Times New Roman" w:hAnsi="Times New Roman" w:cs="Times New Roman"/>
                <w:sz w:val="18"/>
                <w:szCs w:val="18"/>
              </w:rPr>
            </w:pPr>
            <w:r>
              <w:rPr>
                <w:rFonts w:ascii="Times New Roman" w:hAnsi="Times New Roman" w:cs="Times New Roman"/>
                <w:b/>
                <w:sz w:val="18"/>
                <w:szCs w:val="18"/>
              </w:rPr>
              <w:t>plus</w:t>
            </w:r>
            <w:r>
              <w:rPr>
                <w:rFonts w:ascii="Times New Roman" w:hAnsi="Times New Roman" w:cs="Times New Roman"/>
                <w:sz w:val="18"/>
                <w:szCs w:val="18"/>
              </w:rPr>
              <w:t xml:space="preserve"> any expense resulting from re-evaluation (accounted for but unpaid) of any derivatives, options, futures or hedging or other similar financial instruments or contracts; and</w:t>
            </w:r>
          </w:p>
          <w:p w14:paraId="01D407D0" w14:textId="77777777" w:rsidR="00F76607" w:rsidRDefault="001863F0">
            <w:pPr>
              <w:pStyle w:val="ASpecialLowerCaseAlpha2"/>
              <w:numPr>
                <w:ilvl w:val="0"/>
                <w:numId w:val="62"/>
              </w:numPr>
              <w:rPr>
                <w:rFonts w:ascii="Times New Roman" w:hAnsi="Times New Roman" w:cs="Times New Roman"/>
                <w:sz w:val="18"/>
                <w:szCs w:val="18"/>
              </w:rPr>
            </w:pPr>
            <w:r>
              <w:rPr>
                <w:rFonts w:ascii="Times New Roman" w:hAnsi="Times New Roman" w:cs="Times New Roman"/>
                <w:b/>
                <w:sz w:val="18"/>
                <w:szCs w:val="18"/>
              </w:rPr>
              <w:t>plus</w:t>
            </w:r>
            <w:r>
              <w:rPr>
                <w:rFonts w:ascii="Times New Roman" w:hAnsi="Times New Roman" w:cs="Times New Roman"/>
                <w:sz w:val="18"/>
                <w:szCs w:val="18"/>
              </w:rPr>
              <w:t xml:space="preserve"> any available Cash and Cash Equivalents on the last day of the Annual Relevant Period;</w:t>
            </w:r>
          </w:p>
        </w:tc>
      </w:tr>
      <w:tr w:rsidR="00F76607" w14:paraId="49025948" w14:textId="77777777">
        <w:tc>
          <w:tcPr>
            <w:tcW w:w="3518" w:type="dxa"/>
          </w:tcPr>
          <w:p w14:paraId="2C418FE4" w14:textId="77777777" w:rsidR="00F76607" w:rsidRDefault="001863F0">
            <w:pPr>
              <w:pStyle w:val="ABody"/>
              <w:rPr>
                <w:rFonts w:ascii="Times New Roman" w:hAnsi="Times New Roman" w:cs="Times New Roman"/>
                <w:sz w:val="18"/>
                <w:szCs w:val="18"/>
              </w:rPr>
            </w:pPr>
            <w:r>
              <w:rPr>
                <w:rFonts w:ascii="Times New Roman" w:hAnsi="Times New Roman" w:cs="Times New Roman"/>
                <w:b/>
                <w:sz w:val="18"/>
                <w:szCs w:val="18"/>
              </w:rPr>
              <w:lastRenderedPageBreak/>
              <w:t>“CEE”</w:t>
            </w:r>
          </w:p>
        </w:tc>
        <w:tc>
          <w:tcPr>
            <w:tcW w:w="5129" w:type="dxa"/>
          </w:tcPr>
          <w:p w14:paraId="6A39DDE4"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Central and Eastern Europe;</w:t>
            </w:r>
          </w:p>
        </w:tc>
      </w:tr>
      <w:tr w:rsidR="00F76607" w14:paraId="170BE75F" w14:textId="77777777">
        <w:tc>
          <w:tcPr>
            <w:tcW w:w="3518" w:type="dxa"/>
          </w:tcPr>
          <w:p w14:paraId="7A27F6BF"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“Closing Date”</w:t>
            </w:r>
          </w:p>
        </w:tc>
        <w:tc>
          <w:tcPr>
            <w:tcW w:w="5129" w:type="dxa"/>
          </w:tcPr>
          <w:p w14:paraId="6A31E430" w14:textId="5566407F" w:rsidR="00F76607" w:rsidRDefault="001146AD">
            <w:pPr>
              <w:pStyle w:val="ABody"/>
              <w:rPr>
                <w:rFonts w:ascii="Times New Roman" w:hAnsi="Times New Roman" w:cs="Times New Roman"/>
                <w:sz w:val="18"/>
                <w:szCs w:val="18"/>
              </w:rPr>
            </w:pPr>
            <w:r>
              <w:rPr>
                <w:rFonts w:ascii="Times New Roman" w:hAnsi="Times New Roman" w:cs="Times New Roman"/>
                <w:sz w:val="18"/>
                <w:szCs w:val="18"/>
              </w:rPr>
              <w:t>27</w:t>
            </w:r>
            <w:r w:rsidR="000E243B">
              <w:rPr>
                <w:rFonts w:ascii="Times New Roman" w:hAnsi="Times New Roman" w:cs="Times New Roman"/>
                <w:sz w:val="18"/>
                <w:szCs w:val="18"/>
              </w:rPr>
              <w:t xml:space="preserve"> October</w:t>
            </w:r>
            <w:r w:rsidR="00932B9E">
              <w:rPr>
                <w:rFonts w:ascii="Times New Roman" w:hAnsi="Times New Roman" w:cs="Times New Roman"/>
                <w:sz w:val="18"/>
                <w:szCs w:val="18"/>
              </w:rPr>
              <w:t xml:space="preserve"> 2017</w:t>
            </w:r>
            <w:r w:rsidR="001863F0">
              <w:rPr>
                <w:rFonts w:ascii="Times New Roman" w:hAnsi="Times New Roman" w:cs="Times New Roman"/>
                <w:sz w:val="18"/>
                <w:szCs w:val="18"/>
              </w:rPr>
              <w:t>;</w:t>
            </w:r>
          </w:p>
        </w:tc>
      </w:tr>
      <w:tr w:rsidR="00F76607" w14:paraId="4F8EE5E3" w14:textId="77777777">
        <w:tc>
          <w:tcPr>
            <w:tcW w:w="3518" w:type="dxa"/>
          </w:tcPr>
          <w:p w14:paraId="3EB7EA7F"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“Co-Lead Manager”</w:t>
            </w:r>
          </w:p>
        </w:tc>
        <w:tc>
          <w:tcPr>
            <w:tcW w:w="5129" w:type="dxa"/>
          </w:tcPr>
          <w:p w14:paraId="30ABF2D0"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Belfius;</w:t>
            </w:r>
          </w:p>
        </w:tc>
      </w:tr>
      <w:tr w:rsidR="00F76607" w14:paraId="120996DD" w14:textId="77777777">
        <w:tc>
          <w:tcPr>
            <w:tcW w:w="3518" w:type="dxa"/>
          </w:tcPr>
          <w:p w14:paraId="38160484"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“Co-Manager”</w:t>
            </w:r>
          </w:p>
        </w:tc>
        <w:tc>
          <w:tcPr>
            <w:tcW w:w="5129" w:type="dxa"/>
          </w:tcPr>
          <w:p w14:paraId="3FB807A2"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ING;</w:t>
            </w:r>
          </w:p>
        </w:tc>
      </w:tr>
      <w:tr w:rsidR="00F76607" w14:paraId="7883C5AF" w14:textId="77777777">
        <w:tc>
          <w:tcPr>
            <w:tcW w:w="3518" w:type="dxa"/>
          </w:tcPr>
          <w:p w14:paraId="14ED5AEE"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“Company”</w:t>
            </w:r>
          </w:p>
        </w:tc>
        <w:tc>
          <w:tcPr>
            <w:tcW w:w="5129" w:type="dxa"/>
          </w:tcPr>
          <w:p w14:paraId="70C60A3D"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VGP NV, a public limited liability company (</w:t>
            </w:r>
            <w:proofErr w:type="spellStart"/>
            <w:r>
              <w:rPr>
                <w:rFonts w:ascii="Times New Roman" w:hAnsi="Times New Roman" w:cs="Times New Roman"/>
                <w:i/>
                <w:sz w:val="18"/>
                <w:szCs w:val="18"/>
              </w:rPr>
              <w:t>naamloze</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vennootschap</w:t>
            </w:r>
            <w:proofErr w:type="spellEnd"/>
            <w:r>
              <w:rPr>
                <w:rFonts w:ascii="Times New Roman" w:hAnsi="Times New Roman" w:cs="Times New Roman"/>
                <w:sz w:val="18"/>
                <w:szCs w:val="18"/>
              </w:rPr>
              <w:t xml:space="preserve"> / </w:t>
            </w:r>
            <w:proofErr w:type="spellStart"/>
            <w:r>
              <w:rPr>
                <w:rFonts w:ascii="Times New Roman" w:hAnsi="Times New Roman" w:cs="Times New Roman"/>
                <w:i/>
                <w:sz w:val="18"/>
                <w:szCs w:val="18"/>
              </w:rPr>
              <w:t>société</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anonyme</w:t>
            </w:r>
            <w:proofErr w:type="spellEnd"/>
            <w:r>
              <w:rPr>
                <w:rFonts w:ascii="Times New Roman" w:hAnsi="Times New Roman" w:cs="Times New Roman"/>
                <w:sz w:val="18"/>
                <w:szCs w:val="18"/>
              </w:rPr>
              <w:t xml:space="preserve">) incorporated under Belgian law, having its registered office at Leonardo Da </w:t>
            </w:r>
            <w:proofErr w:type="spellStart"/>
            <w:r>
              <w:rPr>
                <w:rFonts w:ascii="Times New Roman" w:hAnsi="Times New Roman" w:cs="Times New Roman"/>
                <w:sz w:val="18"/>
                <w:szCs w:val="18"/>
              </w:rPr>
              <w:t>Vincilaan</w:t>
            </w:r>
            <w:proofErr w:type="spellEnd"/>
            <w:r>
              <w:rPr>
                <w:rFonts w:ascii="Times New Roman" w:hAnsi="Times New Roman" w:cs="Times New Roman"/>
                <w:sz w:val="18"/>
                <w:szCs w:val="18"/>
              </w:rPr>
              <w:t xml:space="preserve"> 19A bus 6, 1831 </w:t>
            </w:r>
            <w:proofErr w:type="spellStart"/>
            <w:r>
              <w:rPr>
                <w:rFonts w:ascii="Times New Roman" w:hAnsi="Times New Roman" w:cs="Times New Roman"/>
                <w:sz w:val="18"/>
                <w:szCs w:val="18"/>
              </w:rPr>
              <w:t>Machelen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Diegem</w:t>
            </w:r>
            <w:proofErr w:type="spellEnd"/>
            <w:r>
              <w:rPr>
                <w:rFonts w:ascii="Times New Roman" w:hAnsi="Times New Roman" w:cs="Times New Roman"/>
                <w:sz w:val="18"/>
                <w:szCs w:val="18"/>
              </w:rPr>
              <w:t>), Belgium, registered with the Crossroads Bank for Enterprises under number 0887.216.042, commercial court of Brussels;</w:t>
            </w:r>
          </w:p>
        </w:tc>
      </w:tr>
      <w:tr w:rsidR="00F76607" w14:paraId="3D40A552" w14:textId="77777777">
        <w:tc>
          <w:tcPr>
            <w:tcW w:w="3518" w:type="dxa"/>
          </w:tcPr>
          <w:p w14:paraId="7243D0C5" w14:textId="77777777" w:rsidR="00F76607" w:rsidRDefault="001863F0">
            <w:pPr>
              <w:pStyle w:val="ABody"/>
              <w:rPr>
                <w:rFonts w:ascii="Times New Roman" w:hAnsi="Times New Roman" w:cs="Times New Roman"/>
                <w:b/>
                <w:sz w:val="18"/>
                <w:szCs w:val="18"/>
                <w:lang w:val="fr-FR"/>
              </w:rPr>
            </w:pPr>
            <w:r>
              <w:rPr>
                <w:rFonts w:ascii="Times New Roman" w:hAnsi="Times New Roman" w:cs="Times New Roman"/>
                <w:b/>
                <w:sz w:val="18"/>
                <w:szCs w:val="18"/>
              </w:rPr>
              <w:t>“Company SPA”</w:t>
            </w:r>
          </w:p>
        </w:tc>
        <w:tc>
          <w:tcPr>
            <w:tcW w:w="5129" w:type="dxa"/>
          </w:tcPr>
          <w:p w14:paraId="2EACFBB2"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lang w:val="en-US"/>
              </w:rPr>
              <w:t xml:space="preserve">the </w:t>
            </w:r>
            <w:r>
              <w:rPr>
                <w:rFonts w:ascii="Times New Roman" w:hAnsi="Times New Roman" w:cs="Times New Roman"/>
                <w:sz w:val="18"/>
                <w:szCs w:val="18"/>
              </w:rPr>
              <w:t xml:space="preserve">share purchase agreement between the Company as seller and Allianz as purchaser relating to the sale of 50% of the shares in VGP European Logistics </w:t>
            </w:r>
            <w:proofErr w:type="spellStart"/>
            <w:r>
              <w:rPr>
                <w:rFonts w:ascii="Times New Roman" w:hAnsi="Times New Roman" w:cs="Times New Roman"/>
                <w:sz w:val="18"/>
                <w:szCs w:val="18"/>
              </w:rPr>
              <w:t>S.à</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r.l</w:t>
            </w:r>
            <w:proofErr w:type="spellEnd"/>
            <w:r>
              <w:rPr>
                <w:rFonts w:ascii="Times New Roman" w:hAnsi="Times New Roman" w:cs="Times New Roman"/>
                <w:sz w:val="18"/>
                <w:szCs w:val="18"/>
              </w:rPr>
              <w:t>.;</w:t>
            </w:r>
          </w:p>
        </w:tc>
      </w:tr>
      <w:tr w:rsidR="00F76607" w14:paraId="7C6CC0AE" w14:textId="77777777">
        <w:tc>
          <w:tcPr>
            <w:tcW w:w="3518" w:type="dxa"/>
          </w:tcPr>
          <w:p w14:paraId="74130377"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“Consolidated Financial Indebtedness”</w:t>
            </w:r>
          </w:p>
        </w:tc>
        <w:tc>
          <w:tcPr>
            <w:tcW w:w="5129" w:type="dxa"/>
          </w:tcPr>
          <w:p w14:paraId="1878F3C7"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at any time, the aggregate amount of all obligations of the Group for or in respect of Financial Indebtedness but:</w:t>
            </w:r>
          </w:p>
          <w:p w14:paraId="732CE365" w14:textId="77777777" w:rsidR="00F76607" w:rsidRDefault="001863F0">
            <w:pPr>
              <w:pStyle w:val="ASpecialLowerCaseAlpha2"/>
              <w:numPr>
                <w:ilvl w:val="0"/>
                <w:numId w:val="62"/>
              </w:numPr>
              <w:rPr>
                <w:rFonts w:ascii="Times New Roman" w:hAnsi="Times New Roman" w:cs="Times New Roman"/>
                <w:sz w:val="18"/>
                <w:szCs w:val="18"/>
              </w:rPr>
            </w:pPr>
            <w:r>
              <w:rPr>
                <w:rFonts w:ascii="Times New Roman" w:hAnsi="Times New Roman" w:cs="Times New Roman"/>
                <w:sz w:val="18"/>
                <w:szCs w:val="18"/>
              </w:rPr>
              <w:t xml:space="preserve">excluding any such obligation to any other member of the Group; and </w:t>
            </w:r>
          </w:p>
          <w:p w14:paraId="1C1C8C2F" w14:textId="77777777" w:rsidR="00F76607" w:rsidRDefault="001863F0">
            <w:pPr>
              <w:pStyle w:val="ASpecialLowerCaseAlpha2"/>
              <w:numPr>
                <w:ilvl w:val="0"/>
                <w:numId w:val="62"/>
              </w:numPr>
              <w:rPr>
                <w:rFonts w:ascii="Times New Roman" w:hAnsi="Times New Roman" w:cs="Times New Roman"/>
                <w:sz w:val="18"/>
                <w:szCs w:val="18"/>
              </w:rPr>
            </w:pPr>
            <w:r>
              <w:rPr>
                <w:rFonts w:ascii="Times New Roman" w:hAnsi="Times New Roman" w:cs="Times New Roman"/>
                <w:sz w:val="18"/>
                <w:szCs w:val="18"/>
              </w:rPr>
              <w:t>deducting the aggregate amount of Cash and Cash Equivalents held by any member of the Group at such time</w:t>
            </w:r>
          </w:p>
          <w:p w14:paraId="0E3AAF89"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and so that no amount shall be included or excluded more than once;</w:t>
            </w:r>
          </w:p>
        </w:tc>
      </w:tr>
      <w:tr w:rsidR="00F76607" w14:paraId="6269A613" w14:textId="77777777">
        <w:tc>
          <w:tcPr>
            <w:tcW w:w="3518" w:type="dxa"/>
          </w:tcPr>
          <w:p w14:paraId="7328CFF7"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“Consolidated Gearing”</w:t>
            </w:r>
          </w:p>
        </w:tc>
        <w:tc>
          <w:tcPr>
            <w:tcW w:w="5129" w:type="dxa"/>
          </w:tcPr>
          <w:p w14:paraId="7FBF2133"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in respect of any Annual Relevant Period, the ratio of Consolidated Total Net Debt on the last day of that Annual Relevant Period to the sum of the equity and the total liabilities (including off-balance sheet liabilities) at Group level in respect of that Annual Relevant Period;</w:t>
            </w:r>
          </w:p>
        </w:tc>
      </w:tr>
      <w:tr w:rsidR="00F76607" w14:paraId="074911E8" w14:textId="77777777">
        <w:tc>
          <w:tcPr>
            <w:tcW w:w="3518" w:type="dxa"/>
          </w:tcPr>
          <w:p w14:paraId="0A150D2F"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w:t>
            </w:r>
            <w:r>
              <w:rPr>
                <w:rFonts w:ascii="Times New Roman" w:hAnsi="Times New Roman" w:cs="Times New Roman"/>
                <w:b/>
                <w:sz w:val="18"/>
                <w:szCs w:val="18"/>
              </w:rPr>
              <w:t>Consolidated Total Net Debt”</w:t>
            </w:r>
          </w:p>
        </w:tc>
        <w:tc>
          <w:tcPr>
            <w:tcW w:w="5129" w:type="dxa"/>
          </w:tcPr>
          <w:p w14:paraId="64A7753A"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at any time, Total Net Debt calculated at Group level;</w:t>
            </w:r>
          </w:p>
        </w:tc>
      </w:tr>
      <w:tr w:rsidR="00F76607" w14:paraId="50CC8F5F" w14:textId="77777777">
        <w:tc>
          <w:tcPr>
            <w:tcW w:w="3518" w:type="dxa"/>
          </w:tcPr>
          <w:p w14:paraId="1940B0F9"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“Corporate Governance Code”</w:t>
            </w:r>
          </w:p>
        </w:tc>
        <w:tc>
          <w:tcPr>
            <w:tcW w:w="5129" w:type="dxa"/>
          </w:tcPr>
          <w:p w14:paraId="61D20311"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the principles of corporate governance contained in the Belgian Code on Corporate Governance published on 12 March 2009, as adopted by the Company and available on the Company’s website;</w:t>
            </w:r>
          </w:p>
        </w:tc>
      </w:tr>
      <w:tr w:rsidR="00F76607" w14:paraId="1D10A9CA" w14:textId="77777777">
        <w:tc>
          <w:tcPr>
            <w:tcW w:w="3518" w:type="dxa"/>
          </w:tcPr>
          <w:p w14:paraId="52A51470"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“Debt Service Cover</w:t>
            </w:r>
            <w:r>
              <w:rPr>
                <w:rFonts w:ascii="Times New Roman" w:hAnsi="Times New Roman" w:cs="Times New Roman"/>
                <w:sz w:val="18"/>
                <w:szCs w:val="18"/>
              </w:rPr>
              <w:t xml:space="preserve"> </w:t>
            </w:r>
            <w:r>
              <w:rPr>
                <w:rFonts w:ascii="Times New Roman" w:hAnsi="Times New Roman" w:cs="Times New Roman"/>
                <w:b/>
                <w:sz w:val="18"/>
                <w:szCs w:val="18"/>
              </w:rPr>
              <w:t>Ratio”</w:t>
            </w:r>
          </w:p>
        </w:tc>
        <w:tc>
          <w:tcPr>
            <w:tcW w:w="5129" w:type="dxa"/>
          </w:tcPr>
          <w:p w14:paraId="220E003B" w14:textId="77777777" w:rsidR="00F76607" w:rsidRDefault="001863F0">
            <w:pPr>
              <w:pStyle w:val="ASpecialLowerCaseAlpha2"/>
              <w:numPr>
                <w:ilvl w:val="0"/>
                <w:numId w:val="63"/>
              </w:numPr>
              <w:rPr>
                <w:rFonts w:ascii="Times New Roman" w:hAnsi="Times New Roman" w:cs="Times New Roman"/>
                <w:sz w:val="18"/>
                <w:szCs w:val="18"/>
              </w:rPr>
            </w:pPr>
            <w:r>
              <w:rPr>
                <w:rFonts w:ascii="Times New Roman" w:hAnsi="Times New Roman" w:cs="Times New Roman"/>
                <w:sz w:val="18"/>
                <w:szCs w:val="18"/>
              </w:rPr>
              <w:t>the Cash Available for Debt Service,</w:t>
            </w:r>
          </w:p>
          <w:p w14:paraId="0E2B8E5C" w14:textId="77777777" w:rsidR="00F76607" w:rsidRDefault="001863F0">
            <w:pPr>
              <w:pStyle w:val="ABody1"/>
              <w:rPr>
                <w:rFonts w:ascii="Times New Roman" w:hAnsi="Times New Roman" w:cs="Times New Roman"/>
                <w:sz w:val="18"/>
                <w:szCs w:val="18"/>
                <w:u w:val="single"/>
              </w:rPr>
            </w:pPr>
            <w:r>
              <w:rPr>
                <w:rFonts w:ascii="Times New Roman" w:hAnsi="Times New Roman" w:cs="Times New Roman"/>
                <w:sz w:val="18"/>
                <w:szCs w:val="18"/>
                <w:u w:val="single"/>
              </w:rPr>
              <w:t>divided by</w:t>
            </w:r>
          </w:p>
          <w:p w14:paraId="3801185E" w14:textId="77777777" w:rsidR="00F76607" w:rsidRDefault="001863F0">
            <w:pPr>
              <w:pStyle w:val="ASpecialLowerCaseAlpha2"/>
              <w:numPr>
                <w:ilvl w:val="0"/>
                <w:numId w:val="63"/>
              </w:numPr>
              <w:rPr>
                <w:rFonts w:ascii="Times New Roman" w:hAnsi="Times New Roman" w:cs="Times New Roman"/>
                <w:sz w:val="18"/>
                <w:szCs w:val="18"/>
              </w:rPr>
            </w:pPr>
            <w:r>
              <w:rPr>
                <w:rFonts w:ascii="Times New Roman" w:hAnsi="Times New Roman" w:cs="Times New Roman"/>
                <w:sz w:val="18"/>
                <w:szCs w:val="18"/>
              </w:rPr>
              <w:t>the Net Debt Service;</w:t>
            </w:r>
          </w:p>
        </w:tc>
      </w:tr>
      <w:tr w:rsidR="00F76607" w14:paraId="0B6CB069" w14:textId="77777777">
        <w:tc>
          <w:tcPr>
            <w:tcW w:w="3518" w:type="dxa"/>
          </w:tcPr>
          <w:p w14:paraId="234E637B" w14:textId="77777777" w:rsidR="00F76607" w:rsidRDefault="001863F0">
            <w:pPr>
              <w:pStyle w:val="ABody"/>
              <w:tabs>
                <w:tab w:val="left" w:pos="1102"/>
              </w:tabs>
              <w:rPr>
                <w:rFonts w:ascii="Times New Roman" w:hAnsi="Times New Roman" w:cs="Times New Roman"/>
                <w:b/>
                <w:sz w:val="18"/>
                <w:szCs w:val="18"/>
              </w:rPr>
            </w:pPr>
            <w:r>
              <w:rPr>
                <w:rFonts w:ascii="Times New Roman" w:hAnsi="Times New Roman" w:cs="Times New Roman"/>
                <w:b/>
                <w:sz w:val="18"/>
                <w:szCs w:val="18"/>
              </w:rPr>
              <w:t>“Directive”</w:t>
            </w:r>
          </w:p>
        </w:tc>
        <w:tc>
          <w:tcPr>
            <w:tcW w:w="5129" w:type="dxa"/>
          </w:tcPr>
          <w:p w14:paraId="114B28E6"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the Council Directive on a common FTT, once adopted;</w:t>
            </w:r>
          </w:p>
        </w:tc>
      </w:tr>
      <w:tr w:rsidR="00F76607" w14:paraId="775403A8" w14:textId="77777777">
        <w:tc>
          <w:tcPr>
            <w:tcW w:w="3518" w:type="dxa"/>
          </w:tcPr>
          <w:p w14:paraId="63B8701A" w14:textId="77777777" w:rsidR="00F76607" w:rsidRDefault="001863F0">
            <w:pPr>
              <w:pStyle w:val="ABody"/>
              <w:tabs>
                <w:tab w:val="left" w:pos="1102"/>
              </w:tabs>
              <w:rPr>
                <w:rFonts w:ascii="Times New Roman" w:hAnsi="Times New Roman" w:cs="Times New Roman"/>
                <w:b/>
                <w:sz w:val="18"/>
                <w:szCs w:val="18"/>
                <w:lang w:val="en-US"/>
              </w:rPr>
            </w:pPr>
            <w:r>
              <w:rPr>
                <w:rFonts w:ascii="Times New Roman" w:hAnsi="Times New Roman" w:cs="Times New Roman"/>
                <w:b/>
                <w:sz w:val="18"/>
                <w:szCs w:val="18"/>
                <w:lang w:val="en-US"/>
              </w:rPr>
              <w:t xml:space="preserve">“Draft Directive” </w:t>
            </w:r>
          </w:p>
        </w:tc>
        <w:tc>
          <w:tcPr>
            <w:tcW w:w="5129" w:type="dxa"/>
          </w:tcPr>
          <w:p w14:paraId="35B18BFC"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the EU Commission’s proposal for a Council Directive on a common FTT;</w:t>
            </w:r>
          </w:p>
        </w:tc>
      </w:tr>
      <w:tr w:rsidR="00F76607" w14:paraId="2A38BEB3" w14:textId="77777777">
        <w:tc>
          <w:tcPr>
            <w:tcW w:w="3518" w:type="dxa"/>
          </w:tcPr>
          <w:p w14:paraId="6D1D3E50" w14:textId="77777777" w:rsidR="00F76607" w:rsidRDefault="001863F0">
            <w:pPr>
              <w:pStyle w:val="ABody"/>
              <w:tabs>
                <w:tab w:val="left" w:pos="1102"/>
              </w:tabs>
              <w:rPr>
                <w:rFonts w:ascii="Times New Roman" w:hAnsi="Times New Roman" w:cs="Times New Roman"/>
                <w:b/>
                <w:sz w:val="18"/>
                <w:szCs w:val="18"/>
                <w:lang w:val="en-US"/>
              </w:rPr>
            </w:pPr>
            <w:r>
              <w:rPr>
                <w:rFonts w:ascii="Times New Roman" w:hAnsi="Times New Roman" w:cs="Times New Roman"/>
                <w:b/>
                <w:bCs/>
                <w:sz w:val="18"/>
                <w:szCs w:val="18"/>
              </w:rPr>
              <w:lastRenderedPageBreak/>
              <w:t>“ECB Daily Reference Rate”</w:t>
            </w:r>
          </w:p>
        </w:tc>
        <w:tc>
          <w:tcPr>
            <w:tcW w:w="5129" w:type="dxa"/>
          </w:tcPr>
          <w:p w14:paraId="15EC6DB0"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the daily reference exchange rate published by the European Central Bank for U.S. dollars, expressed in U.S. dollars per Euro, rounded to the nearest four decimal places;</w:t>
            </w:r>
          </w:p>
        </w:tc>
      </w:tr>
      <w:tr w:rsidR="00F76607" w14:paraId="324B2449" w14:textId="77777777">
        <w:tc>
          <w:tcPr>
            <w:tcW w:w="3518" w:type="dxa"/>
          </w:tcPr>
          <w:tbl>
            <w:tblPr>
              <w:tblW w:w="5000" w:type="pct"/>
              <w:tblCellMar>
                <w:left w:w="0" w:type="dxa"/>
                <w:right w:w="0" w:type="dxa"/>
              </w:tblCellMar>
              <w:tblLook w:val="04A0" w:firstRow="1" w:lastRow="0" w:firstColumn="1" w:lastColumn="0" w:noHBand="0" w:noVBand="1"/>
            </w:tblPr>
            <w:tblGrid>
              <w:gridCol w:w="1255"/>
              <w:gridCol w:w="2047"/>
            </w:tblGrid>
            <w:tr w:rsidR="00F76607" w14:paraId="2815DB26" w14:textId="77777777">
              <w:tc>
                <w:tcPr>
                  <w:tcW w:w="1900" w:type="pct"/>
                  <w:hideMark/>
                </w:tcPr>
                <w:p w14:paraId="5DF8909F" w14:textId="77777777" w:rsidR="00F76607" w:rsidRDefault="001863F0">
                  <w:pPr>
                    <w:pStyle w:val="ABody"/>
                    <w:tabs>
                      <w:tab w:val="left" w:pos="1102"/>
                    </w:tabs>
                    <w:rPr>
                      <w:rFonts w:eastAsiaTheme="minorHAnsi"/>
                      <w:bCs/>
                      <w:sz w:val="18"/>
                      <w:szCs w:val="18"/>
                      <w:lang w:val="en-US"/>
                    </w:rPr>
                  </w:pPr>
                  <w:r>
                    <w:rPr>
                      <w:rFonts w:eastAsiaTheme="minorHAnsi"/>
                      <w:bCs/>
                      <w:sz w:val="18"/>
                      <w:szCs w:val="18"/>
                      <w:lang w:val="en-US"/>
                    </w:rPr>
                    <w:t>“</w:t>
                  </w:r>
                  <w:r>
                    <w:rPr>
                      <w:rFonts w:ascii="Times New Roman" w:eastAsiaTheme="minorHAnsi" w:hAnsi="Times New Roman" w:cs="Times New Roman"/>
                      <w:b/>
                      <w:bCs/>
                      <w:sz w:val="18"/>
                      <w:szCs w:val="18"/>
                      <w:lang w:val="en-US"/>
                    </w:rPr>
                    <w:t>EEA</w:t>
                  </w:r>
                  <w:r>
                    <w:rPr>
                      <w:rFonts w:eastAsiaTheme="minorHAnsi"/>
                      <w:bCs/>
                      <w:sz w:val="18"/>
                      <w:szCs w:val="18"/>
                      <w:lang w:val="en-US"/>
                    </w:rPr>
                    <w:t xml:space="preserve">” </w:t>
                  </w:r>
                </w:p>
              </w:tc>
              <w:tc>
                <w:tcPr>
                  <w:tcW w:w="0" w:type="auto"/>
                  <w:hideMark/>
                </w:tcPr>
                <w:p w14:paraId="23D11B6D" w14:textId="77777777" w:rsidR="00F76607" w:rsidRDefault="00F76607">
                  <w:pPr>
                    <w:pStyle w:val="ABody"/>
                    <w:tabs>
                      <w:tab w:val="left" w:pos="1102"/>
                    </w:tabs>
                    <w:rPr>
                      <w:rFonts w:eastAsiaTheme="minorHAnsi"/>
                      <w:bCs/>
                      <w:sz w:val="18"/>
                      <w:szCs w:val="18"/>
                      <w:lang w:val="en-US"/>
                    </w:rPr>
                  </w:pPr>
                </w:p>
              </w:tc>
            </w:tr>
          </w:tbl>
          <w:p w14:paraId="6984FD45" w14:textId="77777777" w:rsidR="00F76607" w:rsidRDefault="00F76607">
            <w:pPr>
              <w:pStyle w:val="ABody"/>
              <w:tabs>
                <w:tab w:val="left" w:pos="1102"/>
              </w:tabs>
              <w:rPr>
                <w:rFonts w:ascii="Times New Roman" w:hAnsi="Times New Roman" w:cs="Times New Roman"/>
                <w:bCs/>
                <w:sz w:val="18"/>
                <w:szCs w:val="18"/>
              </w:rPr>
            </w:pPr>
          </w:p>
        </w:tc>
        <w:tc>
          <w:tcPr>
            <w:tcW w:w="5129" w:type="dxa"/>
          </w:tcPr>
          <w:p w14:paraId="2DF5304F"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European Economic Area;</w:t>
            </w:r>
          </w:p>
        </w:tc>
      </w:tr>
      <w:tr w:rsidR="00F76607" w14:paraId="71B6586E" w14:textId="77777777">
        <w:tc>
          <w:tcPr>
            <w:tcW w:w="3518" w:type="dxa"/>
          </w:tcPr>
          <w:p w14:paraId="07BBD958" w14:textId="77777777" w:rsidR="00F76607" w:rsidRDefault="001863F0">
            <w:pPr>
              <w:pStyle w:val="ABody"/>
              <w:tabs>
                <w:tab w:val="left" w:pos="1102"/>
              </w:tabs>
              <w:rPr>
                <w:rFonts w:ascii="Times New Roman" w:hAnsi="Times New Roman" w:cs="Times New Roman"/>
                <w:b/>
                <w:bCs/>
                <w:sz w:val="18"/>
                <w:szCs w:val="18"/>
              </w:rPr>
            </w:pPr>
            <w:r>
              <w:rPr>
                <w:rFonts w:ascii="Times New Roman" w:hAnsi="Times New Roman" w:cs="Times New Roman"/>
                <w:b/>
                <w:bCs/>
                <w:sz w:val="18"/>
                <w:szCs w:val="18"/>
              </w:rPr>
              <w:t>“EU”</w:t>
            </w:r>
          </w:p>
        </w:tc>
        <w:tc>
          <w:tcPr>
            <w:tcW w:w="5129" w:type="dxa"/>
          </w:tcPr>
          <w:p w14:paraId="4C8DA9C2"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the European Union;</w:t>
            </w:r>
          </w:p>
        </w:tc>
      </w:tr>
      <w:tr w:rsidR="00F76607" w14:paraId="095BBD65" w14:textId="77777777">
        <w:tc>
          <w:tcPr>
            <w:tcW w:w="3518" w:type="dxa"/>
          </w:tcPr>
          <w:p w14:paraId="7B6B75CF" w14:textId="77777777" w:rsidR="00F76607" w:rsidRDefault="001863F0">
            <w:pPr>
              <w:pStyle w:val="ABody"/>
              <w:tabs>
                <w:tab w:val="left" w:pos="1102"/>
              </w:tabs>
              <w:rPr>
                <w:rFonts w:ascii="Times New Roman" w:hAnsi="Times New Roman" w:cs="Times New Roman"/>
                <w:b/>
                <w:sz w:val="18"/>
                <w:szCs w:val="18"/>
                <w:lang w:val="en-US"/>
              </w:rPr>
            </w:pPr>
            <w:r>
              <w:rPr>
                <w:rFonts w:ascii="Times New Roman" w:hAnsi="Times New Roman" w:cs="Times New Roman"/>
                <w:b/>
                <w:sz w:val="18"/>
                <w:szCs w:val="18"/>
              </w:rPr>
              <w:t>“EUR”</w:t>
            </w:r>
            <w:r>
              <w:rPr>
                <w:rFonts w:ascii="Times New Roman" w:hAnsi="Times New Roman" w:cs="Times New Roman"/>
                <w:sz w:val="18"/>
                <w:szCs w:val="18"/>
              </w:rPr>
              <w:t>, “</w:t>
            </w:r>
            <w:r>
              <w:rPr>
                <w:rFonts w:ascii="Times New Roman" w:hAnsi="Times New Roman" w:cs="Times New Roman"/>
                <w:b/>
                <w:sz w:val="18"/>
                <w:szCs w:val="18"/>
              </w:rPr>
              <w:t>euro”</w:t>
            </w:r>
            <w:r>
              <w:rPr>
                <w:rFonts w:ascii="Times New Roman" w:hAnsi="Times New Roman" w:cs="Times New Roman"/>
                <w:sz w:val="18"/>
                <w:szCs w:val="18"/>
              </w:rPr>
              <w:t xml:space="preserve"> or “</w:t>
            </w:r>
            <w:r>
              <w:rPr>
                <w:rFonts w:ascii="Times New Roman" w:hAnsi="Times New Roman" w:cs="Times New Roman"/>
                <w:b/>
                <w:sz w:val="18"/>
                <w:szCs w:val="18"/>
              </w:rPr>
              <w:t>€”</w:t>
            </w:r>
          </w:p>
        </w:tc>
        <w:tc>
          <w:tcPr>
            <w:tcW w:w="5129" w:type="dxa"/>
          </w:tcPr>
          <w:p w14:paraId="64937E28"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the currency introduced at the start of the third stage of European economic and monetary union pursuant to the Treaty establishing the European Community, as amended;</w:t>
            </w:r>
          </w:p>
        </w:tc>
      </w:tr>
      <w:tr w:rsidR="00F76607" w14:paraId="6A683F66" w14:textId="77777777">
        <w:tc>
          <w:tcPr>
            <w:tcW w:w="3518" w:type="dxa"/>
          </w:tcPr>
          <w:p w14:paraId="1F7D7EA5" w14:textId="77777777" w:rsidR="00F76607" w:rsidRDefault="001863F0">
            <w:pPr>
              <w:pStyle w:val="ABody"/>
              <w:tabs>
                <w:tab w:val="left" w:pos="1102"/>
              </w:tabs>
              <w:rPr>
                <w:rFonts w:ascii="Times New Roman" w:hAnsi="Times New Roman" w:cs="Times New Roman"/>
                <w:b/>
                <w:bCs/>
                <w:sz w:val="18"/>
                <w:szCs w:val="18"/>
              </w:rPr>
            </w:pPr>
            <w:r>
              <w:rPr>
                <w:rFonts w:ascii="Times New Roman" w:hAnsi="Times New Roman" w:cs="Times New Roman"/>
                <w:sz w:val="18"/>
                <w:szCs w:val="18"/>
              </w:rPr>
              <w:t>“</w:t>
            </w:r>
            <w:r>
              <w:rPr>
                <w:rFonts w:ascii="Times New Roman" w:hAnsi="Times New Roman" w:cs="Times New Roman"/>
                <w:b/>
                <w:sz w:val="18"/>
                <w:szCs w:val="18"/>
              </w:rPr>
              <w:t>Euronext Brussels</w:t>
            </w:r>
            <w:r>
              <w:rPr>
                <w:rFonts w:ascii="Times New Roman" w:hAnsi="Times New Roman" w:cs="Times New Roman"/>
                <w:sz w:val="18"/>
                <w:szCs w:val="18"/>
              </w:rPr>
              <w:t xml:space="preserve">” </w:t>
            </w:r>
          </w:p>
        </w:tc>
        <w:tc>
          <w:tcPr>
            <w:tcW w:w="5129" w:type="dxa"/>
          </w:tcPr>
          <w:p w14:paraId="2C704733"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the regulated market organized by Euronext Brussels NV/SA;</w:t>
            </w:r>
          </w:p>
        </w:tc>
      </w:tr>
      <w:tr w:rsidR="00F76607" w14:paraId="0D5C6F79" w14:textId="77777777">
        <w:tc>
          <w:tcPr>
            <w:tcW w:w="3518" w:type="dxa"/>
          </w:tcPr>
          <w:p w14:paraId="3C551E05" w14:textId="77777777" w:rsidR="00F76607" w:rsidRDefault="001863F0">
            <w:pPr>
              <w:pStyle w:val="ABody"/>
              <w:tabs>
                <w:tab w:val="left" w:pos="1102"/>
              </w:tabs>
              <w:rPr>
                <w:rFonts w:ascii="Times New Roman" w:hAnsi="Times New Roman" w:cs="Times New Roman"/>
                <w:sz w:val="18"/>
                <w:szCs w:val="18"/>
              </w:rPr>
            </w:pPr>
            <w:r>
              <w:rPr>
                <w:rFonts w:ascii="Times New Roman" w:hAnsi="Times New Roman" w:cs="Times New Roman"/>
                <w:b/>
                <w:bCs/>
                <w:sz w:val="18"/>
                <w:szCs w:val="18"/>
              </w:rPr>
              <w:t>“Eurozone”</w:t>
            </w:r>
          </w:p>
        </w:tc>
        <w:tc>
          <w:tcPr>
            <w:tcW w:w="5129" w:type="dxa"/>
          </w:tcPr>
          <w:p w14:paraId="286D8A39"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the Euro area, being the Economic and Monetary Union of the Member States of the European Union which have adopted the Euro currency as their sole legal tender;</w:t>
            </w:r>
          </w:p>
        </w:tc>
      </w:tr>
      <w:tr w:rsidR="00F76607" w14:paraId="5FACBDE1" w14:textId="77777777">
        <w:tc>
          <w:tcPr>
            <w:tcW w:w="3518" w:type="dxa"/>
          </w:tcPr>
          <w:p w14:paraId="2E2D225D"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“Facility Management”</w:t>
            </w:r>
          </w:p>
        </w:tc>
        <w:tc>
          <w:tcPr>
            <w:tcW w:w="5129" w:type="dxa"/>
          </w:tcPr>
          <w:p w14:paraId="148C2679"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day-to-day maintenance, alteration and improvement work of buildings;</w:t>
            </w:r>
          </w:p>
        </w:tc>
      </w:tr>
      <w:tr w:rsidR="00F76607" w14:paraId="08F2BC59" w14:textId="77777777">
        <w:tc>
          <w:tcPr>
            <w:tcW w:w="3518" w:type="dxa"/>
          </w:tcPr>
          <w:p w14:paraId="00FD5D59"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“Finance Charges”</w:t>
            </w:r>
          </w:p>
        </w:tc>
        <w:tc>
          <w:tcPr>
            <w:tcW w:w="5129" w:type="dxa"/>
          </w:tcPr>
          <w:p w14:paraId="12F2D56F"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for any Annual Relevant Period, the difference between on the one hand the interest charges (being the sum of the aggregate amount of interest, commissions and other finance charges due and payable by all the members of the Group under any Financial Indebtedness in such relevant Annual Relevant Period and on the other hand the interest received (being the sum of the aggregate amount of interest, commissions and other finance income (including any Interest Rate Hedging income) and remuneration on finance leases and related products ) in each case calculated on a consolidated basis on the last day of a financial year of the Company and on the last day of the first half of the financial year of the Company;</w:t>
            </w:r>
          </w:p>
        </w:tc>
      </w:tr>
      <w:tr w:rsidR="00F76607" w14:paraId="2E08FA28" w14:textId="77777777">
        <w:tc>
          <w:tcPr>
            <w:tcW w:w="3518" w:type="dxa"/>
          </w:tcPr>
          <w:p w14:paraId="63306A13"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“Financial Indebtedness”</w:t>
            </w:r>
          </w:p>
        </w:tc>
        <w:tc>
          <w:tcPr>
            <w:tcW w:w="5129" w:type="dxa"/>
          </w:tcPr>
          <w:p w14:paraId="536244E3"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any indebtedness for or in respect of:</w:t>
            </w:r>
          </w:p>
          <w:p w14:paraId="7BF9A2DC" w14:textId="77777777" w:rsidR="00F76607" w:rsidRDefault="001863F0">
            <w:pPr>
              <w:pStyle w:val="ASpecialLowerCaseAlpha2"/>
              <w:numPr>
                <w:ilvl w:val="0"/>
                <w:numId w:val="63"/>
              </w:numPr>
              <w:rPr>
                <w:rFonts w:ascii="Times New Roman" w:hAnsi="Times New Roman" w:cs="Times New Roman"/>
                <w:sz w:val="18"/>
                <w:szCs w:val="18"/>
              </w:rPr>
            </w:pPr>
            <w:r>
              <w:rPr>
                <w:rFonts w:ascii="Times New Roman" w:hAnsi="Times New Roman" w:cs="Times New Roman"/>
                <w:sz w:val="18"/>
                <w:szCs w:val="18"/>
              </w:rPr>
              <w:t>moneys borrowed (on the basis of any credit agreement, loan agreement or any similar agreement);</w:t>
            </w:r>
          </w:p>
          <w:p w14:paraId="32E9CF6E" w14:textId="77777777" w:rsidR="00F76607" w:rsidRDefault="001863F0">
            <w:pPr>
              <w:pStyle w:val="ASpecialLowerCaseAlpha2"/>
              <w:numPr>
                <w:ilvl w:val="0"/>
                <w:numId w:val="63"/>
              </w:numPr>
              <w:rPr>
                <w:rFonts w:ascii="Times New Roman" w:hAnsi="Times New Roman" w:cs="Times New Roman"/>
                <w:sz w:val="18"/>
                <w:szCs w:val="18"/>
              </w:rPr>
            </w:pPr>
            <w:r>
              <w:rPr>
                <w:rFonts w:ascii="Times New Roman" w:hAnsi="Times New Roman" w:cs="Times New Roman"/>
                <w:sz w:val="18"/>
                <w:szCs w:val="18"/>
              </w:rPr>
              <w:t>any amount raised by acceptance under any acceptance credit facility or dematerialised equivalent;</w:t>
            </w:r>
          </w:p>
          <w:p w14:paraId="4EC76C07" w14:textId="77777777" w:rsidR="00F76607" w:rsidRDefault="001863F0">
            <w:pPr>
              <w:pStyle w:val="ASpecialLowerCaseAlpha2"/>
              <w:numPr>
                <w:ilvl w:val="0"/>
                <w:numId w:val="63"/>
              </w:numPr>
              <w:rPr>
                <w:rFonts w:ascii="Times New Roman" w:hAnsi="Times New Roman" w:cs="Times New Roman"/>
                <w:sz w:val="18"/>
                <w:szCs w:val="18"/>
              </w:rPr>
            </w:pPr>
            <w:r>
              <w:rPr>
                <w:rFonts w:ascii="Times New Roman" w:hAnsi="Times New Roman" w:cs="Times New Roman"/>
                <w:sz w:val="18"/>
                <w:szCs w:val="18"/>
              </w:rPr>
              <w:t>any amount raised pursuant to any note purchase facility or the issue of bonds, notes, debentures, loan stock or any similar instrument;</w:t>
            </w:r>
          </w:p>
          <w:p w14:paraId="538823CE" w14:textId="77777777" w:rsidR="00F76607" w:rsidRDefault="001863F0">
            <w:pPr>
              <w:pStyle w:val="ASpecialLowerCaseAlpha2"/>
              <w:numPr>
                <w:ilvl w:val="0"/>
                <w:numId w:val="63"/>
              </w:numPr>
              <w:rPr>
                <w:rFonts w:ascii="Times New Roman" w:hAnsi="Times New Roman" w:cs="Times New Roman"/>
                <w:sz w:val="18"/>
                <w:szCs w:val="18"/>
              </w:rPr>
            </w:pPr>
            <w:r>
              <w:rPr>
                <w:rFonts w:ascii="Times New Roman" w:hAnsi="Times New Roman" w:cs="Times New Roman"/>
                <w:sz w:val="18"/>
                <w:szCs w:val="18"/>
              </w:rPr>
              <w:t>the amount of any liability in respect of any lease or hire purchase contract which would, in accordance with the relevant Accounting Standards, be treated as a finance or capital lease;</w:t>
            </w:r>
          </w:p>
          <w:p w14:paraId="28D278D1" w14:textId="77777777" w:rsidR="00F76607" w:rsidRDefault="001863F0">
            <w:pPr>
              <w:pStyle w:val="ASpecialLowerCaseAlpha2"/>
              <w:numPr>
                <w:ilvl w:val="0"/>
                <w:numId w:val="63"/>
              </w:numPr>
              <w:rPr>
                <w:rFonts w:ascii="Times New Roman" w:hAnsi="Times New Roman" w:cs="Times New Roman"/>
                <w:sz w:val="18"/>
                <w:szCs w:val="18"/>
              </w:rPr>
            </w:pPr>
            <w:r>
              <w:rPr>
                <w:rFonts w:ascii="Times New Roman" w:hAnsi="Times New Roman" w:cs="Times New Roman"/>
                <w:sz w:val="18"/>
                <w:szCs w:val="18"/>
              </w:rPr>
              <w:t xml:space="preserve">receivables sold or discounted (other than any receivables to the extent they are sold on a non-recourse basis) and any assumed debt; </w:t>
            </w:r>
          </w:p>
          <w:p w14:paraId="2D71C1BE" w14:textId="77777777" w:rsidR="00F76607" w:rsidRDefault="001863F0">
            <w:pPr>
              <w:pStyle w:val="ASpecialLowerCaseAlpha2"/>
              <w:numPr>
                <w:ilvl w:val="0"/>
                <w:numId w:val="63"/>
              </w:numPr>
              <w:rPr>
                <w:rFonts w:ascii="Times New Roman" w:hAnsi="Times New Roman" w:cs="Times New Roman"/>
                <w:sz w:val="18"/>
                <w:szCs w:val="18"/>
              </w:rPr>
            </w:pPr>
            <w:r>
              <w:rPr>
                <w:rFonts w:ascii="Times New Roman" w:hAnsi="Times New Roman" w:cs="Times New Roman"/>
                <w:sz w:val="18"/>
                <w:szCs w:val="18"/>
              </w:rPr>
              <w:t>any Treasury Transaction and, when calculating the value of any Treasury Transaction, only the marked to market value shall be taken into account;</w:t>
            </w:r>
          </w:p>
          <w:p w14:paraId="00226B5F" w14:textId="77777777" w:rsidR="00F76607" w:rsidRDefault="001863F0">
            <w:pPr>
              <w:pStyle w:val="ASpecialLowerCaseAlpha2"/>
              <w:numPr>
                <w:ilvl w:val="0"/>
                <w:numId w:val="63"/>
              </w:numPr>
              <w:rPr>
                <w:rFonts w:ascii="Times New Roman" w:hAnsi="Times New Roman" w:cs="Times New Roman"/>
                <w:sz w:val="18"/>
                <w:szCs w:val="18"/>
              </w:rPr>
            </w:pPr>
            <w:r>
              <w:rPr>
                <w:rFonts w:ascii="Times New Roman" w:hAnsi="Times New Roman" w:cs="Times New Roman"/>
                <w:sz w:val="18"/>
                <w:szCs w:val="18"/>
              </w:rPr>
              <w:t>any counter-indemnity obligation in respect of a guarantee, bond, standby or documentary letter of credit or any other instrument issued by a bank or financial institution;</w:t>
            </w:r>
          </w:p>
          <w:p w14:paraId="437DCAB7" w14:textId="77777777" w:rsidR="00F76607" w:rsidRDefault="001863F0">
            <w:pPr>
              <w:pStyle w:val="ASpecialLowerCaseAlpha2"/>
              <w:numPr>
                <w:ilvl w:val="0"/>
                <w:numId w:val="63"/>
              </w:numPr>
              <w:rPr>
                <w:rFonts w:ascii="Times New Roman" w:hAnsi="Times New Roman" w:cs="Times New Roman"/>
                <w:sz w:val="18"/>
                <w:szCs w:val="18"/>
              </w:rPr>
            </w:pPr>
            <w:r>
              <w:rPr>
                <w:rFonts w:ascii="Times New Roman" w:hAnsi="Times New Roman" w:cs="Times New Roman"/>
                <w:sz w:val="18"/>
                <w:szCs w:val="18"/>
              </w:rPr>
              <w:lastRenderedPageBreak/>
              <w:t>any amount of any liability under any advance or deferred purchase agreement if one of the primary reasons behind entering into the agreement is to raise finance for a purchase of assets and payment is due after more than 90 (ninety) days;</w:t>
            </w:r>
          </w:p>
          <w:p w14:paraId="4BD6B8F4" w14:textId="77777777" w:rsidR="00F76607" w:rsidRDefault="001863F0">
            <w:pPr>
              <w:pStyle w:val="ASpecialLowerCaseAlpha2"/>
              <w:numPr>
                <w:ilvl w:val="0"/>
                <w:numId w:val="63"/>
              </w:numPr>
              <w:rPr>
                <w:rFonts w:ascii="Times New Roman" w:hAnsi="Times New Roman" w:cs="Times New Roman"/>
                <w:sz w:val="18"/>
                <w:szCs w:val="18"/>
              </w:rPr>
            </w:pPr>
            <w:r>
              <w:rPr>
                <w:rFonts w:ascii="Times New Roman" w:hAnsi="Times New Roman" w:cs="Times New Roman"/>
                <w:sz w:val="18"/>
                <w:szCs w:val="18"/>
              </w:rPr>
              <w:t>any amount raised under any other transaction (including any forward sale or purchase agreement) having the commercial effect of a borrowing; and</w:t>
            </w:r>
          </w:p>
          <w:p w14:paraId="07825524" w14:textId="77777777" w:rsidR="00F76607" w:rsidRDefault="001863F0">
            <w:pPr>
              <w:pStyle w:val="ASpecialLowerCaseAlpha2"/>
              <w:numPr>
                <w:ilvl w:val="0"/>
                <w:numId w:val="63"/>
              </w:numPr>
              <w:rPr>
                <w:rFonts w:ascii="Times New Roman" w:hAnsi="Times New Roman" w:cs="Times New Roman"/>
                <w:sz w:val="18"/>
                <w:szCs w:val="18"/>
              </w:rPr>
            </w:pPr>
            <w:r>
              <w:rPr>
                <w:rFonts w:ascii="Times New Roman" w:hAnsi="Times New Roman" w:cs="Times New Roman"/>
                <w:sz w:val="18"/>
                <w:szCs w:val="18"/>
              </w:rPr>
              <w:t>the amount of any liability in respect of any guarantee for any of the items referred to in paragraphs (a) to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above;</w:t>
            </w:r>
          </w:p>
        </w:tc>
      </w:tr>
      <w:tr w:rsidR="00F76607" w14:paraId="31BD8CFF" w14:textId="77777777">
        <w:tc>
          <w:tcPr>
            <w:tcW w:w="3518" w:type="dxa"/>
          </w:tcPr>
          <w:p w14:paraId="29718D3A"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lastRenderedPageBreak/>
              <w:t>“Financial Services and Markets Act”</w:t>
            </w:r>
          </w:p>
        </w:tc>
        <w:tc>
          <w:tcPr>
            <w:tcW w:w="5129" w:type="dxa"/>
          </w:tcPr>
          <w:p w14:paraId="0443A27F"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the Financial Services and Markets Act 2000 of the United Kingdom;</w:t>
            </w:r>
          </w:p>
        </w:tc>
      </w:tr>
      <w:tr w:rsidR="00F76607" w14:paraId="1CE2C85A" w14:textId="77777777">
        <w:tc>
          <w:tcPr>
            <w:tcW w:w="3518" w:type="dxa"/>
          </w:tcPr>
          <w:p w14:paraId="4FD6E894"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“First JV Closing”</w:t>
            </w:r>
          </w:p>
        </w:tc>
        <w:tc>
          <w:tcPr>
            <w:tcW w:w="5129" w:type="dxa"/>
          </w:tcPr>
          <w:p w14:paraId="02A55CB9" w14:textId="5E0C469D"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 xml:space="preserve">the closing of the transaction pursuant to which the Joint Venture acquired the Seed Portfolio from VGP on 31 May 2016. The net proceeds received from the sale </w:t>
            </w:r>
            <w:r w:rsidR="0072661D">
              <w:rPr>
                <w:rFonts w:ascii="Times New Roman" w:hAnsi="Times New Roman" w:cs="Times New Roman"/>
                <w:sz w:val="18"/>
                <w:szCs w:val="18"/>
              </w:rPr>
              <w:t>of Seed Portfolio by VGP was € 176.4</w:t>
            </w:r>
            <w:r>
              <w:rPr>
                <w:rFonts w:ascii="Times New Roman" w:hAnsi="Times New Roman" w:cs="Times New Roman"/>
                <w:sz w:val="18"/>
                <w:szCs w:val="18"/>
              </w:rPr>
              <w:t xml:space="preserve"> million;</w:t>
            </w:r>
          </w:p>
        </w:tc>
      </w:tr>
      <w:tr w:rsidR="00F76607" w:rsidRPr="001146AD" w14:paraId="20975B1D" w14:textId="77777777">
        <w:tc>
          <w:tcPr>
            <w:tcW w:w="3518" w:type="dxa"/>
          </w:tcPr>
          <w:p w14:paraId="432CDF71"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“FSMA”</w:t>
            </w:r>
          </w:p>
        </w:tc>
        <w:tc>
          <w:tcPr>
            <w:tcW w:w="5129" w:type="dxa"/>
          </w:tcPr>
          <w:p w14:paraId="2B84CC1E" w14:textId="77777777" w:rsidR="00F76607" w:rsidRDefault="001863F0">
            <w:pPr>
              <w:pStyle w:val="ABody"/>
              <w:rPr>
                <w:rFonts w:ascii="Times New Roman" w:hAnsi="Times New Roman" w:cs="Times New Roman"/>
                <w:b/>
                <w:sz w:val="18"/>
                <w:szCs w:val="18"/>
                <w:lang w:val="fr-FR"/>
              </w:rPr>
            </w:pPr>
            <w:r>
              <w:rPr>
                <w:rFonts w:ascii="Times New Roman" w:hAnsi="Times New Roman" w:cs="Times New Roman"/>
                <w:sz w:val="18"/>
                <w:szCs w:val="18"/>
                <w:lang w:val="fr-FR"/>
              </w:rPr>
              <w:t xml:space="preserve">the </w:t>
            </w:r>
            <w:proofErr w:type="spellStart"/>
            <w:r>
              <w:rPr>
                <w:rFonts w:ascii="Times New Roman" w:hAnsi="Times New Roman" w:cs="Times New Roman"/>
                <w:sz w:val="18"/>
                <w:szCs w:val="18"/>
                <w:lang w:val="fr-FR"/>
              </w:rPr>
              <w:t>financial</w:t>
            </w:r>
            <w:proofErr w:type="spellEnd"/>
            <w:r>
              <w:rPr>
                <w:rFonts w:ascii="Times New Roman" w:hAnsi="Times New Roman" w:cs="Times New Roman"/>
                <w:sz w:val="18"/>
                <w:szCs w:val="18"/>
                <w:lang w:val="fr-FR"/>
              </w:rPr>
              <w:t xml:space="preserve"> Services and </w:t>
            </w:r>
            <w:proofErr w:type="spellStart"/>
            <w:r>
              <w:rPr>
                <w:rFonts w:ascii="Times New Roman" w:hAnsi="Times New Roman" w:cs="Times New Roman"/>
                <w:sz w:val="18"/>
                <w:szCs w:val="18"/>
                <w:lang w:val="fr-FR"/>
              </w:rPr>
              <w:t>Markets</w:t>
            </w:r>
            <w:proofErr w:type="spellEnd"/>
            <w:r>
              <w:rPr>
                <w:rFonts w:ascii="Times New Roman" w:hAnsi="Times New Roman" w:cs="Times New Roman"/>
                <w:sz w:val="18"/>
                <w:szCs w:val="18"/>
                <w:lang w:val="fr-FR"/>
              </w:rPr>
              <w:t> </w:t>
            </w:r>
            <w:proofErr w:type="spellStart"/>
            <w:r>
              <w:rPr>
                <w:rFonts w:ascii="Times New Roman" w:hAnsi="Times New Roman" w:cs="Times New Roman"/>
                <w:sz w:val="18"/>
                <w:szCs w:val="18"/>
                <w:lang w:val="fr-FR"/>
              </w:rPr>
              <w:t>Authority</w:t>
            </w:r>
            <w:proofErr w:type="spellEnd"/>
            <w:r>
              <w:rPr>
                <w:rFonts w:ascii="Times New Roman" w:hAnsi="Times New Roman" w:cs="Times New Roman"/>
                <w:b/>
                <w:sz w:val="18"/>
                <w:szCs w:val="18"/>
                <w:lang w:val="fr-FR"/>
              </w:rPr>
              <w:t xml:space="preserve"> </w:t>
            </w:r>
            <w:r>
              <w:rPr>
                <w:rFonts w:ascii="Times New Roman" w:hAnsi="Times New Roman" w:cs="Times New Roman"/>
                <w:sz w:val="18"/>
                <w:szCs w:val="18"/>
                <w:lang w:val="fr-FR"/>
              </w:rPr>
              <w:t>(</w:t>
            </w:r>
            <w:proofErr w:type="spellStart"/>
            <w:r>
              <w:rPr>
                <w:rFonts w:ascii="Times New Roman" w:hAnsi="Times New Roman" w:cs="Times New Roman"/>
                <w:i/>
                <w:sz w:val="18"/>
                <w:szCs w:val="18"/>
                <w:lang w:val="fr-FR"/>
              </w:rPr>
              <w:t>Autoriteit</w:t>
            </w:r>
            <w:proofErr w:type="spellEnd"/>
            <w:r>
              <w:rPr>
                <w:rFonts w:ascii="Times New Roman" w:hAnsi="Times New Roman" w:cs="Times New Roman"/>
                <w:i/>
                <w:sz w:val="18"/>
                <w:szCs w:val="18"/>
                <w:lang w:val="fr-FR"/>
              </w:rPr>
              <w:t xml:space="preserve"> </w:t>
            </w:r>
            <w:proofErr w:type="spellStart"/>
            <w:r>
              <w:rPr>
                <w:rFonts w:ascii="Times New Roman" w:hAnsi="Times New Roman" w:cs="Times New Roman"/>
                <w:i/>
                <w:sz w:val="18"/>
                <w:szCs w:val="18"/>
                <w:lang w:val="fr-FR"/>
              </w:rPr>
              <w:t>voor</w:t>
            </w:r>
            <w:proofErr w:type="spellEnd"/>
            <w:r>
              <w:rPr>
                <w:rFonts w:ascii="Times New Roman" w:hAnsi="Times New Roman" w:cs="Times New Roman"/>
                <w:i/>
                <w:sz w:val="18"/>
                <w:szCs w:val="18"/>
                <w:lang w:val="fr-FR"/>
              </w:rPr>
              <w:t xml:space="preserve"> </w:t>
            </w:r>
            <w:proofErr w:type="spellStart"/>
            <w:r>
              <w:rPr>
                <w:rFonts w:ascii="Times New Roman" w:hAnsi="Times New Roman" w:cs="Times New Roman"/>
                <w:i/>
                <w:sz w:val="18"/>
                <w:szCs w:val="18"/>
                <w:lang w:val="fr-FR"/>
              </w:rPr>
              <w:t>Financiële</w:t>
            </w:r>
            <w:proofErr w:type="spellEnd"/>
            <w:r>
              <w:rPr>
                <w:rFonts w:ascii="Times New Roman" w:hAnsi="Times New Roman" w:cs="Times New Roman"/>
                <w:i/>
                <w:sz w:val="18"/>
                <w:szCs w:val="18"/>
                <w:lang w:val="fr-FR"/>
              </w:rPr>
              <w:t xml:space="preserve"> </w:t>
            </w:r>
            <w:proofErr w:type="spellStart"/>
            <w:r>
              <w:rPr>
                <w:rFonts w:ascii="Times New Roman" w:hAnsi="Times New Roman" w:cs="Times New Roman"/>
                <w:i/>
                <w:sz w:val="18"/>
                <w:szCs w:val="18"/>
                <w:lang w:val="fr-FR"/>
              </w:rPr>
              <w:t>Diensten</w:t>
            </w:r>
            <w:proofErr w:type="spellEnd"/>
            <w:r>
              <w:rPr>
                <w:rFonts w:ascii="Times New Roman" w:hAnsi="Times New Roman" w:cs="Times New Roman"/>
                <w:i/>
                <w:sz w:val="18"/>
                <w:szCs w:val="18"/>
                <w:lang w:val="fr-FR"/>
              </w:rPr>
              <w:t xml:space="preserve"> en </w:t>
            </w:r>
            <w:proofErr w:type="spellStart"/>
            <w:r>
              <w:rPr>
                <w:rFonts w:ascii="Times New Roman" w:hAnsi="Times New Roman" w:cs="Times New Roman"/>
                <w:i/>
                <w:sz w:val="18"/>
                <w:szCs w:val="18"/>
                <w:lang w:val="fr-FR"/>
              </w:rPr>
              <w:t>Markten</w:t>
            </w:r>
            <w:proofErr w:type="spellEnd"/>
            <w:r>
              <w:rPr>
                <w:rFonts w:ascii="Times New Roman" w:hAnsi="Times New Roman" w:cs="Times New Roman"/>
                <w:sz w:val="18"/>
                <w:szCs w:val="18"/>
                <w:lang w:val="fr-FR"/>
              </w:rPr>
              <w:t xml:space="preserve"> / </w:t>
            </w:r>
            <w:r>
              <w:rPr>
                <w:rFonts w:ascii="Times New Roman" w:hAnsi="Times New Roman" w:cs="Times New Roman"/>
                <w:i/>
                <w:sz w:val="18"/>
                <w:szCs w:val="18"/>
                <w:lang w:val="fr-FR"/>
              </w:rPr>
              <w:t>Autorité des services et marches financiers</w:t>
            </w:r>
            <w:r>
              <w:rPr>
                <w:rFonts w:ascii="Times New Roman" w:hAnsi="Times New Roman" w:cs="Times New Roman"/>
                <w:sz w:val="18"/>
                <w:szCs w:val="18"/>
                <w:lang w:val="fr-FR"/>
              </w:rPr>
              <w:t>);</w:t>
            </w:r>
          </w:p>
        </w:tc>
      </w:tr>
      <w:tr w:rsidR="00F76607" w14:paraId="782A05F1" w14:textId="77777777">
        <w:tc>
          <w:tcPr>
            <w:tcW w:w="3518" w:type="dxa"/>
          </w:tcPr>
          <w:p w14:paraId="698F348F"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“FTT”</w:t>
            </w:r>
          </w:p>
        </w:tc>
        <w:tc>
          <w:tcPr>
            <w:tcW w:w="5129" w:type="dxa"/>
          </w:tcPr>
          <w:p w14:paraId="35E047AA"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the proposed financial transactions tax by the EU Commission;</w:t>
            </w:r>
          </w:p>
        </w:tc>
      </w:tr>
      <w:tr w:rsidR="00F76607" w14:paraId="3DF229D3" w14:textId="77777777">
        <w:tc>
          <w:tcPr>
            <w:tcW w:w="3518" w:type="dxa"/>
          </w:tcPr>
          <w:p w14:paraId="7F32EFCC"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“GAAP”</w:t>
            </w:r>
          </w:p>
        </w:tc>
        <w:tc>
          <w:tcPr>
            <w:tcW w:w="5129" w:type="dxa"/>
          </w:tcPr>
          <w:p w14:paraId="6026720C"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generally accepted accounting principles;</w:t>
            </w:r>
          </w:p>
        </w:tc>
      </w:tr>
      <w:tr w:rsidR="00DE3AD3" w14:paraId="6790EE2B" w14:textId="77777777">
        <w:tc>
          <w:tcPr>
            <w:tcW w:w="3518" w:type="dxa"/>
          </w:tcPr>
          <w:p w14:paraId="66E6A45F" w14:textId="240D9FC2" w:rsidR="00DE3AD3" w:rsidRDefault="00DE3AD3">
            <w:pPr>
              <w:pStyle w:val="ABody"/>
              <w:rPr>
                <w:rFonts w:ascii="Times New Roman" w:hAnsi="Times New Roman" w:cs="Times New Roman"/>
                <w:b/>
                <w:sz w:val="18"/>
                <w:szCs w:val="18"/>
              </w:rPr>
            </w:pPr>
            <w:r>
              <w:rPr>
                <w:rFonts w:ascii="Times New Roman" w:hAnsi="Times New Roman" w:cs="Times New Roman"/>
                <w:b/>
                <w:sz w:val="18"/>
                <w:szCs w:val="18"/>
              </w:rPr>
              <w:t>“GAV”</w:t>
            </w:r>
          </w:p>
        </w:tc>
        <w:tc>
          <w:tcPr>
            <w:tcW w:w="5129" w:type="dxa"/>
          </w:tcPr>
          <w:p w14:paraId="393CABA0" w14:textId="080830E3" w:rsidR="00DE3AD3" w:rsidRDefault="00DE3AD3">
            <w:pPr>
              <w:pStyle w:val="ABody"/>
              <w:rPr>
                <w:rFonts w:ascii="Times New Roman" w:hAnsi="Times New Roman" w:cs="Times New Roman"/>
                <w:sz w:val="18"/>
                <w:szCs w:val="18"/>
              </w:rPr>
            </w:pPr>
            <w:r>
              <w:rPr>
                <w:rFonts w:ascii="Times New Roman" w:hAnsi="Times New Roman" w:cs="Times New Roman"/>
                <w:sz w:val="18"/>
                <w:szCs w:val="18"/>
              </w:rPr>
              <w:t xml:space="preserve">gross asset value; </w:t>
            </w:r>
          </w:p>
        </w:tc>
      </w:tr>
      <w:tr w:rsidR="00F76607" w14:paraId="4E8B89F1" w14:textId="77777777">
        <w:tc>
          <w:tcPr>
            <w:tcW w:w="3518" w:type="dxa"/>
          </w:tcPr>
          <w:p w14:paraId="0E3B59F9"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“GDP”</w:t>
            </w:r>
          </w:p>
        </w:tc>
        <w:tc>
          <w:tcPr>
            <w:tcW w:w="5129" w:type="dxa"/>
          </w:tcPr>
          <w:p w14:paraId="15F76287"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lang w:val="en-US"/>
              </w:rPr>
              <w:t>the gross domestic product (“</w:t>
            </w:r>
            <w:proofErr w:type="spellStart"/>
            <w:r>
              <w:rPr>
                <w:rFonts w:ascii="Times New Roman" w:hAnsi="Times New Roman" w:cs="Times New Roman"/>
                <w:i/>
                <w:sz w:val="18"/>
                <w:szCs w:val="18"/>
                <w:lang w:val="en-US"/>
              </w:rPr>
              <w:t>bruto</w:t>
            </w:r>
            <w:proofErr w:type="spellEnd"/>
            <w:r>
              <w:rPr>
                <w:rFonts w:ascii="Times New Roman" w:hAnsi="Times New Roman" w:cs="Times New Roman"/>
                <w:i/>
                <w:sz w:val="18"/>
                <w:szCs w:val="18"/>
                <w:lang w:val="en-US"/>
              </w:rPr>
              <w:t xml:space="preserve"> national product” / “</w:t>
            </w:r>
            <w:proofErr w:type="spellStart"/>
            <w:r>
              <w:rPr>
                <w:rFonts w:ascii="Times New Roman" w:hAnsi="Times New Roman" w:cs="Times New Roman"/>
                <w:i/>
                <w:sz w:val="18"/>
                <w:szCs w:val="18"/>
                <w:lang w:val="en-US"/>
              </w:rPr>
              <w:t>produit</w:t>
            </w:r>
            <w:proofErr w:type="spellEnd"/>
            <w:r>
              <w:rPr>
                <w:rFonts w:ascii="Times New Roman" w:hAnsi="Times New Roman" w:cs="Times New Roman"/>
                <w:i/>
                <w:sz w:val="18"/>
                <w:szCs w:val="18"/>
                <w:lang w:val="en-US"/>
              </w:rPr>
              <w:t xml:space="preserve"> national brut”</w:t>
            </w:r>
            <w:r>
              <w:rPr>
                <w:rFonts w:ascii="Times New Roman" w:hAnsi="Times New Roman" w:cs="Times New Roman"/>
                <w:sz w:val="18"/>
                <w:szCs w:val="18"/>
                <w:lang w:val="en-US"/>
              </w:rPr>
              <w:t>) of a country;</w:t>
            </w:r>
          </w:p>
        </w:tc>
      </w:tr>
      <w:tr w:rsidR="00F76607" w14:paraId="61D7C20C" w14:textId="77777777">
        <w:tc>
          <w:tcPr>
            <w:tcW w:w="3518" w:type="dxa"/>
          </w:tcPr>
          <w:p w14:paraId="5A37C588"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“Gearing Ratio”</w:t>
            </w:r>
          </w:p>
        </w:tc>
        <w:tc>
          <w:tcPr>
            <w:tcW w:w="5129" w:type="dxa"/>
          </w:tcPr>
          <w:p w14:paraId="28A1CA39" w14:textId="77777777" w:rsidR="00F76607" w:rsidRDefault="001863F0">
            <w:pPr>
              <w:pStyle w:val="ABody"/>
              <w:rPr>
                <w:rFonts w:ascii="Times New Roman" w:hAnsi="Times New Roman" w:cs="Times New Roman"/>
                <w:sz w:val="18"/>
                <w:szCs w:val="18"/>
              </w:rPr>
            </w:pPr>
            <w:r>
              <w:rPr>
                <w:rFonts w:ascii="Times New Roman" w:hAnsi="Times New Roman" w:cs="Times New Roman"/>
                <w:iCs/>
                <w:sz w:val="18"/>
                <w:szCs w:val="18"/>
              </w:rPr>
              <w:t xml:space="preserve">the ratio calculated as consolidated Total Net Debt divided by the sum of the equity and total liabilities; </w:t>
            </w:r>
          </w:p>
        </w:tc>
      </w:tr>
      <w:tr w:rsidR="00F76607" w14:paraId="4202B02B" w14:textId="77777777">
        <w:tc>
          <w:tcPr>
            <w:tcW w:w="3518" w:type="dxa"/>
          </w:tcPr>
          <w:p w14:paraId="2D3C424B"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“GLA”</w:t>
            </w:r>
          </w:p>
        </w:tc>
        <w:tc>
          <w:tcPr>
            <w:tcW w:w="5129" w:type="dxa"/>
          </w:tcPr>
          <w:p w14:paraId="7BC7FB5A" w14:textId="77777777" w:rsidR="00F76607" w:rsidRDefault="001863F0">
            <w:pPr>
              <w:pStyle w:val="ABody"/>
              <w:rPr>
                <w:rFonts w:ascii="Times New Roman" w:hAnsi="Times New Roman" w:cs="Times New Roman"/>
                <w:iCs/>
                <w:sz w:val="18"/>
                <w:szCs w:val="18"/>
              </w:rPr>
            </w:pPr>
            <w:r>
              <w:rPr>
                <w:rFonts w:ascii="Times New Roman" w:hAnsi="Times New Roman" w:cs="Times New Roman"/>
                <w:iCs/>
                <w:sz w:val="18"/>
                <w:szCs w:val="18"/>
              </w:rPr>
              <w:t>gross lettable area;</w:t>
            </w:r>
          </w:p>
        </w:tc>
      </w:tr>
      <w:tr w:rsidR="00F76607" w14:paraId="691622CC" w14:textId="77777777">
        <w:tc>
          <w:tcPr>
            <w:tcW w:w="3518" w:type="dxa"/>
          </w:tcPr>
          <w:p w14:paraId="7C2D40DA"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 xml:space="preserve">“Group” </w:t>
            </w:r>
          </w:p>
        </w:tc>
        <w:tc>
          <w:tcPr>
            <w:tcW w:w="5129" w:type="dxa"/>
          </w:tcPr>
          <w:p w14:paraId="6F1DE63A"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Company and its Subsidiaries;</w:t>
            </w:r>
          </w:p>
        </w:tc>
      </w:tr>
      <w:tr w:rsidR="00F76607" w14:paraId="3CBC84CF" w14:textId="77777777">
        <w:tc>
          <w:tcPr>
            <w:tcW w:w="3518" w:type="dxa"/>
          </w:tcPr>
          <w:p w14:paraId="1141E353"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“IAS”</w:t>
            </w:r>
          </w:p>
        </w:tc>
        <w:tc>
          <w:tcPr>
            <w:tcW w:w="5129" w:type="dxa"/>
          </w:tcPr>
          <w:p w14:paraId="27BA9A41"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International Accounting Standards, the international accounting standards drawn up by the International Accounting Standards Board (IASB), for the preparation of financial statements;</w:t>
            </w:r>
          </w:p>
        </w:tc>
      </w:tr>
      <w:tr w:rsidR="00F76607" w14:paraId="3F5F1E4B" w14:textId="77777777">
        <w:tc>
          <w:tcPr>
            <w:tcW w:w="3518" w:type="dxa"/>
          </w:tcPr>
          <w:p w14:paraId="273FC0D5"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“IFRS”</w:t>
            </w:r>
          </w:p>
        </w:tc>
        <w:tc>
          <w:tcPr>
            <w:tcW w:w="5129" w:type="dxa"/>
          </w:tcPr>
          <w:p w14:paraId="53D577BB"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International Financial Reporting Standards (see also IAS);</w:t>
            </w:r>
          </w:p>
        </w:tc>
      </w:tr>
      <w:tr w:rsidR="00F76607" w14:paraId="54282AFF" w14:textId="77777777">
        <w:tc>
          <w:tcPr>
            <w:tcW w:w="3518" w:type="dxa"/>
          </w:tcPr>
          <w:p w14:paraId="3F1A0986"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“Increase Option”</w:t>
            </w:r>
          </w:p>
        </w:tc>
        <w:tc>
          <w:tcPr>
            <w:tcW w:w="5129" w:type="dxa"/>
          </w:tcPr>
          <w:p w14:paraId="64EC3132" w14:textId="1DA4B483"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option to increase the aggregate</w:t>
            </w:r>
            <w:r w:rsidR="000E243B">
              <w:rPr>
                <w:rFonts w:ascii="Times New Roman" w:hAnsi="Times New Roman" w:cs="Times New Roman"/>
                <w:sz w:val="18"/>
                <w:szCs w:val="18"/>
              </w:rPr>
              <w:t xml:space="preserve"> number of Offer Shares up to </w:t>
            </w:r>
            <w:r w:rsidR="00932B9E">
              <w:rPr>
                <w:rFonts w:ascii="Times New Roman" w:hAnsi="Times New Roman" w:cs="Times New Roman"/>
                <w:sz w:val="18"/>
                <w:szCs w:val="18"/>
              </w:rPr>
              <w:t>25</w:t>
            </w:r>
            <w:r>
              <w:rPr>
                <w:rFonts w:ascii="Times New Roman" w:hAnsi="Times New Roman" w:cs="Times New Roman"/>
                <w:sz w:val="18"/>
                <w:szCs w:val="18"/>
              </w:rPr>
              <w:t>% of the aggregate number of Offer Shares initially offered;</w:t>
            </w:r>
          </w:p>
        </w:tc>
      </w:tr>
      <w:tr w:rsidR="00F76607" w14:paraId="6B8ACCD7" w14:textId="77777777">
        <w:tc>
          <w:tcPr>
            <w:tcW w:w="3518" w:type="dxa"/>
          </w:tcPr>
          <w:p w14:paraId="24065EB1" w14:textId="77777777" w:rsidR="00F76607" w:rsidRDefault="001863F0">
            <w:pPr>
              <w:pStyle w:val="ABody"/>
              <w:rPr>
                <w:rFonts w:ascii="Times New Roman" w:hAnsi="Times New Roman" w:cs="Times New Roman"/>
                <w:sz w:val="18"/>
                <w:szCs w:val="18"/>
              </w:rPr>
            </w:pPr>
            <w:r>
              <w:rPr>
                <w:rFonts w:ascii="Times New Roman" w:hAnsi="Times New Roman" w:cs="Times New Roman"/>
                <w:b/>
                <w:sz w:val="18"/>
                <w:szCs w:val="18"/>
              </w:rPr>
              <w:t>“Indexation”</w:t>
            </w:r>
            <w:r>
              <w:rPr>
                <w:rFonts w:ascii="Times New Roman" w:hAnsi="Times New Roman" w:cs="Times New Roman"/>
                <w:sz w:val="18"/>
                <w:szCs w:val="18"/>
              </w:rPr>
              <w:t xml:space="preserve"> </w:t>
            </w:r>
          </w:p>
        </w:tc>
        <w:tc>
          <w:tcPr>
            <w:tcW w:w="5129" w:type="dxa"/>
          </w:tcPr>
          <w:p w14:paraId="236B6EEA"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contractual annual adjustment of the rent on the anniversary of the contract effective date on the basis of the inflation rate according to a benchmark index in each specific country;</w:t>
            </w:r>
          </w:p>
        </w:tc>
      </w:tr>
      <w:tr w:rsidR="00F76607" w14:paraId="7DD36191" w14:textId="77777777">
        <w:tc>
          <w:tcPr>
            <w:tcW w:w="3518" w:type="dxa"/>
          </w:tcPr>
          <w:p w14:paraId="46E13909"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“ING”</w:t>
            </w:r>
          </w:p>
        </w:tc>
        <w:tc>
          <w:tcPr>
            <w:tcW w:w="5129" w:type="dxa"/>
          </w:tcPr>
          <w:p w14:paraId="4955DB85"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ING Belgium NV/SA;</w:t>
            </w:r>
          </w:p>
        </w:tc>
      </w:tr>
      <w:tr w:rsidR="00F76607" w14:paraId="67CF9B6F" w14:textId="77777777">
        <w:tc>
          <w:tcPr>
            <w:tcW w:w="3518" w:type="dxa"/>
          </w:tcPr>
          <w:p w14:paraId="3152F93A"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“Interest Cover Ratio”</w:t>
            </w:r>
          </w:p>
        </w:tc>
        <w:tc>
          <w:tcPr>
            <w:tcW w:w="5129" w:type="dxa"/>
          </w:tcPr>
          <w:p w14:paraId="57300228"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the ratio of Aggregate Net Rental Income (increased with the available Cash and Cash Equivalents on the last day of an Annual Relevant Period) to Finance Charges in respect of any Annual Relevant Period;</w:t>
            </w:r>
          </w:p>
        </w:tc>
      </w:tr>
      <w:tr w:rsidR="00F76607" w14:paraId="2EF437FE" w14:textId="77777777">
        <w:tc>
          <w:tcPr>
            <w:tcW w:w="3518" w:type="dxa"/>
          </w:tcPr>
          <w:p w14:paraId="228AE88A" w14:textId="77777777" w:rsidR="00F76607" w:rsidRDefault="001863F0">
            <w:pPr>
              <w:pStyle w:val="ABody"/>
              <w:rPr>
                <w:rFonts w:ascii="Times New Roman" w:hAnsi="Times New Roman" w:cs="Times New Roman"/>
                <w:sz w:val="18"/>
                <w:szCs w:val="18"/>
              </w:rPr>
            </w:pPr>
            <w:r>
              <w:rPr>
                <w:rFonts w:ascii="Times New Roman" w:hAnsi="Times New Roman" w:cs="Times New Roman"/>
                <w:b/>
                <w:sz w:val="18"/>
                <w:szCs w:val="18"/>
              </w:rPr>
              <w:t>“Interest Rate Hedging</w:t>
            </w:r>
            <w:r>
              <w:rPr>
                <w:rFonts w:ascii="Times New Roman" w:hAnsi="Times New Roman" w:cs="Times New Roman"/>
                <w:sz w:val="18"/>
                <w:szCs w:val="18"/>
              </w:rPr>
              <w:t>”</w:t>
            </w:r>
          </w:p>
        </w:tc>
        <w:tc>
          <w:tcPr>
            <w:tcW w:w="5129" w:type="dxa"/>
          </w:tcPr>
          <w:p w14:paraId="4607A93C"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 xml:space="preserve">the use of derived financial instruments to protect debt positions against interest rate rises; </w:t>
            </w:r>
          </w:p>
        </w:tc>
      </w:tr>
      <w:tr w:rsidR="00F76607" w14:paraId="622F5636" w14:textId="77777777">
        <w:tc>
          <w:tcPr>
            <w:tcW w:w="3518" w:type="dxa"/>
          </w:tcPr>
          <w:p w14:paraId="6A14D2E7"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“Interim Financial Statements”</w:t>
            </w:r>
          </w:p>
        </w:tc>
        <w:tc>
          <w:tcPr>
            <w:tcW w:w="5129" w:type="dxa"/>
          </w:tcPr>
          <w:p w14:paraId="3BEBDAA2"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lang w:val="en-US"/>
              </w:rPr>
              <w:t>the unaudited consolidated financial statements of the Company as of and for the half year ended 30 June 2017 and 2016;</w:t>
            </w:r>
          </w:p>
        </w:tc>
      </w:tr>
      <w:tr w:rsidR="00F76607" w14:paraId="4899DA96" w14:textId="77777777">
        <w:tc>
          <w:tcPr>
            <w:tcW w:w="3518" w:type="dxa"/>
          </w:tcPr>
          <w:p w14:paraId="4D0B3BE5"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lastRenderedPageBreak/>
              <w:t xml:space="preserve">“IRS” </w:t>
            </w:r>
          </w:p>
        </w:tc>
        <w:tc>
          <w:tcPr>
            <w:tcW w:w="5129" w:type="dxa"/>
          </w:tcPr>
          <w:p w14:paraId="430597B5"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Interest Rate Swap, a transaction in which the parties swap interest rate payments for a given duration (VGP uses interest rate swaps to hedge against interest rate increases by converting current variable interest payments into fixed interest payments);</w:t>
            </w:r>
          </w:p>
        </w:tc>
      </w:tr>
      <w:tr w:rsidR="00F76607" w14:paraId="49085798" w14:textId="77777777">
        <w:tc>
          <w:tcPr>
            <w:tcW w:w="3518" w:type="dxa"/>
          </w:tcPr>
          <w:tbl>
            <w:tblPr>
              <w:tblW w:w="5000" w:type="pct"/>
              <w:tblCellMar>
                <w:left w:w="0" w:type="dxa"/>
                <w:right w:w="0" w:type="dxa"/>
              </w:tblCellMar>
              <w:tblLook w:val="04A0" w:firstRow="1" w:lastRow="0" w:firstColumn="1" w:lastColumn="0" w:noHBand="0" w:noVBand="1"/>
            </w:tblPr>
            <w:tblGrid>
              <w:gridCol w:w="3155"/>
              <w:gridCol w:w="147"/>
            </w:tblGrid>
            <w:tr w:rsidR="00F76607" w14:paraId="506632CA" w14:textId="77777777">
              <w:tc>
                <w:tcPr>
                  <w:tcW w:w="4777" w:type="pct"/>
                  <w:hideMark/>
                </w:tcPr>
                <w:p w14:paraId="5163928B" w14:textId="77777777" w:rsidR="00F76607" w:rsidRDefault="001863F0">
                  <w:pPr>
                    <w:pStyle w:val="ABody"/>
                    <w:rPr>
                      <w:rFonts w:ascii="Times New Roman" w:eastAsiaTheme="minorHAnsi" w:hAnsi="Times New Roman" w:cs="Times New Roman"/>
                      <w:b/>
                      <w:sz w:val="18"/>
                      <w:szCs w:val="18"/>
                    </w:rPr>
                  </w:pPr>
                  <w:r>
                    <w:rPr>
                      <w:rFonts w:ascii="Times New Roman" w:eastAsiaTheme="minorHAnsi" w:hAnsi="Times New Roman" w:cs="Times New Roman"/>
                      <w:b/>
                      <w:sz w:val="18"/>
                      <w:szCs w:val="18"/>
                    </w:rPr>
                    <w:t xml:space="preserve">“Joint Bookrunners” </w:t>
                  </w:r>
                </w:p>
              </w:tc>
              <w:tc>
                <w:tcPr>
                  <w:tcW w:w="223" w:type="pct"/>
                  <w:hideMark/>
                </w:tcPr>
                <w:p w14:paraId="73F9C778" w14:textId="77777777" w:rsidR="00F76607" w:rsidRDefault="00F76607">
                  <w:pPr>
                    <w:pStyle w:val="ABody"/>
                    <w:rPr>
                      <w:rFonts w:ascii="Times New Roman" w:eastAsiaTheme="minorHAnsi" w:hAnsi="Times New Roman" w:cs="Times New Roman"/>
                      <w:b/>
                      <w:sz w:val="18"/>
                      <w:szCs w:val="18"/>
                    </w:rPr>
                  </w:pPr>
                </w:p>
              </w:tc>
            </w:tr>
          </w:tbl>
          <w:p w14:paraId="7BB7544F" w14:textId="77777777" w:rsidR="00F76607" w:rsidRDefault="00F76607">
            <w:pPr>
              <w:pStyle w:val="ABody"/>
              <w:rPr>
                <w:rFonts w:ascii="Times New Roman" w:hAnsi="Times New Roman" w:cs="Times New Roman"/>
                <w:b/>
                <w:sz w:val="18"/>
                <w:szCs w:val="18"/>
              </w:rPr>
            </w:pPr>
          </w:p>
        </w:tc>
        <w:tc>
          <w:tcPr>
            <w:tcW w:w="5129" w:type="dxa"/>
          </w:tcPr>
          <w:p w14:paraId="432A4E3D"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lang w:val="en-US"/>
              </w:rPr>
              <w:t>J.P. Morgan and KBC Securities;</w:t>
            </w:r>
          </w:p>
        </w:tc>
      </w:tr>
      <w:tr w:rsidR="00F76607" w14:paraId="1F45E956" w14:textId="77777777">
        <w:tc>
          <w:tcPr>
            <w:tcW w:w="3518" w:type="dxa"/>
          </w:tcPr>
          <w:p w14:paraId="60154F76"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“Joint Global Coordinators”</w:t>
            </w:r>
          </w:p>
        </w:tc>
        <w:tc>
          <w:tcPr>
            <w:tcW w:w="5129" w:type="dxa"/>
          </w:tcPr>
          <w:p w14:paraId="2C965BA1"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J.P. Morgan and KBC Securities;</w:t>
            </w:r>
          </w:p>
        </w:tc>
      </w:tr>
      <w:tr w:rsidR="00F76607" w14:paraId="49C743A9" w14:textId="77777777">
        <w:tc>
          <w:tcPr>
            <w:tcW w:w="3518" w:type="dxa"/>
          </w:tcPr>
          <w:p w14:paraId="58154469" w14:textId="77777777" w:rsidR="00F76607" w:rsidRDefault="001863F0">
            <w:pPr>
              <w:pStyle w:val="ABody"/>
              <w:rPr>
                <w:rFonts w:ascii="Times New Roman" w:hAnsi="Times New Roman" w:cs="Times New Roman"/>
                <w:sz w:val="18"/>
                <w:szCs w:val="18"/>
              </w:rPr>
            </w:pPr>
            <w:r>
              <w:rPr>
                <w:rFonts w:ascii="Times New Roman" w:hAnsi="Times New Roman" w:cs="Times New Roman"/>
                <w:b/>
                <w:sz w:val="18"/>
                <w:szCs w:val="18"/>
              </w:rPr>
              <w:t>“Joint Venture”</w:t>
            </w:r>
          </w:p>
        </w:tc>
        <w:tc>
          <w:tcPr>
            <w:tcW w:w="5129" w:type="dxa"/>
          </w:tcPr>
          <w:p w14:paraId="42EE4484"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 xml:space="preserve">VGP European Logistics </w:t>
            </w:r>
            <w:proofErr w:type="spellStart"/>
            <w:r>
              <w:rPr>
                <w:rFonts w:ascii="Times New Roman" w:hAnsi="Times New Roman" w:cs="Times New Roman"/>
                <w:sz w:val="18"/>
                <w:szCs w:val="18"/>
              </w:rPr>
              <w:t>S.à</w:t>
            </w:r>
            <w:proofErr w:type="spellEnd"/>
            <w:r>
              <w:rPr>
                <w:rFonts w:ascii="Times New Roman" w:hAnsi="Times New Roman" w:cs="Times New Roman"/>
                <w:sz w:val="18"/>
                <w:szCs w:val="18"/>
              </w:rPr>
              <w:t> </w:t>
            </w:r>
            <w:proofErr w:type="spellStart"/>
            <w:r>
              <w:rPr>
                <w:rFonts w:ascii="Times New Roman" w:hAnsi="Times New Roman" w:cs="Times New Roman"/>
                <w:sz w:val="18"/>
                <w:szCs w:val="18"/>
              </w:rPr>
              <w:t>r.l</w:t>
            </w:r>
            <w:proofErr w:type="spellEnd"/>
            <w:r>
              <w:rPr>
                <w:rFonts w:ascii="Times New Roman" w:hAnsi="Times New Roman" w:cs="Times New Roman"/>
                <w:sz w:val="18"/>
                <w:szCs w:val="18"/>
              </w:rPr>
              <w:t>., the 50:50 joint venture between the Company and Allianz;</w:t>
            </w:r>
          </w:p>
        </w:tc>
      </w:tr>
      <w:tr w:rsidR="00F76607" w14:paraId="1E45AF93" w14:textId="77777777">
        <w:tc>
          <w:tcPr>
            <w:tcW w:w="3518" w:type="dxa"/>
          </w:tcPr>
          <w:p w14:paraId="7C7B7DB6"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“J.P. Morgan”</w:t>
            </w:r>
          </w:p>
        </w:tc>
        <w:tc>
          <w:tcPr>
            <w:tcW w:w="5129" w:type="dxa"/>
          </w:tcPr>
          <w:p w14:paraId="2892AEB9"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 xml:space="preserve">J.P. Morgan plc; </w:t>
            </w:r>
          </w:p>
        </w:tc>
      </w:tr>
      <w:tr w:rsidR="00F76607" w14:paraId="562503F8" w14:textId="77777777">
        <w:tc>
          <w:tcPr>
            <w:tcW w:w="3518" w:type="dxa"/>
          </w:tcPr>
          <w:p w14:paraId="726D4F00"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 xml:space="preserve">“JVA” </w:t>
            </w:r>
            <w:r>
              <w:rPr>
                <w:rFonts w:ascii="Times New Roman" w:hAnsi="Times New Roman" w:cs="Times New Roman"/>
                <w:sz w:val="18"/>
                <w:szCs w:val="18"/>
                <w:lang w:val="en-US"/>
              </w:rPr>
              <w:t>or “</w:t>
            </w:r>
            <w:r>
              <w:rPr>
                <w:rFonts w:ascii="Times New Roman" w:hAnsi="Times New Roman" w:cs="Times New Roman"/>
                <w:b/>
                <w:sz w:val="18"/>
                <w:szCs w:val="18"/>
                <w:lang w:val="en-US"/>
              </w:rPr>
              <w:t>Joint Venture Agreement”</w:t>
            </w:r>
          </w:p>
        </w:tc>
        <w:tc>
          <w:tcPr>
            <w:tcW w:w="5129" w:type="dxa"/>
          </w:tcPr>
          <w:p w14:paraId="667CA078"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lang w:val="en-US"/>
              </w:rPr>
              <w:t>the joint venture agreement made between Allianz and the Company dated 14 March 2016;</w:t>
            </w:r>
          </w:p>
        </w:tc>
      </w:tr>
      <w:tr w:rsidR="00F76607" w14:paraId="62F6861A" w14:textId="77777777">
        <w:tc>
          <w:tcPr>
            <w:tcW w:w="3518" w:type="dxa"/>
          </w:tcPr>
          <w:p w14:paraId="65161BE8"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“KBC Securities”</w:t>
            </w:r>
          </w:p>
        </w:tc>
        <w:tc>
          <w:tcPr>
            <w:tcW w:w="5129" w:type="dxa"/>
          </w:tcPr>
          <w:p w14:paraId="1C3972D1"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lang w:val="en-US"/>
              </w:rPr>
              <w:t xml:space="preserve">KBC Securities NV; </w:t>
            </w:r>
          </w:p>
        </w:tc>
      </w:tr>
      <w:tr w:rsidR="00F76607" w14:paraId="593DCE0D" w14:textId="77777777">
        <w:tc>
          <w:tcPr>
            <w:tcW w:w="3518" w:type="dxa"/>
          </w:tcPr>
          <w:p w14:paraId="26838CE8"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“Little Rock SA”</w:t>
            </w:r>
          </w:p>
        </w:tc>
        <w:tc>
          <w:tcPr>
            <w:tcW w:w="5129" w:type="dxa"/>
          </w:tcPr>
          <w:p w14:paraId="1FC1649E"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a limited liability company (</w:t>
            </w:r>
            <w:proofErr w:type="spellStart"/>
            <w:r>
              <w:rPr>
                <w:rFonts w:ascii="Times New Roman" w:hAnsi="Times New Roman" w:cs="Times New Roman"/>
                <w:i/>
                <w:sz w:val="18"/>
                <w:szCs w:val="18"/>
              </w:rPr>
              <w:t>société</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anonyme</w:t>
            </w:r>
            <w:proofErr w:type="spellEnd"/>
            <w:r>
              <w:rPr>
                <w:rFonts w:ascii="Times New Roman" w:hAnsi="Times New Roman" w:cs="Times New Roman"/>
                <w:sz w:val="18"/>
                <w:szCs w:val="18"/>
              </w:rPr>
              <w:t>) organised and existing under the laws of Luxembourg, having its registered office at 25, Boulevard Prince Henri, L 1724 Luxembourg, Grand Duchy of Luxembourg, registered with the Luxembourg Register of Commerce and Companies under number B156902;</w:t>
            </w:r>
          </w:p>
        </w:tc>
      </w:tr>
      <w:tr w:rsidR="00F76607" w14:paraId="327A081B" w14:textId="77777777">
        <w:tc>
          <w:tcPr>
            <w:tcW w:w="3518" w:type="dxa"/>
          </w:tcPr>
          <w:p w14:paraId="33169B98"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“m²”</w:t>
            </w:r>
          </w:p>
        </w:tc>
        <w:tc>
          <w:tcPr>
            <w:tcW w:w="5129" w:type="dxa"/>
          </w:tcPr>
          <w:p w14:paraId="055BEC04"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square meters;</w:t>
            </w:r>
          </w:p>
        </w:tc>
      </w:tr>
      <w:tr w:rsidR="00F76607" w14:paraId="096BE606" w14:textId="77777777">
        <w:tc>
          <w:tcPr>
            <w:tcW w:w="3518" w:type="dxa"/>
          </w:tcPr>
          <w:p w14:paraId="0E95C58F"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bCs/>
                <w:sz w:val="18"/>
                <w:szCs w:val="18"/>
              </w:rPr>
              <w:t>“Member State”</w:t>
            </w:r>
          </w:p>
        </w:tc>
        <w:tc>
          <w:tcPr>
            <w:tcW w:w="5129" w:type="dxa"/>
          </w:tcPr>
          <w:p w14:paraId="22C8B8F2"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 xml:space="preserve">a member state of the EEA; </w:t>
            </w:r>
          </w:p>
        </w:tc>
      </w:tr>
      <w:tr w:rsidR="00F76607" w14:paraId="42C105CA" w14:textId="77777777">
        <w:tc>
          <w:tcPr>
            <w:tcW w:w="3518" w:type="dxa"/>
          </w:tcPr>
          <w:p w14:paraId="0B6419F2"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“Net Asset Value”</w:t>
            </w:r>
          </w:p>
        </w:tc>
        <w:tc>
          <w:tcPr>
            <w:tcW w:w="5129" w:type="dxa"/>
          </w:tcPr>
          <w:p w14:paraId="1A44215F"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lang w:val="en-US"/>
              </w:rPr>
              <w:t>the value of the Joint Venture’s assets minus the value of its liabilities;</w:t>
            </w:r>
          </w:p>
        </w:tc>
      </w:tr>
      <w:tr w:rsidR="00F76607" w14:paraId="514A37A9" w14:textId="77777777">
        <w:tc>
          <w:tcPr>
            <w:tcW w:w="3518" w:type="dxa"/>
          </w:tcPr>
          <w:p w14:paraId="0207ECC7"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 xml:space="preserve">“Net Current Result” </w:t>
            </w:r>
          </w:p>
        </w:tc>
        <w:tc>
          <w:tcPr>
            <w:tcW w:w="5129" w:type="dxa"/>
          </w:tcPr>
          <w:p w14:paraId="05135255"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operating result plus net financial result (financial income less financial charges) less income and deferred taxes;</w:t>
            </w:r>
          </w:p>
        </w:tc>
      </w:tr>
      <w:tr w:rsidR="00F76607" w14:paraId="5938F3E7" w14:textId="77777777">
        <w:tc>
          <w:tcPr>
            <w:tcW w:w="3518" w:type="dxa"/>
          </w:tcPr>
          <w:p w14:paraId="27462262"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“Net Debt Service”</w:t>
            </w:r>
          </w:p>
        </w:tc>
        <w:tc>
          <w:tcPr>
            <w:tcW w:w="5129" w:type="dxa"/>
          </w:tcPr>
          <w:p w14:paraId="48A1C58B"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means, in respect of any Annual Relevant Period, the sum of:</w:t>
            </w:r>
          </w:p>
          <w:p w14:paraId="01244B54" w14:textId="77777777" w:rsidR="00F76607" w:rsidRDefault="001863F0">
            <w:pPr>
              <w:pStyle w:val="ASpecialLowerCaseAlpha2"/>
              <w:numPr>
                <w:ilvl w:val="0"/>
                <w:numId w:val="64"/>
              </w:numPr>
              <w:rPr>
                <w:rFonts w:ascii="Times New Roman" w:hAnsi="Times New Roman" w:cs="Times New Roman"/>
                <w:sz w:val="18"/>
                <w:szCs w:val="18"/>
              </w:rPr>
            </w:pPr>
            <w:r>
              <w:rPr>
                <w:rFonts w:ascii="Times New Roman" w:hAnsi="Times New Roman" w:cs="Times New Roman"/>
                <w:sz w:val="18"/>
                <w:szCs w:val="18"/>
              </w:rPr>
              <w:t xml:space="preserve">the Finance Charges; and </w:t>
            </w:r>
          </w:p>
          <w:p w14:paraId="686A8338" w14:textId="77777777" w:rsidR="00F76607" w:rsidRDefault="001863F0">
            <w:pPr>
              <w:pStyle w:val="ASpecialLowerCaseAlpha2"/>
              <w:numPr>
                <w:ilvl w:val="0"/>
                <w:numId w:val="64"/>
              </w:numPr>
              <w:rPr>
                <w:rFonts w:ascii="Times New Roman" w:hAnsi="Times New Roman" w:cs="Times New Roman"/>
                <w:sz w:val="18"/>
                <w:szCs w:val="18"/>
              </w:rPr>
            </w:pPr>
            <w:r>
              <w:rPr>
                <w:rFonts w:ascii="Times New Roman" w:hAnsi="Times New Roman" w:cs="Times New Roman"/>
                <w:sz w:val="18"/>
                <w:szCs w:val="18"/>
              </w:rPr>
              <w:t>any principal due and payable by all members of the Group under any Financial Indebtedness in respect of such relevant Annual Relevant Period;</w:t>
            </w:r>
          </w:p>
        </w:tc>
      </w:tr>
      <w:tr w:rsidR="00F76607" w14:paraId="14E0D9ED" w14:textId="77777777">
        <w:tc>
          <w:tcPr>
            <w:tcW w:w="3518" w:type="dxa"/>
          </w:tcPr>
          <w:p w14:paraId="78F1D42F" w14:textId="77777777" w:rsidR="00F76607" w:rsidRDefault="001863F0">
            <w:pPr>
              <w:pStyle w:val="ABody"/>
              <w:rPr>
                <w:rFonts w:ascii="Times New Roman" w:hAnsi="Times New Roman" w:cs="Times New Roman"/>
                <w:b/>
                <w:sz w:val="18"/>
                <w:szCs w:val="18"/>
              </w:rPr>
            </w:pPr>
            <w:r>
              <w:rPr>
                <w:rFonts w:ascii="Times New Roman" w:hAnsi="Times New Roman" w:cs="Times New Roman"/>
                <w:b/>
                <w:bCs/>
                <w:sz w:val="18"/>
                <w:szCs w:val="18"/>
              </w:rPr>
              <w:t xml:space="preserve">“Non-U.S. Holder” </w:t>
            </w:r>
          </w:p>
        </w:tc>
        <w:tc>
          <w:tcPr>
            <w:tcW w:w="5129" w:type="dxa"/>
          </w:tcPr>
          <w:p w14:paraId="70660529"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 xml:space="preserve">a beneficial owner of Offer Shares that is neither a U.S. Holder nor a partnership; </w:t>
            </w:r>
          </w:p>
        </w:tc>
      </w:tr>
      <w:tr w:rsidR="00F76607" w14:paraId="17A12FBE" w14:textId="77777777">
        <w:tc>
          <w:tcPr>
            <w:tcW w:w="3518" w:type="dxa"/>
          </w:tcPr>
          <w:p w14:paraId="11151F75"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“Occupancy Rate”</w:t>
            </w:r>
          </w:p>
        </w:tc>
        <w:tc>
          <w:tcPr>
            <w:tcW w:w="5129" w:type="dxa"/>
          </w:tcPr>
          <w:p w14:paraId="7264947B"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means the occupancy rate which is calculated by dividing the total leased out lettable area (m²) by the total lettable area (m²) including any vacant area (m²);</w:t>
            </w:r>
          </w:p>
        </w:tc>
      </w:tr>
      <w:tr w:rsidR="00F76607" w14:paraId="34EED369" w14:textId="77777777">
        <w:tc>
          <w:tcPr>
            <w:tcW w:w="3518" w:type="dxa"/>
          </w:tcPr>
          <w:p w14:paraId="1DB145A5"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“Offer Price”</w:t>
            </w:r>
          </w:p>
        </w:tc>
        <w:tc>
          <w:tcPr>
            <w:tcW w:w="5129" w:type="dxa"/>
          </w:tcPr>
          <w:p w14:paraId="34C99891"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 xml:space="preserve">the price per Offer Share; </w:t>
            </w:r>
          </w:p>
        </w:tc>
      </w:tr>
      <w:tr w:rsidR="00F76607" w14:paraId="5ED72CD5" w14:textId="77777777">
        <w:tc>
          <w:tcPr>
            <w:tcW w:w="3518" w:type="dxa"/>
          </w:tcPr>
          <w:p w14:paraId="493129BA" w14:textId="77777777" w:rsidR="00F76607" w:rsidRDefault="001863F0">
            <w:pPr>
              <w:pStyle w:val="ABody"/>
              <w:rPr>
                <w:rFonts w:ascii="Times New Roman" w:hAnsi="Times New Roman" w:cs="Times New Roman"/>
                <w:b/>
                <w:sz w:val="18"/>
                <w:szCs w:val="18"/>
              </w:rPr>
            </w:pPr>
            <w:r>
              <w:rPr>
                <w:rFonts w:ascii="Times New Roman" w:hAnsi="Times New Roman" w:cs="Times New Roman"/>
                <w:b/>
                <w:bCs/>
                <w:sz w:val="18"/>
                <w:szCs w:val="18"/>
              </w:rPr>
              <w:t xml:space="preserve">“Offer Shares” </w:t>
            </w:r>
          </w:p>
        </w:tc>
        <w:tc>
          <w:tcPr>
            <w:tcW w:w="5129" w:type="dxa"/>
          </w:tcPr>
          <w:p w14:paraId="7E1AA274"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Shares which are being offered by the Selling Shareholders under this Offering;</w:t>
            </w:r>
          </w:p>
        </w:tc>
      </w:tr>
      <w:tr w:rsidR="00F76607" w14:paraId="09594F80" w14:textId="77777777">
        <w:tc>
          <w:tcPr>
            <w:tcW w:w="3518" w:type="dxa"/>
          </w:tcPr>
          <w:p w14:paraId="7FDFC868" w14:textId="77777777" w:rsidR="00F76607" w:rsidRDefault="001863F0">
            <w:pPr>
              <w:pStyle w:val="ABody"/>
              <w:rPr>
                <w:rFonts w:ascii="Times New Roman" w:hAnsi="Times New Roman" w:cs="Times New Roman"/>
                <w:b/>
                <w:bCs/>
                <w:sz w:val="18"/>
                <w:szCs w:val="18"/>
              </w:rPr>
            </w:pPr>
            <w:r>
              <w:rPr>
                <w:rFonts w:ascii="Times New Roman" w:hAnsi="Times New Roman" w:cs="Times New Roman"/>
                <w:b/>
                <w:bCs/>
                <w:sz w:val="18"/>
                <w:szCs w:val="18"/>
              </w:rPr>
              <w:t xml:space="preserve">“Offering” </w:t>
            </w:r>
          </w:p>
        </w:tc>
        <w:tc>
          <w:tcPr>
            <w:tcW w:w="5129" w:type="dxa"/>
          </w:tcPr>
          <w:p w14:paraId="4718469A"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 xml:space="preserve">the offering of Offer Shares by the Selling Shareholders; </w:t>
            </w:r>
          </w:p>
        </w:tc>
      </w:tr>
      <w:tr w:rsidR="00F76607" w14:paraId="4A68AD46" w14:textId="77777777">
        <w:tc>
          <w:tcPr>
            <w:tcW w:w="3518" w:type="dxa"/>
          </w:tcPr>
          <w:p w14:paraId="424B94E7" w14:textId="77777777" w:rsidR="00F76607" w:rsidRDefault="001863F0">
            <w:pPr>
              <w:pStyle w:val="ABody"/>
              <w:rPr>
                <w:rFonts w:ascii="Times New Roman" w:hAnsi="Times New Roman" w:cs="Times New Roman"/>
                <w:b/>
                <w:bCs/>
                <w:sz w:val="18"/>
                <w:szCs w:val="18"/>
              </w:rPr>
            </w:pPr>
            <w:r>
              <w:rPr>
                <w:rFonts w:ascii="Times New Roman" w:hAnsi="Times New Roman" w:cs="Times New Roman"/>
                <w:b/>
                <w:bCs/>
                <w:sz w:val="18"/>
                <w:szCs w:val="18"/>
              </w:rPr>
              <w:t>“Offering Period”</w:t>
            </w:r>
          </w:p>
        </w:tc>
        <w:tc>
          <w:tcPr>
            <w:tcW w:w="5129" w:type="dxa"/>
          </w:tcPr>
          <w:p w14:paraId="689C2C9F" w14:textId="30082B53"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of</w:t>
            </w:r>
            <w:r w:rsidR="000E243B">
              <w:rPr>
                <w:rFonts w:ascii="Times New Roman" w:hAnsi="Times New Roman" w:cs="Times New Roman"/>
                <w:sz w:val="18"/>
                <w:szCs w:val="18"/>
              </w:rPr>
              <w:t>fering period which begins on 12</w:t>
            </w:r>
            <w:r w:rsidR="00932B9E">
              <w:rPr>
                <w:rFonts w:ascii="Times New Roman" w:hAnsi="Times New Roman" w:cs="Times New Roman"/>
                <w:sz w:val="18"/>
                <w:szCs w:val="18"/>
              </w:rPr>
              <w:t xml:space="preserve"> October 2017</w:t>
            </w:r>
            <w:r>
              <w:rPr>
                <w:rFonts w:ascii="Times New Roman" w:hAnsi="Times New Roman" w:cs="Times New Roman"/>
                <w:sz w:val="18"/>
                <w:szCs w:val="18"/>
              </w:rPr>
              <w:t xml:space="preserve"> and is </w:t>
            </w:r>
            <w:r w:rsidR="000E243B">
              <w:rPr>
                <w:rFonts w:ascii="Times New Roman" w:hAnsi="Times New Roman" w:cs="Times New Roman"/>
                <w:sz w:val="18"/>
                <w:szCs w:val="18"/>
              </w:rPr>
              <w:t xml:space="preserve">expected to end no later than 1 p.m. on </w:t>
            </w:r>
            <w:r w:rsidR="001146AD">
              <w:rPr>
                <w:rFonts w:ascii="Times New Roman" w:hAnsi="Times New Roman" w:cs="Times New Roman"/>
                <w:sz w:val="18"/>
                <w:szCs w:val="18"/>
              </w:rPr>
              <w:t>25</w:t>
            </w:r>
            <w:r w:rsidR="00932B9E">
              <w:rPr>
                <w:rFonts w:ascii="Times New Roman" w:hAnsi="Times New Roman" w:cs="Times New Roman"/>
                <w:sz w:val="18"/>
                <w:szCs w:val="18"/>
              </w:rPr>
              <w:t xml:space="preserve"> October 2017</w:t>
            </w:r>
            <w:r>
              <w:rPr>
                <w:rFonts w:ascii="Times New Roman" w:hAnsi="Times New Roman" w:cs="Times New Roman"/>
                <w:sz w:val="18"/>
                <w:szCs w:val="18"/>
              </w:rPr>
              <w:t xml:space="preserve">, subject to early closing, provided that the Offering Period will in any event be open for at least three business days from the availability of this Prospectus; </w:t>
            </w:r>
          </w:p>
        </w:tc>
      </w:tr>
      <w:tr w:rsidR="00F76607" w14:paraId="3242358B" w14:textId="77777777">
        <w:tc>
          <w:tcPr>
            <w:tcW w:w="3518" w:type="dxa"/>
          </w:tcPr>
          <w:p w14:paraId="2CCC2448" w14:textId="77777777" w:rsidR="00F76607" w:rsidRDefault="001863F0">
            <w:pPr>
              <w:pStyle w:val="ABody"/>
              <w:rPr>
                <w:rFonts w:ascii="Times New Roman" w:hAnsi="Times New Roman" w:cs="Times New Roman"/>
                <w:b/>
                <w:bCs/>
                <w:sz w:val="18"/>
                <w:szCs w:val="18"/>
              </w:rPr>
            </w:pPr>
            <w:r>
              <w:rPr>
                <w:rFonts w:ascii="Times New Roman" w:hAnsi="Times New Roman" w:cs="Times New Roman"/>
                <w:b/>
                <w:bCs/>
                <w:sz w:val="18"/>
                <w:szCs w:val="18"/>
              </w:rPr>
              <w:t xml:space="preserve">“OFP” </w:t>
            </w:r>
          </w:p>
        </w:tc>
        <w:tc>
          <w:tcPr>
            <w:tcW w:w="5129" w:type="dxa"/>
          </w:tcPr>
          <w:p w14:paraId="2E98AD6F"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organizations for financing pensions;</w:t>
            </w:r>
          </w:p>
        </w:tc>
      </w:tr>
      <w:tr w:rsidR="00F76607" w14:paraId="5DD37FDA" w14:textId="77777777">
        <w:tc>
          <w:tcPr>
            <w:tcW w:w="3518" w:type="dxa"/>
          </w:tcPr>
          <w:p w14:paraId="310CF482" w14:textId="77777777" w:rsidR="00F76607" w:rsidRDefault="001863F0">
            <w:pPr>
              <w:pStyle w:val="ABody"/>
              <w:rPr>
                <w:rFonts w:ascii="Times New Roman" w:hAnsi="Times New Roman" w:cs="Times New Roman"/>
                <w:b/>
                <w:bCs/>
                <w:sz w:val="18"/>
                <w:szCs w:val="18"/>
              </w:rPr>
            </w:pPr>
            <w:r>
              <w:rPr>
                <w:rFonts w:ascii="Times New Roman" w:hAnsi="Times New Roman" w:cs="Times New Roman"/>
                <w:sz w:val="18"/>
                <w:szCs w:val="18"/>
              </w:rPr>
              <w:t>“</w:t>
            </w:r>
            <w:r>
              <w:rPr>
                <w:rFonts w:ascii="Times New Roman" w:hAnsi="Times New Roman" w:cs="Times New Roman"/>
                <w:b/>
                <w:sz w:val="18"/>
                <w:szCs w:val="18"/>
              </w:rPr>
              <w:t>Order</w:t>
            </w:r>
            <w:r>
              <w:rPr>
                <w:rFonts w:ascii="Times New Roman" w:hAnsi="Times New Roman" w:cs="Times New Roman"/>
                <w:sz w:val="18"/>
                <w:szCs w:val="18"/>
              </w:rPr>
              <w:t>”</w:t>
            </w:r>
          </w:p>
        </w:tc>
        <w:tc>
          <w:tcPr>
            <w:tcW w:w="5129" w:type="dxa"/>
          </w:tcPr>
          <w:p w14:paraId="590CDEFD"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 xml:space="preserve">Order 2005 under the Financial Services and Markets Act; </w:t>
            </w:r>
          </w:p>
        </w:tc>
      </w:tr>
      <w:tr w:rsidR="00F76607" w14:paraId="4C1CB82A" w14:textId="77777777">
        <w:tc>
          <w:tcPr>
            <w:tcW w:w="3518" w:type="dxa"/>
          </w:tcPr>
          <w:p w14:paraId="15DCB646" w14:textId="77777777" w:rsidR="00F76607" w:rsidRDefault="001863F0">
            <w:pPr>
              <w:pStyle w:val="ABody"/>
              <w:rPr>
                <w:rFonts w:ascii="Times New Roman" w:hAnsi="Times New Roman" w:cs="Times New Roman"/>
                <w:b/>
                <w:bCs/>
                <w:sz w:val="18"/>
                <w:szCs w:val="18"/>
              </w:rPr>
            </w:pPr>
            <w:r>
              <w:rPr>
                <w:rFonts w:ascii="Times New Roman" w:hAnsi="Times New Roman" w:cs="Times New Roman"/>
                <w:b/>
                <w:sz w:val="18"/>
                <w:szCs w:val="18"/>
              </w:rPr>
              <w:t xml:space="preserve">“Over-allotment Option” </w:t>
            </w:r>
          </w:p>
        </w:tc>
        <w:tc>
          <w:tcPr>
            <w:tcW w:w="5129" w:type="dxa"/>
          </w:tcPr>
          <w:p w14:paraId="4F495A5E"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 xml:space="preserve">the option granted by the Selling Shareholders under the Underwriting Agreement, pursuant to which the Stabilization </w:t>
            </w:r>
            <w:r>
              <w:rPr>
                <w:rFonts w:ascii="Times New Roman" w:hAnsi="Times New Roman" w:cs="Times New Roman"/>
                <w:sz w:val="18"/>
                <w:szCs w:val="18"/>
              </w:rPr>
              <w:lastRenderedPageBreak/>
              <w:t>Manager may require the Selling Shareholders to sell Shares at the Offer Price if the Over-allotment Option is exercised in full as detailed in “</w:t>
            </w:r>
            <w:r>
              <w:rPr>
                <w:rFonts w:ascii="Times New Roman" w:hAnsi="Times New Roman" w:cs="Times New Roman"/>
                <w:i/>
                <w:sz w:val="18"/>
                <w:szCs w:val="18"/>
              </w:rPr>
              <w:t>Plan of Distribution—Over-allotment Option and Price Stabilization</w:t>
            </w:r>
            <w:r>
              <w:rPr>
                <w:rFonts w:ascii="Times New Roman" w:hAnsi="Times New Roman" w:cs="Times New Roman"/>
                <w:sz w:val="18"/>
                <w:szCs w:val="18"/>
              </w:rPr>
              <w:t>”;</w:t>
            </w:r>
          </w:p>
        </w:tc>
      </w:tr>
      <w:tr w:rsidR="00F76607" w14:paraId="610DC98F" w14:textId="77777777">
        <w:tc>
          <w:tcPr>
            <w:tcW w:w="3518" w:type="dxa"/>
          </w:tcPr>
          <w:p w14:paraId="04D2124E"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lastRenderedPageBreak/>
              <w:t>“Participating Member States”</w:t>
            </w:r>
          </w:p>
        </w:tc>
        <w:tc>
          <w:tcPr>
            <w:tcW w:w="5129" w:type="dxa"/>
          </w:tcPr>
          <w:p w14:paraId="0A14F529"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group of EU member states willing to introduce the FTT;</w:t>
            </w:r>
          </w:p>
        </w:tc>
      </w:tr>
      <w:tr w:rsidR="00F76607" w14:paraId="72AB97AB" w14:textId="77777777">
        <w:tc>
          <w:tcPr>
            <w:tcW w:w="3518" w:type="dxa"/>
          </w:tcPr>
          <w:p w14:paraId="68FA5E78" w14:textId="77777777" w:rsidR="00F76607" w:rsidRDefault="001863F0">
            <w:pPr>
              <w:pStyle w:val="ABody"/>
              <w:rPr>
                <w:rFonts w:ascii="Times New Roman" w:hAnsi="Times New Roman" w:cs="Times New Roman"/>
                <w:b/>
                <w:sz w:val="18"/>
                <w:szCs w:val="18"/>
              </w:rPr>
            </w:pPr>
            <w:r>
              <w:rPr>
                <w:rFonts w:ascii="Times New Roman" w:hAnsi="Times New Roman" w:cs="Times New Roman"/>
                <w:sz w:val="18"/>
                <w:szCs w:val="18"/>
              </w:rPr>
              <w:t>“</w:t>
            </w:r>
            <w:r>
              <w:rPr>
                <w:rFonts w:ascii="Times New Roman" w:hAnsi="Times New Roman" w:cs="Times New Roman"/>
                <w:b/>
                <w:sz w:val="18"/>
                <w:szCs w:val="18"/>
              </w:rPr>
              <w:t>PFIC</w:t>
            </w:r>
            <w:r>
              <w:rPr>
                <w:rFonts w:ascii="Times New Roman" w:hAnsi="Times New Roman" w:cs="Times New Roman"/>
                <w:sz w:val="18"/>
                <w:szCs w:val="18"/>
              </w:rPr>
              <w:t xml:space="preserve">” </w:t>
            </w:r>
          </w:p>
        </w:tc>
        <w:tc>
          <w:tcPr>
            <w:tcW w:w="5129" w:type="dxa"/>
          </w:tcPr>
          <w:p w14:paraId="68071488"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passive foreign investment company;</w:t>
            </w:r>
          </w:p>
        </w:tc>
      </w:tr>
      <w:tr w:rsidR="00F76607" w14:paraId="170B11EF" w14:textId="77777777">
        <w:tc>
          <w:tcPr>
            <w:tcW w:w="3518" w:type="dxa"/>
          </w:tcPr>
          <w:p w14:paraId="3BE67B66"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b/>
                <w:sz w:val="18"/>
                <w:szCs w:val="18"/>
              </w:rPr>
              <w:t>Pricing Date</w:t>
            </w:r>
            <w:r>
              <w:rPr>
                <w:rFonts w:ascii="Times New Roman" w:hAnsi="Times New Roman" w:cs="Times New Roman"/>
                <w:sz w:val="18"/>
                <w:szCs w:val="18"/>
              </w:rPr>
              <w:t xml:space="preserve">” </w:t>
            </w:r>
          </w:p>
        </w:tc>
        <w:tc>
          <w:tcPr>
            <w:tcW w:w="5129" w:type="dxa"/>
          </w:tcPr>
          <w:p w14:paraId="1418D0B3" w14:textId="6EFDAB70" w:rsidR="00F76607" w:rsidRDefault="001146AD">
            <w:pPr>
              <w:pStyle w:val="ABody"/>
              <w:rPr>
                <w:rFonts w:ascii="Times New Roman" w:hAnsi="Times New Roman" w:cs="Times New Roman"/>
                <w:sz w:val="18"/>
                <w:szCs w:val="18"/>
              </w:rPr>
            </w:pPr>
            <w:r>
              <w:rPr>
                <w:rFonts w:ascii="Times New Roman" w:hAnsi="Times New Roman" w:cs="Times New Roman"/>
                <w:sz w:val="18"/>
                <w:szCs w:val="18"/>
              </w:rPr>
              <w:t>25</w:t>
            </w:r>
            <w:r w:rsidR="00932B9E">
              <w:rPr>
                <w:rFonts w:ascii="Times New Roman" w:hAnsi="Times New Roman" w:cs="Times New Roman"/>
                <w:sz w:val="18"/>
                <w:szCs w:val="18"/>
              </w:rPr>
              <w:t xml:space="preserve"> October 2017</w:t>
            </w:r>
            <w:r w:rsidR="001863F0">
              <w:rPr>
                <w:rFonts w:ascii="Times New Roman" w:hAnsi="Times New Roman" w:cs="Times New Roman"/>
                <w:sz w:val="18"/>
                <w:szCs w:val="18"/>
              </w:rPr>
              <w:t xml:space="preserve"> and in</w:t>
            </w:r>
            <w:bookmarkStart w:id="101" w:name="_GoBack"/>
            <w:bookmarkEnd w:id="101"/>
            <w:r w:rsidR="001863F0">
              <w:rPr>
                <w:rFonts w:ascii="Times New Roman" w:hAnsi="Times New Roman" w:cs="Times New Roman"/>
                <w:sz w:val="18"/>
                <w:szCs w:val="18"/>
              </w:rPr>
              <w:t xml:space="preserve"> any event no later than the first business day after the end of the Offering Period; </w:t>
            </w:r>
          </w:p>
        </w:tc>
      </w:tr>
      <w:tr w:rsidR="00F76607" w14:paraId="421D57C0" w14:textId="77777777">
        <w:tc>
          <w:tcPr>
            <w:tcW w:w="3518" w:type="dxa"/>
          </w:tcPr>
          <w:p w14:paraId="1EBBCC6D" w14:textId="77777777" w:rsidR="00F76607" w:rsidRDefault="001863F0">
            <w:pPr>
              <w:pStyle w:val="ABody"/>
              <w:rPr>
                <w:rFonts w:ascii="Times New Roman" w:hAnsi="Times New Roman" w:cs="Times New Roman"/>
                <w:sz w:val="18"/>
                <w:szCs w:val="18"/>
              </w:rPr>
            </w:pPr>
            <w:r>
              <w:rPr>
                <w:rFonts w:ascii="Times New Roman" w:hAnsi="Times New Roman" w:cs="Times New Roman"/>
                <w:b/>
                <w:bCs/>
                <w:sz w:val="18"/>
                <w:szCs w:val="18"/>
              </w:rPr>
              <w:t xml:space="preserve">“Price Range” </w:t>
            </w:r>
          </w:p>
        </w:tc>
        <w:tc>
          <w:tcPr>
            <w:tcW w:w="5129" w:type="dxa"/>
          </w:tcPr>
          <w:p w14:paraId="259E39D5" w14:textId="261DC52B"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range within which the Offer Price may be s</w:t>
            </w:r>
            <w:r w:rsidR="000E243B">
              <w:rPr>
                <w:rFonts w:ascii="Times New Roman" w:hAnsi="Times New Roman" w:cs="Times New Roman"/>
                <w:sz w:val="18"/>
                <w:szCs w:val="18"/>
              </w:rPr>
              <w:t>et, expected to be between € 55 and € 63</w:t>
            </w:r>
            <w:r>
              <w:rPr>
                <w:rFonts w:ascii="Times New Roman" w:hAnsi="Times New Roman" w:cs="Times New Roman"/>
                <w:sz w:val="18"/>
                <w:szCs w:val="18"/>
              </w:rPr>
              <w:t xml:space="preserve"> per Offer Share. The Offer Price may be set within the Price Range or below the lower end of the Price Range but will not exceed the higher end of the Price Range;</w:t>
            </w:r>
          </w:p>
        </w:tc>
      </w:tr>
      <w:tr w:rsidR="00F76607" w14:paraId="17444180" w14:textId="77777777">
        <w:tc>
          <w:tcPr>
            <w:tcW w:w="3518" w:type="dxa"/>
          </w:tcPr>
          <w:p w14:paraId="7ABC4381"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“Profit for the year”</w:t>
            </w:r>
          </w:p>
        </w:tc>
        <w:tc>
          <w:tcPr>
            <w:tcW w:w="5129" w:type="dxa"/>
          </w:tcPr>
          <w:p w14:paraId="23769524"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Net Current Result plus the result on the portfolio;</w:t>
            </w:r>
          </w:p>
        </w:tc>
      </w:tr>
      <w:tr w:rsidR="00F76607" w14:paraId="0D1C80DF" w14:textId="77777777">
        <w:tc>
          <w:tcPr>
            <w:tcW w:w="3518" w:type="dxa"/>
          </w:tcPr>
          <w:p w14:paraId="3091808D"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“Project Buildings”</w:t>
            </w:r>
          </w:p>
        </w:tc>
        <w:tc>
          <w:tcPr>
            <w:tcW w:w="5129" w:type="dxa"/>
          </w:tcPr>
          <w:p w14:paraId="58FD6BC6"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any buildings the construction and development of which are carried out by any member of the Group;</w:t>
            </w:r>
          </w:p>
        </w:tc>
      </w:tr>
      <w:tr w:rsidR="00F76607" w14:paraId="659D977C" w14:textId="77777777">
        <w:tc>
          <w:tcPr>
            <w:tcW w:w="3518" w:type="dxa"/>
          </w:tcPr>
          <w:p w14:paraId="19889ABE"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“Project Land”</w:t>
            </w:r>
          </w:p>
        </w:tc>
        <w:tc>
          <w:tcPr>
            <w:tcW w:w="5129" w:type="dxa"/>
          </w:tcPr>
          <w:p w14:paraId="28A5398D"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plots of land owned by any member of the Group on which any Project Buildings are to be constructed and developed;</w:t>
            </w:r>
          </w:p>
        </w:tc>
      </w:tr>
      <w:tr w:rsidR="00F76607" w14:paraId="27376968" w14:textId="77777777">
        <w:tc>
          <w:tcPr>
            <w:tcW w:w="3518" w:type="dxa"/>
          </w:tcPr>
          <w:p w14:paraId="69C951E7"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“Project Management”</w:t>
            </w:r>
          </w:p>
        </w:tc>
        <w:tc>
          <w:tcPr>
            <w:tcW w:w="5129" w:type="dxa"/>
          </w:tcPr>
          <w:p w14:paraId="6B57ED4C"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management of building and renovation projects;</w:t>
            </w:r>
          </w:p>
        </w:tc>
      </w:tr>
      <w:tr w:rsidR="00F76607" w14:paraId="3D000726" w14:textId="77777777">
        <w:tc>
          <w:tcPr>
            <w:tcW w:w="3518" w:type="dxa"/>
          </w:tcPr>
          <w:p w14:paraId="13D38ABC"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“Projects”</w:t>
            </w:r>
          </w:p>
        </w:tc>
        <w:tc>
          <w:tcPr>
            <w:tcW w:w="5129" w:type="dxa"/>
          </w:tcPr>
          <w:p w14:paraId="357DFA81"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the predevelopment of Project Land and the development, construction and operation of Project Buildings;</w:t>
            </w:r>
          </w:p>
        </w:tc>
      </w:tr>
      <w:tr w:rsidR="00F76607" w14:paraId="27B8D08E" w14:textId="77777777">
        <w:tc>
          <w:tcPr>
            <w:tcW w:w="3518" w:type="dxa"/>
          </w:tcPr>
          <w:p w14:paraId="451EFFF1"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“Property Portfolio”</w:t>
            </w:r>
          </w:p>
        </w:tc>
        <w:tc>
          <w:tcPr>
            <w:tcW w:w="5129" w:type="dxa"/>
          </w:tcPr>
          <w:p w14:paraId="514D90CC"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property investments, including property for lease, property investments in development for lease, assets held for sale and development land;</w:t>
            </w:r>
          </w:p>
        </w:tc>
      </w:tr>
      <w:tr w:rsidR="00F76607" w14:paraId="47E1E71B" w14:textId="77777777">
        <w:tc>
          <w:tcPr>
            <w:tcW w:w="3518" w:type="dxa"/>
          </w:tcPr>
          <w:p w14:paraId="7825A762"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“Prospectus”</w:t>
            </w:r>
          </w:p>
        </w:tc>
        <w:tc>
          <w:tcPr>
            <w:tcW w:w="5129" w:type="dxa"/>
          </w:tcPr>
          <w:p w14:paraId="57934599" w14:textId="630E746D"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t</w:t>
            </w:r>
            <w:r w:rsidR="00C1317A">
              <w:rPr>
                <w:rFonts w:ascii="Times New Roman" w:hAnsi="Times New Roman" w:cs="Times New Roman"/>
                <w:sz w:val="18"/>
                <w:szCs w:val="18"/>
              </w:rPr>
              <w:t>h</w:t>
            </w:r>
            <w:r w:rsidR="0035208D">
              <w:rPr>
                <w:rFonts w:ascii="Times New Roman" w:hAnsi="Times New Roman" w:cs="Times New Roman"/>
                <w:sz w:val="18"/>
                <w:szCs w:val="18"/>
              </w:rPr>
              <w:t xml:space="preserve">is offering prospectus dated </w:t>
            </w:r>
            <w:r w:rsidR="000E243B">
              <w:rPr>
                <w:rFonts w:ascii="Times New Roman" w:hAnsi="Times New Roman" w:cs="Times New Roman"/>
                <w:sz w:val="18"/>
                <w:szCs w:val="18"/>
              </w:rPr>
              <w:t>11</w:t>
            </w:r>
            <w:r w:rsidR="00C1317A">
              <w:rPr>
                <w:rFonts w:ascii="Times New Roman" w:hAnsi="Times New Roman" w:cs="Times New Roman"/>
                <w:sz w:val="18"/>
                <w:szCs w:val="18"/>
              </w:rPr>
              <w:t xml:space="preserve"> October 2017</w:t>
            </w:r>
            <w:r>
              <w:rPr>
                <w:rFonts w:ascii="Times New Roman" w:hAnsi="Times New Roman" w:cs="Times New Roman"/>
                <w:sz w:val="18"/>
                <w:szCs w:val="18"/>
              </w:rPr>
              <w:t>;</w:t>
            </w:r>
          </w:p>
        </w:tc>
      </w:tr>
      <w:tr w:rsidR="00F76607" w14:paraId="261C3D74" w14:textId="77777777">
        <w:tc>
          <w:tcPr>
            <w:tcW w:w="3518" w:type="dxa"/>
          </w:tcPr>
          <w:p w14:paraId="406BDF8F"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“Prospectus Directive”</w:t>
            </w:r>
          </w:p>
        </w:tc>
        <w:tc>
          <w:tcPr>
            <w:tcW w:w="5129" w:type="dxa"/>
          </w:tcPr>
          <w:p w14:paraId="056C483F"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the Directive 2003/71/EC of the European Parliament and of the Council of 4 November 2003 on the prospectus to be published when securities are offered to the public or admitted to trading and amending Directive 2001/34/EC, as amended;</w:t>
            </w:r>
          </w:p>
        </w:tc>
      </w:tr>
      <w:tr w:rsidR="00F76607" w14:paraId="6CB80910" w14:textId="77777777">
        <w:tc>
          <w:tcPr>
            <w:tcW w:w="3518" w:type="dxa"/>
          </w:tcPr>
          <w:p w14:paraId="246E5732"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“Prospectus Law”</w:t>
            </w:r>
          </w:p>
        </w:tc>
        <w:tc>
          <w:tcPr>
            <w:tcW w:w="5129" w:type="dxa"/>
          </w:tcPr>
          <w:p w14:paraId="3813DAA7"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the Belgian law dated 16 June 2006 concerning the public offer of investment securities and the admission of investment securities to trading on a regulated market;</w:t>
            </w:r>
          </w:p>
        </w:tc>
      </w:tr>
      <w:tr w:rsidR="00F76607" w14:paraId="7DD1AEAA" w14:textId="77777777">
        <w:tc>
          <w:tcPr>
            <w:tcW w:w="3518" w:type="dxa"/>
          </w:tcPr>
          <w:p w14:paraId="6B40A731"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“Prospectus Regulation”</w:t>
            </w:r>
          </w:p>
        </w:tc>
        <w:tc>
          <w:tcPr>
            <w:tcW w:w="5129" w:type="dxa"/>
          </w:tcPr>
          <w:p w14:paraId="2A5AF0B9" w14:textId="77777777" w:rsidR="00F76607" w:rsidRDefault="001863F0">
            <w:pPr>
              <w:pStyle w:val="ABody"/>
              <w:tabs>
                <w:tab w:val="left" w:pos="1465"/>
              </w:tabs>
              <w:rPr>
                <w:rFonts w:ascii="Times New Roman" w:hAnsi="Times New Roman" w:cs="Times New Roman"/>
                <w:sz w:val="18"/>
                <w:szCs w:val="18"/>
                <w:lang w:val="en-US"/>
              </w:rPr>
            </w:pPr>
            <w:r>
              <w:rPr>
                <w:rFonts w:ascii="Times New Roman" w:hAnsi="Times New Roman" w:cs="Times New Roman"/>
                <w:sz w:val="18"/>
                <w:szCs w:val="18"/>
                <w:lang w:val="en-US"/>
              </w:rPr>
              <w:t xml:space="preserve">the </w:t>
            </w:r>
            <w:r>
              <w:rPr>
                <w:rFonts w:ascii="Times New Roman" w:hAnsi="Times New Roman" w:cs="Times New Roman"/>
                <w:sz w:val="18"/>
                <w:szCs w:val="18"/>
              </w:rPr>
              <w:t>Commission Regulation (EC) 809/2004 of 29 April 2004 implementing the Prospectus Directive, as amended;</w:t>
            </w:r>
          </w:p>
        </w:tc>
      </w:tr>
      <w:tr w:rsidR="00F76607" w14:paraId="7D7BF37F" w14:textId="77777777">
        <w:tc>
          <w:tcPr>
            <w:tcW w:w="3518" w:type="dxa"/>
          </w:tcPr>
          <w:p w14:paraId="70269835" w14:textId="77777777" w:rsidR="00F76607" w:rsidRDefault="001863F0">
            <w:pPr>
              <w:pStyle w:val="ABody"/>
              <w:rPr>
                <w:rFonts w:ascii="Times New Roman" w:hAnsi="Times New Roman" w:cs="Times New Roman"/>
                <w:b/>
                <w:sz w:val="18"/>
                <w:szCs w:val="18"/>
              </w:rPr>
            </w:pPr>
            <w:r>
              <w:rPr>
                <w:rFonts w:ascii="Times New Roman" w:hAnsi="Times New Roman" w:cs="Times New Roman"/>
                <w:sz w:val="18"/>
                <w:szCs w:val="18"/>
              </w:rPr>
              <w:t>“</w:t>
            </w:r>
            <w:r>
              <w:rPr>
                <w:rFonts w:ascii="Times New Roman" w:hAnsi="Times New Roman" w:cs="Times New Roman"/>
                <w:b/>
                <w:sz w:val="18"/>
                <w:szCs w:val="18"/>
              </w:rPr>
              <w:t>QIB</w:t>
            </w:r>
            <w:r>
              <w:rPr>
                <w:rFonts w:ascii="Times New Roman" w:hAnsi="Times New Roman" w:cs="Times New Roman"/>
                <w:sz w:val="18"/>
                <w:szCs w:val="18"/>
              </w:rPr>
              <w:t xml:space="preserve">” </w:t>
            </w:r>
          </w:p>
        </w:tc>
        <w:tc>
          <w:tcPr>
            <w:tcW w:w="5129" w:type="dxa"/>
          </w:tcPr>
          <w:p w14:paraId="13AA0B30" w14:textId="77777777" w:rsidR="00F76607" w:rsidRDefault="001863F0">
            <w:pPr>
              <w:pStyle w:val="ABody"/>
              <w:tabs>
                <w:tab w:val="left" w:pos="1465"/>
              </w:tabs>
              <w:rPr>
                <w:rFonts w:ascii="Times New Roman" w:hAnsi="Times New Roman" w:cs="Times New Roman"/>
                <w:sz w:val="18"/>
                <w:szCs w:val="18"/>
                <w:lang w:val="en-US"/>
              </w:rPr>
            </w:pPr>
            <w:r>
              <w:rPr>
                <w:rFonts w:ascii="Times New Roman" w:hAnsi="Times New Roman" w:cs="Times New Roman"/>
                <w:sz w:val="18"/>
                <w:szCs w:val="18"/>
              </w:rPr>
              <w:t xml:space="preserve">a “qualified institutional buyer,” as defined in Rule 144A under the U.S. Securities Act; </w:t>
            </w:r>
          </w:p>
        </w:tc>
      </w:tr>
      <w:tr w:rsidR="00F76607" w:rsidRPr="001146AD" w14:paraId="138C6917" w14:textId="77777777">
        <w:tc>
          <w:tcPr>
            <w:tcW w:w="3518" w:type="dxa"/>
          </w:tcPr>
          <w:p w14:paraId="17393EC8"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“RD/BITC 1992”</w:t>
            </w:r>
          </w:p>
        </w:tc>
        <w:tc>
          <w:tcPr>
            <w:tcW w:w="5129" w:type="dxa"/>
          </w:tcPr>
          <w:p w14:paraId="0A2A4B03" w14:textId="77777777" w:rsidR="00F76607" w:rsidRPr="00AC4485" w:rsidRDefault="001863F0">
            <w:pPr>
              <w:pStyle w:val="ABody"/>
              <w:rPr>
                <w:rFonts w:ascii="Times New Roman" w:hAnsi="Times New Roman" w:cs="Times New Roman"/>
                <w:sz w:val="18"/>
                <w:szCs w:val="18"/>
                <w:lang w:val="nl-BE"/>
              </w:rPr>
            </w:pPr>
            <w:proofErr w:type="spellStart"/>
            <w:r w:rsidRPr="00AC4485">
              <w:rPr>
                <w:rFonts w:ascii="Times New Roman" w:hAnsi="Times New Roman" w:cs="Times New Roman"/>
                <w:sz w:val="18"/>
                <w:szCs w:val="18"/>
                <w:lang w:val="nl-BE"/>
              </w:rPr>
              <w:t>the</w:t>
            </w:r>
            <w:proofErr w:type="spellEnd"/>
            <w:r w:rsidRPr="00AC4485">
              <w:rPr>
                <w:rFonts w:ascii="Times New Roman" w:hAnsi="Times New Roman" w:cs="Times New Roman"/>
                <w:sz w:val="18"/>
                <w:szCs w:val="18"/>
                <w:lang w:val="nl-BE"/>
              </w:rPr>
              <w:t xml:space="preserve"> royal </w:t>
            </w:r>
            <w:proofErr w:type="spellStart"/>
            <w:r w:rsidRPr="00AC4485">
              <w:rPr>
                <w:rFonts w:ascii="Times New Roman" w:hAnsi="Times New Roman" w:cs="Times New Roman"/>
                <w:sz w:val="18"/>
                <w:szCs w:val="18"/>
                <w:lang w:val="nl-BE"/>
              </w:rPr>
              <w:t>decree</w:t>
            </w:r>
            <w:proofErr w:type="spellEnd"/>
            <w:r w:rsidRPr="00AC4485">
              <w:rPr>
                <w:rFonts w:ascii="Times New Roman" w:hAnsi="Times New Roman" w:cs="Times New Roman"/>
                <w:sz w:val="18"/>
                <w:szCs w:val="18"/>
                <w:lang w:val="nl-BE"/>
              </w:rPr>
              <w:t xml:space="preserve"> </w:t>
            </w:r>
            <w:proofErr w:type="spellStart"/>
            <w:r w:rsidRPr="00AC4485">
              <w:rPr>
                <w:rFonts w:ascii="Times New Roman" w:hAnsi="Times New Roman" w:cs="Times New Roman"/>
                <w:sz w:val="18"/>
                <w:szCs w:val="18"/>
                <w:lang w:val="nl-BE"/>
              </w:rPr>
              <w:t>implementing</w:t>
            </w:r>
            <w:proofErr w:type="spellEnd"/>
            <w:r w:rsidRPr="00AC4485">
              <w:rPr>
                <w:rFonts w:ascii="Times New Roman" w:hAnsi="Times New Roman" w:cs="Times New Roman"/>
                <w:sz w:val="18"/>
                <w:szCs w:val="18"/>
                <w:lang w:val="nl-BE"/>
              </w:rPr>
              <w:t xml:space="preserve"> </w:t>
            </w:r>
            <w:proofErr w:type="spellStart"/>
            <w:r w:rsidRPr="00AC4485">
              <w:rPr>
                <w:rFonts w:ascii="Times New Roman" w:hAnsi="Times New Roman" w:cs="Times New Roman"/>
                <w:sz w:val="18"/>
                <w:szCs w:val="18"/>
                <w:lang w:val="nl-BE"/>
              </w:rPr>
              <w:t>the</w:t>
            </w:r>
            <w:proofErr w:type="spellEnd"/>
            <w:r w:rsidRPr="00AC4485">
              <w:rPr>
                <w:rFonts w:ascii="Times New Roman" w:hAnsi="Times New Roman" w:cs="Times New Roman"/>
                <w:sz w:val="18"/>
                <w:szCs w:val="18"/>
                <w:lang w:val="nl-BE"/>
              </w:rPr>
              <w:t xml:space="preserve"> BITC 1992 (“</w:t>
            </w:r>
            <w:proofErr w:type="spellStart"/>
            <w:r w:rsidRPr="00AC4485">
              <w:rPr>
                <w:rFonts w:ascii="Times New Roman" w:hAnsi="Times New Roman" w:cs="Times New Roman"/>
                <w:i/>
                <w:sz w:val="18"/>
                <w:szCs w:val="18"/>
                <w:lang w:val="nl-BE"/>
              </w:rPr>
              <w:t>arrêté</w:t>
            </w:r>
            <w:proofErr w:type="spellEnd"/>
            <w:r w:rsidRPr="00AC4485">
              <w:rPr>
                <w:rFonts w:ascii="Times New Roman" w:hAnsi="Times New Roman" w:cs="Times New Roman"/>
                <w:i/>
                <w:sz w:val="18"/>
                <w:szCs w:val="18"/>
                <w:lang w:val="nl-BE"/>
              </w:rPr>
              <w:t xml:space="preserve"> royal </w:t>
            </w:r>
            <w:proofErr w:type="spellStart"/>
            <w:r w:rsidRPr="00AC4485">
              <w:rPr>
                <w:rFonts w:ascii="Times New Roman" w:hAnsi="Times New Roman" w:cs="Times New Roman"/>
                <w:i/>
                <w:sz w:val="18"/>
                <w:szCs w:val="18"/>
                <w:lang w:val="nl-BE"/>
              </w:rPr>
              <w:t>d’execution</w:t>
            </w:r>
            <w:proofErr w:type="spellEnd"/>
            <w:r w:rsidRPr="00AC4485">
              <w:rPr>
                <w:rFonts w:ascii="Times New Roman" w:hAnsi="Times New Roman" w:cs="Times New Roman"/>
                <w:i/>
                <w:sz w:val="18"/>
                <w:szCs w:val="18"/>
                <w:lang w:val="nl-BE"/>
              </w:rPr>
              <w:t xml:space="preserve"> du code des </w:t>
            </w:r>
            <w:proofErr w:type="spellStart"/>
            <w:r w:rsidRPr="00AC4485">
              <w:rPr>
                <w:rFonts w:ascii="Times New Roman" w:hAnsi="Times New Roman" w:cs="Times New Roman"/>
                <w:i/>
                <w:sz w:val="18"/>
                <w:szCs w:val="18"/>
                <w:lang w:val="nl-BE"/>
              </w:rPr>
              <w:t>impôts</w:t>
            </w:r>
            <w:proofErr w:type="spellEnd"/>
            <w:r w:rsidRPr="00AC4485">
              <w:rPr>
                <w:rFonts w:ascii="Times New Roman" w:hAnsi="Times New Roman" w:cs="Times New Roman"/>
                <w:i/>
                <w:sz w:val="18"/>
                <w:szCs w:val="18"/>
                <w:lang w:val="nl-BE"/>
              </w:rPr>
              <w:t xml:space="preserve"> </w:t>
            </w:r>
            <w:proofErr w:type="spellStart"/>
            <w:r w:rsidRPr="00AC4485">
              <w:rPr>
                <w:rFonts w:ascii="Times New Roman" w:hAnsi="Times New Roman" w:cs="Times New Roman"/>
                <w:i/>
                <w:sz w:val="18"/>
                <w:szCs w:val="18"/>
                <w:lang w:val="nl-BE"/>
              </w:rPr>
              <w:t>sur</w:t>
            </w:r>
            <w:proofErr w:type="spellEnd"/>
            <w:r w:rsidRPr="00AC4485">
              <w:rPr>
                <w:rFonts w:ascii="Times New Roman" w:hAnsi="Times New Roman" w:cs="Times New Roman"/>
                <w:i/>
                <w:sz w:val="18"/>
                <w:szCs w:val="18"/>
                <w:lang w:val="nl-BE"/>
              </w:rPr>
              <w:t xml:space="preserve"> les </w:t>
            </w:r>
            <w:proofErr w:type="spellStart"/>
            <w:r w:rsidRPr="00AC4485">
              <w:rPr>
                <w:rFonts w:ascii="Times New Roman" w:hAnsi="Times New Roman" w:cs="Times New Roman"/>
                <w:i/>
                <w:sz w:val="18"/>
                <w:szCs w:val="18"/>
                <w:lang w:val="nl-BE"/>
              </w:rPr>
              <w:t>revenus</w:t>
            </w:r>
            <w:proofErr w:type="spellEnd"/>
            <w:r w:rsidRPr="00AC4485">
              <w:rPr>
                <w:rFonts w:ascii="Times New Roman" w:hAnsi="Times New Roman" w:cs="Times New Roman"/>
                <w:i/>
                <w:sz w:val="18"/>
                <w:szCs w:val="18"/>
                <w:lang w:val="nl-BE"/>
              </w:rPr>
              <w:t xml:space="preserve"> 1992”</w:t>
            </w:r>
            <w:r w:rsidRPr="00AC4485">
              <w:rPr>
                <w:rFonts w:ascii="Times New Roman" w:hAnsi="Times New Roman" w:cs="Times New Roman"/>
                <w:sz w:val="18"/>
                <w:szCs w:val="18"/>
                <w:lang w:val="nl-BE"/>
              </w:rPr>
              <w:t xml:space="preserve"> / “</w:t>
            </w:r>
            <w:r w:rsidRPr="00AC4485">
              <w:rPr>
                <w:rFonts w:ascii="Times New Roman" w:hAnsi="Times New Roman" w:cs="Times New Roman"/>
                <w:i/>
                <w:sz w:val="18"/>
                <w:szCs w:val="18"/>
                <w:lang w:val="nl-BE"/>
              </w:rPr>
              <w:t>koninklijk besluit tot invoering van het wetboek inkomstenbelastingen 1992”);</w:t>
            </w:r>
          </w:p>
        </w:tc>
      </w:tr>
      <w:tr w:rsidR="00F76607" w14:paraId="04CA38F7" w14:textId="77777777">
        <w:tc>
          <w:tcPr>
            <w:tcW w:w="3518" w:type="dxa"/>
          </w:tcPr>
          <w:p w14:paraId="0CA85746" w14:textId="77777777" w:rsidR="00F76607" w:rsidRDefault="001863F0">
            <w:pPr>
              <w:pStyle w:val="ABody"/>
              <w:rPr>
                <w:rFonts w:ascii="Times New Roman" w:hAnsi="Times New Roman" w:cs="Times New Roman"/>
                <w:b/>
                <w:sz w:val="18"/>
                <w:szCs w:val="18"/>
              </w:rPr>
            </w:pPr>
            <w:r>
              <w:rPr>
                <w:rFonts w:ascii="Times New Roman" w:hAnsi="Times New Roman" w:cs="Times New Roman"/>
                <w:sz w:val="18"/>
                <w:szCs w:val="18"/>
              </w:rPr>
              <w:t>“</w:t>
            </w:r>
            <w:r>
              <w:rPr>
                <w:rFonts w:ascii="Times New Roman" w:hAnsi="Times New Roman" w:cs="Times New Roman"/>
                <w:b/>
                <w:sz w:val="18"/>
                <w:szCs w:val="18"/>
              </w:rPr>
              <w:t>Reduced Withholding Tax</w:t>
            </w:r>
            <w:r>
              <w:rPr>
                <w:rFonts w:ascii="Times New Roman" w:hAnsi="Times New Roman" w:cs="Times New Roman"/>
                <w:sz w:val="18"/>
                <w:szCs w:val="18"/>
              </w:rPr>
              <w:t xml:space="preserve">” </w:t>
            </w:r>
          </w:p>
        </w:tc>
        <w:tc>
          <w:tcPr>
            <w:tcW w:w="5129" w:type="dxa"/>
          </w:tcPr>
          <w:p w14:paraId="3128C995"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a reduced Belgian withholding tax of 1.6995%;</w:t>
            </w:r>
          </w:p>
        </w:tc>
      </w:tr>
      <w:tr w:rsidR="00F76607" w14:paraId="10330AAB" w14:textId="77777777">
        <w:tc>
          <w:tcPr>
            <w:tcW w:w="3518" w:type="dxa"/>
          </w:tcPr>
          <w:p w14:paraId="5CF81B6B"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“Regulation S”</w:t>
            </w:r>
          </w:p>
        </w:tc>
        <w:tc>
          <w:tcPr>
            <w:tcW w:w="5129" w:type="dxa"/>
          </w:tcPr>
          <w:p w14:paraId="3540C0D9"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the Regulation S under the Securities Act;</w:t>
            </w:r>
          </w:p>
        </w:tc>
      </w:tr>
      <w:tr w:rsidR="00F76607" w14:paraId="7E4F8ED1" w14:textId="77777777">
        <w:tc>
          <w:tcPr>
            <w:tcW w:w="3518" w:type="dxa"/>
          </w:tcPr>
          <w:p w14:paraId="112D00B0"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“Relevant Member State”</w:t>
            </w:r>
          </w:p>
        </w:tc>
        <w:tc>
          <w:tcPr>
            <w:tcW w:w="5129" w:type="dxa"/>
          </w:tcPr>
          <w:p w14:paraId="06802D1E"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each Member State of the European Economic Area which has implemented the Prospectus Directive;</w:t>
            </w:r>
          </w:p>
        </w:tc>
      </w:tr>
      <w:tr w:rsidR="00F76607" w14:paraId="6A745DCD" w14:textId="77777777">
        <w:tc>
          <w:tcPr>
            <w:tcW w:w="3518" w:type="dxa"/>
          </w:tcPr>
          <w:p w14:paraId="4D26ED99"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“Remuneration Committee”</w:t>
            </w:r>
          </w:p>
        </w:tc>
        <w:tc>
          <w:tcPr>
            <w:tcW w:w="5129" w:type="dxa"/>
          </w:tcPr>
          <w:p w14:paraId="6975E238"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lang w:val="en-US"/>
              </w:rPr>
              <w:t>the remuneration committee of the Company established in accordance with paragraph 2 of annex 2 of the VGP Charter;</w:t>
            </w:r>
          </w:p>
        </w:tc>
      </w:tr>
      <w:tr w:rsidR="00F76607" w14:paraId="29702BBA" w14:textId="77777777">
        <w:tc>
          <w:tcPr>
            <w:tcW w:w="3518" w:type="dxa"/>
          </w:tcPr>
          <w:p w14:paraId="0D3F6B0D"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lastRenderedPageBreak/>
              <w:t>“</w:t>
            </w:r>
            <w:r>
              <w:rPr>
                <w:rFonts w:ascii="Times New Roman" w:hAnsi="Times New Roman" w:cs="Times New Roman"/>
                <w:b/>
                <w:sz w:val="18"/>
                <w:szCs w:val="18"/>
              </w:rPr>
              <w:t>Rental Expenses”</w:t>
            </w:r>
          </w:p>
        </w:tc>
        <w:tc>
          <w:tcPr>
            <w:tcW w:w="5129" w:type="dxa"/>
          </w:tcPr>
          <w:p w14:paraId="54FA8293"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the sum of any and all expenses incurred in relation to the operation, administration, maintenance and repairs by any member of the Group in relation to its Projects;</w:t>
            </w:r>
          </w:p>
        </w:tc>
      </w:tr>
      <w:tr w:rsidR="00F76607" w14:paraId="6C55206B" w14:textId="77777777">
        <w:tc>
          <w:tcPr>
            <w:tcW w:w="3518" w:type="dxa"/>
          </w:tcPr>
          <w:p w14:paraId="4F4A4EBE"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“Responsible Person”</w:t>
            </w:r>
          </w:p>
        </w:tc>
        <w:tc>
          <w:tcPr>
            <w:tcW w:w="5129" w:type="dxa"/>
          </w:tcPr>
          <w:p w14:paraId="70BBB67F"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lang w:val="en-US"/>
              </w:rPr>
              <w:t>the Company and the Selling Shareholders;</w:t>
            </w:r>
          </w:p>
        </w:tc>
      </w:tr>
      <w:tr w:rsidR="00F76607" w14:paraId="22F61327" w14:textId="77777777">
        <w:tc>
          <w:tcPr>
            <w:tcW w:w="3518" w:type="dxa"/>
          </w:tcPr>
          <w:p w14:paraId="18C9937F"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bCs/>
                <w:sz w:val="18"/>
                <w:szCs w:val="18"/>
              </w:rPr>
              <w:t xml:space="preserve">“Rule 144A” </w:t>
            </w:r>
          </w:p>
        </w:tc>
        <w:tc>
          <w:tcPr>
            <w:tcW w:w="5129" w:type="dxa"/>
          </w:tcPr>
          <w:p w14:paraId="082C34E6"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 xml:space="preserve">Rule 144A under the U.S. Securities Act; </w:t>
            </w:r>
          </w:p>
        </w:tc>
      </w:tr>
      <w:tr w:rsidR="00F76607" w14:paraId="39B701E9" w14:textId="77777777">
        <w:tc>
          <w:tcPr>
            <w:tcW w:w="3518" w:type="dxa"/>
          </w:tcPr>
          <w:p w14:paraId="55499077" w14:textId="77777777" w:rsidR="00F76607" w:rsidRDefault="001863F0">
            <w:pPr>
              <w:pStyle w:val="ABody"/>
              <w:rPr>
                <w:rFonts w:ascii="Times New Roman" w:hAnsi="Times New Roman" w:cs="Times New Roman"/>
                <w:bCs/>
                <w:sz w:val="18"/>
                <w:szCs w:val="18"/>
              </w:rPr>
            </w:pPr>
            <w:r>
              <w:rPr>
                <w:rFonts w:ascii="Times New Roman" w:hAnsi="Times New Roman" w:cs="Times New Roman"/>
                <w:b/>
                <w:bCs/>
                <w:sz w:val="18"/>
                <w:szCs w:val="18"/>
              </w:rPr>
              <w:t>“Second JV Closing</w:t>
            </w:r>
            <w:r>
              <w:rPr>
                <w:rFonts w:ascii="Times New Roman" w:hAnsi="Times New Roman" w:cs="Times New Roman"/>
                <w:bCs/>
                <w:sz w:val="18"/>
                <w:szCs w:val="18"/>
              </w:rPr>
              <w:t>”</w:t>
            </w:r>
          </w:p>
        </w:tc>
        <w:tc>
          <w:tcPr>
            <w:tcW w:w="5129" w:type="dxa"/>
          </w:tcPr>
          <w:p w14:paraId="02380225" w14:textId="14815EA4" w:rsidR="00F76607" w:rsidRDefault="001863F0" w:rsidP="0072661D">
            <w:pPr>
              <w:pStyle w:val="ABody"/>
              <w:rPr>
                <w:rFonts w:ascii="Times New Roman" w:hAnsi="Times New Roman" w:cs="Times New Roman"/>
                <w:sz w:val="18"/>
                <w:szCs w:val="18"/>
              </w:rPr>
            </w:pPr>
            <w:r>
              <w:rPr>
                <w:rFonts w:ascii="Times New Roman" w:hAnsi="Times New Roman" w:cs="Times New Roman"/>
                <w:sz w:val="18"/>
                <w:szCs w:val="18"/>
              </w:rPr>
              <w:t xml:space="preserve">the closing of the transaction pursuant to which the Joint Venture acquired 5 newly completed buildings (4 buildings in Germany and 1 in Slovakia) from VGP </w:t>
            </w:r>
            <w:r w:rsidR="0072661D">
              <w:rPr>
                <w:rFonts w:ascii="Times New Roman" w:hAnsi="Times New Roman" w:cs="Times New Roman"/>
                <w:sz w:val="18"/>
                <w:szCs w:val="18"/>
              </w:rPr>
              <w:t>at the end of</w:t>
            </w:r>
            <w:r>
              <w:rPr>
                <w:rFonts w:ascii="Times New Roman" w:hAnsi="Times New Roman" w:cs="Times New Roman"/>
                <w:sz w:val="18"/>
                <w:szCs w:val="18"/>
              </w:rPr>
              <w:t xml:space="preserve"> October 2016. The net proceeds receiv</w:t>
            </w:r>
            <w:r w:rsidR="0072661D">
              <w:rPr>
                <w:rFonts w:ascii="Times New Roman" w:hAnsi="Times New Roman" w:cs="Times New Roman"/>
                <w:sz w:val="18"/>
                <w:szCs w:val="18"/>
              </w:rPr>
              <w:t>ed from such sale by VGP was € 59.7</w:t>
            </w:r>
            <w:r>
              <w:rPr>
                <w:rFonts w:ascii="Times New Roman" w:hAnsi="Times New Roman" w:cs="Times New Roman"/>
                <w:sz w:val="18"/>
                <w:szCs w:val="18"/>
              </w:rPr>
              <w:t xml:space="preserve"> million;</w:t>
            </w:r>
          </w:p>
        </w:tc>
      </w:tr>
      <w:tr w:rsidR="00F76607" w14:paraId="2620C0D2" w14:textId="77777777">
        <w:tc>
          <w:tcPr>
            <w:tcW w:w="3518" w:type="dxa"/>
          </w:tcPr>
          <w:p w14:paraId="3CD11187"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“Securities Act”</w:t>
            </w:r>
          </w:p>
        </w:tc>
        <w:tc>
          <w:tcPr>
            <w:tcW w:w="5129" w:type="dxa"/>
          </w:tcPr>
          <w:p w14:paraId="3B9A3645"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the United States Securities Act of 1933, as amended;</w:t>
            </w:r>
          </w:p>
        </w:tc>
      </w:tr>
      <w:tr w:rsidR="00F76607" w14:paraId="33A3A003" w14:textId="77777777">
        <w:tc>
          <w:tcPr>
            <w:tcW w:w="3518" w:type="dxa"/>
          </w:tcPr>
          <w:p w14:paraId="51920444"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“Security”</w:t>
            </w:r>
          </w:p>
        </w:tc>
        <w:tc>
          <w:tcPr>
            <w:tcW w:w="5129" w:type="dxa"/>
          </w:tcPr>
          <w:p w14:paraId="69BA8595"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any mortgage, charge, pledge, lien or any other form of encumbrance or security interest or any mandate to create the same, including, without limitation, anything analogous to any of the foregoing under the laws of any jurisdiction;</w:t>
            </w:r>
          </w:p>
        </w:tc>
      </w:tr>
      <w:tr w:rsidR="00F76607" w14:paraId="086E9FDE" w14:textId="77777777">
        <w:tc>
          <w:tcPr>
            <w:tcW w:w="3518" w:type="dxa"/>
          </w:tcPr>
          <w:p w14:paraId="273E68BC"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“SEE”</w:t>
            </w:r>
          </w:p>
        </w:tc>
        <w:tc>
          <w:tcPr>
            <w:tcW w:w="5129" w:type="dxa"/>
          </w:tcPr>
          <w:p w14:paraId="2044BF61"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South East Europe;</w:t>
            </w:r>
          </w:p>
        </w:tc>
      </w:tr>
      <w:tr w:rsidR="00F76607" w14:paraId="2B8AF295" w14:textId="77777777">
        <w:tc>
          <w:tcPr>
            <w:tcW w:w="3518" w:type="dxa"/>
          </w:tcPr>
          <w:p w14:paraId="16F7C0E6" w14:textId="77777777" w:rsidR="00F76607" w:rsidRDefault="001863F0">
            <w:pPr>
              <w:pStyle w:val="ABody"/>
              <w:rPr>
                <w:rFonts w:ascii="Times New Roman" w:hAnsi="Times New Roman" w:cs="Times New Roman"/>
                <w:sz w:val="18"/>
                <w:szCs w:val="18"/>
              </w:rPr>
            </w:pPr>
            <w:r>
              <w:rPr>
                <w:rFonts w:ascii="Times New Roman" w:eastAsia="PMingLiU" w:hAnsi="Times New Roman" w:cs="Times New Roman"/>
                <w:b/>
                <w:sz w:val="18"/>
                <w:szCs w:val="18"/>
                <w:lang w:eastAsia="zh-TW"/>
              </w:rPr>
              <w:t>“Seed Portfolio”</w:t>
            </w:r>
          </w:p>
        </w:tc>
        <w:tc>
          <w:tcPr>
            <w:tcW w:w="5129" w:type="dxa"/>
          </w:tcPr>
          <w:p w14:paraId="39AFE257"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means the first 15 VGP parks acquired by the Joint Venture at the end of May 2016;</w:t>
            </w:r>
          </w:p>
        </w:tc>
      </w:tr>
      <w:tr w:rsidR="00F76607" w14:paraId="24A1D16D" w14:textId="77777777">
        <w:tc>
          <w:tcPr>
            <w:tcW w:w="3518" w:type="dxa"/>
          </w:tcPr>
          <w:p w14:paraId="0C8902D7"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“Seed Portfolio SPA”</w:t>
            </w:r>
          </w:p>
        </w:tc>
        <w:tc>
          <w:tcPr>
            <w:tcW w:w="5129" w:type="dxa"/>
          </w:tcPr>
          <w:p w14:paraId="7F3EBB3B"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 xml:space="preserve">the share purchase agreement between the Company and VGP CZ X </w:t>
            </w:r>
            <w:proofErr w:type="spellStart"/>
            <w:r>
              <w:rPr>
                <w:rFonts w:ascii="Times New Roman" w:hAnsi="Times New Roman" w:cs="Times New Roman"/>
                <w:sz w:val="18"/>
                <w:szCs w:val="18"/>
              </w:rPr>
              <w:t>a.s</w:t>
            </w:r>
            <w:proofErr w:type="spellEnd"/>
            <w:r>
              <w:rPr>
                <w:rFonts w:ascii="Times New Roman" w:hAnsi="Times New Roman" w:cs="Times New Roman"/>
                <w:sz w:val="18"/>
                <w:szCs w:val="18"/>
              </w:rPr>
              <w:t xml:space="preserve">. (as sellers) and VGP European Logistics </w:t>
            </w:r>
            <w:proofErr w:type="spellStart"/>
            <w:r>
              <w:rPr>
                <w:rFonts w:ascii="Times New Roman" w:hAnsi="Times New Roman" w:cs="Times New Roman"/>
                <w:sz w:val="18"/>
                <w:szCs w:val="18"/>
              </w:rPr>
              <w:t>S.à</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r.l</w:t>
            </w:r>
            <w:proofErr w:type="spellEnd"/>
            <w:r>
              <w:rPr>
                <w:rFonts w:ascii="Times New Roman" w:hAnsi="Times New Roman" w:cs="Times New Roman"/>
                <w:sz w:val="18"/>
                <w:szCs w:val="18"/>
              </w:rPr>
              <w:t>. (as purchaser) related to a sale of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100% participation in the Czech companies VGP CZ V </w:t>
            </w:r>
            <w:proofErr w:type="spellStart"/>
            <w:r>
              <w:rPr>
                <w:rFonts w:ascii="Times New Roman" w:hAnsi="Times New Roman" w:cs="Times New Roman"/>
                <w:sz w:val="18"/>
                <w:szCs w:val="18"/>
              </w:rPr>
              <w:t>a.s</w:t>
            </w:r>
            <w:proofErr w:type="spellEnd"/>
            <w:r>
              <w:rPr>
                <w:rFonts w:ascii="Times New Roman" w:hAnsi="Times New Roman" w:cs="Times New Roman"/>
                <w:sz w:val="18"/>
                <w:szCs w:val="18"/>
              </w:rPr>
              <w:t xml:space="preserve">. (owning VGP Park BRNO), VGP CZ VI </w:t>
            </w:r>
            <w:proofErr w:type="spellStart"/>
            <w:r>
              <w:rPr>
                <w:rFonts w:ascii="Times New Roman" w:hAnsi="Times New Roman" w:cs="Times New Roman"/>
                <w:sz w:val="18"/>
                <w:szCs w:val="18"/>
              </w:rPr>
              <w:t>a.s</w:t>
            </w:r>
            <w:proofErr w:type="spellEnd"/>
            <w:r>
              <w:rPr>
                <w:rFonts w:ascii="Times New Roman" w:hAnsi="Times New Roman" w:cs="Times New Roman"/>
                <w:sz w:val="18"/>
                <w:szCs w:val="18"/>
              </w:rPr>
              <w:t xml:space="preserve">. (owning VGP Park </w:t>
            </w:r>
            <w:proofErr w:type="spellStart"/>
            <w:r>
              <w:rPr>
                <w:rFonts w:ascii="Times New Roman" w:hAnsi="Times New Roman" w:cs="Times New Roman"/>
                <w:sz w:val="18"/>
                <w:szCs w:val="18"/>
              </w:rPr>
              <w:t>Hradek</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nad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Nisou</w:t>
            </w:r>
            <w:proofErr w:type="spellEnd"/>
            <w:r>
              <w:rPr>
                <w:rFonts w:ascii="Times New Roman" w:hAnsi="Times New Roman" w:cs="Times New Roman"/>
                <w:sz w:val="18"/>
                <w:szCs w:val="18"/>
              </w:rPr>
              <w:t xml:space="preserve">), VGP CZ VIII </w:t>
            </w:r>
            <w:proofErr w:type="spellStart"/>
            <w:r>
              <w:rPr>
                <w:rFonts w:ascii="Times New Roman" w:hAnsi="Times New Roman" w:cs="Times New Roman"/>
                <w:sz w:val="18"/>
                <w:szCs w:val="18"/>
              </w:rPr>
              <w:t>a.s</w:t>
            </w:r>
            <w:proofErr w:type="spellEnd"/>
            <w:r>
              <w:rPr>
                <w:rFonts w:ascii="Times New Roman" w:hAnsi="Times New Roman" w:cs="Times New Roman"/>
                <w:sz w:val="18"/>
                <w:szCs w:val="18"/>
              </w:rPr>
              <w:t xml:space="preserve">. (owning VGP Park Pilsen) and TPO </w:t>
            </w:r>
            <w:proofErr w:type="spellStart"/>
            <w:r>
              <w:rPr>
                <w:rFonts w:ascii="Times New Roman" w:hAnsi="Times New Roman" w:cs="Times New Roman"/>
                <w:sz w:val="18"/>
                <w:szCs w:val="18"/>
              </w:rPr>
              <w:t>hala</w:t>
            </w:r>
            <w:proofErr w:type="spellEnd"/>
            <w:r>
              <w:rPr>
                <w:rFonts w:ascii="Times New Roman" w:hAnsi="Times New Roman" w:cs="Times New Roman"/>
                <w:sz w:val="18"/>
                <w:szCs w:val="18"/>
              </w:rPr>
              <w:t xml:space="preserve"> G2 </w:t>
            </w:r>
            <w:proofErr w:type="spellStart"/>
            <w:r>
              <w:rPr>
                <w:rFonts w:ascii="Times New Roman" w:hAnsi="Times New Roman" w:cs="Times New Roman"/>
                <w:sz w:val="18"/>
                <w:szCs w:val="18"/>
              </w:rPr>
              <w:t>a.s</w:t>
            </w:r>
            <w:proofErr w:type="spellEnd"/>
            <w:r>
              <w:rPr>
                <w:rFonts w:ascii="Times New Roman" w:hAnsi="Times New Roman" w:cs="Times New Roman"/>
                <w:sz w:val="18"/>
                <w:szCs w:val="18"/>
              </w:rPr>
              <w:t xml:space="preserve">. (owning partially VGP Park Olomouc), (ii) 100% participation in the Slovak company VGP Park </w:t>
            </w:r>
            <w:proofErr w:type="spellStart"/>
            <w:r>
              <w:rPr>
                <w:rFonts w:ascii="Times New Roman" w:hAnsi="Times New Roman" w:cs="Times New Roman"/>
                <w:sz w:val="18"/>
                <w:szCs w:val="18"/>
              </w:rPr>
              <w:t>Malacky</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a.s</w:t>
            </w:r>
            <w:proofErr w:type="spellEnd"/>
            <w:r>
              <w:rPr>
                <w:rFonts w:ascii="Times New Roman" w:hAnsi="Times New Roman" w:cs="Times New Roman"/>
                <w:sz w:val="18"/>
                <w:szCs w:val="18"/>
              </w:rPr>
              <w:t xml:space="preserve">. (formerly named VGP Slovakia </w:t>
            </w:r>
            <w:proofErr w:type="spellStart"/>
            <w:r>
              <w:rPr>
                <w:rFonts w:ascii="Times New Roman" w:hAnsi="Times New Roman" w:cs="Times New Roman"/>
                <w:sz w:val="18"/>
                <w:szCs w:val="18"/>
              </w:rPr>
              <w:t>a.s</w:t>
            </w:r>
            <w:proofErr w:type="spellEnd"/>
            <w:r>
              <w:rPr>
                <w:rFonts w:ascii="Times New Roman" w:hAnsi="Times New Roman" w:cs="Times New Roman"/>
                <w:sz w:val="18"/>
                <w:szCs w:val="18"/>
              </w:rPr>
              <w:t xml:space="preserve">.) (owning VGP Park </w:t>
            </w:r>
            <w:proofErr w:type="spellStart"/>
            <w:r>
              <w:rPr>
                <w:rFonts w:ascii="Times New Roman" w:hAnsi="Times New Roman" w:cs="Times New Roman"/>
                <w:sz w:val="18"/>
                <w:szCs w:val="18"/>
              </w:rPr>
              <w:t>Malacky</w:t>
            </w:r>
            <w:proofErr w:type="spellEnd"/>
            <w:r>
              <w:rPr>
                <w:rFonts w:ascii="Times New Roman" w:hAnsi="Times New Roman" w:cs="Times New Roman"/>
                <w:sz w:val="18"/>
                <w:szCs w:val="18"/>
              </w:rPr>
              <w:t xml:space="preserve">), (iii) 94.9% participation in the German companies VGP Park </w:t>
            </w:r>
            <w:proofErr w:type="spellStart"/>
            <w:r>
              <w:rPr>
                <w:rFonts w:ascii="Times New Roman" w:hAnsi="Times New Roman" w:cs="Times New Roman"/>
                <w:sz w:val="18"/>
                <w:szCs w:val="18"/>
              </w:rPr>
              <w:t>Bingen</w:t>
            </w:r>
            <w:proofErr w:type="spellEnd"/>
            <w:r>
              <w:rPr>
                <w:rFonts w:ascii="Times New Roman" w:hAnsi="Times New Roman" w:cs="Times New Roman"/>
                <w:sz w:val="18"/>
                <w:szCs w:val="18"/>
              </w:rPr>
              <w:t xml:space="preserve"> GmbH (owning VGP Park </w:t>
            </w:r>
            <w:proofErr w:type="spellStart"/>
            <w:r>
              <w:rPr>
                <w:rFonts w:ascii="Times New Roman" w:hAnsi="Times New Roman" w:cs="Times New Roman"/>
                <w:sz w:val="18"/>
                <w:szCs w:val="18"/>
              </w:rPr>
              <w:t>Bingen</w:t>
            </w:r>
            <w:proofErr w:type="spellEnd"/>
            <w:r>
              <w:rPr>
                <w:rFonts w:ascii="Times New Roman" w:hAnsi="Times New Roman" w:cs="Times New Roman"/>
                <w:sz w:val="18"/>
                <w:szCs w:val="18"/>
              </w:rPr>
              <w:t xml:space="preserve">), VGP Park Berlin GmbH (owning VGP Park Berlin), VGP Park </w:t>
            </w:r>
            <w:proofErr w:type="spellStart"/>
            <w:r>
              <w:rPr>
                <w:rFonts w:ascii="Times New Roman" w:hAnsi="Times New Roman" w:cs="Times New Roman"/>
                <w:sz w:val="18"/>
                <w:szCs w:val="18"/>
              </w:rPr>
              <w:t>Höchstadt</w:t>
            </w:r>
            <w:proofErr w:type="spellEnd"/>
            <w:r>
              <w:rPr>
                <w:rFonts w:ascii="Times New Roman" w:hAnsi="Times New Roman" w:cs="Times New Roman"/>
                <w:sz w:val="18"/>
                <w:szCs w:val="18"/>
              </w:rPr>
              <w:t xml:space="preserve"> GmbH (owning VGP Park </w:t>
            </w:r>
            <w:proofErr w:type="spellStart"/>
            <w:r>
              <w:rPr>
                <w:rFonts w:ascii="Times New Roman" w:hAnsi="Times New Roman" w:cs="Times New Roman"/>
                <w:sz w:val="18"/>
                <w:szCs w:val="18"/>
              </w:rPr>
              <w:t>Höchstadt</w:t>
            </w:r>
            <w:proofErr w:type="spellEnd"/>
            <w:r>
              <w:rPr>
                <w:rFonts w:ascii="Times New Roman" w:hAnsi="Times New Roman" w:cs="Times New Roman"/>
                <w:sz w:val="18"/>
                <w:szCs w:val="18"/>
              </w:rPr>
              <w:t xml:space="preserve">), VGP Park Hamburg GmbH (owning VGP Park Hamburg) and VGP Park </w:t>
            </w:r>
            <w:proofErr w:type="spellStart"/>
            <w:r>
              <w:rPr>
                <w:rFonts w:ascii="Times New Roman" w:hAnsi="Times New Roman" w:cs="Times New Roman"/>
                <w:sz w:val="18"/>
                <w:szCs w:val="18"/>
              </w:rPr>
              <w:t>Rodgau</w:t>
            </w:r>
            <w:proofErr w:type="spellEnd"/>
            <w:r>
              <w:rPr>
                <w:rFonts w:ascii="Times New Roman" w:hAnsi="Times New Roman" w:cs="Times New Roman"/>
                <w:sz w:val="18"/>
                <w:szCs w:val="18"/>
              </w:rPr>
              <w:t xml:space="preserve"> GmbH (owning VGP Park </w:t>
            </w:r>
            <w:proofErr w:type="spellStart"/>
            <w:r>
              <w:rPr>
                <w:rFonts w:ascii="Times New Roman" w:hAnsi="Times New Roman" w:cs="Times New Roman"/>
                <w:sz w:val="18"/>
                <w:szCs w:val="18"/>
              </w:rPr>
              <w:t>Rodgau</w:t>
            </w:r>
            <w:proofErr w:type="spellEnd"/>
            <w:r>
              <w:rPr>
                <w:rFonts w:ascii="Times New Roman" w:hAnsi="Times New Roman" w:cs="Times New Roman"/>
                <w:sz w:val="18"/>
                <w:szCs w:val="18"/>
              </w:rPr>
              <w:t xml:space="preserve">), and (iv) 94.9% participation in the Luxembourg companies VGP Park Hamburg 2 </w:t>
            </w:r>
            <w:proofErr w:type="spellStart"/>
            <w:r>
              <w:rPr>
                <w:rFonts w:ascii="Times New Roman" w:hAnsi="Times New Roman" w:cs="Times New Roman"/>
                <w:sz w:val="18"/>
                <w:szCs w:val="18"/>
              </w:rPr>
              <w:t>S.à</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r.l</w:t>
            </w:r>
            <w:proofErr w:type="spellEnd"/>
            <w:r>
              <w:rPr>
                <w:rFonts w:ascii="Times New Roman" w:hAnsi="Times New Roman" w:cs="Times New Roman"/>
                <w:sz w:val="18"/>
                <w:szCs w:val="18"/>
              </w:rPr>
              <w:t xml:space="preserve">. (VGP park Hamburg 2), VGP Park </w:t>
            </w:r>
            <w:proofErr w:type="spellStart"/>
            <w:r>
              <w:rPr>
                <w:rFonts w:ascii="Times New Roman" w:hAnsi="Times New Roman" w:cs="Times New Roman"/>
                <w:sz w:val="18"/>
                <w:szCs w:val="18"/>
              </w:rPr>
              <w:t>Frankenthal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S.à</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r.l</w:t>
            </w:r>
            <w:proofErr w:type="spellEnd"/>
            <w:r>
              <w:rPr>
                <w:rFonts w:ascii="Times New Roman" w:hAnsi="Times New Roman" w:cs="Times New Roman"/>
                <w:sz w:val="18"/>
                <w:szCs w:val="18"/>
              </w:rPr>
              <w:t xml:space="preserve">. (owning VGP Park </w:t>
            </w:r>
            <w:proofErr w:type="spellStart"/>
            <w:r>
              <w:rPr>
                <w:rFonts w:ascii="Times New Roman" w:hAnsi="Times New Roman" w:cs="Times New Roman"/>
                <w:sz w:val="18"/>
                <w:szCs w:val="18"/>
              </w:rPr>
              <w:t>Frankenthal</w:t>
            </w:r>
            <w:proofErr w:type="spellEnd"/>
            <w:r>
              <w:rPr>
                <w:rFonts w:ascii="Times New Roman" w:hAnsi="Times New Roman" w:cs="Times New Roman"/>
                <w:sz w:val="18"/>
                <w:szCs w:val="18"/>
              </w:rPr>
              <w:t xml:space="preserve"> and VGP Park </w:t>
            </w:r>
            <w:proofErr w:type="spellStart"/>
            <w:r>
              <w:rPr>
                <w:rFonts w:ascii="Times New Roman" w:hAnsi="Times New Roman" w:cs="Times New Roman"/>
                <w:sz w:val="18"/>
                <w:szCs w:val="18"/>
              </w:rPr>
              <w:t>Bobenheim-Roxheim</w:t>
            </w:r>
            <w:proofErr w:type="spellEnd"/>
            <w:r>
              <w:rPr>
                <w:rFonts w:ascii="Times New Roman" w:hAnsi="Times New Roman" w:cs="Times New Roman"/>
                <w:sz w:val="18"/>
                <w:szCs w:val="18"/>
              </w:rPr>
              <w:t xml:space="preserve">) and VGP Park Leipzig </w:t>
            </w:r>
            <w:proofErr w:type="spellStart"/>
            <w:r>
              <w:rPr>
                <w:rFonts w:ascii="Times New Roman" w:hAnsi="Times New Roman" w:cs="Times New Roman"/>
                <w:sz w:val="18"/>
                <w:szCs w:val="18"/>
              </w:rPr>
              <w:t>S.à</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r.l</w:t>
            </w:r>
            <w:proofErr w:type="spellEnd"/>
            <w:r>
              <w:rPr>
                <w:rFonts w:ascii="Times New Roman" w:hAnsi="Times New Roman" w:cs="Times New Roman"/>
                <w:sz w:val="18"/>
                <w:szCs w:val="18"/>
              </w:rPr>
              <w:t xml:space="preserve">. (owning VGP Park </w:t>
            </w:r>
            <w:proofErr w:type="spellStart"/>
            <w:r>
              <w:rPr>
                <w:rFonts w:ascii="Times New Roman" w:hAnsi="Times New Roman" w:cs="Times New Roman"/>
                <w:sz w:val="18"/>
                <w:szCs w:val="18"/>
              </w:rPr>
              <w:t>Borna</w:t>
            </w:r>
            <w:proofErr w:type="spellEnd"/>
            <w:r>
              <w:rPr>
                <w:rFonts w:ascii="Times New Roman" w:hAnsi="Times New Roman" w:cs="Times New Roman"/>
                <w:sz w:val="18"/>
                <w:szCs w:val="18"/>
              </w:rPr>
              <w:t>);</w:t>
            </w:r>
          </w:p>
        </w:tc>
      </w:tr>
      <w:tr w:rsidR="00F76607" w14:paraId="1611FC07" w14:textId="77777777">
        <w:tc>
          <w:tcPr>
            <w:tcW w:w="3518" w:type="dxa"/>
          </w:tcPr>
          <w:p w14:paraId="6EEC1A56"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“Selling Shareholders”</w:t>
            </w:r>
          </w:p>
        </w:tc>
        <w:tc>
          <w:tcPr>
            <w:tcW w:w="5129" w:type="dxa"/>
          </w:tcPr>
          <w:p w14:paraId="72BB49FA" w14:textId="77777777" w:rsidR="00F76607" w:rsidRDefault="001863F0">
            <w:pPr>
              <w:pStyle w:val="ABody"/>
              <w:rPr>
                <w:rFonts w:ascii="Times New Roman" w:hAnsi="Times New Roman" w:cs="Times New Roman"/>
                <w:sz w:val="18"/>
                <w:szCs w:val="18"/>
                <w:lang w:val="nl-BE"/>
              </w:rPr>
            </w:pPr>
            <w:r>
              <w:rPr>
                <w:rFonts w:ascii="Times New Roman" w:hAnsi="Times New Roman" w:cs="Times New Roman"/>
                <w:sz w:val="18"/>
                <w:szCs w:val="18"/>
                <w:lang w:val="nl-BE"/>
              </w:rPr>
              <w:t xml:space="preserve">Bart Van Malderen, VM </w:t>
            </w:r>
            <w:proofErr w:type="spellStart"/>
            <w:r>
              <w:rPr>
                <w:rFonts w:ascii="Times New Roman" w:hAnsi="Times New Roman" w:cs="Times New Roman"/>
                <w:sz w:val="18"/>
                <w:szCs w:val="18"/>
                <w:lang w:val="nl-BE"/>
              </w:rPr>
              <w:t>Invest</w:t>
            </w:r>
            <w:proofErr w:type="spellEnd"/>
            <w:r>
              <w:rPr>
                <w:rFonts w:ascii="Times New Roman" w:hAnsi="Times New Roman" w:cs="Times New Roman"/>
                <w:sz w:val="18"/>
                <w:szCs w:val="18"/>
                <w:lang w:val="nl-BE"/>
              </w:rPr>
              <w:t xml:space="preserve"> NV and Little Rock SA; </w:t>
            </w:r>
          </w:p>
        </w:tc>
      </w:tr>
      <w:tr w:rsidR="00F76607" w14:paraId="40A4419C" w14:textId="77777777">
        <w:tc>
          <w:tcPr>
            <w:tcW w:w="3518" w:type="dxa"/>
          </w:tcPr>
          <w:p w14:paraId="4AFE43ED"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“Shares”</w:t>
            </w:r>
          </w:p>
        </w:tc>
        <w:tc>
          <w:tcPr>
            <w:tcW w:w="5129" w:type="dxa"/>
          </w:tcPr>
          <w:p w14:paraId="1780BB75" w14:textId="77777777" w:rsidR="00F76607" w:rsidRDefault="001863F0">
            <w:pPr>
              <w:pStyle w:val="ABody1"/>
              <w:ind w:left="0"/>
              <w:rPr>
                <w:rFonts w:ascii="Times New Roman" w:hAnsi="Times New Roman" w:cs="Times New Roman"/>
                <w:sz w:val="18"/>
                <w:szCs w:val="18"/>
                <w:lang w:val="en-US"/>
              </w:rPr>
            </w:pPr>
            <w:r>
              <w:rPr>
                <w:rFonts w:ascii="Times New Roman" w:hAnsi="Times New Roman" w:cs="Times New Roman"/>
                <w:sz w:val="18"/>
                <w:szCs w:val="18"/>
              </w:rPr>
              <w:t>ordinary shares of the Company;</w:t>
            </w:r>
          </w:p>
        </w:tc>
      </w:tr>
      <w:tr w:rsidR="00F76607" w14:paraId="6FDDC7CF" w14:textId="77777777">
        <w:tc>
          <w:tcPr>
            <w:tcW w:w="3518" w:type="dxa"/>
          </w:tcPr>
          <w:p w14:paraId="7875C9CC" w14:textId="77777777" w:rsidR="00F76607" w:rsidRDefault="001863F0">
            <w:pPr>
              <w:pStyle w:val="ABody"/>
              <w:rPr>
                <w:rFonts w:ascii="Times New Roman" w:hAnsi="Times New Roman" w:cs="Times New Roman"/>
                <w:b/>
                <w:bCs/>
                <w:sz w:val="18"/>
                <w:szCs w:val="18"/>
              </w:rPr>
            </w:pPr>
            <w:r>
              <w:rPr>
                <w:rFonts w:ascii="Times New Roman" w:hAnsi="Times New Roman" w:cs="Times New Roman"/>
                <w:b/>
                <w:bCs/>
                <w:sz w:val="18"/>
                <w:szCs w:val="18"/>
              </w:rPr>
              <w:t>“Stabilization Manager”</w:t>
            </w:r>
          </w:p>
        </w:tc>
        <w:tc>
          <w:tcPr>
            <w:tcW w:w="5129" w:type="dxa"/>
          </w:tcPr>
          <w:p w14:paraId="59CB85ED" w14:textId="57812A26" w:rsidR="00F76607" w:rsidRDefault="00CA4EA5">
            <w:pPr>
              <w:pStyle w:val="ABody1"/>
              <w:ind w:left="0"/>
              <w:rPr>
                <w:rFonts w:ascii="Times New Roman" w:hAnsi="Times New Roman" w:cs="Times New Roman"/>
                <w:sz w:val="18"/>
                <w:szCs w:val="18"/>
              </w:rPr>
            </w:pPr>
            <w:r>
              <w:rPr>
                <w:rFonts w:ascii="Times New Roman" w:hAnsi="Times New Roman" w:cs="Times New Roman"/>
                <w:sz w:val="18"/>
                <w:szCs w:val="18"/>
              </w:rPr>
              <w:t>KBC Securities</w:t>
            </w:r>
            <w:r w:rsidR="001863F0">
              <w:rPr>
                <w:rFonts w:ascii="Times New Roman" w:hAnsi="Times New Roman" w:cs="Times New Roman"/>
                <w:sz w:val="18"/>
                <w:szCs w:val="18"/>
              </w:rPr>
              <w:t>;</w:t>
            </w:r>
          </w:p>
        </w:tc>
      </w:tr>
      <w:tr w:rsidR="00F76607" w14:paraId="6CFAE958" w14:textId="77777777">
        <w:tc>
          <w:tcPr>
            <w:tcW w:w="3518" w:type="dxa"/>
          </w:tcPr>
          <w:p w14:paraId="2A4753ED" w14:textId="77777777" w:rsidR="00F76607" w:rsidRDefault="001863F0">
            <w:pPr>
              <w:pStyle w:val="ABody"/>
              <w:rPr>
                <w:rFonts w:ascii="Times New Roman" w:hAnsi="Times New Roman" w:cs="Times New Roman"/>
                <w:b/>
                <w:sz w:val="18"/>
                <w:szCs w:val="18"/>
              </w:rPr>
            </w:pPr>
            <w:r>
              <w:rPr>
                <w:rFonts w:ascii="Times New Roman" w:hAnsi="Times New Roman" w:cs="Times New Roman"/>
                <w:b/>
                <w:bCs/>
                <w:sz w:val="18"/>
                <w:szCs w:val="18"/>
              </w:rPr>
              <w:t>“Stabilization Period”</w:t>
            </w:r>
          </w:p>
        </w:tc>
        <w:tc>
          <w:tcPr>
            <w:tcW w:w="5129" w:type="dxa"/>
          </w:tcPr>
          <w:p w14:paraId="0D6B6B2A"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up to 30 days from the Pricing Date, during which time the Stabilization Manager on behalf of itself and the Underwriters and may engage in transactions that stabilize, maintain or otherwise affect the price of the Shares or any options, warrants or rights with respect to, or other interest in, the Shares or other securities of the Company;</w:t>
            </w:r>
          </w:p>
        </w:tc>
      </w:tr>
      <w:tr w:rsidR="00F76607" w14:paraId="0579DFA6" w14:textId="77777777">
        <w:tc>
          <w:tcPr>
            <w:tcW w:w="3518" w:type="dxa"/>
          </w:tcPr>
          <w:p w14:paraId="70D6D2EC" w14:textId="77777777" w:rsidR="00F76607" w:rsidRDefault="001863F0">
            <w:pPr>
              <w:pStyle w:val="ABody"/>
              <w:rPr>
                <w:rFonts w:ascii="Times New Roman" w:hAnsi="Times New Roman" w:cs="Times New Roman"/>
                <w:b/>
                <w:bCs/>
                <w:sz w:val="18"/>
                <w:szCs w:val="18"/>
              </w:rPr>
            </w:pPr>
            <w:r>
              <w:rPr>
                <w:rFonts w:ascii="Times New Roman" w:hAnsi="Times New Roman" w:cs="Times New Roman"/>
                <w:b/>
                <w:bCs/>
                <w:sz w:val="18"/>
                <w:szCs w:val="18"/>
              </w:rPr>
              <w:t>“Stock Exchange Tax Representative”</w:t>
            </w:r>
          </w:p>
        </w:tc>
        <w:tc>
          <w:tcPr>
            <w:tcW w:w="5129" w:type="dxa"/>
          </w:tcPr>
          <w:p w14:paraId="7C668E9C"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a Belgian stock exchange tax representative;</w:t>
            </w:r>
          </w:p>
        </w:tc>
      </w:tr>
      <w:tr w:rsidR="00F76607" w14:paraId="24EB5903" w14:textId="77777777">
        <w:tc>
          <w:tcPr>
            <w:tcW w:w="3518" w:type="dxa"/>
          </w:tcPr>
          <w:p w14:paraId="2F85A937" w14:textId="77777777" w:rsidR="00F76607" w:rsidRDefault="001863F0">
            <w:pPr>
              <w:pStyle w:val="ABody"/>
              <w:rPr>
                <w:rFonts w:ascii="Times New Roman" w:hAnsi="Times New Roman" w:cs="Times New Roman"/>
                <w:sz w:val="18"/>
                <w:szCs w:val="18"/>
              </w:rPr>
            </w:pPr>
            <w:r>
              <w:rPr>
                <w:rFonts w:ascii="Times New Roman" w:hAnsi="Times New Roman" w:cs="Times New Roman"/>
                <w:b/>
                <w:sz w:val="18"/>
                <w:szCs w:val="18"/>
              </w:rPr>
              <w:t>“Subsidiary”</w:t>
            </w:r>
          </w:p>
        </w:tc>
        <w:tc>
          <w:tcPr>
            <w:tcW w:w="5129" w:type="dxa"/>
          </w:tcPr>
          <w:p w14:paraId="35B96884"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a subsidiary of the Company within the meaning of article 6, 2° and article 8 of the Belgian Company Code;</w:t>
            </w:r>
          </w:p>
        </w:tc>
      </w:tr>
      <w:tr w:rsidR="00F76607" w14:paraId="4CF7B738" w14:textId="77777777">
        <w:tc>
          <w:tcPr>
            <w:tcW w:w="3518" w:type="dxa"/>
          </w:tcPr>
          <w:p w14:paraId="73C27F62" w14:textId="77777777" w:rsidR="00F76607" w:rsidRDefault="001863F0">
            <w:pPr>
              <w:pStyle w:val="ABody"/>
              <w:rPr>
                <w:rFonts w:ascii="Times New Roman" w:hAnsi="Times New Roman" w:cs="Times New Roman"/>
                <w:sz w:val="18"/>
                <w:szCs w:val="18"/>
              </w:rPr>
            </w:pPr>
            <w:r>
              <w:rPr>
                <w:rFonts w:ascii="Times New Roman" w:hAnsi="Times New Roman" w:cs="Times New Roman"/>
                <w:b/>
                <w:sz w:val="18"/>
                <w:szCs w:val="18"/>
              </w:rPr>
              <w:t>“SUTA”</w:t>
            </w:r>
          </w:p>
        </w:tc>
        <w:tc>
          <w:tcPr>
            <w:tcW w:w="5129" w:type="dxa"/>
          </w:tcPr>
          <w:p w14:paraId="079DD4C1"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 xml:space="preserve">SUTA </w:t>
            </w:r>
            <w:proofErr w:type="spellStart"/>
            <w:r>
              <w:rPr>
                <w:rFonts w:ascii="Times New Roman" w:hAnsi="Times New Roman" w:cs="Times New Roman"/>
                <w:sz w:val="18"/>
                <w:szCs w:val="18"/>
              </w:rPr>
              <w:t>s.r.o</w:t>
            </w:r>
            <w:proofErr w:type="spellEnd"/>
            <w:r>
              <w:rPr>
                <w:rFonts w:ascii="Times New Roman" w:hAnsi="Times New Roman" w:cs="Times New Roman"/>
                <w:sz w:val="18"/>
                <w:szCs w:val="18"/>
              </w:rPr>
              <w:t xml:space="preserve">., having its registered office at </w:t>
            </w:r>
            <w:proofErr w:type="spellStart"/>
            <w:r>
              <w:rPr>
                <w:rFonts w:ascii="Times New Roman" w:hAnsi="Times New Roman" w:cs="Times New Roman"/>
                <w:sz w:val="18"/>
                <w:szCs w:val="18"/>
              </w:rPr>
              <w:t>Rozšířená</w:t>
            </w:r>
            <w:proofErr w:type="spellEnd"/>
            <w:r>
              <w:rPr>
                <w:rFonts w:ascii="Times New Roman" w:hAnsi="Times New Roman" w:cs="Times New Roman"/>
                <w:sz w:val="18"/>
                <w:szCs w:val="18"/>
              </w:rPr>
              <w:t xml:space="preserve"> 2159/15, </w:t>
            </w:r>
            <w:proofErr w:type="spellStart"/>
            <w:r>
              <w:rPr>
                <w:rFonts w:ascii="Times New Roman" w:hAnsi="Times New Roman" w:cs="Times New Roman"/>
                <w:sz w:val="18"/>
                <w:szCs w:val="18"/>
              </w:rPr>
              <w:t>Libeň</w:t>
            </w:r>
            <w:proofErr w:type="spellEnd"/>
            <w:r>
              <w:rPr>
                <w:rFonts w:ascii="Times New Roman" w:hAnsi="Times New Roman" w:cs="Times New Roman"/>
                <w:sz w:val="18"/>
                <w:szCs w:val="18"/>
              </w:rPr>
              <w:t>, 182 00 Praha 8 and registered in the Commercial Register maintained by the Municipal Court in Prague, Section C, Entry No. 201835;</w:t>
            </w:r>
          </w:p>
        </w:tc>
      </w:tr>
      <w:tr w:rsidR="00F76607" w14:paraId="18607AAD" w14:textId="77777777">
        <w:tc>
          <w:tcPr>
            <w:tcW w:w="3518" w:type="dxa"/>
          </w:tcPr>
          <w:p w14:paraId="563CC7A5"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lastRenderedPageBreak/>
              <w:t>“Takeover Law”</w:t>
            </w:r>
          </w:p>
        </w:tc>
        <w:tc>
          <w:tcPr>
            <w:tcW w:w="5129" w:type="dxa"/>
          </w:tcPr>
          <w:p w14:paraId="74C3D8C9"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lang w:val="en-US"/>
              </w:rPr>
              <w:t>the Belgian Law of 1 April 2007 on public takeover bids;</w:t>
            </w:r>
          </w:p>
        </w:tc>
      </w:tr>
      <w:tr w:rsidR="00F76607" w14:paraId="0A292E3F" w14:textId="77777777">
        <w:tc>
          <w:tcPr>
            <w:tcW w:w="3518" w:type="dxa"/>
          </w:tcPr>
          <w:p w14:paraId="484F08CD"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“Takeover Decree”</w:t>
            </w:r>
          </w:p>
        </w:tc>
        <w:tc>
          <w:tcPr>
            <w:tcW w:w="5129" w:type="dxa"/>
          </w:tcPr>
          <w:p w14:paraId="1B118507"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lang w:val="en-US"/>
              </w:rPr>
              <w:t>the Belgian Royal Decree of 27 April 2007 on public takeover bids;</w:t>
            </w:r>
          </w:p>
        </w:tc>
      </w:tr>
      <w:tr w:rsidR="00F76607" w14:paraId="67A7A7C6" w14:textId="77777777">
        <w:tc>
          <w:tcPr>
            <w:tcW w:w="3518" w:type="dxa"/>
          </w:tcPr>
          <w:p w14:paraId="68DFCC0D"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“Take-up”</w:t>
            </w:r>
          </w:p>
        </w:tc>
        <w:tc>
          <w:tcPr>
            <w:tcW w:w="5129" w:type="dxa"/>
          </w:tcPr>
          <w:p w14:paraId="6CA3EC28"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lang w:val="en-US"/>
              </w:rPr>
              <w:t>means the letting of rental spaces to users in the rental market during a specific period;</w:t>
            </w:r>
          </w:p>
        </w:tc>
      </w:tr>
      <w:tr w:rsidR="00F76607" w14:paraId="396C51C1" w14:textId="77777777">
        <w:tc>
          <w:tcPr>
            <w:tcW w:w="3518" w:type="dxa"/>
          </w:tcPr>
          <w:p w14:paraId="25DC50D7"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“Taxes”</w:t>
            </w:r>
          </w:p>
        </w:tc>
        <w:tc>
          <w:tcPr>
            <w:tcW w:w="5129" w:type="dxa"/>
          </w:tcPr>
          <w:p w14:paraId="10160FE4"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any present or future taxes, duties, assessments or governmental charges of whatever nature imposed, levied, collected, withheld or assessed by or on behalf of Belgium, or any political subdivision or any authority therein or thereof having power to tax;</w:t>
            </w:r>
          </w:p>
        </w:tc>
      </w:tr>
      <w:tr w:rsidR="00F76607" w14:paraId="53E3A357" w14:textId="77777777">
        <w:tc>
          <w:tcPr>
            <w:tcW w:w="3518" w:type="dxa"/>
          </w:tcPr>
          <w:p w14:paraId="0B892E3C"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“Third JV Closing”</w:t>
            </w:r>
          </w:p>
        </w:tc>
        <w:tc>
          <w:tcPr>
            <w:tcW w:w="5129" w:type="dxa"/>
          </w:tcPr>
          <w:p w14:paraId="28BF7476" w14:textId="61B9D0C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closing of the transaction pursuant to which the Joint Venture acquired 6 new parks (7 buildings) and another 4 newly completed buildings (in parks which were previously transferred to the Joint Venture) from VGP on 31 May 2017. The net proceeds receiv</w:t>
            </w:r>
            <w:r w:rsidR="0072661D">
              <w:rPr>
                <w:rFonts w:ascii="Times New Roman" w:hAnsi="Times New Roman" w:cs="Times New Roman"/>
                <w:sz w:val="18"/>
                <w:szCs w:val="18"/>
              </w:rPr>
              <w:t xml:space="preserve">ed from such sale by VGP was € </w:t>
            </w:r>
            <w:r>
              <w:rPr>
                <w:rFonts w:ascii="Times New Roman" w:hAnsi="Times New Roman" w:cs="Times New Roman"/>
                <w:sz w:val="18"/>
                <w:szCs w:val="18"/>
              </w:rPr>
              <w:t>12</w:t>
            </w:r>
            <w:r w:rsidR="0072661D">
              <w:rPr>
                <w:rFonts w:ascii="Times New Roman" w:hAnsi="Times New Roman" w:cs="Times New Roman"/>
                <w:sz w:val="18"/>
                <w:szCs w:val="18"/>
              </w:rPr>
              <w:t>5.2</w:t>
            </w:r>
            <w:r>
              <w:rPr>
                <w:rFonts w:ascii="Times New Roman" w:hAnsi="Times New Roman" w:cs="Times New Roman"/>
                <w:sz w:val="18"/>
                <w:szCs w:val="18"/>
              </w:rPr>
              <w:t xml:space="preserve"> million;</w:t>
            </w:r>
          </w:p>
        </w:tc>
      </w:tr>
      <w:tr w:rsidR="00F76607" w14:paraId="1178D9CB" w14:textId="77777777">
        <w:tc>
          <w:tcPr>
            <w:tcW w:w="3518" w:type="dxa"/>
          </w:tcPr>
          <w:p w14:paraId="5EFE1D97"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“Total Debt”</w:t>
            </w:r>
          </w:p>
        </w:tc>
        <w:tc>
          <w:tcPr>
            <w:tcW w:w="5129" w:type="dxa"/>
          </w:tcPr>
          <w:p w14:paraId="55C213A7"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 xml:space="preserve">at any time (but so that no amount shall be included or excluded more than once), the Consolidated Financial Indebtedness of the Group, excluding however all intra-Group Financial Indebtedness. </w:t>
            </w:r>
          </w:p>
        </w:tc>
      </w:tr>
      <w:tr w:rsidR="00F76607" w14:paraId="3649229D" w14:textId="77777777">
        <w:tc>
          <w:tcPr>
            <w:tcW w:w="3518" w:type="dxa"/>
          </w:tcPr>
          <w:p w14:paraId="6447F857"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“Total Net Debt”</w:t>
            </w:r>
          </w:p>
        </w:tc>
        <w:tc>
          <w:tcPr>
            <w:tcW w:w="5129" w:type="dxa"/>
          </w:tcPr>
          <w:p w14:paraId="380F1944" w14:textId="77777777" w:rsidR="00F76607" w:rsidRDefault="001863F0">
            <w:pPr>
              <w:pStyle w:val="ABody1"/>
              <w:ind w:left="0"/>
              <w:rPr>
                <w:rFonts w:ascii="Times New Roman" w:hAnsi="Times New Roman" w:cs="Times New Roman"/>
                <w:sz w:val="18"/>
                <w:szCs w:val="18"/>
                <w:lang w:val="en-US"/>
              </w:rPr>
            </w:pPr>
            <w:r>
              <w:rPr>
                <w:rFonts w:ascii="Times New Roman" w:hAnsi="Times New Roman" w:cs="Times New Roman"/>
                <w:sz w:val="18"/>
                <w:szCs w:val="18"/>
              </w:rPr>
              <w:t>the Total Debt less Cash and Cash Equivalents;</w:t>
            </w:r>
          </w:p>
        </w:tc>
      </w:tr>
      <w:tr w:rsidR="00F76607" w14:paraId="110949A2" w14:textId="77777777">
        <w:tc>
          <w:tcPr>
            <w:tcW w:w="3518" w:type="dxa"/>
          </w:tcPr>
          <w:p w14:paraId="2EC1C3DE"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“Transparency Law”</w:t>
            </w:r>
          </w:p>
        </w:tc>
        <w:tc>
          <w:tcPr>
            <w:tcW w:w="5129" w:type="dxa"/>
          </w:tcPr>
          <w:p w14:paraId="5A83E587"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t</w:t>
            </w:r>
            <w:r>
              <w:rPr>
                <w:rFonts w:ascii="Times New Roman" w:hAnsi="Times New Roman" w:cs="Times New Roman"/>
                <w:sz w:val="18"/>
                <w:szCs w:val="18"/>
                <w:lang w:val="en-US"/>
              </w:rPr>
              <w:t>he Belgian Law of 2 May 2007 on the disclosure of significant shareholdings in issuers whose securities are admitted to trading on a regulated market and containing various provisions;</w:t>
            </w:r>
          </w:p>
        </w:tc>
      </w:tr>
      <w:tr w:rsidR="00F76607" w14:paraId="4021D327" w14:textId="77777777">
        <w:tc>
          <w:tcPr>
            <w:tcW w:w="3518" w:type="dxa"/>
          </w:tcPr>
          <w:p w14:paraId="2C5A7A4F"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w:t>
            </w:r>
            <w:r>
              <w:rPr>
                <w:rFonts w:ascii="Times New Roman" w:hAnsi="Times New Roman" w:cs="Times New Roman"/>
                <w:b/>
                <w:sz w:val="18"/>
                <w:szCs w:val="18"/>
              </w:rPr>
              <w:t>Treasury Transaction”</w:t>
            </w:r>
          </w:p>
        </w:tc>
        <w:tc>
          <w:tcPr>
            <w:tcW w:w="5129" w:type="dxa"/>
          </w:tcPr>
          <w:p w14:paraId="2612F3DB" w14:textId="77777777" w:rsidR="00F76607" w:rsidRDefault="001863F0">
            <w:pPr>
              <w:pStyle w:val="ABody1"/>
              <w:ind w:left="0"/>
              <w:rPr>
                <w:rFonts w:ascii="Times New Roman" w:hAnsi="Times New Roman" w:cs="Times New Roman"/>
                <w:sz w:val="18"/>
                <w:szCs w:val="18"/>
                <w:lang w:val="en-US"/>
              </w:rPr>
            </w:pPr>
            <w:r>
              <w:rPr>
                <w:rFonts w:ascii="Times New Roman" w:hAnsi="Times New Roman" w:cs="Times New Roman"/>
                <w:sz w:val="18"/>
                <w:szCs w:val="18"/>
              </w:rPr>
              <w:t>any derivative transaction entered into in connection with protection against or benefit from fluctuation in any rate or price;</w:t>
            </w:r>
          </w:p>
        </w:tc>
      </w:tr>
      <w:tr w:rsidR="00F76607" w14:paraId="4EFA030A" w14:textId="77777777">
        <w:tc>
          <w:tcPr>
            <w:tcW w:w="3518" w:type="dxa"/>
          </w:tcPr>
          <w:p w14:paraId="6CAE5AA7"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bCs/>
                <w:sz w:val="18"/>
                <w:szCs w:val="18"/>
              </w:rPr>
              <w:t xml:space="preserve">“Treaty” </w:t>
            </w:r>
          </w:p>
        </w:tc>
        <w:tc>
          <w:tcPr>
            <w:tcW w:w="5129" w:type="dxa"/>
          </w:tcPr>
          <w:p w14:paraId="77D8B08D"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the “Convention Between the Government of The United States of America and the Government of the Kingdom of Belgium for the Avoidance of Double Taxation and the Prevention of Fiscal Evasion With Respect to Taxes on Income”;</w:t>
            </w:r>
          </w:p>
        </w:tc>
      </w:tr>
      <w:tr w:rsidR="00F76607" w14:paraId="2C8DFDB1" w14:textId="77777777">
        <w:tc>
          <w:tcPr>
            <w:tcW w:w="3518" w:type="dxa"/>
          </w:tcPr>
          <w:p w14:paraId="68536D2C"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lang w:val="en-US"/>
              </w:rPr>
              <w:t>“</w:t>
            </w:r>
            <w:r>
              <w:rPr>
                <w:rFonts w:ascii="Times New Roman" w:hAnsi="Times New Roman" w:cs="Times New Roman"/>
                <w:b/>
                <w:sz w:val="18"/>
                <w:szCs w:val="18"/>
              </w:rPr>
              <w:t>VGP” or “VGP Group”</w:t>
            </w:r>
          </w:p>
        </w:tc>
        <w:tc>
          <w:tcPr>
            <w:tcW w:w="5129" w:type="dxa"/>
          </w:tcPr>
          <w:p w14:paraId="63902951"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see Group;</w:t>
            </w:r>
          </w:p>
        </w:tc>
      </w:tr>
      <w:tr w:rsidR="00F76607" w14:paraId="72DE7123" w14:textId="77777777">
        <w:tc>
          <w:tcPr>
            <w:tcW w:w="3518" w:type="dxa"/>
          </w:tcPr>
          <w:p w14:paraId="5E4A2D0A"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“VGP Charter”</w:t>
            </w:r>
          </w:p>
        </w:tc>
        <w:tc>
          <w:tcPr>
            <w:tcW w:w="5129" w:type="dxa"/>
          </w:tcPr>
          <w:p w14:paraId="5EAECC3F" w14:textId="77777777" w:rsidR="00F76607" w:rsidRDefault="001863F0">
            <w:pPr>
              <w:pStyle w:val="ABody"/>
              <w:tabs>
                <w:tab w:val="left" w:pos="1227"/>
              </w:tabs>
              <w:rPr>
                <w:rFonts w:ascii="Times New Roman" w:hAnsi="Times New Roman" w:cs="Times New Roman"/>
                <w:sz w:val="18"/>
                <w:szCs w:val="18"/>
                <w:lang w:val="en-US"/>
              </w:rPr>
            </w:pPr>
            <w:r>
              <w:rPr>
                <w:rFonts w:ascii="Times New Roman" w:hAnsi="Times New Roman" w:cs="Times New Roman"/>
                <w:sz w:val="18"/>
                <w:szCs w:val="18"/>
                <w:lang w:val="en-US"/>
              </w:rPr>
              <w:t xml:space="preserve">the corporate governance charter of the Company adopted by the Board </w:t>
            </w:r>
            <w:proofErr w:type="spellStart"/>
            <w:r>
              <w:rPr>
                <w:rFonts w:ascii="Times New Roman" w:hAnsi="Times New Roman" w:cs="Times New Roman"/>
                <w:sz w:val="18"/>
                <w:szCs w:val="18"/>
                <w:lang w:val="en-US"/>
              </w:rPr>
              <w:t>i</w:t>
            </w:r>
            <w:r>
              <w:rPr>
                <w:rFonts w:ascii="Times New Roman" w:hAnsi="Times New Roman" w:cs="Times New Roman"/>
                <w:sz w:val="18"/>
                <w:szCs w:val="18"/>
              </w:rPr>
              <w:t>n</w:t>
            </w:r>
            <w:proofErr w:type="spellEnd"/>
            <w:r>
              <w:rPr>
                <w:rFonts w:ascii="Times New Roman" w:hAnsi="Times New Roman" w:cs="Times New Roman"/>
                <w:sz w:val="18"/>
                <w:szCs w:val="18"/>
              </w:rPr>
              <w:t xml:space="preserve"> accordance with the recommendations set out by the Belgian Code on Corporate Governance and available on the Company’s website;</w:t>
            </w:r>
          </w:p>
        </w:tc>
      </w:tr>
      <w:tr w:rsidR="00F76607" w14:paraId="0286F94B" w14:textId="77777777">
        <w:tc>
          <w:tcPr>
            <w:tcW w:w="3518" w:type="dxa"/>
          </w:tcPr>
          <w:p w14:paraId="5AA74D44"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rPr>
              <w:t>“VGP MISV Comm. VA”</w:t>
            </w:r>
          </w:p>
        </w:tc>
        <w:tc>
          <w:tcPr>
            <w:tcW w:w="5129" w:type="dxa"/>
          </w:tcPr>
          <w:p w14:paraId="5F4C05CA" w14:textId="77777777" w:rsidR="00F76607" w:rsidRDefault="001863F0">
            <w:pPr>
              <w:pStyle w:val="ABody1"/>
              <w:ind w:left="0"/>
              <w:rPr>
                <w:rFonts w:ascii="Times New Roman" w:hAnsi="Times New Roman" w:cs="Times New Roman"/>
                <w:sz w:val="18"/>
                <w:szCs w:val="18"/>
              </w:rPr>
            </w:pPr>
            <w:r>
              <w:rPr>
                <w:rFonts w:ascii="Times New Roman" w:hAnsi="Times New Roman" w:cs="Times New Roman"/>
                <w:sz w:val="18"/>
                <w:szCs w:val="18"/>
              </w:rPr>
              <w:t>a company (</w:t>
            </w:r>
            <w:proofErr w:type="spellStart"/>
            <w:r>
              <w:rPr>
                <w:rFonts w:ascii="Times New Roman" w:hAnsi="Times New Roman" w:cs="Times New Roman"/>
                <w:i/>
                <w:sz w:val="18"/>
                <w:szCs w:val="18"/>
              </w:rPr>
              <w:t>commanditaire</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vennootschap</w:t>
            </w:r>
            <w:proofErr w:type="spellEnd"/>
            <w:r>
              <w:rPr>
                <w:rFonts w:ascii="Times New Roman" w:hAnsi="Times New Roman" w:cs="Times New Roman"/>
                <w:i/>
                <w:sz w:val="18"/>
                <w:szCs w:val="18"/>
              </w:rPr>
              <w:t xml:space="preserve"> op </w:t>
            </w:r>
            <w:proofErr w:type="spellStart"/>
            <w:r>
              <w:rPr>
                <w:rFonts w:ascii="Times New Roman" w:hAnsi="Times New Roman" w:cs="Times New Roman"/>
                <w:i/>
                <w:sz w:val="18"/>
                <w:szCs w:val="18"/>
              </w:rPr>
              <w:t>aandelen</w:t>
            </w:r>
            <w:proofErr w:type="spellEnd"/>
            <w:r>
              <w:rPr>
                <w:rFonts w:ascii="Times New Roman" w:hAnsi="Times New Roman" w:cs="Times New Roman"/>
                <w:sz w:val="18"/>
                <w:szCs w:val="18"/>
              </w:rPr>
              <w:t xml:space="preserve"> / </w:t>
            </w:r>
            <w:proofErr w:type="spellStart"/>
            <w:r>
              <w:rPr>
                <w:rFonts w:ascii="Times New Roman" w:hAnsi="Times New Roman" w:cs="Times New Roman"/>
                <w:i/>
                <w:sz w:val="18"/>
                <w:szCs w:val="18"/>
              </w:rPr>
              <w:t>société</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en</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commandite</w:t>
            </w:r>
            <w:proofErr w:type="spellEnd"/>
            <w:r>
              <w:rPr>
                <w:rFonts w:ascii="Times New Roman" w:hAnsi="Times New Roman" w:cs="Times New Roman"/>
                <w:i/>
                <w:sz w:val="18"/>
                <w:szCs w:val="18"/>
              </w:rPr>
              <w:t xml:space="preserve"> par actions</w:t>
            </w:r>
            <w:r>
              <w:rPr>
                <w:rFonts w:ascii="Times New Roman" w:hAnsi="Times New Roman" w:cs="Times New Roman"/>
                <w:sz w:val="18"/>
                <w:szCs w:val="18"/>
              </w:rPr>
              <w:t xml:space="preserve">), organised and existing under the laws of Belgium, having its registered office at </w:t>
            </w:r>
            <w:proofErr w:type="spellStart"/>
            <w:r>
              <w:rPr>
                <w:rFonts w:ascii="Times New Roman" w:hAnsi="Times New Roman" w:cs="Times New Roman"/>
                <w:sz w:val="18"/>
                <w:szCs w:val="18"/>
              </w:rPr>
              <w:t>Spinnerijstraat</w:t>
            </w:r>
            <w:proofErr w:type="spellEnd"/>
            <w:r>
              <w:rPr>
                <w:rFonts w:ascii="Times New Roman" w:hAnsi="Times New Roman" w:cs="Times New Roman"/>
                <w:sz w:val="18"/>
                <w:szCs w:val="18"/>
              </w:rPr>
              <w:t xml:space="preserve"> 12, 9240 </w:t>
            </w:r>
            <w:proofErr w:type="spellStart"/>
            <w:r>
              <w:rPr>
                <w:rFonts w:ascii="Times New Roman" w:hAnsi="Times New Roman" w:cs="Times New Roman"/>
                <w:sz w:val="18"/>
                <w:szCs w:val="18"/>
              </w:rPr>
              <w:t>Zele</w:t>
            </w:r>
            <w:proofErr w:type="spellEnd"/>
            <w:r>
              <w:rPr>
                <w:rFonts w:ascii="Times New Roman" w:hAnsi="Times New Roman" w:cs="Times New Roman"/>
                <w:sz w:val="18"/>
                <w:szCs w:val="18"/>
              </w:rPr>
              <w:t xml:space="preserve">, Belgium, registered with the Crossroads Bank for Enterprises under number 0894.442.740, </w:t>
            </w:r>
            <w:r>
              <w:rPr>
                <w:rFonts w:ascii="Times New Roman" w:hAnsi="Times New Roman" w:cs="Times New Roman"/>
                <w:i/>
                <w:sz w:val="18"/>
                <w:szCs w:val="18"/>
              </w:rPr>
              <w:t>RPR / RPM</w:t>
            </w:r>
            <w:r>
              <w:rPr>
                <w:rFonts w:ascii="Times New Roman" w:hAnsi="Times New Roman" w:cs="Times New Roman"/>
                <w:sz w:val="18"/>
                <w:szCs w:val="18"/>
              </w:rPr>
              <w:t xml:space="preserve"> </w:t>
            </w:r>
            <w:proofErr w:type="spellStart"/>
            <w:r>
              <w:rPr>
                <w:rFonts w:ascii="Times New Roman" w:hAnsi="Times New Roman" w:cs="Times New Roman"/>
                <w:sz w:val="18"/>
                <w:szCs w:val="18"/>
              </w:rPr>
              <w:t>Dendermonde</w:t>
            </w:r>
            <w:proofErr w:type="spellEnd"/>
            <w:r>
              <w:rPr>
                <w:rFonts w:ascii="Times New Roman" w:hAnsi="Times New Roman" w:cs="Times New Roman"/>
                <w:sz w:val="18"/>
                <w:szCs w:val="18"/>
              </w:rPr>
              <w:t>;</w:t>
            </w:r>
          </w:p>
        </w:tc>
      </w:tr>
      <w:tr w:rsidR="00F76607" w14:paraId="08897441" w14:textId="77777777">
        <w:tc>
          <w:tcPr>
            <w:tcW w:w="3518" w:type="dxa"/>
          </w:tcPr>
          <w:p w14:paraId="0F165CBC"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b/>
                <w:sz w:val="18"/>
                <w:szCs w:val="18"/>
                <w:lang w:val="en-US"/>
              </w:rPr>
              <w:t>“</w:t>
            </w:r>
            <w:r>
              <w:rPr>
                <w:rFonts w:ascii="Times New Roman" w:hAnsi="Times New Roman" w:cs="Times New Roman"/>
                <w:b/>
                <w:sz w:val="18"/>
                <w:szCs w:val="18"/>
              </w:rPr>
              <w:t>VM Invest NV”</w:t>
            </w:r>
          </w:p>
        </w:tc>
        <w:tc>
          <w:tcPr>
            <w:tcW w:w="5129" w:type="dxa"/>
          </w:tcPr>
          <w:p w14:paraId="67F04B66" w14:textId="77777777" w:rsidR="00F76607" w:rsidRDefault="001863F0">
            <w:pPr>
              <w:pStyle w:val="ABody"/>
              <w:rPr>
                <w:rFonts w:ascii="Times New Roman" w:hAnsi="Times New Roman" w:cs="Times New Roman"/>
                <w:sz w:val="18"/>
                <w:szCs w:val="18"/>
                <w:lang w:val="en-US"/>
              </w:rPr>
            </w:pPr>
            <w:r>
              <w:rPr>
                <w:rFonts w:ascii="Times New Roman" w:hAnsi="Times New Roman" w:cs="Times New Roman"/>
                <w:sz w:val="18"/>
                <w:szCs w:val="18"/>
              </w:rPr>
              <w:t>a limited liability company (</w:t>
            </w:r>
            <w:proofErr w:type="spellStart"/>
            <w:r>
              <w:rPr>
                <w:rFonts w:ascii="Times New Roman" w:hAnsi="Times New Roman" w:cs="Times New Roman"/>
                <w:i/>
                <w:sz w:val="18"/>
                <w:szCs w:val="18"/>
              </w:rPr>
              <w:t>naamloze</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vennootschap</w:t>
            </w:r>
            <w:proofErr w:type="spellEnd"/>
            <w:r>
              <w:rPr>
                <w:rFonts w:ascii="Times New Roman" w:hAnsi="Times New Roman" w:cs="Times New Roman"/>
                <w:sz w:val="18"/>
                <w:szCs w:val="18"/>
              </w:rPr>
              <w:t xml:space="preserve"> / </w:t>
            </w:r>
            <w:proofErr w:type="spellStart"/>
            <w:r>
              <w:rPr>
                <w:rFonts w:ascii="Times New Roman" w:hAnsi="Times New Roman" w:cs="Times New Roman"/>
                <w:i/>
                <w:sz w:val="18"/>
                <w:szCs w:val="18"/>
              </w:rPr>
              <w:t>société</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anonyme</w:t>
            </w:r>
            <w:proofErr w:type="spellEnd"/>
            <w:r>
              <w:rPr>
                <w:rFonts w:ascii="Times New Roman" w:hAnsi="Times New Roman" w:cs="Times New Roman"/>
                <w:sz w:val="18"/>
                <w:szCs w:val="18"/>
              </w:rPr>
              <w:t xml:space="preserve">) organised and existing under the laws of Belgium, having its registered office at </w:t>
            </w:r>
            <w:proofErr w:type="spellStart"/>
            <w:r>
              <w:rPr>
                <w:rFonts w:ascii="Times New Roman" w:hAnsi="Times New Roman" w:cs="Times New Roman"/>
                <w:sz w:val="18"/>
                <w:szCs w:val="18"/>
              </w:rPr>
              <w:t>Spinnerijstraat</w:t>
            </w:r>
            <w:proofErr w:type="spellEnd"/>
            <w:r>
              <w:rPr>
                <w:rFonts w:ascii="Times New Roman" w:hAnsi="Times New Roman" w:cs="Times New Roman"/>
                <w:sz w:val="18"/>
                <w:szCs w:val="18"/>
              </w:rPr>
              <w:t xml:space="preserve"> 12, 9240 </w:t>
            </w:r>
            <w:proofErr w:type="spellStart"/>
            <w:r>
              <w:rPr>
                <w:rFonts w:ascii="Times New Roman" w:hAnsi="Times New Roman" w:cs="Times New Roman"/>
                <w:sz w:val="18"/>
                <w:szCs w:val="18"/>
              </w:rPr>
              <w:t>Zele</w:t>
            </w:r>
            <w:proofErr w:type="spellEnd"/>
            <w:r>
              <w:rPr>
                <w:rFonts w:ascii="Times New Roman" w:hAnsi="Times New Roman" w:cs="Times New Roman"/>
                <w:sz w:val="18"/>
                <w:szCs w:val="18"/>
              </w:rPr>
              <w:t xml:space="preserve">, Belgium, registered with the Crossroads Bank for Enterprises under number 0418.701.587, </w:t>
            </w:r>
            <w:r>
              <w:rPr>
                <w:rFonts w:ascii="Times New Roman" w:hAnsi="Times New Roman" w:cs="Times New Roman"/>
                <w:i/>
                <w:sz w:val="18"/>
                <w:szCs w:val="18"/>
              </w:rPr>
              <w:t>RPR / RPM</w:t>
            </w:r>
            <w:r>
              <w:rPr>
                <w:rFonts w:ascii="Times New Roman" w:hAnsi="Times New Roman" w:cs="Times New Roman"/>
                <w:sz w:val="18"/>
                <w:szCs w:val="18"/>
              </w:rPr>
              <w:t xml:space="preserve"> </w:t>
            </w:r>
            <w:proofErr w:type="spellStart"/>
            <w:r>
              <w:rPr>
                <w:rFonts w:ascii="Times New Roman" w:hAnsi="Times New Roman" w:cs="Times New Roman"/>
                <w:sz w:val="18"/>
                <w:szCs w:val="18"/>
              </w:rPr>
              <w:t>Dendermonde</w:t>
            </w:r>
            <w:proofErr w:type="spellEnd"/>
            <w:r>
              <w:rPr>
                <w:rFonts w:ascii="Times New Roman" w:hAnsi="Times New Roman" w:cs="Times New Roman"/>
                <w:sz w:val="18"/>
                <w:szCs w:val="18"/>
              </w:rPr>
              <w:t>;</w:t>
            </w:r>
          </w:p>
        </w:tc>
      </w:tr>
      <w:tr w:rsidR="00F76607" w14:paraId="691ECEC0" w14:textId="77777777">
        <w:tc>
          <w:tcPr>
            <w:tcW w:w="3518" w:type="dxa"/>
          </w:tcPr>
          <w:p w14:paraId="1C3DA02E" w14:textId="77777777" w:rsidR="00F76607" w:rsidRDefault="001863F0">
            <w:pPr>
              <w:pStyle w:val="ABody"/>
              <w:rPr>
                <w:rFonts w:ascii="Times New Roman" w:hAnsi="Times New Roman" w:cs="Times New Roman"/>
                <w:b/>
                <w:sz w:val="18"/>
                <w:szCs w:val="18"/>
                <w:lang w:val="en-US"/>
              </w:rPr>
            </w:pPr>
            <w:r>
              <w:rPr>
                <w:rFonts w:ascii="Times New Roman" w:hAnsi="Times New Roman" w:cs="Times New Roman"/>
                <w:sz w:val="18"/>
                <w:szCs w:val="18"/>
              </w:rPr>
              <w:t>“</w:t>
            </w:r>
            <w:r>
              <w:rPr>
                <w:rFonts w:ascii="Times New Roman" w:hAnsi="Times New Roman" w:cs="Times New Roman"/>
                <w:b/>
                <w:sz w:val="18"/>
                <w:szCs w:val="18"/>
              </w:rPr>
              <w:t>U.K.”</w:t>
            </w:r>
            <w:r>
              <w:rPr>
                <w:rFonts w:ascii="Times New Roman" w:hAnsi="Times New Roman" w:cs="Times New Roman"/>
                <w:sz w:val="18"/>
                <w:szCs w:val="18"/>
              </w:rPr>
              <w:t xml:space="preserve"> or “</w:t>
            </w:r>
            <w:r>
              <w:rPr>
                <w:rFonts w:ascii="Times New Roman" w:hAnsi="Times New Roman" w:cs="Times New Roman"/>
                <w:b/>
                <w:sz w:val="18"/>
                <w:szCs w:val="18"/>
              </w:rPr>
              <w:t>United Kingdom</w:t>
            </w:r>
            <w:r>
              <w:rPr>
                <w:rFonts w:ascii="Times New Roman" w:hAnsi="Times New Roman" w:cs="Times New Roman"/>
                <w:sz w:val="18"/>
                <w:szCs w:val="18"/>
              </w:rPr>
              <w:t xml:space="preserve">” </w:t>
            </w:r>
          </w:p>
        </w:tc>
        <w:tc>
          <w:tcPr>
            <w:tcW w:w="5129" w:type="dxa"/>
          </w:tcPr>
          <w:p w14:paraId="0336D1E4"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 xml:space="preserve">the United Kingdom of Great Britain and Northern Ireland; </w:t>
            </w:r>
          </w:p>
        </w:tc>
      </w:tr>
      <w:tr w:rsidR="00F76607" w14:paraId="470F05BF" w14:textId="77777777">
        <w:tc>
          <w:tcPr>
            <w:tcW w:w="3518" w:type="dxa"/>
          </w:tcPr>
          <w:p w14:paraId="5DEE7B0F" w14:textId="77777777" w:rsidR="00F76607" w:rsidRDefault="001863F0">
            <w:pPr>
              <w:pStyle w:val="ABody"/>
              <w:rPr>
                <w:rFonts w:ascii="Times New Roman" w:hAnsi="Times New Roman" w:cs="Times New Roman"/>
                <w:b/>
                <w:bCs/>
                <w:sz w:val="18"/>
                <w:szCs w:val="18"/>
              </w:rPr>
            </w:pPr>
            <w:r>
              <w:rPr>
                <w:rFonts w:ascii="Times New Roman" w:hAnsi="Times New Roman" w:cs="Times New Roman"/>
                <w:sz w:val="18"/>
                <w:szCs w:val="18"/>
              </w:rPr>
              <w:t>“</w:t>
            </w:r>
            <w:r>
              <w:rPr>
                <w:rFonts w:ascii="Times New Roman" w:hAnsi="Times New Roman" w:cs="Times New Roman"/>
                <w:b/>
                <w:sz w:val="18"/>
                <w:szCs w:val="18"/>
              </w:rPr>
              <w:t>Underwriters</w:t>
            </w:r>
            <w:r>
              <w:rPr>
                <w:rFonts w:ascii="Times New Roman" w:hAnsi="Times New Roman" w:cs="Times New Roman"/>
                <w:sz w:val="18"/>
                <w:szCs w:val="18"/>
              </w:rPr>
              <w:t xml:space="preserve">” </w:t>
            </w:r>
          </w:p>
        </w:tc>
        <w:tc>
          <w:tcPr>
            <w:tcW w:w="5129" w:type="dxa"/>
          </w:tcPr>
          <w:p w14:paraId="20F3E117"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J.P. Morgan, Belfius, ING and KBC Securities;</w:t>
            </w:r>
          </w:p>
        </w:tc>
      </w:tr>
      <w:tr w:rsidR="00F76607" w14:paraId="4D271040" w14:textId="77777777">
        <w:tc>
          <w:tcPr>
            <w:tcW w:w="3518" w:type="dxa"/>
          </w:tcPr>
          <w:p w14:paraId="265C5AC9" w14:textId="77777777" w:rsidR="00F76607" w:rsidRDefault="001863F0">
            <w:pPr>
              <w:pStyle w:val="ABody"/>
              <w:rPr>
                <w:rFonts w:ascii="Times New Roman" w:hAnsi="Times New Roman" w:cs="Times New Roman"/>
                <w:sz w:val="18"/>
                <w:szCs w:val="18"/>
              </w:rPr>
            </w:pPr>
            <w:r>
              <w:rPr>
                <w:rFonts w:ascii="Times New Roman" w:hAnsi="Times New Roman" w:cs="Times New Roman"/>
                <w:b/>
                <w:bCs/>
                <w:sz w:val="18"/>
                <w:szCs w:val="18"/>
              </w:rPr>
              <w:t xml:space="preserve">“Underwriting Agreement” </w:t>
            </w:r>
          </w:p>
        </w:tc>
        <w:tc>
          <w:tcPr>
            <w:tcW w:w="5129" w:type="dxa"/>
          </w:tcPr>
          <w:p w14:paraId="4013A829"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underwriting agreement described in “</w:t>
            </w:r>
            <w:r>
              <w:rPr>
                <w:rFonts w:ascii="Times New Roman" w:hAnsi="Times New Roman" w:cs="Times New Roman"/>
                <w:i/>
                <w:iCs/>
                <w:sz w:val="18"/>
                <w:szCs w:val="18"/>
              </w:rPr>
              <w:t>Plan</w:t>
            </w:r>
            <w:r>
              <w:rPr>
                <w:rFonts w:ascii="Times New Roman" w:hAnsi="Times New Roman" w:cs="Times New Roman"/>
                <w:sz w:val="18"/>
                <w:szCs w:val="18"/>
              </w:rPr>
              <w:t xml:space="preserve"> </w:t>
            </w:r>
            <w:r>
              <w:rPr>
                <w:rFonts w:ascii="Times New Roman" w:hAnsi="Times New Roman" w:cs="Times New Roman"/>
                <w:i/>
                <w:iCs/>
                <w:sz w:val="18"/>
                <w:szCs w:val="18"/>
              </w:rPr>
              <w:t>of</w:t>
            </w:r>
            <w:r>
              <w:rPr>
                <w:rFonts w:ascii="Times New Roman" w:hAnsi="Times New Roman" w:cs="Times New Roman"/>
                <w:sz w:val="18"/>
                <w:szCs w:val="18"/>
              </w:rPr>
              <w:t xml:space="preserve"> </w:t>
            </w:r>
            <w:r>
              <w:rPr>
                <w:rFonts w:ascii="Times New Roman" w:hAnsi="Times New Roman" w:cs="Times New Roman"/>
                <w:i/>
                <w:iCs/>
                <w:sz w:val="18"/>
                <w:szCs w:val="18"/>
              </w:rPr>
              <w:t>Distribution—Underwriting</w:t>
            </w:r>
            <w:r>
              <w:rPr>
                <w:rFonts w:ascii="Times New Roman" w:hAnsi="Times New Roman" w:cs="Times New Roman"/>
                <w:sz w:val="18"/>
                <w:szCs w:val="18"/>
              </w:rPr>
              <w:t>”;</w:t>
            </w:r>
          </w:p>
        </w:tc>
      </w:tr>
      <w:tr w:rsidR="00F76607" w14:paraId="55030706" w14:textId="77777777">
        <w:tc>
          <w:tcPr>
            <w:tcW w:w="3518" w:type="dxa"/>
          </w:tcPr>
          <w:p w14:paraId="6EA73B8B" w14:textId="77777777" w:rsidR="00F76607" w:rsidRDefault="001863F0">
            <w:pPr>
              <w:pStyle w:val="ABody"/>
              <w:rPr>
                <w:rFonts w:ascii="Times New Roman" w:hAnsi="Times New Roman" w:cs="Times New Roman"/>
                <w:b/>
                <w:bCs/>
                <w:sz w:val="18"/>
                <w:szCs w:val="18"/>
              </w:rPr>
            </w:pPr>
            <w:r>
              <w:rPr>
                <w:rFonts w:ascii="Times New Roman" w:hAnsi="Times New Roman" w:cs="Times New Roman"/>
                <w:sz w:val="18"/>
                <w:szCs w:val="18"/>
              </w:rPr>
              <w:t>“</w:t>
            </w:r>
            <w:r>
              <w:rPr>
                <w:rFonts w:ascii="Times New Roman" w:hAnsi="Times New Roman" w:cs="Times New Roman"/>
                <w:b/>
                <w:sz w:val="18"/>
                <w:szCs w:val="18"/>
              </w:rPr>
              <w:t>U.S.</w:t>
            </w:r>
            <w:r>
              <w:rPr>
                <w:rFonts w:ascii="Times New Roman" w:hAnsi="Times New Roman" w:cs="Times New Roman"/>
                <w:sz w:val="18"/>
                <w:szCs w:val="18"/>
              </w:rPr>
              <w:t>” or “</w:t>
            </w:r>
            <w:r>
              <w:rPr>
                <w:rFonts w:ascii="Times New Roman" w:hAnsi="Times New Roman" w:cs="Times New Roman"/>
                <w:b/>
                <w:sz w:val="18"/>
                <w:szCs w:val="18"/>
              </w:rPr>
              <w:t>United States</w:t>
            </w:r>
            <w:r>
              <w:rPr>
                <w:rFonts w:ascii="Times New Roman" w:hAnsi="Times New Roman" w:cs="Times New Roman"/>
                <w:sz w:val="18"/>
                <w:szCs w:val="18"/>
              </w:rPr>
              <w:t xml:space="preserve">” </w:t>
            </w:r>
          </w:p>
        </w:tc>
        <w:tc>
          <w:tcPr>
            <w:tcW w:w="5129" w:type="dxa"/>
          </w:tcPr>
          <w:p w14:paraId="20A42A9A"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United States of America, its territories and possessions, any state of the United States and the District of Columbia;</w:t>
            </w:r>
          </w:p>
        </w:tc>
      </w:tr>
      <w:tr w:rsidR="00F76607" w14:paraId="4912C44C" w14:textId="77777777">
        <w:tc>
          <w:tcPr>
            <w:tcW w:w="3518" w:type="dxa"/>
          </w:tcPr>
          <w:p w14:paraId="70314A0B"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b/>
                <w:sz w:val="18"/>
                <w:szCs w:val="18"/>
              </w:rPr>
              <w:t>U.S. dollars</w:t>
            </w:r>
            <w:r>
              <w:rPr>
                <w:rFonts w:ascii="Times New Roman" w:hAnsi="Times New Roman" w:cs="Times New Roman"/>
                <w:sz w:val="18"/>
                <w:szCs w:val="18"/>
              </w:rPr>
              <w:t>”, “</w:t>
            </w:r>
            <w:r>
              <w:rPr>
                <w:rFonts w:ascii="Times New Roman" w:hAnsi="Times New Roman" w:cs="Times New Roman"/>
                <w:b/>
                <w:sz w:val="18"/>
                <w:szCs w:val="18"/>
              </w:rPr>
              <w:t>$</w:t>
            </w:r>
            <w:r>
              <w:rPr>
                <w:rFonts w:ascii="Times New Roman" w:hAnsi="Times New Roman" w:cs="Times New Roman"/>
                <w:sz w:val="18"/>
                <w:szCs w:val="18"/>
              </w:rPr>
              <w:t>” or “</w:t>
            </w:r>
            <w:r>
              <w:rPr>
                <w:rFonts w:ascii="Times New Roman" w:hAnsi="Times New Roman" w:cs="Times New Roman"/>
                <w:b/>
                <w:sz w:val="18"/>
                <w:szCs w:val="18"/>
              </w:rPr>
              <w:t>USD</w:t>
            </w:r>
            <w:r>
              <w:rPr>
                <w:rFonts w:ascii="Times New Roman" w:hAnsi="Times New Roman" w:cs="Times New Roman"/>
                <w:sz w:val="18"/>
                <w:szCs w:val="18"/>
              </w:rPr>
              <w:t xml:space="preserve">” </w:t>
            </w:r>
          </w:p>
        </w:tc>
        <w:tc>
          <w:tcPr>
            <w:tcW w:w="5129" w:type="dxa"/>
          </w:tcPr>
          <w:p w14:paraId="2DF2722C"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 xml:space="preserve">the lawful currency of the United States; </w:t>
            </w:r>
          </w:p>
        </w:tc>
      </w:tr>
      <w:tr w:rsidR="00F76607" w14:paraId="0696FF22" w14:textId="77777777">
        <w:tc>
          <w:tcPr>
            <w:tcW w:w="3518" w:type="dxa"/>
          </w:tcPr>
          <w:p w14:paraId="700167EE" w14:textId="77777777" w:rsidR="00F76607" w:rsidRDefault="001863F0">
            <w:pPr>
              <w:pStyle w:val="ABody"/>
              <w:rPr>
                <w:rFonts w:ascii="Times New Roman" w:hAnsi="Times New Roman" w:cs="Times New Roman"/>
                <w:sz w:val="18"/>
                <w:szCs w:val="18"/>
              </w:rPr>
            </w:pPr>
            <w:r>
              <w:rPr>
                <w:rFonts w:ascii="Times New Roman" w:hAnsi="Times New Roman" w:cs="Times New Roman"/>
                <w:b/>
                <w:bCs/>
                <w:sz w:val="18"/>
                <w:szCs w:val="18"/>
              </w:rPr>
              <w:lastRenderedPageBreak/>
              <w:t xml:space="preserve">“U.S. Exchange Act” </w:t>
            </w:r>
          </w:p>
        </w:tc>
        <w:tc>
          <w:tcPr>
            <w:tcW w:w="5129" w:type="dxa"/>
          </w:tcPr>
          <w:p w14:paraId="00FD0AE1"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U.S. Securities Exchange Act of 1934;</w:t>
            </w:r>
          </w:p>
        </w:tc>
      </w:tr>
      <w:tr w:rsidR="00F76607" w14:paraId="07769DBD" w14:textId="77777777">
        <w:tc>
          <w:tcPr>
            <w:tcW w:w="3518" w:type="dxa"/>
          </w:tcPr>
          <w:p w14:paraId="69C660F7" w14:textId="77777777" w:rsidR="00F76607" w:rsidRDefault="001863F0">
            <w:pPr>
              <w:pStyle w:val="ABody"/>
              <w:rPr>
                <w:rFonts w:ascii="Times New Roman" w:hAnsi="Times New Roman" w:cs="Times New Roman"/>
                <w:b/>
                <w:bCs/>
                <w:sz w:val="18"/>
                <w:szCs w:val="18"/>
              </w:rPr>
            </w:pPr>
            <w:r>
              <w:rPr>
                <w:rFonts w:ascii="Times New Roman" w:hAnsi="Times New Roman" w:cs="Times New Roman"/>
                <w:sz w:val="18"/>
                <w:szCs w:val="18"/>
              </w:rPr>
              <w:t>“</w:t>
            </w:r>
            <w:r>
              <w:rPr>
                <w:rFonts w:ascii="Times New Roman" w:hAnsi="Times New Roman" w:cs="Times New Roman"/>
                <w:b/>
                <w:sz w:val="18"/>
                <w:szCs w:val="18"/>
              </w:rPr>
              <w:t>U.S. Holder</w:t>
            </w:r>
            <w:r>
              <w:rPr>
                <w:rFonts w:ascii="Times New Roman" w:hAnsi="Times New Roman" w:cs="Times New Roman"/>
                <w:sz w:val="18"/>
                <w:szCs w:val="18"/>
              </w:rPr>
              <w:t xml:space="preserve">” </w:t>
            </w:r>
          </w:p>
        </w:tc>
        <w:tc>
          <w:tcPr>
            <w:tcW w:w="5129" w:type="dxa"/>
          </w:tcPr>
          <w:p w14:paraId="7A82D01B"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a beneficial owner of Offer Shares that is, for U.S. federal income tax purposes,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an individual citizen or resident of the United States, (ii) a corporation created or organized in or under the laws of the United States or any state thereof, or the District of Columbia, (iii) an estate the income of which is subject to U.S. federal income tax regardless of its source or (iv) a trust, (a) the administration of which is subject to the primary supervision of a court within the United States and for which one or more U.S. persons have the authority to control all substantial decisions or (b) that has a valid election in effect under applicable U.S. Treasury regulations to be treated as a U.S. person;</w:t>
            </w:r>
          </w:p>
        </w:tc>
      </w:tr>
      <w:tr w:rsidR="00F76607" w14:paraId="0841A842" w14:textId="77777777">
        <w:tc>
          <w:tcPr>
            <w:tcW w:w="3518" w:type="dxa"/>
          </w:tcPr>
          <w:p w14:paraId="6C8E0DEF" w14:textId="77777777" w:rsidR="00F76607" w:rsidRDefault="001863F0">
            <w:pPr>
              <w:pStyle w:val="ABody"/>
              <w:rPr>
                <w:rFonts w:ascii="Times New Roman" w:hAnsi="Times New Roman" w:cs="Times New Roman"/>
                <w:sz w:val="18"/>
                <w:szCs w:val="18"/>
              </w:rPr>
            </w:pPr>
            <w:r>
              <w:rPr>
                <w:rFonts w:ascii="Times New Roman" w:hAnsi="Times New Roman" w:cs="Times New Roman"/>
                <w:b/>
                <w:bCs/>
                <w:sz w:val="18"/>
                <w:szCs w:val="18"/>
              </w:rPr>
              <w:t xml:space="preserve">“U.S. Securities Act” </w:t>
            </w:r>
          </w:p>
        </w:tc>
        <w:tc>
          <w:tcPr>
            <w:tcW w:w="5129" w:type="dxa"/>
          </w:tcPr>
          <w:p w14:paraId="20B98575" w14:textId="77777777" w:rsidR="00F76607" w:rsidRDefault="001863F0">
            <w:pPr>
              <w:pStyle w:val="ABody"/>
              <w:rPr>
                <w:rFonts w:ascii="Times New Roman" w:hAnsi="Times New Roman" w:cs="Times New Roman"/>
                <w:sz w:val="18"/>
                <w:szCs w:val="18"/>
              </w:rPr>
            </w:pPr>
            <w:r>
              <w:rPr>
                <w:rFonts w:ascii="Times New Roman" w:hAnsi="Times New Roman" w:cs="Times New Roman"/>
                <w:sz w:val="18"/>
                <w:szCs w:val="18"/>
              </w:rPr>
              <w:t>the United States Securities Act of 1933;</w:t>
            </w:r>
          </w:p>
        </w:tc>
      </w:tr>
      <w:tr w:rsidR="00F76607" w14:paraId="5CFC1E4F" w14:textId="77777777">
        <w:tc>
          <w:tcPr>
            <w:tcW w:w="3518" w:type="dxa"/>
          </w:tcPr>
          <w:p w14:paraId="59E09BC8" w14:textId="77777777" w:rsidR="00F76607" w:rsidRDefault="001863F0">
            <w:pPr>
              <w:pStyle w:val="ABody"/>
              <w:rPr>
                <w:rFonts w:ascii="Times New Roman" w:hAnsi="Times New Roman" w:cs="Times New Roman"/>
                <w:b/>
                <w:sz w:val="18"/>
                <w:szCs w:val="18"/>
              </w:rPr>
            </w:pPr>
            <w:r>
              <w:rPr>
                <w:rFonts w:ascii="Times New Roman" w:hAnsi="Times New Roman" w:cs="Times New Roman"/>
                <w:b/>
                <w:sz w:val="18"/>
                <w:szCs w:val="18"/>
              </w:rPr>
              <w:t>“WHT”</w:t>
            </w:r>
          </w:p>
        </w:tc>
        <w:tc>
          <w:tcPr>
            <w:tcW w:w="5129" w:type="dxa"/>
          </w:tcPr>
          <w:p w14:paraId="18C51D27" w14:textId="77777777" w:rsidR="00F76607" w:rsidRDefault="001863F0">
            <w:pPr>
              <w:pStyle w:val="ABody3"/>
              <w:ind w:left="0"/>
              <w:rPr>
                <w:rFonts w:ascii="Times New Roman" w:hAnsi="Times New Roman" w:cs="Times New Roman"/>
                <w:sz w:val="18"/>
                <w:szCs w:val="18"/>
              </w:rPr>
            </w:pPr>
            <w:r>
              <w:rPr>
                <w:rFonts w:ascii="Times New Roman" w:hAnsi="Times New Roman" w:cs="Times New Roman"/>
                <w:sz w:val="18"/>
                <w:szCs w:val="18"/>
              </w:rPr>
              <w:t>Belgian withholding tax.</w:t>
            </w:r>
          </w:p>
        </w:tc>
      </w:tr>
    </w:tbl>
    <w:p w14:paraId="4F239EEE" w14:textId="77777777" w:rsidR="00F76607" w:rsidRDefault="001863F0">
      <w:pPr>
        <w:pStyle w:val="NormalWeb"/>
        <w:spacing w:before="180" w:beforeAutospacing="0" w:after="0" w:afterAutospacing="0"/>
        <w:rPr>
          <w:rFonts w:eastAsiaTheme="minorEastAsia"/>
          <w:sz w:val="2"/>
          <w:szCs w:val="2"/>
        </w:rPr>
      </w:pPr>
      <w:r>
        <w:rPr>
          <w:sz w:val="2"/>
          <w:szCs w:val="2"/>
        </w:rPr>
        <w:t> </w:t>
      </w:r>
    </w:p>
    <w:p w14:paraId="2494EF52" w14:textId="77777777" w:rsidR="00F76607" w:rsidRDefault="001863F0">
      <w:pPr>
        <w:pStyle w:val="VulcanIISectionTitle"/>
      </w:pPr>
      <w:bookmarkStart w:id="102" w:name="_Toc493194629"/>
      <w:r>
        <w:lastRenderedPageBreak/>
        <w:t>ANNUAL Financial Statements and interim financial statements</w:t>
      </w:r>
      <w:bookmarkEnd w:id="102"/>
    </w:p>
    <w:p w14:paraId="00ADF4FC" w14:textId="77777777" w:rsidR="00F76607" w:rsidRDefault="00F76607">
      <w:pPr>
        <w:pStyle w:val="NormalWeb"/>
        <w:keepNext/>
        <w:spacing w:before="0" w:beforeAutospacing="0" w:after="0" w:afterAutospacing="0"/>
        <w:jc w:val="center"/>
        <w:rPr>
          <w:sz w:val="18"/>
          <w:szCs w:val="18"/>
        </w:rPr>
      </w:pPr>
    </w:p>
    <w:p w14:paraId="7A91F4B0" w14:textId="77777777" w:rsidR="00F76607" w:rsidRDefault="001863F0">
      <w:pPr>
        <w:rPr>
          <w:sz w:val="18"/>
          <w:szCs w:val="18"/>
        </w:rPr>
      </w:pPr>
      <w:r>
        <w:rPr>
          <w:sz w:val="18"/>
          <w:szCs w:val="18"/>
        </w:rPr>
        <w:br w:type="page"/>
      </w:r>
    </w:p>
    <w:p w14:paraId="4C64FBC9" w14:textId="77777777" w:rsidR="00F76607" w:rsidRDefault="001863F0">
      <w:pPr>
        <w:pStyle w:val="NormalWeb"/>
        <w:keepNext/>
        <w:pageBreakBefore/>
        <w:spacing w:before="0" w:beforeAutospacing="0" w:after="0" w:afterAutospacing="0"/>
        <w:jc w:val="center"/>
      </w:pPr>
      <w:r>
        <w:rPr>
          <w:b/>
          <w:bCs/>
          <w:caps/>
          <w:sz w:val="18"/>
          <w:szCs w:val="18"/>
        </w:rPr>
        <w:lastRenderedPageBreak/>
        <w:t xml:space="preserve">THE COMPANY </w:t>
      </w:r>
    </w:p>
    <w:p w14:paraId="591C2935" w14:textId="77777777" w:rsidR="00F76607" w:rsidRDefault="001863F0">
      <w:pPr>
        <w:pStyle w:val="NormalWeb"/>
        <w:keepNext/>
        <w:spacing w:before="0" w:beforeAutospacing="0" w:after="0" w:afterAutospacing="0"/>
        <w:jc w:val="center"/>
        <w:rPr>
          <w:b/>
          <w:bCs/>
          <w:sz w:val="18"/>
          <w:szCs w:val="18"/>
        </w:rPr>
      </w:pPr>
      <w:r>
        <w:rPr>
          <w:b/>
          <w:bCs/>
          <w:sz w:val="18"/>
          <w:szCs w:val="18"/>
        </w:rPr>
        <w:t>VGP NV</w:t>
      </w:r>
    </w:p>
    <w:p w14:paraId="2865B245" w14:textId="77777777" w:rsidR="00F76607" w:rsidRDefault="001863F0">
      <w:pPr>
        <w:pStyle w:val="NormalWeb"/>
        <w:keepNext/>
        <w:spacing w:before="0" w:beforeAutospacing="0" w:after="0" w:afterAutospacing="0"/>
        <w:jc w:val="center"/>
        <w:rPr>
          <w:bCs/>
          <w:sz w:val="18"/>
          <w:szCs w:val="18"/>
          <w:lang w:val="es-CO"/>
        </w:rPr>
      </w:pPr>
      <w:r>
        <w:rPr>
          <w:bCs/>
          <w:sz w:val="18"/>
          <w:szCs w:val="18"/>
          <w:lang w:val="es-CO"/>
        </w:rPr>
        <w:t xml:space="preserve">Leonardo Da </w:t>
      </w:r>
      <w:proofErr w:type="spellStart"/>
      <w:r>
        <w:rPr>
          <w:bCs/>
          <w:sz w:val="18"/>
          <w:szCs w:val="18"/>
          <w:lang w:val="es-CO"/>
        </w:rPr>
        <w:t>Vincilaan</w:t>
      </w:r>
      <w:proofErr w:type="spellEnd"/>
      <w:r>
        <w:rPr>
          <w:bCs/>
          <w:sz w:val="18"/>
          <w:szCs w:val="18"/>
          <w:lang w:val="es-CO"/>
        </w:rPr>
        <w:t xml:space="preserve"> 19A, bus 6</w:t>
      </w:r>
    </w:p>
    <w:p w14:paraId="6074B6A3" w14:textId="77777777" w:rsidR="00F76607" w:rsidRDefault="001863F0">
      <w:pPr>
        <w:pStyle w:val="NormalWeb"/>
        <w:keepNext/>
        <w:spacing w:before="0" w:beforeAutospacing="0" w:after="0" w:afterAutospacing="0"/>
        <w:jc w:val="center"/>
      </w:pPr>
      <w:r>
        <w:rPr>
          <w:bCs/>
          <w:sz w:val="18"/>
          <w:szCs w:val="18"/>
        </w:rPr>
        <w:t xml:space="preserve">1831 </w:t>
      </w:r>
      <w:proofErr w:type="spellStart"/>
      <w:r>
        <w:rPr>
          <w:bCs/>
          <w:sz w:val="18"/>
          <w:szCs w:val="18"/>
        </w:rPr>
        <w:t>Machelen</w:t>
      </w:r>
      <w:proofErr w:type="spellEnd"/>
      <w:r>
        <w:rPr>
          <w:bCs/>
          <w:sz w:val="18"/>
          <w:szCs w:val="18"/>
        </w:rPr>
        <w:t xml:space="preserve"> (</w:t>
      </w:r>
      <w:proofErr w:type="spellStart"/>
      <w:r>
        <w:rPr>
          <w:bCs/>
          <w:sz w:val="18"/>
          <w:szCs w:val="18"/>
        </w:rPr>
        <w:t>Diegem</w:t>
      </w:r>
      <w:proofErr w:type="spellEnd"/>
      <w:r>
        <w:rPr>
          <w:bCs/>
          <w:sz w:val="18"/>
          <w:szCs w:val="18"/>
        </w:rPr>
        <w:t xml:space="preserve">) </w:t>
      </w:r>
    </w:p>
    <w:p w14:paraId="788F868B" w14:textId="77777777" w:rsidR="00F76607" w:rsidRDefault="001863F0">
      <w:pPr>
        <w:pStyle w:val="NormalWeb"/>
        <w:spacing w:before="0" w:beforeAutospacing="0" w:after="0" w:afterAutospacing="0"/>
        <w:jc w:val="center"/>
      </w:pPr>
      <w:r>
        <w:rPr>
          <w:sz w:val="18"/>
          <w:szCs w:val="18"/>
        </w:rPr>
        <w:t xml:space="preserve">Belgium </w:t>
      </w:r>
    </w:p>
    <w:p w14:paraId="352981F3" w14:textId="77777777" w:rsidR="00F76607" w:rsidRDefault="001863F0">
      <w:pPr>
        <w:pStyle w:val="NormalWeb"/>
        <w:keepNext/>
        <w:spacing w:before="240" w:beforeAutospacing="0" w:after="0" w:afterAutospacing="0"/>
        <w:jc w:val="center"/>
      </w:pPr>
      <w:r>
        <w:rPr>
          <w:b/>
          <w:bCs/>
          <w:caps/>
          <w:sz w:val="18"/>
          <w:szCs w:val="18"/>
        </w:rPr>
        <w:t xml:space="preserve">SELLING SHAREHOLDERS </w:t>
      </w:r>
    </w:p>
    <w:tbl>
      <w:tblPr>
        <w:tblW w:w="5000" w:type="pct"/>
        <w:jc w:val="center"/>
        <w:tblCellMar>
          <w:left w:w="0" w:type="dxa"/>
          <w:right w:w="0" w:type="dxa"/>
        </w:tblCellMar>
        <w:tblLook w:val="04A0" w:firstRow="1" w:lastRow="0" w:firstColumn="1" w:lastColumn="0" w:noHBand="0" w:noVBand="1"/>
      </w:tblPr>
      <w:tblGrid>
        <w:gridCol w:w="3249"/>
        <w:gridCol w:w="3249"/>
        <w:gridCol w:w="3249"/>
      </w:tblGrid>
      <w:tr w:rsidR="00F76607" w14:paraId="73B1EE6B" w14:textId="77777777">
        <w:trPr>
          <w:cantSplit/>
          <w:tblHeader/>
          <w:jc w:val="center"/>
        </w:trPr>
        <w:tc>
          <w:tcPr>
            <w:tcW w:w="3249" w:type="dxa"/>
            <w:hideMark/>
          </w:tcPr>
          <w:p w14:paraId="146B2012" w14:textId="77777777" w:rsidR="00F76607" w:rsidRDefault="001863F0">
            <w:pPr>
              <w:jc w:val="center"/>
              <w:rPr>
                <w:sz w:val="18"/>
                <w:szCs w:val="18"/>
              </w:rPr>
            </w:pPr>
            <w:r>
              <w:rPr>
                <w:b/>
                <w:sz w:val="18"/>
                <w:szCs w:val="18"/>
              </w:rPr>
              <w:t>VM Invest NV</w:t>
            </w:r>
          </w:p>
        </w:tc>
        <w:tc>
          <w:tcPr>
            <w:tcW w:w="3249" w:type="dxa"/>
            <w:tcMar>
              <w:top w:w="0" w:type="dxa"/>
              <w:left w:w="144" w:type="dxa"/>
              <w:bottom w:w="0" w:type="dxa"/>
              <w:right w:w="0" w:type="dxa"/>
            </w:tcMar>
            <w:hideMark/>
          </w:tcPr>
          <w:p w14:paraId="6CBA0F61" w14:textId="77777777" w:rsidR="00F76607" w:rsidRDefault="001863F0">
            <w:pPr>
              <w:pStyle w:val="NormalWeb"/>
              <w:spacing w:before="240" w:after="0"/>
              <w:ind w:left="-142"/>
              <w:jc w:val="center"/>
              <w:rPr>
                <w:b/>
                <w:bCs/>
                <w:sz w:val="18"/>
                <w:szCs w:val="18"/>
              </w:rPr>
            </w:pPr>
            <w:r>
              <w:rPr>
                <w:b/>
                <w:bCs/>
                <w:sz w:val="18"/>
                <w:szCs w:val="18"/>
              </w:rPr>
              <w:t>Mr. Bart Van Malderen</w:t>
            </w:r>
          </w:p>
        </w:tc>
        <w:tc>
          <w:tcPr>
            <w:tcW w:w="3249" w:type="dxa"/>
          </w:tcPr>
          <w:p w14:paraId="38ECE8F6" w14:textId="77777777" w:rsidR="00F76607" w:rsidRDefault="001863F0">
            <w:pPr>
              <w:jc w:val="center"/>
              <w:rPr>
                <w:sz w:val="18"/>
                <w:szCs w:val="18"/>
              </w:rPr>
            </w:pPr>
            <w:r>
              <w:rPr>
                <w:b/>
                <w:sz w:val="18"/>
                <w:szCs w:val="18"/>
              </w:rPr>
              <w:t>Little Rock SA</w:t>
            </w:r>
          </w:p>
        </w:tc>
      </w:tr>
      <w:tr w:rsidR="00F76607" w14:paraId="3B445D18" w14:textId="77777777">
        <w:trPr>
          <w:cantSplit/>
          <w:jc w:val="center"/>
        </w:trPr>
        <w:tc>
          <w:tcPr>
            <w:tcW w:w="3249" w:type="dxa"/>
            <w:hideMark/>
          </w:tcPr>
          <w:p w14:paraId="0C1482E6" w14:textId="77777777" w:rsidR="00F76607" w:rsidRDefault="001863F0">
            <w:pPr>
              <w:jc w:val="center"/>
              <w:rPr>
                <w:sz w:val="18"/>
                <w:szCs w:val="18"/>
              </w:rPr>
            </w:pPr>
            <w:proofErr w:type="spellStart"/>
            <w:r>
              <w:rPr>
                <w:sz w:val="18"/>
                <w:szCs w:val="18"/>
              </w:rPr>
              <w:t>Spinnerijstraat</w:t>
            </w:r>
            <w:proofErr w:type="spellEnd"/>
            <w:r>
              <w:rPr>
                <w:sz w:val="18"/>
                <w:szCs w:val="18"/>
              </w:rPr>
              <w:t xml:space="preserve"> 12 </w:t>
            </w:r>
          </w:p>
        </w:tc>
        <w:tc>
          <w:tcPr>
            <w:tcW w:w="3249" w:type="dxa"/>
            <w:hideMark/>
          </w:tcPr>
          <w:p w14:paraId="09EE6722" w14:textId="77777777" w:rsidR="00F76607" w:rsidRDefault="001863F0">
            <w:pPr>
              <w:pStyle w:val="NormalWeb"/>
              <w:spacing w:before="240"/>
              <w:jc w:val="center"/>
              <w:rPr>
                <w:sz w:val="18"/>
                <w:szCs w:val="18"/>
              </w:rPr>
            </w:pPr>
            <w:proofErr w:type="spellStart"/>
            <w:r>
              <w:rPr>
                <w:sz w:val="18"/>
                <w:szCs w:val="18"/>
              </w:rPr>
              <w:t>Mandekensstraat</w:t>
            </w:r>
            <w:proofErr w:type="spellEnd"/>
            <w:r>
              <w:rPr>
                <w:sz w:val="18"/>
                <w:szCs w:val="18"/>
              </w:rPr>
              <w:t xml:space="preserve"> 121</w:t>
            </w:r>
          </w:p>
        </w:tc>
        <w:tc>
          <w:tcPr>
            <w:tcW w:w="3249" w:type="dxa"/>
          </w:tcPr>
          <w:p w14:paraId="19F731F6" w14:textId="77777777" w:rsidR="00F76607" w:rsidRDefault="001863F0">
            <w:pPr>
              <w:jc w:val="center"/>
              <w:rPr>
                <w:sz w:val="18"/>
                <w:szCs w:val="18"/>
              </w:rPr>
            </w:pPr>
            <w:r>
              <w:rPr>
                <w:sz w:val="18"/>
                <w:szCs w:val="18"/>
              </w:rPr>
              <w:t xml:space="preserve">25 Boulevard Prince Henri </w:t>
            </w:r>
          </w:p>
        </w:tc>
      </w:tr>
      <w:tr w:rsidR="00F76607" w14:paraId="299E6A5A" w14:textId="77777777">
        <w:trPr>
          <w:cantSplit/>
          <w:jc w:val="center"/>
        </w:trPr>
        <w:tc>
          <w:tcPr>
            <w:tcW w:w="3249" w:type="dxa"/>
            <w:hideMark/>
          </w:tcPr>
          <w:p w14:paraId="48B43A6F" w14:textId="77777777" w:rsidR="00F76607" w:rsidRDefault="001863F0">
            <w:pPr>
              <w:jc w:val="center"/>
              <w:rPr>
                <w:sz w:val="18"/>
                <w:szCs w:val="18"/>
              </w:rPr>
            </w:pPr>
            <w:r>
              <w:rPr>
                <w:sz w:val="18"/>
                <w:szCs w:val="18"/>
              </w:rPr>
              <w:t xml:space="preserve">9240 </w:t>
            </w:r>
            <w:proofErr w:type="spellStart"/>
            <w:r>
              <w:rPr>
                <w:sz w:val="18"/>
                <w:szCs w:val="18"/>
              </w:rPr>
              <w:t>Zele</w:t>
            </w:r>
            <w:proofErr w:type="spellEnd"/>
            <w:r>
              <w:rPr>
                <w:sz w:val="18"/>
                <w:szCs w:val="18"/>
              </w:rPr>
              <w:t xml:space="preserve"> </w:t>
            </w:r>
          </w:p>
        </w:tc>
        <w:tc>
          <w:tcPr>
            <w:tcW w:w="3249" w:type="dxa"/>
            <w:hideMark/>
          </w:tcPr>
          <w:p w14:paraId="45329090" w14:textId="77777777" w:rsidR="00F76607" w:rsidRDefault="001863F0">
            <w:pPr>
              <w:pStyle w:val="NormalWeb"/>
              <w:spacing w:before="240"/>
              <w:jc w:val="center"/>
              <w:rPr>
                <w:b/>
                <w:bCs/>
                <w:sz w:val="18"/>
                <w:szCs w:val="18"/>
                <w:lang w:val="nl-BE"/>
              </w:rPr>
            </w:pPr>
            <w:r>
              <w:rPr>
                <w:bCs/>
                <w:sz w:val="18"/>
                <w:szCs w:val="18"/>
                <w:lang w:val="nl-BE"/>
              </w:rPr>
              <w:t>9255 Buggenhout</w:t>
            </w:r>
          </w:p>
        </w:tc>
        <w:tc>
          <w:tcPr>
            <w:tcW w:w="3249" w:type="dxa"/>
          </w:tcPr>
          <w:p w14:paraId="3FE0AECB" w14:textId="77777777" w:rsidR="00F76607" w:rsidRDefault="001863F0">
            <w:pPr>
              <w:jc w:val="center"/>
              <w:rPr>
                <w:sz w:val="18"/>
                <w:szCs w:val="18"/>
              </w:rPr>
            </w:pPr>
            <w:r>
              <w:rPr>
                <w:sz w:val="18"/>
                <w:szCs w:val="18"/>
              </w:rPr>
              <w:t>1724 Luxembourg</w:t>
            </w:r>
          </w:p>
        </w:tc>
      </w:tr>
      <w:tr w:rsidR="00F76607" w14:paraId="37AF0F4A" w14:textId="77777777">
        <w:trPr>
          <w:cantSplit/>
          <w:jc w:val="center"/>
        </w:trPr>
        <w:tc>
          <w:tcPr>
            <w:tcW w:w="3249" w:type="dxa"/>
            <w:hideMark/>
          </w:tcPr>
          <w:p w14:paraId="3D62D8E9" w14:textId="77777777" w:rsidR="00F76607" w:rsidRDefault="001863F0">
            <w:pPr>
              <w:jc w:val="center"/>
              <w:rPr>
                <w:sz w:val="18"/>
                <w:szCs w:val="18"/>
              </w:rPr>
            </w:pPr>
            <w:r>
              <w:rPr>
                <w:sz w:val="18"/>
                <w:szCs w:val="18"/>
              </w:rPr>
              <w:t>Belgium</w:t>
            </w:r>
          </w:p>
        </w:tc>
        <w:tc>
          <w:tcPr>
            <w:tcW w:w="3249" w:type="dxa"/>
            <w:hideMark/>
          </w:tcPr>
          <w:p w14:paraId="142830CC" w14:textId="6D853518" w:rsidR="00F76607" w:rsidRDefault="001863F0">
            <w:pPr>
              <w:pStyle w:val="NormalWeb"/>
              <w:spacing w:before="240" w:after="0"/>
              <w:jc w:val="center"/>
              <w:rPr>
                <w:b/>
                <w:bCs/>
                <w:sz w:val="18"/>
                <w:szCs w:val="18"/>
              </w:rPr>
            </w:pPr>
            <w:r>
              <w:rPr>
                <w:bCs/>
                <w:sz w:val="18"/>
                <w:szCs w:val="18"/>
              </w:rPr>
              <w:t>Belgium</w:t>
            </w:r>
          </w:p>
        </w:tc>
        <w:tc>
          <w:tcPr>
            <w:tcW w:w="3249" w:type="dxa"/>
          </w:tcPr>
          <w:p w14:paraId="64E4C6E4" w14:textId="77777777" w:rsidR="00F76607" w:rsidRDefault="001863F0">
            <w:pPr>
              <w:jc w:val="center"/>
              <w:rPr>
                <w:sz w:val="18"/>
                <w:szCs w:val="18"/>
              </w:rPr>
            </w:pPr>
            <w:r>
              <w:rPr>
                <w:sz w:val="18"/>
                <w:szCs w:val="18"/>
              </w:rPr>
              <w:t>Luxembourg</w:t>
            </w:r>
          </w:p>
        </w:tc>
      </w:tr>
    </w:tbl>
    <w:p w14:paraId="51EA6A64" w14:textId="77777777" w:rsidR="00F76607" w:rsidRDefault="001863F0">
      <w:pPr>
        <w:pStyle w:val="NormalWeb"/>
        <w:keepNext/>
        <w:spacing w:before="240" w:beforeAutospacing="0" w:after="0" w:afterAutospacing="0"/>
        <w:jc w:val="center"/>
      </w:pPr>
      <w:r>
        <w:rPr>
          <w:b/>
          <w:bCs/>
          <w:caps/>
          <w:sz w:val="18"/>
          <w:szCs w:val="18"/>
        </w:rPr>
        <w:t xml:space="preserve">JOINT GLOBAL COORDINATORS AND JOINT BOOKRUNNERS </w:t>
      </w:r>
    </w:p>
    <w:tbl>
      <w:tblPr>
        <w:tblW w:w="5000" w:type="pct"/>
        <w:jc w:val="center"/>
        <w:tblCellMar>
          <w:left w:w="0" w:type="dxa"/>
          <w:right w:w="0" w:type="dxa"/>
        </w:tblCellMar>
        <w:tblLook w:val="04A0" w:firstRow="1" w:lastRow="0" w:firstColumn="1" w:lastColumn="0" w:noHBand="0" w:noVBand="1"/>
      </w:tblPr>
      <w:tblGrid>
        <w:gridCol w:w="4873"/>
        <w:gridCol w:w="4874"/>
      </w:tblGrid>
      <w:tr w:rsidR="00F76607" w14:paraId="10AC9843" w14:textId="77777777">
        <w:trPr>
          <w:tblHeader/>
          <w:jc w:val="center"/>
        </w:trPr>
        <w:tc>
          <w:tcPr>
            <w:tcW w:w="4873" w:type="dxa"/>
            <w:vAlign w:val="center"/>
            <w:hideMark/>
          </w:tcPr>
          <w:p w14:paraId="2900565F" w14:textId="77777777" w:rsidR="00F76607" w:rsidRDefault="00F76607">
            <w:pPr>
              <w:rPr>
                <w:sz w:val="2"/>
                <w:szCs w:val="18"/>
              </w:rPr>
            </w:pPr>
          </w:p>
        </w:tc>
        <w:tc>
          <w:tcPr>
            <w:tcW w:w="4874" w:type="dxa"/>
            <w:vAlign w:val="center"/>
            <w:hideMark/>
          </w:tcPr>
          <w:p w14:paraId="0CFE3E66" w14:textId="77777777" w:rsidR="00F76607" w:rsidRDefault="00F76607">
            <w:pPr>
              <w:rPr>
                <w:sz w:val="2"/>
                <w:szCs w:val="18"/>
              </w:rPr>
            </w:pPr>
          </w:p>
        </w:tc>
      </w:tr>
      <w:tr w:rsidR="00F76607" w14:paraId="2210E310" w14:textId="77777777">
        <w:trPr>
          <w:cantSplit/>
          <w:tblHeader/>
          <w:jc w:val="center"/>
        </w:trPr>
        <w:tc>
          <w:tcPr>
            <w:tcW w:w="4873" w:type="dxa"/>
            <w:hideMark/>
          </w:tcPr>
          <w:p w14:paraId="485A0793" w14:textId="77777777" w:rsidR="00F76607" w:rsidRDefault="001863F0">
            <w:pPr>
              <w:pStyle w:val="NormalWeb"/>
              <w:keepNext/>
              <w:spacing w:before="0" w:beforeAutospacing="0" w:after="20" w:afterAutospacing="0"/>
              <w:jc w:val="center"/>
              <w:rPr>
                <w:rFonts w:eastAsiaTheme="minorEastAsia"/>
                <w:sz w:val="18"/>
                <w:szCs w:val="18"/>
              </w:rPr>
            </w:pPr>
            <w:r>
              <w:rPr>
                <w:b/>
                <w:bCs/>
                <w:sz w:val="18"/>
                <w:szCs w:val="18"/>
              </w:rPr>
              <w:t>J.P. Morgan Securities plc</w:t>
            </w:r>
          </w:p>
        </w:tc>
        <w:tc>
          <w:tcPr>
            <w:tcW w:w="4874" w:type="dxa"/>
            <w:tcMar>
              <w:top w:w="0" w:type="dxa"/>
              <w:left w:w="144" w:type="dxa"/>
              <w:bottom w:w="0" w:type="dxa"/>
              <w:right w:w="0" w:type="dxa"/>
            </w:tcMar>
            <w:hideMark/>
          </w:tcPr>
          <w:p w14:paraId="40E165F3" w14:textId="77777777" w:rsidR="00F76607" w:rsidRDefault="001863F0">
            <w:pPr>
              <w:jc w:val="center"/>
              <w:rPr>
                <w:sz w:val="18"/>
                <w:szCs w:val="18"/>
              </w:rPr>
            </w:pPr>
            <w:r>
              <w:rPr>
                <w:b/>
                <w:bCs/>
                <w:sz w:val="18"/>
                <w:szCs w:val="18"/>
              </w:rPr>
              <w:t>KBC Securities NV</w:t>
            </w:r>
          </w:p>
        </w:tc>
      </w:tr>
      <w:tr w:rsidR="00F76607" w14:paraId="14E3F453" w14:textId="77777777">
        <w:trPr>
          <w:cantSplit/>
          <w:jc w:val="center"/>
        </w:trPr>
        <w:tc>
          <w:tcPr>
            <w:tcW w:w="4873" w:type="dxa"/>
            <w:hideMark/>
          </w:tcPr>
          <w:p w14:paraId="7CE390BC" w14:textId="77777777" w:rsidR="00F76607" w:rsidRDefault="001863F0">
            <w:pPr>
              <w:pStyle w:val="NormalWeb"/>
              <w:keepNext/>
              <w:spacing w:before="0" w:beforeAutospacing="0" w:after="0" w:afterAutospacing="0"/>
              <w:jc w:val="center"/>
              <w:rPr>
                <w:rFonts w:eastAsiaTheme="minorEastAsia"/>
                <w:sz w:val="18"/>
                <w:szCs w:val="18"/>
              </w:rPr>
            </w:pPr>
            <w:r>
              <w:rPr>
                <w:sz w:val="18"/>
                <w:szCs w:val="18"/>
              </w:rPr>
              <w:t>25 Bank Street, Canary Wharf</w:t>
            </w:r>
          </w:p>
        </w:tc>
        <w:tc>
          <w:tcPr>
            <w:tcW w:w="4874" w:type="dxa"/>
            <w:vAlign w:val="bottom"/>
            <w:hideMark/>
          </w:tcPr>
          <w:p w14:paraId="413477C7" w14:textId="77777777" w:rsidR="00F76607" w:rsidRDefault="001863F0">
            <w:pPr>
              <w:jc w:val="center"/>
              <w:rPr>
                <w:sz w:val="18"/>
                <w:szCs w:val="18"/>
              </w:rPr>
            </w:pPr>
            <w:proofErr w:type="spellStart"/>
            <w:r>
              <w:rPr>
                <w:sz w:val="18"/>
                <w:szCs w:val="18"/>
              </w:rPr>
              <w:t>Havenlaan</w:t>
            </w:r>
            <w:proofErr w:type="spellEnd"/>
            <w:r>
              <w:rPr>
                <w:sz w:val="18"/>
                <w:szCs w:val="18"/>
              </w:rPr>
              <w:t xml:space="preserve"> 2</w:t>
            </w:r>
          </w:p>
        </w:tc>
      </w:tr>
      <w:tr w:rsidR="00F76607" w14:paraId="28B072F4" w14:textId="77777777">
        <w:trPr>
          <w:cantSplit/>
          <w:jc w:val="center"/>
        </w:trPr>
        <w:tc>
          <w:tcPr>
            <w:tcW w:w="4873" w:type="dxa"/>
            <w:hideMark/>
          </w:tcPr>
          <w:p w14:paraId="0820BE44" w14:textId="77777777" w:rsidR="00F76607" w:rsidRDefault="001863F0">
            <w:pPr>
              <w:pStyle w:val="NormalWeb"/>
              <w:keepNext/>
              <w:spacing w:before="0" w:beforeAutospacing="0" w:after="0" w:afterAutospacing="0"/>
              <w:jc w:val="center"/>
              <w:rPr>
                <w:rFonts w:eastAsiaTheme="minorEastAsia"/>
                <w:sz w:val="18"/>
                <w:szCs w:val="18"/>
              </w:rPr>
            </w:pPr>
            <w:r>
              <w:rPr>
                <w:sz w:val="18"/>
                <w:szCs w:val="18"/>
              </w:rPr>
              <w:t>London E14 5JP</w:t>
            </w:r>
          </w:p>
        </w:tc>
        <w:tc>
          <w:tcPr>
            <w:tcW w:w="4874" w:type="dxa"/>
            <w:vAlign w:val="bottom"/>
            <w:hideMark/>
          </w:tcPr>
          <w:p w14:paraId="6B2FED53" w14:textId="77777777" w:rsidR="00F76607" w:rsidRDefault="001863F0">
            <w:pPr>
              <w:jc w:val="center"/>
              <w:rPr>
                <w:sz w:val="18"/>
                <w:szCs w:val="18"/>
              </w:rPr>
            </w:pPr>
            <w:r>
              <w:rPr>
                <w:sz w:val="18"/>
                <w:szCs w:val="18"/>
              </w:rPr>
              <w:t>1080 Brussels</w:t>
            </w:r>
          </w:p>
        </w:tc>
      </w:tr>
      <w:tr w:rsidR="00F76607" w14:paraId="2CCE55C0" w14:textId="77777777">
        <w:trPr>
          <w:cantSplit/>
          <w:jc w:val="center"/>
        </w:trPr>
        <w:tc>
          <w:tcPr>
            <w:tcW w:w="4873" w:type="dxa"/>
            <w:hideMark/>
          </w:tcPr>
          <w:p w14:paraId="1436C067" w14:textId="77777777" w:rsidR="00F76607" w:rsidRDefault="001863F0">
            <w:pPr>
              <w:jc w:val="center"/>
              <w:rPr>
                <w:sz w:val="18"/>
                <w:szCs w:val="18"/>
              </w:rPr>
            </w:pPr>
            <w:r>
              <w:rPr>
                <w:sz w:val="18"/>
                <w:szCs w:val="18"/>
              </w:rPr>
              <w:t>United Kingdom</w:t>
            </w:r>
          </w:p>
        </w:tc>
        <w:tc>
          <w:tcPr>
            <w:tcW w:w="4874" w:type="dxa"/>
            <w:vAlign w:val="bottom"/>
            <w:hideMark/>
          </w:tcPr>
          <w:p w14:paraId="137FE705" w14:textId="77777777" w:rsidR="00F76607" w:rsidRDefault="001863F0">
            <w:pPr>
              <w:jc w:val="center"/>
              <w:rPr>
                <w:sz w:val="18"/>
                <w:szCs w:val="18"/>
              </w:rPr>
            </w:pPr>
            <w:r>
              <w:rPr>
                <w:sz w:val="18"/>
                <w:szCs w:val="18"/>
              </w:rPr>
              <w:t>Belgium</w:t>
            </w:r>
          </w:p>
        </w:tc>
      </w:tr>
    </w:tbl>
    <w:p w14:paraId="02BC83AA" w14:textId="77777777" w:rsidR="00F76607" w:rsidRDefault="001863F0">
      <w:pPr>
        <w:pStyle w:val="NormalWeb"/>
        <w:keepNext/>
        <w:spacing w:before="240" w:beforeAutospacing="0" w:after="0" w:afterAutospacing="0"/>
        <w:jc w:val="center"/>
        <w:rPr>
          <w:b/>
          <w:bCs/>
          <w:caps/>
          <w:sz w:val="18"/>
          <w:szCs w:val="18"/>
        </w:rPr>
      </w:pPr>
      <w:r>
        <w:rPr>
          <w:b/>
          <w:bCs/>
          <w:caps/>
          <w:sz w:val="18"/>
          <w:szCs w:val="18"/>
        </w:rPr>
        <w:t>Co-lead manager</w:t>
      </w:r>
    </w:p>
    <w:tbl>
      <w:tblPr>
        <w:tblW w:w="5000" w:type="pct"/>
        <w:jc w:val="center"/>
        <w:tblCellMar>
          <w:left w:w="0" w:type="dxa"/>
          <w:right w:w="0" w:type="dxa"/>
        </w:tblCellMar>
        <w:tblLook w:val="04A0" w:firstRow="1" w:lastRow="0" w:firstColumn="1" w:lastColumn="0" w:noHBand="0" w:noVBand="1"/>
      </w:tblPr>
      <w:tblGrid>
        <w:gridCol w:w="9747"/>
      </w:tblGrid>
      <w:tr w:rsidR="00F76607" w14:paraId="33B4F3F4" w14:textId="77777777">
        <w:trPr>
          <w:cantSplit/>
          <w:tblHeader/>
          <w:jc w:val="center"/>
        </w:trPr>
        <w:tc>
          <w:tcPr>
            <w:tcW w:w="9747" w:type="dxa"/>
            <w:hideMark/>
          </w:tcPr>
          <w:p w14:paraId="1513CD3A" w14:textId="77777777" w:rsidR="00F76607" w:rsidRDefault="001863F0">
            <w:pPr>
              <w:pStyle w:val="NormalWeb"/>
              <w:keepNext/>
              <w:spacing w:before="0" w:beforeAutospacing="0" w:after="20" w:afterAutospacing="0"/>
              <w:jc w:val="center"/>
              <w:rPr>
                <w:b/>
                <w:bCs/>
                <w:sz w:val="18"/>
                <w:szCs w:val="18"/>
              </w:rPr>
            </w:pPr>
            <w:r>
              <w:rPr>
                <w:b/>
                <w:bCs/>
                <w:sz w:val="18"/>
                <w:szCs w:val="18"/>
              </w:rPr>
              <w:t>Belfius Bank NV</w:t>
            </w:r>
          </w:p>
        </w:tc>
      </w:tr>
      <w:tr w:rsidR="00F76607" w14:paraId="4D8B0167" w14:textId="77777777">
        <w:trPr>
          <w:cantSplit/>
          <w:jc w:val="center"/>
        </w:trPr>
        <w:tc>
          <w:tcPr>
            <w:tcW w:w="9747" w:type="dxa"/>
            <w:hideMark/>
          </w:tcPr>
          <w:p w14:paraId="3FFFA5DE" w14:textId="77777777" w:rsidR="00F76607" w:rsidRDefault="001863F0">
            <w:pPr>
              <w:jc w:val="center"/>
              <w:rPr>
                <w:sz w:val="18"/>
                <w:szCs w:val="18"/>
              </w:rPr>
            </w:pPr>
            <w:proofErr w:type="spellStart"/>
            <w:r>
              <w:rPr>
                <w:sz w:val="18"/>
                <w:szCs w:val="18"/>
              </w:rPr>
              <w:t>Pachecolaan</w:t>
            </w:r>
            <w:proofErr w:type="spellEnd"/>
            <w:r>
              <w:rPr>
                <w:sz w:val="18"/>
                <w:szCs w:val="18"/>
              </w:rPr>
              <w:t xml:space="preserve"> 44</w:t>
            </w:r>
          </w:p>
        </w:tc>
      </w:tr>
      <w:tr w:rsidR="00F76607" w14:paraId="66003B92" w14:textId="77777777">
        <w:trPr>
          <w:cantSplit/>
          <w:jc w:val="center"/>
        </w:trPr>
        <w:tc>
          <w:tcPr>
            <w:tcW w:w="9747" w:type="dxa"/>
            <w:hideMark/>
          </w:tcPr>
          <w:p w14:paraId="68C19865" w14:textId="77777777" w:rsidR="00F76607" w:rsidRDefault="001863F0">
            <w:pPr>
              <w:jc w:val="center"/>
              <w:rPr>
                <w:sz w:val="18"/>
                <w:szCs w:val="18"/>
              </w:rPr>
            </w:pPr>
            <w:r>
              <w:rPr>
                <w:sz w:val="18"/>
                <w:szCs w:val="18"/>
              </w:rPr>
              <w:t>1000 Brussels</w:t>
            </w:r>
          </w:p>
        </w:tc>
      </w:tr>
      <w:tr w:rsidR="00F76607" w14:paraId="6A191560" w14:textId="77777777">
        <w:trPr>
          <w:cantSplit/>
          <w:jc w:val="center"/>
        </w:trPr>
        <w:tc>
          <w:tcPr>
            <w:tcW w:w="9747" w:type="dxa"/>
            <w:hideMark/>
          </w:tcPr>
          <w:p w14:paraId="31FA4AEC" w14:textId="77777777" w:rsidR="00F76607" w:rsidRDefault="001863F0">
            <w:pPr>
              <w:jc w:val="center"/>
              <w:rPr>
                <w:sz w:val="18"/>
                <w:szCs w:val="18"/>
              </w:rPr>
            </w:pPr>
            <w:r>
              <w:rPr>
                <w:sz w:val="18"/>
                <w:szCs w:val="18"/>
              </w:rPr>
              <w:t>Belgium</w:t>
            </w:r>
          </w:p>
        </w:tc>
      </w:tr>
    </w:tbl>
    <w:p w14:paraId="5F55F551" w14:textId="77777777" w:rsidR="00F76607" w:rsidRDefault="001863F0">
      <w:pPr>
        <w:pStyle w:val="NormalWeb"/>
        <w:keepNext/>
        <w:spacing w:before="240" w:beforeAutospacing="0" w:after="0" w:afterAutospacing="0"/>
        <w:jc w:val="center"/>
        <w:rPr>
          <w:b/>
          <w:bCs/>
          <w:caps/>
          <w:sz w:val="18"/>
          <w:szCs w:val="18"/>
        </w:rPr>
      </w:pPr>
      <w:r>
        <w:rPr>
          <w:b/>
          <w:bCs/>
          <w:caps/>
          <w:sz w:val="18"/>
          <w:szCs w:val="18"/>
        </w:rPr>
        <w:t>CO-MANAGER</w:t>
      </w:r>
    </w:p>
    <w:tbl>
      <w:tblPr>
        <w:tblW w:w="5000" w:type="pct"/>
        <w:jc w:val="center"/>
        <w:tblCellMar>
          <w:left w:w="0" w:type="dxa"/>
          <w:right w:w="0" w:type="dxa"/>
        </w:tblCellMar>
        <w:tblLook w:val="04A0" w:firstRow="1" w:lastRow="0" w:firstColumn="1" w:lastColumn="0" w:noHBand="0" w:noVBand="1"/>
      </w:tblPr>
      <w:tblGrid>
        <w:gridCol w:w="9747"/>
      </w:tblGrid>
      <w:tr w:rsidR="00F76607" w14:paraId="441D081E" w14:textId="77777777">
        <w:trPr>
          <w:cantSplit/>
          <w:tblHeader/>
          <w:jc w:val="center"/>
        </w:trPr>
        <w:tc>
          <w:tcPr>
            <w:tcW w:w="9747" w:type="dxa"/>
          </w:tcPr>
          <w:p w14:paraId="7FB0FE69" w14:textId="77777777" w:rsidR="00F76607" w:rsidRDefault="001863F0">
            <w:pPr>
              <w:pStyle w:val="NormalWeb"/>
              <w:keepNext/>
              <w:spacing w:before="0" w:beforeAutospacing="0" w:after="20" w:afterAutospacing="0"/>
              <w:jc w:val="center"/>
              <w:rPr>
                <w:b/>
                <w:bCs/>
                <w:sz w:val="18"/>
                <w:szCs w:val="18"/>
              </w:rPr>
            </w:pPr>
            <w:r>
              <w:rPr>
                <w:b/>
                <w:bCs/>
                <w:sz w:val="18"/>
                <w:szCs w:val="18"/>
              </w:rPr>
              <w:t>ING Belgium SA/NV</w:t>
            </w:r>
          </w:p>
        </w:tc>
      </w:tr>
      <w:tr w:rsidR="00F76607" w14:paraId="63EBF355" w14:textId="77777777">
        <w:trPr>
          <w:cantSplit/>
          <w:jc w:val="center"/>
        </w:trPr>
        <w:tc>
          <w:tcPr>
            <w:tcW w:w="9747" w:type="dxa"/>
          </w:tcPr>
          <w:p w14:paraId="28CD380C" w14:textId="77777777" w:rsidR="00F76607" w:rsidRDefault="001863F0">
            <w:pPr>
              <w:jc w:val="center"/>
              <w:rPr>
                <w:sz w:val="18"/>
                <w:szCs w:val="18"/>
              </w:rPr>
            </w:pPr>
            <w:r>
              <w:rPr>
                <w:sz w:val="18"/>
                <w:szCs w:val="18"/>
              </w:rPr>
              <w:t>Avenue Marnix 24</w:t>
            </w:r>
          </w:p>
        </w:tc>
      </w:tr>
      <w:tr w:rsidR="00F76607" w14:paraId="35F5CFC6" w14:textId="77777777">
        <w:trPr>
          <w:cantSplit/>
          <w:jc w:val="center"/>
        </w:trPr>
        <w:tc>
          <w:tcPr>
            <w:tcW w:w="9747" w:type="dxa"/>
          </w:tcPr>
          <w:p w14:paraId="6DE2EEF3" w14:textId="77777777" w:rsidR="00F76607" w:rsidRDefault="001863F0">
            <w:pPr>
              <w:jc w:val="center"/>
              <w:rPr>
                <w:sz w:val="18"/>
                <w:szCs w:val="18"/>
              </w:rPr>
            </w:pPr>
            <w:r>
              <w:rPr>
                <w:sz w:val="18"/>
                <w:szCs w:val="18"/>
              </w:rPr>
              <w:t>1000 Brussels</w:t>
            </w:r>
          </w:p>
        </w:tc>
      </w:tr>
      <w:tr w:rsidR="00F76607" w14:paraId="0E0B5ED5" w14:textId="77777777">
        <w:trPr>
          <w:cantSplit/>
          <w:jc w:val="center"/>
        </w:trPr>
        <w:tc>
          <w:tcPr>
            <w:tcW w:w="9747" w:type="dxa"/>
          </w:tcPr>
          <w:p w14:paraId="32309D32" w14:textId="77777777" w:rsidR="00F76607" w:rsidRDefault="001863F0">
            <w:pPr>
              <w:jc w:val="center"/>
              <w:rPr>
                <w:sz w:val="18"/>
                <w:szCs w:val="18"/>
              </w:rPr>
            </w:pPr>
            <w:r>
              <w:rPr>
                <w:sz w:val="18"/>
                <w:szCs w:val="18"/>
              </w:rPr>
              <w:t>Belgium</w:t>
            </w:r>
          </w:p>
        </w:tc>
      </w:tr>
    </w:tbl>
    <w:p w14:paraId="6541D8C9" w14:textId="77777777" w:rsidR="00F76607" w:rsidRDefault="001863F0">
      <w:pPr>
        <w:pStyle w:val="NormalWeb"/>
        <w:keepNext/>
        <w:spacing w:before="240" w:beforeAutospacing="0" w:after="0" w:afterAutospacing="0"/>
        <w:jc w:val="center"/>
        <w:rPr>
          <w:b/>
          <w:bCs/>
          <w:sz w:val="18"/>
          <w:szCs w:val="18"/>
        </w:rPr>
      </w:pPr>
      <w:r>
        <w:rPr>
          <w:b/>
          <w:bCs/>
          <w:sz w:val="18"/>
          <w:szCs w:val="18"/>
        </w:rPr>
        <w:t>LEGAL ADVISORS TO THE COMPANY AND THE SELLING SHAREHOLDERS</w:t>
      </w:r>
    </w:p>
    <w:p w14:paraId="2A2674D5" w14:textId="77777777" w:rsidR="00F76607" w:rsidRDefault="001863F0">
      <w:pPr>
        <w:pStyle w:val="NormalWeb"/>
        <w:spacing w:before="0" w:beforeAutospacing="0" w:after="0" w:afterAutospacing="0"/>
        <w:jc w:val="center"/>
        <w:rPr>
          <w:b/>
          <w:bCs/>
          <w:i/>
          <w:iCs/>
          <w:sz w:val="18"/>
          <w:szCs w:val="18"/>
        </w:rPr>
      </w:pPr>
      <w:r>
        <w:rPr>
          <w:b/>
          <w:bCs/>
          <w:i/>
          <w:iCs/>
          <w:sz w:val="18"/>
          <w:szCs w:val="18"/>
        </w:rPr>
        <w:t>as to Belgian law</w:t>
      </w:r>
    </w:p>
    <w:tbl>
      <w:tblPr>
        <w:tblW w:w="2400" w:type="pct"/>
        <w:jc w:val="center"/>
        <w:tblCellMar>
          <w:left w:w="0" w:type="dxa"/>
          <w:right w:w="0" w:type="dxa"/>
        </w:tblCellMar>
        <w:tblLook w:val="04A0" w:firstRow="1" w:lastRow="0" w:firstColumn="1" w:lastColumn="0" w:noHBand="0" w:noVBand="1"/>
      </w:tblPr>
      <w:tblGrid>
        <w:gridCol w:w="4679"/>
      </w:tblGrid>
      <w:tr w:rsidR="00F76607" w14:paraId="240D81D1" w14:textId="77777777">
        <w:trPr>
          <w:tblHeader/>
          <w:jc w:val="center"/>
        </w:trPr>
        <w:tc>
          <w:tcPr>
            <w:tcW w:w="4679" w:type="dxa"/>
            <w:vAlign w:val="center"/>
            <w:hideMark/>
          </w:tcPr>
          <w:p w14:paraId="205CD2BE" w14:textId="77777777" w:rsidR="00F76607" w:rsidRDefault="001863F0">
            <w:pPr>
              <w:rPr>
                <w:sz w:val="2"/>
                <w:szCs w:val="18"/>
              </w:rPr>
            </w:pPr>
            <w:r>
              <w:t> </w:t>
            </w:r>
          </w:p>
        </w:tc>
      </w:tr>
      <w:tr w:rsidR="00F76607" w14:paraId="09EB8CDE" w14:textId="77777777">
        <w:trPr>
          <w:cantSplit/>
          <w:tblHeader/>
          <w:jc w:val="center"/>
        </w:trPr>
        <w:tc>
          <w:tcPr>
            <w:tcW w:w="4679" w:type="dxa"/>
            <w:hideMark/>
          </w:tcPr>
          <w:p w14:paraId="3539EAA5" w14:textId="77777777" w:rsidR="00F76607" w:rsidRDefault="001863F0">
            <w:pPr>
              <w:pStyle w:val="NormalWeb"/>
              <w:keepNext/>
              <w:spacing w:before="0" w:beforeAutospacing="0" w:after="20" w:afterAutospacing="0"/>
              <w:jc w:val="center"/>
              <w:rPr>
                <w:rFonts w:eastAsiaTheme="minorEastAsia"/>
                <w:sz w:val="18"/>
                <w:szCs w:val="18"/>
              </w:rPr>
            </w:pPr>
            <w:r>
              <w:rPr>
                <w:b/>
                <w:bCs/>
                <w:sz w:val="18"/>
                <w:szCs w:val="18"/>
              </w:rPr>
              <w:t>Argo Law BCVBA</w:t>
            </w:r>
          </w:p>
        </w:tc>
      </w:tr>
      <w:tr w:rsidR="00F76607" w14:paraId="72DE95EA" w14:textId="77777777">
        <w:trPr>
          <w:cantSplit/>
          <w:jc w:val="center"/>
        </w:trPr>
        <w:tc>
          <w:tcPr>
            <w:tcW w:w="4679" w:type="dxa"/>
            <w:hideMark/>
          </w:tcPr>
          <w:p w14:paraId="2C87DAB8" w14:textId="77777777" w:rsidR="00F76607" w:rsidRDefault="001863F0">
            <w:pPr>
              <w:pStyle w:val="NormalWeb"/>
              <w:keepNext/>
              <w:spacing w:before="0" w:beforeAutospacing="0" w:after="0" w:afterAutospacing="0"/>
              <w:jc w:val="center"/>
              <w:rPr>
                <w:sz w:val="18"/>
                <w:szCs w:val="18"/>
              </w:rPr>
            </w:pPr>
            <w:proofErr w:type="spellStart"/>
            <w:r>
              <w:rPr>
                <w:sz w:val="18"/>
                <w:szCs w:val="18"/>
              </w:rPr>
              <w:t>Posthofbrug</w:t>
            </w:r>
            <w:proofErr w:type="spellEnd"/>
            <w:r>
              <w:rPr>
                <w:sz w:val="18"/>
                <w:szCs w:val="18"/>
              </w:rPr>
              <w:t xml:space="preserve"> 12</w:t>
            </w:r>
          </w:p>
        </w:tc>
      </w:tr>
      <w:tr w:rsidR="00F76607" w14:paraId="4B28F225" w14:textId="77777777">
        <w:trPr>
          <w:cantSplit/>
          <w:jc w:val="center"/>
        </w:trPr>
        <w:tc>
          <w:tcPr>
            <w:tcW w:w="4679" w:type="dxa"/>
            <w:hideMark/>
          </w:tcPr>
          <w:p w14:paraId="602A2060" w14:textId="77777777" w:rsidR="00F76607" w:rsidRDefault="001863F0">
            <w:pPr>
              <w:pStyle w:val="NormalWeb"/>
              <w:keepNext/>
              <w:spacing w:before="0" w:beforeAutospacing="0" w:after="0" w:afterAutospacing="0"/>
              <w:jc w:val="center"/>
              <w:rPr>
                <w:sz w:val="18"/>
                <w:szCs w:val="18"/>
              </w:rPr>
            </w:pPr>
            <w:r>
              <w:rPr>
                <w:sz w:val="18"/>
                <w:szCs w:val="18"/>
              </w:rPr>
              <w:t xml:space="preserve">2600 </w:t>
            </w:r>
            <w:proofErr w:type="spellStart"/>
            <w:r>
              <w:rPr>
                <w:sz w:val="18"/>
                <w:szCs w:val="18"/>
              </w:rPr>
              <w:t>Berchem</w:t>
            </w:r>
            <w:proofErr w:type="spellEnd"/>
          </w:p>
        </w:tc>
      </w:tr>
      <w:tr w:rsidR="00F76607" w14:paraId="76104049" w14:textId="77777777">
        <w:trPr>
          <w:cantSplit/>
          <w:jc w:val="center"/>
        </w:trPr>
        <w:tc>
          <w:tcPr>
            <w:tcW w:w="4679" w:type="dxa"/>
            <w:hideMark/>
          </w:tcPr>
          <w:p w14:paraId="7CDE4529" w14:textId="77777777" w:rsidR="00F76607" w:rsidRDefault="001863F0">
            <w:pPr>
              <w:jc w:val="center"/>
              <w:rPr>
                <w:sz w:val="18"/>
                <w:szCs w:val="18"/>
              </w:rPr>
            </w:pPr>
            <w:r>
              <w:rPr>
                <w:sz w:val="18"/>
                <w:szCs w:val="18"/>
              </w:rPr>
              <w:t>Belgium</w:t>
            </w:r>
          </w:p>
        </w:tc>
      </w:tr>
    </w:tbl>
    <w:p w14:paraId="687F1D3D" w14:textId="77777777" w:rsidR="00F76607" w:rsidRDefault="001863F0">
      <w:pPr>
        <w:pStyle w:val="NormalWeb"/>
        <w:keepNext/>
        <w:spacing w:before="240" w:beforeAutospacing="0" w:after="0" w:afterAutospacing="0"/>
        <w:jc w:val="center"/>
        <w:rPr>
          <w:rFonts w:eastAsiaTheme="minorEastAsia"/>
        </w:rPr>
      </w:pPr>
      <w:r>
        <w:rPr>
          <w:b/>
          <w:bCs/>
          <w:caps/>
          <w:sz w:val="18"/>
          <w:szCs w:val="18"/>
        </w:rPr>
        <w:t xml:space="preserve">LEGAL ADVISORS TO THE COMPANY </w:t>
      </w:r>
    </w:p>
    <w:p w14:paraId="6F919C93" w14:textId="77777777" w:rsidR="00F76607" w:rsidRDefault="001863F0">
      <w:pPr>
        <w:pStyle w:val="NormalWeb"/>
        <w:spacing w:before="0" w:beforeAutospacing="0" w:after="0" w:afterAutospacing="0"/>
        <w:jc w:val="center"/>
      </w:pPr>
      <w:r>
        <w:rPr>
          <w:b/>
          <w:bCs/>
          <w:i/>
          <w:iCs/>
          <w:sz w:val="18"/>
          <w:szCs w:val="18"/>
        </w:rPr>
        <w:t xml:space="preserve">as to U.S. law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F76607" w14:paraId="27F9AC89" w14:textId="77777777">
        <w:tc>
          <w:tcPr>
            <w:tcW w:w="9747" w:type="dxa"/>
          </w:tcPr>
          <w:p w14:paraId="4030B76D" w14:textId="77777777" w:rsidR="00F76607" w:rsidRDefault="001863F0">
            <w:pPr>
              <w:jc w:val="center"/>
              <w:rPr>
                <w:rFonts w:ascii="Times New Roman" w:eastAsia="Times New Roman" w:hAnsi="Times New Roman" w:cs="Times New Roman"/>
                <w:b/>
                <w:sz w:val="18"/>
                <w:szCs w:val="18"/>
                <w:lang w:val="en-US"/>
              </w:rPr>
            </w:pPr>
            <w:proofErr w:type="spellStart"/>
            <w:r>
              <w:rPr>
                <w:rFonts w:ascii="Times New Roman" w:eastAsia="Times New Roman" w:hAnsi="Times New Roman" w:cs="Times New Roman"/>
                <w:b/>
                <w:sz w:val="18"/>
                <w:szCs w:val="18"/>
                <w:lang w:val="en-US"/>
              </w:rPr>
              <w:t>Dentons</w:t>
            </w:r>
            <w:proofErr w:type="spellEnd"/>
            <w:r>
              <w:rPr>
                <w:rFonts w:ascii="Times New Roman" w:eastAsia="Times New Roman" w:hAnsi="Times New Roman" w:cs="Times New Roman"/>
                <w:b/>
                <w:sz w:val="18"/>
                <w:szCs w:val="18"/>
                <w:lang w:val="en-US"/>
              </w:rPr>
              <w:t xml:space="preserve"> UKMEA LLP</w:t>
            </w:r>
          </w:p>
        </w:tc>
      </w:tr>
      <w:tr w:rsidR="00F76607" w14:paraId="74F3A3BF" w14:textId="77777777">
        <w:tc>
          <w:tcPr>
            <w:tcW w:w="9747" w:type="dxa"/>
          </w:tcPr>
          <w:p w14:paraId="305CD8BD" w14:textId="77777777" w:rsidR="00F76607" w:rsidRDefault="001863F0">
            <w:pPr>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One Fleet Place</w:t>
            </w:r>
          </w:p>
        </w:tc>
      </w:tr>
      <w:tr w:rsidR="00F76607" w14:paraId="76531277" w14:textId="77777777">
        <w:tc>
          <w:tcPr>
            <w:tcW w:w="9747" w:type="dxa"/>
            <w:vAlign w:val="bottom"/>
          </w:tcPr>
          <w:p w14:paraId="41DDD577" w14:textId="77777777" w:rsidR="00F76607" w:rsidRDefault="001863F0">
            <w:pPr>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London EC4M 7WS</w:t>
            </w:r>
          </w:p>
        </w:tc>
      </w:tr>
      <w:tr w:rsidR="00F76607" w14:paraId="3024B1A9" w14:textId="77777777">
        <w:tc>
          <w:tcPr>
            <w:tcW w:w="9747" w:type="dxa"/>
          </w:tcPr>
          <w:p w14:paraId="6BF85012" w14:textId="77777777" w:rsidR="00F76607" w:rsidRDefault="001863F0">
            <w:pPr>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United Kingdom</w:t>
            </w:r>
          </w:p>
        </w:tc>
      </w:tr>
    </w:tbl>
    <w:p w14:paraId="0AC06243" w14:textId="77777777" w:rsidR="00F76607" w:rsidRDefault="00F76607">
      <w:pPr>
        <w:pStyle w:val="NormalWeb"/>
        <w:spacing w:before="0" w:beforeAutospacing="0" w:after="0" w:afterAutospacing="0"/>
        <w:jc w:val="center"/>
      </w:pPr>
    </w:p>
    <w:tbl>
      <w:tblPr>
        <w:tblW w:w="4999" w:type="pct"/>
        <w:tblInd w:w="978" w:type="dxa"/>
        <w:tblCellMar>
          <w:left w:w="0" w:type="dxa"/>
          <w:right w:w="0" w:type="dxa"/>
        </w:tblCellMar>
        <w:tblLook w:val="04A0" w:firstRow="1" w:lastRow="0" w:firstColumn="1" w:lastColumn="0" w:noHBand="0" w:noVBand="1"/>
      </w:tblPr>
      <w:tblGrid>
        <w:gridCol w:w="4872"/>
        <w:gridCol w:w="4873"/>
      </w:tblGrid>
      <w:tr w:rsidR="00F76607" w14:paraId="5B7E3DE3" w14:textId="77777777">
        <w:tc>
          <w:tcPr>
            <w:tcW w:w="0" w:type="auto"/>
            <w:vAlign w:val="center"/>
            <w:hideMark/>
          </w:tcPr>
          <w:p w14:paraId="11864ADB" w14:textId="77777777" w:rsidR="00F76607" w:rsidRDefault="00F76607">
            <w:pPr>
              <w:rPr>
                <w:sz w:val="2"/>
                <w:szCs w:val="18"/>
              </w:rPr>
            </w:pPr>
          </w:p>
        </w:tc>
        <w:tc>
          <w:tcPr>
            <w:tcW w:w="0" w:type="auto"/>
            <w:vAlign w:val="center"/>
            <w:hideMark/>
          </w:tcPr>
          <w:p w14:paraId="67F274F8" w14:textId="77777777" w:rsidR="00F76607" w:rsidRDefault="00F76607">
            <w:pPr>
              <w:rPr>
                <w:sz w:val="2"/>
                <w:szCs w:val="18"/>
              </w:rPr>
            </w:pPr>
          </w:p>
        </w:tc>
      </w:tr>
    </w:tbl>
    <w:p w14:paraId="1519079B" w14:textId="77777777" w:rsidR="00F76607" w:rsidRDefault="001863F0">
      <w:pPr>
        <w:pStyle w:val="NormalWeb"/>
        <w:keepNext/>
        <w:spacing w:before="240" w:beforeAutospacing="0" w:after="0" w:afterAutospacing="0"/>
        <w:jc w:val="center"/>
        <w:rPr>
          <w:rFonts w:eastAsiaTheme="minorEastAsia"/>
        </w:rPr>
      </w:pPr>
      <w:r>
        <w:rPr>
          <w:b/>
          <w:bCs/>
          <w:caps/>
          <w:sz w:val="18"/>
          <w:szCs w:val="18"/>
        </w:rPr>
        <w:t xml:space="preserve">LEGAL ADVISORS TO THE UNDERWRITERS </w:t>
      </w:r>
    </w:p>
    <w:p w14:paraId="7C458C7D" w14:textId="77777777" w:rsidR="00F76607" w:rsidRDefault="001863F0">
      <w:pPr>
        <w:pStyle w:val="NormalWeb"/>
        <w:spacing w:before="0" w:beforeAutospacing="0" w:after="0" w:afterAutospacing="0"/>
        <w:jc w:val="center"/>
      </w:pPr>
      <w:r>
        <w:rPr>
          <w:b/>
          <w:bCs/>
          <w:i/>
          <w:iCs/>
          <w:sz w:val="18"/>
          <w:szCs w:val="18"/>
        </w:rPr>
        <w:t xml:space="preserve">as to U.S., English and Belgian law </w:t>
      </w:r>
    </w:p>
    <w:p w14:paraId="132B86AF" w14:textId="77777777" w:rsidR="00F76607" w:rsidRDefault="001863F0">
      <w:pPr>
        <w:pStyle w:val="NormalWeb"/>
        <w:keepNext/>
        <w:spacing w:before="240" w:beforeAutospacing="0" w:after="0" w:afterAutospacing="0"/>
        <w:jc w:val="center"/>
      </w:pPr>
      <w:r>
        <w:rPr>
          <w:b/>
          <w:bCs/>
          <w:sz w:val="18"/>
          <w:szCs w:val="18"/>
        </w:rPr>
        <w:t xml:space="preserve">FRESHFIELDS BRUCKHAUS DERINGER LLP </w:t>
      </w:r>
    </w:p>
    <w:tbl>
      <w:tblPr>
        <w:tblW w:w="5000" w:type="pct"/>
        <w:jc w:val="center"/>
        <w:tblCellMar>
          <w:left w:w="0" w:type="dxa"/>
          <w:right w:w="0" w:type="dxa"/>
        </w:tblCellMar>
        <w:tblLook w:val="04A0" w:firstRow="1" w:lastRow="0" w:firstColumn="1" w:lastColumn="0" w:noHBand="0" w:noVBand="1"/>
      </w:tblPr>
      <w:tblGrid>
        <w:gridCol w:w="4873"/>
        <w:gridCol w:w="4874"/>
      </w:tblGrid>
      <w:tr w:rsidR="00F76607" w14:paraId="1BC875BC" w14:textId="77777777">
        <w:trPr>
          <w:jc w:val="center"/>
        </w:trPr>
        <w:tc>
          <w:tcPr>
            <w:tcW w:w="4873" w:type="dxa"/>
            <w:vAlign w:val="center"/>
            <w:hideMark/>
          </w:tcPr>
          <w:p w14:paraId="07DA9103" w14:textId="77777777" w:rsidR="00F76607" w:rsidRDefault="00F76607">
            <w:pPr>
              <w:rPr>
                <w:sz w:val="2"/>
                <w:szCs w:val="18"/>
              </w:rPr>
            </w:pPr>
          </w:p>
        </w:tc>
        <w:tc>
          <w:tcPr>
            <w:tcW w:w="4874" w:type="dxa"/>
            <w:vAlign w:val="center"/>
            <w:hideMark/>
          </w:tcPr>
          <w:p w14:paraId="66F9E4B9" w14:textId="77777777" w:rsidR="00F76607" w:rsidRDefault="00F76607">
            <w:pPr>
              <w:rPr>
                <w:sz w:val="2"/>
                <w:szCs w:val="18"/>
              </w:rPr>
            </w:pPr>
          </w:p>
        </w:tc>
      </w:tr>
      <w:tr w:rsidR="00F76607" w14:paraId="76EA06A6" w14:textId="77777777">
        <w:trPr>
          <w:cantSplit/>
          <w:jc w:val="center"/>
        </w:trPr>
        <w:tc>
          <w:tcPr>
            <w:tcW w:w="0" w:type="auto"/>
          </w:tcPr>
          <w:p w14:paraId="74596FAE" w14:textId="77777777" w:rsidR="00F76607" w:rsidRDefault="00F76607">
            <w:pPr>
              <w:jc w:val="center"/>
              <w:rPr>
                <w:bCs/>
                <w:sz w:val="18"/>
                <w:szCs w:val="18"/>
                <w:lang w:val="nl-BE"/>
              </w:rPr>
            </w:pPr>
          </w:p>
        </w:tc>
        <w:tc>
          <w:tcPr>
            <w:tcW w:w="0" w:type="auto"/>
          </w:tcPr>
          <w:p w14:paraId="261E63DE" w14:textId="77777777" w:rsidR="00F76607" w:rsidRDefault="001863F0">
            <w:pPr>
              <w:jc w:val="center"/>
              <w:rPr>
                <w:sz w:val="18"/>
                <w:szCs w:val="18"/>
              </w:rPr>
            </w:pPr>
            <w:r>
              <w:rPr>
                <w:sz w:val="18"/>
                <w:szCs w:val="18"/>
              </w:rPr>
              <w:t>Bastion Tower</w:t>
            </w:r>
          </w:p>
        </w:tc>
      </w:tr>
      <w:tr w:rsidR="00F76607" w14:paraId="0E8A46E6" w14:textId="77777777">
        <w:trPr>
          <w:cantSplit/>
          <w:jc w:val="center"/>
        </w:trPr>
        <w:tc>
          <w:tcPr>
            <w:tcW w:w="0" w:type="auto"/>
            <w:hideMark/>
          </w:tcPr>
          <w:p w14:paraId="0B0E07B1" w14:textId="77777777" w:rsidR="00F76607" w:rsidRDefault="001863F0">
            <w:pPr>
              <w:jc w:val="center"/>
              <w:rPr>
                <w:sz w:val="18"/>
                <w:szCs w:val="18"/>
              </w:rPr>
            </w:pPr>
            <w:r>
              <w:rPr>
                <w:bCs/>
                <w:sz w:val="18"/>
                <w:szCs w:val="18"/>
              </w:rPr>
              <w:t>65 Fleet Street</w:t>
            </w:r>
          </w:p>
        </w:tc>
        <w:tc>
          <w:tcPr>
            <w:tcW w:w="0" w:type="auto"/>
            <w:hideMark/>
          </w:tcPr>
          <w:p w14:paraId="3449CEAB" w14:textId="77777777" w:rsidR="00F76607" w:rsidRDefault="001863F0">
            <w:pPr>
              <w:jc w:val="center"/>
              <w:rPr>
                <w:sz w:val="18"/>
                <w:szCs w:val="18"/>
              </w:rPr>
            </w:pPr>
            <w:proofErr w:type="spellStart"/>
            <w:r>
              <w:rPr>
                <w:sz w:val="18"/>
                <w:szCs w:val="18"/>
              </w:rPr>
              <w:t>Marsveldplein</w:t>
            </w:r>
            <w:proofErr w:type="spellEnd"/>
            <w:r>
              <w:rPr>
                <w:sz w:val="18"/>
                <w:szCs w:val="18"/>
              </w:rPr>
              <w:t xml:space="preserve"> 5</w:t>
            </w:r>
          </w:p>
        </w:tc>
      </w:tr>
      <w:tr w:rsidR="00F76607" w14:paraId="0E0912E0" w14:textId="77777777">
        <w:trPr>
          <w:cantSplit/>
          <w:jc w:val="center"/>
        </w:trPr>
        <w:tc>
          <w:tcPr>
            <w:tcW w:w="0" w:type="auto"/>
            <w:hideMark/>
          </w:tcPr>
          <w:p w14:paraId="69CE91AF" w14:textId="77777777" w:rsidR="00F76607" w:rsidRDefault="001863F0">
            <w:pPr>
              <w:jc w:val="center"/>
              <w:rPr>
                <w:sz w:val="18"/>
                <w:szCs w:val="18"/>
              </w:rPr>
            </w:pPr>
            <w:r>
              <w:rPr>
                <w:bCs/>
                <w:sz w:val="18"/>
                <w:szCs w:val="18"/>
                <w:lang w:val="nl-BE"/>
              </w:rPr>
              <w:t>London EC4Y 1HT</w:t>
            </w:r>
          </w:p>
        </w:tc>
        <w:tc>
          <w:tcPr>
            <w:tcW w:w="0" w:type="auto"/>
            <w:hideMark/>
          </w:tcPr>
          <w:p w14:paraId="34B7E641" w14:textId="77777777" w:rsidR="00F76607" w:rsidRDefault="001863F0">
            <w:pPr>
              <w:jc w:val="center"/>
              <w:rPr>
                <w:sz w:val="18"/>
                <w:szCs w:val="18"/>
              </w:rPr>
            </w:pPr>
            <w:r>
              <w:rPr>
                <w:sz w:val="18"/>
                <w:szCs w:val="18"/>
              </w:rPr>
              <w:t>1050 Brussels</w:t>
            </w:r>
          </w:p>
        </w:tc>
      </w:tr>
      <w:tr w:rsidR="00F76607" w14:paraId="5E4BE494" w14:textId="77777777">
        <w:trPr>
          <w:cantSplit/>
          <w:jc w:val="center"/>
        </w:trPr>
        <w:tc>
          <w:tcPr>
            <w:tcW w:w="0" w:type="auto"/>
            <w:hideMark/>
          </w:tcPr>
          <w:p w14:paraId="0D25C4E4" w14:textId="77777777" w:rsidR="00F76607" w:rsidRDefault="001863F0">
            <w:pPr>
              <w:jc w:val="center"/>
              <w:rPr>
                <w:sz w:val="18"/>
                <w:szCs w:val="18"/>
              </w:rPr>
            </w:pPr>
            <w:r>
              <w:rPr>
                <w:bCs/>
                <w:sz w:val="18"/>
                <w:szCs w:val="18"/>
              </w:rPr>
              <w:t>United Kingdom</w:t>
            </w:r>
          </w:p>
        </w:tc>
        <w:tc>
          <w:tcPr>
            <w:tcW w:w="0" w:type="auto"/>
            <w:hideMark/>
          </w:tcPr>
          <w:p w14:paraId="7CFF0410" w14:textId="77777777" w:rsidR="00F76607" w:rsidRDefault="001863F0">
            <w:pPr>
              <w:jc w:val="center"/>
              <w:rPr>
                <w:sz w:val="18"/>
                <w:szCs w:val="18"/>
              </w:rPr>
            </w:pPr>
            <w:r>
              <w:rPr>
                <w:sz w:val="18"/>
                <w:szCs w:val="18"/>
              </w:rPr>
              <w:t>Belgium</w:t>
            </w:r>
          </w:p>
        </w:tc>
      </w:tr>
    </w:tbl>
    <w:p w14:paraId="208CEAE4" w14:textId="77777777" w:rsidR="00F76607" w:rsidRDefault="001863F0">
      <w:pPr>
        <w:pStyle w:val="NormalWeb"/>
        <w:keepNext/>
        <w:spacing w:before="0" w:beforeAutospacing="0" w:after="0" w:afterAutospacing="0"/>
        <w:rPr>
          <w:rFonts w:eastAsiaTheme="minorEastAsia"/>
        </w:rPr>
      </w:pPr>
      <w:r>
        <w:t> </w:t>
      </w:r>
    </w:p>
    <w:tbl>
      <w:tblPr>
        <w:tblW w:w="2500" w:type="pct"/>
        <w:jc w:val="center"/>
        <w:tblCellMar>
          <w:left w:w="0" w:type="dxa"/>
          <w:right w:w="0" w:type="dxa"/>
        </w:tblCellMar>
        <w:tblLook w:val="04A0" w:firstRow="1" w:lastRow="0" w:firstColumn="1" w:lastColumn="0" w:noHBand="0" w:noVBand="1"/>
      </w:tblPr>
      <w:tblGrid>
        <w:gridCol w:w="4874"/>
      </w:tblGrid>
      <w:tr w:rsidR="00F76607" w14:paraId="224FCA45" w14:textId="77777777">
        <w:trPr>
          <w:tblHeader/>
          <w:jc w:val="center"/>
        </w:trPr>
        <w:tc>
          <w:tcPr>
            <w:tcW w:w="4874" w:type="dxa"/>
            <w:vAlign w:val="center"/>
            <w:hideMark/>
          </w:tcPr>
          <w:p w14:paraId="591C0099" w14:textId="77777777" w:rsidR="00F76607" w:rsidRDefault="00F76607">
            <w:pPr>
              <w:rPr>
                <w:sz w:val="2"/>
                <w:szCs w:val="18"/>
              </w:rPr>
            </w:pPr>
          </w:p>
        </w:tc>
      </w:tr>
      <w:tr w:rsidR="00F76607" w14:paraId="40E0686A" w14:textId="77777777">
        <w:trPr>
          <w:cantSplit/>
          <w:tblHeader/>
          <w:jc w:val="center"/>
        </w:trPr>
        <w:tc>
          <w:tcPr>
            <w:tcW w:w="4874" w:type="dxa"/>
            <w:tcMar>
              <w:top w:w="0" w:type="dxa"/>
              <w:left w:w="144" w:type="dxa"/>
              <w:bottom w:w="0" w:type="dxa"/>
              <w:right w:w="0" w:type="dxa"/>
            </w:tcMar>
            <w:vAlign w:val="bottom"/>
            <w:hideMark/>
          </w:tcPr>
          <w:p w14:paraId="6A0F86FD" w14:textId="77777777" w:rsidR="00F76607" w:rsidRDefault="001863F0">
            <w:pPr>
              <w:pStyle w:val="NormalWeb"/>
              <w:spacing w:before="0" w:beforeAutospacing="0" w:after="0" w:afterAutospacing="0"/>
              <w:jc w:val="center"/>
              <w:rPr>
                <w:rFonts w:eastAsiaTheme="minorEastAsia"/>
                <w:sz w:val="18"/>
                <w:szCs w:val="18"/>
              </w:rPr>
            </w:pPr>
            <w:r>
              <w:rPr>
                <w:b/>
                <w:bCs/>
                <w:sz w:val="18"/>
                <w:szCs w:val="18"/>
              </w:rPr>
              <w:t>INDEPENDENT AUDITORS OF</w:t>
            </w:r>
          </w:p>
          <w:p w14:paraId="70BA9483" w14:textId="77777777" w:rsidR="00F76607" w:rsidRDefault="001863F0">
            <w:pPr>
              <w:pStyle w:val="NormalWeb"/>
              <w:spacing w:before="0" w:beforeAutospacing="0" w:after="20" w:afterAutospacing="0"/>
              <w:jc w:val="center"/>
              <w:rPr>
                <w:rFonts w:eastAsiaTheme="minorEastAsia"/>
                <w:sz w:val="18"/>
                <w:szCs w:val="18"/>
              </w:rPr>
            </w:pPr>
            <w:r>
              <w:rPr>
                <w:b/>
                <w:bCs/>
                <w:sz w:val="18"/>
                <w:szCs w:val="18"/>
              </w:rPr>
              <w:t>THE COMPANY</w:t>
            </w:r>
          </w:p>
        </w:tc>
      </w:tr>
      <w:tr w:rsidR="00F76607" w14:paraId="6E46922C" w14:textId="77777777">
        <w:trPr>
          <w:trHeight w:val="240"/>
          <w:tblHeader/>
          <w:jc w:val="center"/>
        </w:trPr>
        <w:tc>
          <w:tcPr>
            <w:tcW w:w="4874" w:type="dxa"/>
            <w:vAlign w:val="center"/>
            <w:hideMark/>
          </w:tcPr>
          <w:p w14:paraId="7C128A0A" w14:textId="77777777" w:rsidR="00F76607" w:rsidRDefault="00F76607">
            <w:pPr>
              <w:rPr>
                <w:sz w:val="2"/>
                <w:szCs w:val="2"/>
              </w:rPr>
            </w:pPr>
          </w:p>
        </w:tc>
      </w:tr>
      <w:tr w:rsidR="00F76607" w:rsidRPr="001146AD" w14:paraId="75F7E890" w14:textId="77777777">
        <w:trPr>
          <w:cantSplit/>
          <w:tblHeader/>
          <w:jc w:val="center"/>
        </w:trPr>
        <w:tc>
          <w:tcPr>
            <w:tcW w:w="4874" w:type="dxa"/>
            <w:tcMar>
              <w:top w:w="0" w:type="dxa"/>
              <w:left w:w="144" w:type="dxa"/>
              <w:bottom w:w="0" w:type="dxa"/>
              <w:right w:w="0" w:type="dxa"/>
            </w:tcMar>
            <w:hideMark/>
          </w:tcPr>
          <w:p w14:paraId="24629B98" w14:textId="77777777" w:rsidR="00F76607" w:rsidRDefault="001863F0">
            <w:pPr>
              <w:jc w:val="center"/>
              <w:rPr>
                <w:sz w:val="18"/>
                <w:szCs w:val="18"/>
                <w:lang w:val="nl-BE"/>
              </w:rPr>
            </w:pPr>
            <w:r>
              <w:rPr>
                <w:b/>
                <w:bCs/>
                <w:sz w:val="18"/>
                <w:szCs w:val="18"/>
                <w:lang w:val="nl-BE"/>
              </w:rPr>
              <w:t xml:space="preserve">DELOITTE Bedrijfsrevisoren BV </w:t>
            </w:r>
            <w:proofErr w:type="spellStart"/>
            <w:r>
              <w:rPr>
                <w:b/>
                <w:bCs/>
                <w:sz w:val="18"/>
                <w:szCs w:val="18"/>
                <w:lang w:val="nl-BE"/>
              </w:rPr>
              <w:t>o.v.v.e</w:t>
            </w:r>
            <w:proofErr w:type="spellEnd"/>
            <w:r>
              <w:rPr>
                <w:b/>
                <w:bCs/>
                <w:sz w:val="18"/>
                <w:szCs w:val="18"/>
                <w:lang w:val="nl-BE"/>
              </w:rPr>
              <w:t>. CVBA</w:t>
            </w:r>
          </w:p>
        </w:tc>
      </w:tr>
      <w:tr w:rsidR="00F76607" w14:paraId="546ABEBC" w14:textId="77777777">
        <w:trPr>
          <w:cantSplit/>
          <w:jc w:val="center"/>
        </w:trPr>
        <w:tc>
          <w:tcPr>
            <w:tcW w:w="4874" w:type="dxa"/>
            <w:vAlign w:val="bottom"/>
            <w:hideMark/>
          </w:tcPr>
          <w:p w14:paraId="42A1CE0E" w14:textId="77777777" w:rsidR="00F76607" w:rsidRDefault="001863F0">
            <w:pPr>
              <w:jc w:val="center"/>
              <w:rPr>
                <w:sz w:val="18"/>
                <w:szCs w:val="18"/>
              </w:rPr>
            </w:pPr>
            <w:r>
              <w:rPr>
                <w:sz w:val="18"/>
                <w:szCs w:val="18"/>
              </w:rPr>
              <w:t xml:space="preserve">Gateway Building, </w:t>
            </w:r>
            <w:proofErr w:type="spellStart"/>
            <w:r>
              <w:rPr>
                <w:sz w:val="18"/>
                <w:szCs w:val="18"/>
              </w:rPr>
              <w:t>Luchthaven</w:t>
            </w:r>
            <w:proofErr w:type="spellEnd"/>
            <w:r>
              <w:rPr>
                <w:sz w:val="18"/>
                <w:szCs w:val="18"/>
              </w:rPr>
              <w:t xml:space="preserve"> </w:t>
            </w:r>
            <w:proofErr w:type="spellStart"/>
            <w:r>
              <w:rPr>
                <w:sz w:val="18"/>
                <w:szCs w:val="18"/>
              </w:rPr>
              <w:t>Nationaal</w:t>
            </w:r>
            <w:proofErr w:type="spellEnd"/>
            <w:r>
              <w:rPr>
                <w:sz w:val="18"/>
                <w:szCs w:val="18"/>
              </w:rPr>
              <w:t xml:space="preserve"> 1 J</w:t>
            </w:r>
          </w:p>
        </w:tc>
      </w:tr>
      <w:tr w:rsidR="00F76607" w14:paraId="686E06D3" w14:textId="77777777">
        <w:trPr>
          <w:cantSplit/>
          <w:jc w:val="center"/>
        </w:trPr>
        <w:tc>
          <w:tcPr>
            <w:tcW w:w="4874" w:type="dxa"/>
            <w:vAlign w:val="bottom"/>
            <w:hideMark/>
          </w:tcPr>
          <w:p w14:paraId="1E240F5C" w14:textId="77777777" w:rsidR="00F76607" w:rsidRDefault="001863F0">
            <w:pPr>
              <w:jc w:val="center"/>
              <w:rPr>
                <w:sz w:val="18"/>
                <w:szCs w:val="18"/>
              </w:rPr>
            </w:pPr>
            <w:r>
              <w:rPr>
                <w:sz w:val="18"/>
                <w:szCs w:val="18"/>
              </w:rPr>
              <w:t xml:space="preserve">1930 </w:t>
            </w:r>
            <w:proofErr w:type="spellStart"/>
            <w:r>
              <w:rPr>
                <w:sz w:val="18"/>
                <w:szCs w:val="18"/>
              </w:rPr>
              <w:t>Zaventem</w:t>
            </w:r>
            <w:proofErr w:type="spellEnd"/>
          </w:p>
        </w:tc>
      </w:tr>
      <w:tr w:rsidR="00F76607" w14:paraId="49074901" w14:textId="77777777">
        <w:trPr>
          <w:cantSplit/>
          <w:jc w:val="center"/>
        </w:trPr>
        <w:tc>
          <w:tcPr>
            <w:tcW w:w="4874" w:type="dxa"/>
            <w:vAlign w:val="bottom"/>
            <w:hideMark/>
          </w:tcPr>
          <w:p w14:paraId="6008B4A7" w14:textId="77777777" w:rsidR="00F76607" w:rsidRDefault="001863F0">
            <w:pPr>
              <w:jc w:val="center"/>
              <w:rPr>
                <w:sz w:val="18"/>
                <w:szCs w:val="18"/>
              </w:rPr>
            </w:pPr>
            <w:r>
              <w:rPr>
                <w:sz w:val="18"/>
                <w:szCs w:val="18"/>
              </w:rPr>
              <w:t>Belgium</w:t>
            </w:r>
          </w:p>
        </w:tc>
      </w:tr>
      <w:tr w:rsidR="00F76607" w14:paraId="099C2263" w14:textId="77777777">
        <w:trPr>
          <w:cantSplit/>
          <w:jc w:val="center"/>
        </w:trPr>
        <w:tc>
          <w:tcPr>
            <w:tcW w:w="4874" w:type="dxa"/>
            <w:tcMar>
              <w:top w:w="0" w:type="dxa"/>
              <w:left w:w="144" w:type="dxa"/>
              <w:bottom w:w="0" w:type="dxa"/>
              <w:right w:w="0" w:type="dxa"/>
            </w:tcMar>
            <w:vAlign w:val="bottom"/>
            <w:hideMark/>
          </w:tcPr>
          <w:p w14:paraId="37887924" w14:textId="77777777" w:rsidR="00F76607" w:rsidRDefault="001863F0">
            <w:pPr>
              <w:pStyle w:val="la2"/>
              <w:rPr>
                <w:rFonts w:eastAsiaTheme="minorEastAsia"/>
                <w:sz w:val="20"/>
                <w:szCs w:val="20"/>
              </w:rPr>
            </w:pPr>
            <w:r>
              <w:rPr>
                <w:sz w:val="20"/>
                <w:szCs w:val="20"/>
              </w:rPr>
              <w:t> </w:t>
            </w:r>
          </w:p>
        </w:tc>
      </w:tr>
    </w:tbl>
    <w:p w14:paraId="45DFEE4E" w14:textId="77777777" w:rsidR="00F76607" w:rsidRDefault="00F76607"/>
    <w:p w14:paraId="3D996235" w14:textId="7C148E20" w:rsidR="00F76607" w:rsidRDefault="00F76607">
      <w:pPr>
        <w:pStyle w:val="NormalWeb"/>
        <w:spacing w:before="180" w:beforeAutospacing="0" w:after="0" w:afterAutospacing="0"/>
        <w:rPr>
          <w:rFonts w:eastAsiaTheme="minorEastAsia"/>
          <w:sz w:val="2"/>
          <w:szCs w:val="2"/>
        </w:rPr>
      </w:pPr>
    </w:p>
    <w:sectPr w:rsidR="00F76607">
      <w:type w:val="continuous"/>
      <w:pgSz w:w="11907" w:h="16839" w:code="9"/>
      <w:pgMar w:top="1080" w:right="1080" w:bottom="108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4403B" w14:textId="77777777" w:rsidR="006300F6" w:rsidRDefault="006300F6">
      <w:r>
        <w:separator/>
      </w:r>
    </w:p>
  </w:endnote>
  <w:endnote w:type="continuationSeparator" w:id="0">
    <w:p w14:paraId="4D3E42F6" w14:textId="77777777" w:rsidR="006300F6" w:rsidRDefault="00630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abic Transparent">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aux Next Regular">
    <w:altName w:val="Arial"/>
    <w:panose1 w:val="00000000000000000000"/>
    <w:charset w:val="00"/>
    <w:family w:val="swiss"/>
    <w:notTrueType/>
    <w:pitch w:val="default"/>
    <w:sig w:usb0="00000003" w:usb1="00000000" w:usb2="00000000" w:usb3="00000000" w:csb0="00000001" w:csb1="00000000"/>
  </w:font>
  <w:font w:name="Times New Roman Bold">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redit Suisse Type Roman">
    <w:altName w:val="Corbel"/>
    <w:charset w:val="00"/>
    <w:family w:val="swiss"/>
    <w:pitch w:val="variable"/>
    <w:sig w:usb0="00000001" w:usb1="5000204A"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ource Sans Pro Light">
    <w:altName w:val="Source Sans Pro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F_Kai">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71779" w14:textId="77777777" w:rsidR="00ED34B9" w:rsidRDefault="00ED34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162</w:t>
    </w:r>
    <w:r>
      <w:rPr>
        <w:rStyle w:val="PageNumber"/>
      </w:rPr>
      <w:fldChar w:fldCharType="end"/>
    </w:r>
  </w:p>
  <w:p w14:paraId="437C3B13" w14:textId="77777777" w:rsidR="00ED34B9" w:rsidRDefault="00ED34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8437F" w14:textId="5A74352D" w:rsidR="00ED34B9" w:rsidRDefault="00ED34B9">
    <w:pPr>
      <w:pStyle w:val="Footer"/>
      <w:framePr w:wrap="around" w:vAnchor="text" w:hAnchor="margin" w:xAlign="center" w:y="1"/>
      <w:rPr>
        <w:rStyle w:val="PageNumber"/>
      </w:rPr>
    </w:pPr>
    <w:r>
      <w:rPr>
        <w:rStyle w:val="PageNumber"/>
        <w:sz w:val="18"/>
        <w:szCs w:val="18"/>
      </w:rPr>
      <w:fldChar w:fldCharType="begin"/>
    </w:r>
    <w:r>
      <w:rPr>
        <w:rStyle w:val="PageNumber"/>
        <w:sz w:val="18"/>
        <w:szCs w:val="18"/>
      </w:rPr>
      <w:instrText xml:space="preserve">PAGE  </w:instrText>
    </w:r>
    <w:r>
      <w:rPr>
        <w:rStyle w:val="PageNumber"/>
        <w:sz w:val="18"/>
        <w:szCs w:val="18"/>
      </w:rPr>
      <w:fldChar w:fldCharType="separate"/>
    </w:r>
    <w:r w:rsidR="00DD63B6">
      <w:rPr>
        <w:rStyle w:val="PageNumber"/>
        <w:noProof/>
        <w:sz w:val="18"/>
        <w:szCs w:val="18"/>
      </w:rPr>
      <w:t>166</w:t>
    </w:r>
    <w:r>
      <w:rPr>
        <w:rStyle w:val="PageNumber"/>
        <w:sz w:val="18"/>
        <w:szCs w:val="18"/>
      </w:rPr>
      <w:fldChar w:fldCharType="end"/>
    </w:r>
  </w:p>
  <w:p w14:paraId="21426290" w14:textId="77777777" w:rsidR="00ED34B9" w:rsidRDefault="00ED34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CF2FF" w14:textId="77777777" w:rsidR="00ED34B9" w:rsidRDefault="00ED3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464DA" w14:textId="77777777" w:rsidR="006300F6" w:rsidRDefault="006300F6">
      <w:r>
        <w:separator/>
      </w:r>
    </w:p>
  </w:footnote>
  <w:footnote w:type="continuationSeparator" w:id="0">
    <w:p w14:paraId="631E1C34" w14:textId="77777777" w:rsidR="006300F6" w:rsidRDefault="006300F6">
      <w:r>
        <w:continuationSeparator/>
      </w:r>
    </w:p>
  </w:footnote>
  <w:footnote w:id="1">
    <w:p w14:paraId="3C19648C" w14:textId="77777777" w:rsidR="00ED34B9" w:rsidRPr="008F1340" w:rsidRDefault="00ED34B9" w:rsidP="00411069">
      <w:pPr>
        <w:pStyle w:val="VulcanIIFootnote"/>
      </w:pPr>
      <w:r w:rsidRPr="008F1340">
        <w:rPr>
          <w:rStyle w:val="FootnoteReference"/>
        </w:rPr>
        <w:footnoteRef/>
      </w:r>
      <w:r w:rsidRPr="008F1340">
        <w:t xml:space="preserve"> The gearing in the reported bond covenant compliance certificate was 39.8% as the calculation of the bond covenant excluded € 3.6 million of restricted cash, required to be excluded as per the bond covenant definitions.</w:t>
      </w:r>
    </w:p>
  </w:footnote>
  <w:footnote w:id="2">
    <w:p w14:paraId="63BD45E1" w14:textId="3EDCB083" w:rsidR="00ED34B9" w:rsidRPr="008C16B5" w:rsidRDefault="00ED34B9">
      <w:pPr>
        <w:pStyle w:val="FootnoteText"/>
        <w:rPr>
          <w:rFonts w:ascii="Times New Roman" w:hAnsi="Times New Roman"/>
          <w:sz w:val="16"/>
          <w:szCs w:val="16"/>
          <w:lang w:val="en-GB"/>
        </w:rPr>
      </w:pPr>
      <w:r w:rsidRPr="008C16B5">
        <w:rPr>
          <w:rStyle w:val="FootnoteReference"/>
          <w:rFonts w:ascii="Times New Roman" w:hAnsi="Times New Roman"/>
          <w:sz w:val="16"/>
          <w:szCs w:val="16"/>
        </w:rPr>
        <w:footnoteRef/>
      </w:r>
      <w:r w:rsidRPr="008C16B5">
        <w:rPr>
          <w:rFonts w:ascii="Times New Roman" w:hAnsi="Times New Roman"/>
          <w:sz w:val="16"/>
          <w:szCs w:val="16"/>
          <w:lang w:val="en-GB"/>
        </w:rPr>
        <w:t xml:space="preserve"> For comparative reasons the 2014 property and facility management income was restated as property and development management income. The 2014 development income was restated as facility management income.</w:t>
      </w:r>
    </w:p>
  </w:footnote>
  <w:footnote w:id="3">
    <w:p w14:paraId="7C935568" w14:textId="2E63A7DE" w:rsidR="00ED34B9" w:rsidRPr="00423BFB" w:rsidRDefault="00ED34B9" w:rsidP="00423BFB">
      <w:pPr>
        <w:pStyle w:val="FootnoteText"/>
        <w:rPr>
          <w:rFonts w:ascii="Times New Roman" w:hAnsi="Times New Roman"/>
          <w:sz w:val="16"/>
          <w:szCs w:val="16"/>
          <w:lang w:val="en-GB"/>
        </w:rPr>
      </w:pPr>
      <w:r w:rsidRPr="00423BFB">
        <w:rPr>
          <w:rStyle w:val="FootnoteReference"/>
          <w:rFonts w:ascii="Times New Roman" w:hAnsi="Times New Roman"/>
          <w:sz w:val="16"/>
          <w:szCs w:val="16"/>
        </w:rPr>
        <w:footnoteRef/>
      </w:r>
      <w:r w:rsidRPr="00423BFB">
        <w:rPr>
          <w:rFonts w:ascii="Times New Roman" w:hAnsi="Times New Roman"/>
          <w:sz w:val="16"/>
          <w:szCs w:val="16"/>
          <w:lang w:val="en-GB"/>
        </w:rPr>
        <w:t xml:space="preserve"> The gearing ratio reported in the Annual </w:t>
      </w:r>
      <w:r>
        <w:rPr>
          <w:rFonts w:ascii="Times New Roman" w:hAnsi="Times New Roman"/>
          <w:sz w:val="16"/>
          <w:szCs w:val="16"/>
          <w:lang w:val="en-GB"/>
        </w:rPr>
        <w:t>Financial Statements of</w:t>
      </w:r>
      <w:r w:rsidRPr="00423BFB">
        <w:rPr>
          <w:rFonts w:ascii="Times New Roman" w:hAnsi="Times New Roman"/>
          <w:sz w:val="16"/>
          <w:szCs w:val="16"/>
          <w:lang w:val="en-GB"/>
        </w:rPr>
        <w:t xml:space="preserve"> 2014 and 2015 was 33.2% and 35.7</w:t>
      </w:r>
      <w:r>
        <w:rPr>
          <w:rFonts w:ascii="Times New Roman" w:hAnsi="Times New Roman"/>
          <w:sz w:val="16"/>
          <w:szCs w:val="16"/>
          <w:lang w:val="en-GB"/>
        </w:rPr>
        <w:t>%</w:t>
      </w:r>
      <w:r w:rsidRPr="00423BFB">
        <w:rPr>
          <w:rFonts w:ascii="Times New Roman" w:hAnsi="Times New Roman"/>
          <w:sz w:val="16"/>
          <w:szCs w:val="16"/>
          <w:lang w:val="en-GB"/>
        </w:rPr>
        <w:t xml:space="preserve"> respectively and were calculated excluding the ‘Other non-current li</w:t>
      </w:r>
      <w:r>
        <w:rPr>
          <w:rFonts w:ascii="Times New Roman" w:hAnsi="Times New Roman"/>
          <w:sz w:val="16"/>
          <w:szCs w:val="16"/>
          <w:lang w:val="en-GB"/>
        </w:rPr>
        <w:t>abilities’ amounting to € 2,191,000</w:t>
      </w:r>
      <w:r w:rsidRPr="00423BFB">
        <w:rPr>
          <w:rFonts w:ascii="Times New Roman" w:hAnsi="Times New Roman"/>
          <w:sz w:val="16"/>
          <w:szCs w:val="16"/>
          <w:lang w:val="en-GB"/>
        </w:rPr>
        <w:t xml:space="preserve"> as </w:t>
      </w:r>
      <w:r>
        <w:rPr>
          <w:rFonts w:ascii="Times New Roman" w:hAnsi="Times New Roman"/>
          <w:sz w:val="16"/>
          <w:szCs w:val="16"/>
          <w:lang w:val="en-GB"/>
        </w:rPr>
        <w:t>at 31 December 2014 and € 1,656,000</w:t>
      </w:r>
      <w:r w:rsidRPr="00423BFB">
        <w:rPr>
          <w:rFonts w:ascii="Times New Roman" w:hAnsi="Times New Roman"/>
          <w:sz w:val="16"/>
          <w:szCs w:val="16"/>
          <w:lang w:val="en-GB"/>
        </w:rPr>
        <w:t xml:space="preserve"> as at 31 December 2015.</w:t>
      </w:r>
    </w:p>
    <w:p w14:paraId="3E61E4EC" w14:textId="7FD2DA24" w:rsidR="00ED34B9" w:rsidRPr="00423BFB" w:rsidRDefault="00ED34B9">
      <w:pPr>
        <w:pStyle w:val="FootnoteText"/>
        <w:rPr>
          <w:lang w:val="en-GB"/>
        </w:rPr>
      </w:pPr>
    </w:p>
  </w:footnote>
  <w:footnote w:id="4">
    <w:p w14:paraId="729DC68A" w14:textId="1F1659A5" w:rsidR="00ED34B9" w:rsidRPr="00F142ED" w:rsidRDefault="00ED34B9">
      <w:pPr>
        <w:pStyle w:val="FootnoteText"/>
        <w:rPr>
          <w:lang w:val="en-GB"/>
        </w:rPr>
      </w:pPr>
      <w:r w:rsidRPr="00ED004E">
        <w:rPr>
          <w:rStyle w:val="FootnoteReference"/>
          <w:rFonts w:ascii="Times New Roman" w:hAnsi="Times New Roman"/>
          <w:sz w:val="16"/>
          <w:szCs w:val="16"/>
        </w:rPr>
        <w:footnoteRef/>
      </w:r>
      <w:r w:rsidRPr="00ED004E">
        <w:rPr>
          <w:rFonts w:ascii="Times New Roman" w:hAnsi="Times New Roman"/>
          <w:sz w:val="16"/>
          <w:szCs w:val="16"/>
          <w:lang w:val="en-GB"/>
        </w:rPr>
        <w:t xml:space="preserve"> For comparative reasons the 2014 property and facility management income was restated as property an</w:t>
      </w:r>
      <w:r>
        <w:rPr>
          <w:rFonts w:ascii="Times New Roman" w:hAnsi="Times New Roman"/>
          <w:sz w:val="16"/>
          <w:szCs w:val="16"/>
          <w:lang w:val="en-GB"/>
        </w:rPr>
        <w:t>d development management income</w:t>
      </w:r>
      <w:r w:rsidRPr="00ED004E">
        <w:rPr>
          <w:rFonts w:ascii="Times New Roman" w:hAnsi="Times New Roman"/>
          <w:sz w:val="16"/>
          <w:szCs w:val="16"/>
          <w:lang w:val="en-GB"/>
        </w:rPr>
        <w:t>: the 2014 development income was restated as facility management income.</w:t>
      </w:r>
    </w:p>
  </w:footnote>
  <w:footnote w:id="5">
    <w:p w14:paraId="176AFC25" w14:textId="6C93C0F7" w:rsidR="00ED34B9" w:rsidRPr="007C0F8C" w:rsidRDefault="00ED34B9">
      <w:pPr>
        <w:pStyle w:val="FootnoteText"/>
        <w:rPr>
          <w:rFonts w:ascii="Times New Roman" w:hAnsi="Times New Roman"/>
          <w:sz w:val="16"/>
          <w:szCs w:val="16"/>
          <w:lang w:val="en-GB"/>
        </w:rPr>
      </w:pPr>
      <w:r w:rsidRPr="007C0F8C">
        <w:rPr>
          <w:rStyle w:val="FootnoteReference"/>
          <w:rFonts w:ascii="Times New Roman" w:hAnsi="Times New Roman"/>
          <w:sz w:val="16"/>
          <w:szCs w:val="16"/>
        </w:rPr>
        <w:footnoteRef/>
      </w:r>
      <w:r w:rsidRPr="007C0F8C">
        <w:rPr>
          <w:rFonts w:ascii="Times New Roman" w:hAnsi="Times New Roman"/>
          <w:sz w:val="16"/>
          <w:szCs w:val="16"/>
          <w:lang w:val="en-GB"/>
        </w:rPr>
        <w:t xml:space="preserve"> Note: no valuation for the period ended on 30 June 2016 was made, since the First JV Closing entailed a transfer of the Seed Portfolio to the Joint Venture at market value.</w:t>
      </w:r>
    </w:p>
  </w:footnote>
  <w:footnote w:id="6">
    <w:p w14:paraId="3FC40037" w14:textId="0712DBC0" w:rsidR="00ED34B9" w:rsidRPr="006E15AC" w:rsidRDefault="00ED34B9" w:rsidP="006E15AC">
      <w:pPr>
        <w:pStyle w:val="VulcanIIFootnote"/>
      </w:pPr>
      <w:r w:rsidRPr="006E15AC">
        <w:rPr>
          <w:rStyle w:val="FootnoteReference"/>
          <w:vertAlign w:val="baseline"/>
        </w:rPr>
        <w:footnoteRef/>
      </w:r>
      <w:r w:rsidRPr="006E15AC">
        <w:t xml:space="preserve"> Including VGP European Logistics (joint venture with Allianz Real Estate). As at 30 June 2017 the </w:t>
      </w:r>
      <w:r w:rsidRPr="007A3C71">
        <w:t xml:space="preserve">Annualised </w:t>
      </w:r>
      <w:r>
        <w:t xml:space="preserve">Rent Income </w:t>
      </w:r>
      <w:r w:rsidRPr="006E15AC">
        <w:t>for VGP European Logistics stood at € 51.3 million compared to € 38.6 million as at 31 December 2016.</w:t>
      </w:r>
    </w:p>
  </w:footnote>
  <w:footnote w:id="7">
    <w:p w14:paraId="5D490D2E" w14:textId="62DA0581" w:rsidR="00ED34B9" w:rsidRPr="006E15AC" w:rsidRDefault="00ED34B9" w:rsidP="006E15AC">
      <w:pPr>
        <w:pStyle w:val="VulcanIIFootnote"/>
      </w:pPr>
      <w:r w:rsidRPr="006E15AC">
        <w:rPr>
          <w:rStyle w:val="FootnoteReference"/>
          <w:vertAlign w:val="baseline"/>
        </w:rPr>
        <w:footnoteRef/>
      </w:r>
      <w:r w:rsidRPr="006E15AC">
        <w:t xml:space="preserve"> € 38.6 million related to the JV Property Portfolio and € 25.6 million related to the Own Property Portfolio.</w:t>
      </w:r>
    </w:p>
  </w:footnote>
  <w:footnote w:id="8">
    <w:p w14:paraId="568B7753" w14:textId="77777777" w:rsidR="00ED34B9" w:rsidRPr="006E15AC" w:rsidRDefault="00ED34B9" w:rsidP="006E15AC">
      <w:pPr>
        <w:pStyle w:val="VulcanIIFootnote"/>
      </w:pPr>
      <w:r w:rsidRPr="006E15AC">
        <w:rPr>
          <w:rStyle w:val="FootnoteReference"/>
          <w:vertAlign w:val="baseline"/>
        </w:rPr>
        <w:footnoteRef/>
      </w:r>
      <w:r w:rsidRPr="006E15AC">
        <w:t xml:space="preserve"> € 38.6 million related to the JV Property Portfolio and € 25.6 million related to the own Property Portfolio.</w:t>
      </w:r>
    </w:p>
  </w:footnote>
  <w:footnote w:id="9">
    <w:p w14:paraId="21E8D6F9" w14:textId="77777777" w:rsidR="00ED34B9" w:rsidRDefault="00ED34B9" w:rsidP="00411069">
      <w:pPr>
        <w:pStyle w:val="VulcanIIFootnote"/>
      </w:pPr>
      <w:r>
        <w:rPr>
          <w:rStyle w:val="FootnoteReference"/>
        </w:rPr>
        <w:footnoteRef/>
      </w:r>
      <w:r w:rsidRPr="008F1340">
        <w:t xml:space="preserve"> </w:t>
      </w:r>
      <w:r>
        <w:t>Including the Group’s own and 100% Joint Venture land under full ownership and under option; including Estonia (held for sale); 0.6 million m² under option on 30 June 2017 are expected to be acquired within the following six months.</w:t>
      </w:r>
    </w:p>
  </w:footnote>
  <w:footnote w:id="10">
    <w:p w14:paraId="7C8BC766" w14:textId="77777777" w:rsidR="00ED34B9" w:rsidRDefault="00ED34B9" w:rsidP="00411069">
      <w:pPr>
        <w:pStyle w:val="VulcanIIFootnote"/>
      </w:pPr>
      <w:r>
        <w:footnoteRef/>
      </w:r>
      <w:r>
        <w:t xml:space="preserve"> The leasable area as per 30 June 2017 includes the Group’s own and 100% Joint Venture land under full ownership and under option; including Estonia (held for sale). The projects held by associates (sold in October 2014) in the graph refers to the disposals by Snow Crystal </w:t>
      </w:r>
      <w:proofErr w:type="spellStart"/>
      <w:r>
        <w:t>S.à</w:t>
      </w:r>
      <w:proofErr w:type="spellEnd"/>
      <w:r>
        <w:t xml:space="preserve"> </w:t>
      </w:r>
      <w:proofErr w:type="spellStart"/>
      <w:r>
        <w:t>r.l</w:t>
      </w:r>
      <w:proofErr w:type="spellEnd"/>
      <w:r>
        <w:t xml:space="preserve">. (completed the sale of the VGP CZ I and the VGP CZ IV portfolio) and Sun </w:t>
      </w:r>
      <w:proofErr w:type="spellStart"/>
      <w:r>
        <w:t>S.à</w:t>
      </w:r>
      <w:proofErr w:type="spellEnd"/>
      <w:r>
        <w:t xml:space="preserve"> </w:t>
      </w:r>
      <w:proofErr w:type="spellStart"/>
      <w:r>
        <w:t>r.l</w:t>
      </w:r>
      <w:proofErr w:type="spellEnd"/>
      <w:r>
        <w:t>. (completed the sale of the VGP CZ II portfolio) in October 2014.</w:t>
      </w:r>
    </w:p>
  </w:footnote>
  <w:footnote w:id="11">
    <w:p w14:paraId="196D960F" w14:textId="18122301" w:rsidR="00ED34B9" w:rsidRDefault="00ED34B9" w:rsidP="00411069">
      <w:pPr>
        <w:pStyle w:val="VulcanIIFootnote"/>
      </w:pPr>
      <w:r>
        <w:rPr>
          <w:rStyle w:val="FootnoteReference"/>
        </w:rPr>
        <w:footnoteRef/>
      </w:r>
      <w:r w:rsidRPr="008F1340">
        <w:t xml:space="preserve"> </w:t>
      </w:r>
      <w:r>
        <w:t>Includes annualised rental income from completed and under construction assets: for under construction assets rental income corresponds to Annualised Committed Leases (only considers the part of the annualised rental income from the assets that are already pre-let); including Estonia (held for sale).</w:t>
      </w:r>
    </w:p>
  </w:footnote>
  <w:footnote w:id="12">
    <w:p w14:paraId="1C22769F" w14:textId="6497D5DC" w:rsidR="00ED34B9" w:rsidRPr="008F1340" w:rsidRDefault="00ED34B9" w:rsidP="00411069">
      <w:pPr>
        <w:pStyle w:val="VulcanIIFootnote"/>
      </w:pPr>
      <w:r>
        <w:footnoteRef/>
      </w:r>
      <w:r>
        <w:t xml:space="preserve"> </w:t>
      </w:r>
      <w:r w:rsidRPr="008F1340">
        <w:t>Including 30-year contract with Mango.</w:t>
      </w:r>
    </w:p>
  </w:footnote>
  <w:footnote w:id="13">
    <w:p w14:paraId="712D7BF0" w14:textId="6BAD10EA" w:rsidR="00ED34B9" w:rsidRPr="008F1340" w:rsidRDefault="00ED34B9" w:rsidP="00411069">
      <w:pPr>
        <w:pStyle w:val="VulcanIIFootnote"/>
      </w:pPr>
      <w:r>
        <w:rPr>
          <w:rStyle w:val="FootnoteReference"/>
        </w:rPr>
        <w:footnoteRef/>
      </w:r>
      <w:r w:rsidRPr="008F1340">
        <w:t xml:space="preserve"> </w:t>
      </w:r>
      <w:r w:rsidRPr="004829E8">
        <w:t>Certain of the parks of VGP Park Hamburg, VGP Park Berlin, and VGP Park Olomouc are owned by the Group as part of the Group’s own portfolio whereas certain other parks of VGP Park Hamburg, VGP Park Berlin, and VGP Park Olomouc are owned by the Joint Venture.</w:t>
      </w:r>
    </w:p>
  </w:footnote>
  <w:footnote w:id="14">
    <w:p w14:paraId="78F89FA5" w14:textId="53E3CDF8" w:rsidR="00ED34B9" w:rsidRDefault="00ED34B9" w:rsidP="00411069">
      <w:pPr>
        <w:pStyle w:val="VulcanIIFootnote"/>
        <w:rPr>
          <w:rFonts w:asciiTheme="minorHAnsi" w:hAnsiTheme="minorHAnsi"/>
          <w:sz w:val="18"/>
          <w:szCs w:val="18"/>
          <w:lang w:val="en-US"/>
        </w:rPr>
      </w:pPr>
      <w:r>
        <w:rPr>
          <w:rStyle w:val="FootnoteReference"/>
          <w:sz w:val="16"/>
          <w:szCs w:val="16"/>
        </w:rPr>
        <w:footnoteRef/>
      </w:r>
      <w:r>
        <w:rPr>
          <w:sz w:val="16"/>
          <w:szCs w:val="16"/>
          <w:lang w:val="en-US"/>
        </w:rPr>
        <w:t xml:space="preserve"> </w:t>
      </w:r>
      <w:r w:rsidRPr="00C64D88">
        <w:t>Calculated based on the Annualised Committed Leases and estimated market rent for the vacant space.</w:t>
      </w:r>
    </w:p>
  </w:footnote>
  <w:footnote w:id="15">
    <w:p w14:paraId="751167B6" w14:textId="0AAB99C3" w:rsidR="00ED34B9" w:rsidRPr="008F1340" w:rsidRDefault="00ED34B9" w:rsidP="00411069">
      <w:pPr>
        <w:pStyle w:val="VulcanIIFootnote"/>
      </w:pPr>
      <w:r>
        <w:rPr>
          <w:rStyle w:val="FootnoteReference"/>
        </w:rPr>
        <w:footnoteRef/>
      </w:r>
      <w:r w:rsidRPr="008F1340">
        <w:t xml:space="preserve"> </w:t>
      </w:r>
      <w:r>
        <w:t xml:space="preserve">Certain of the parks of </w:t>
      </w:r>
      <w:r w:rsidRPr="008F1340">
        <w:t>VGP Park Hamburg</w:t>
      </w:r>
      <w:r>
        <w:t>,</w:t>
      </w:r>
      <w:r w:rsidRPr="008F1340">
        <w:t xml:space="preserve"> VGP Park Berlin</w:t>
      </w:r>
      <w:r w:rsidRPr="00C2417B">
        <w:t>,</w:t>
      </w:r>
      <w:r w:rsidRPr="008F1340">
        <w:t xml:space="preserve"> and VGP Park Olomouc are </w:t>
      </w:r>
      <w:r>
        <w:t xml:space="preserve">owned by the Group as part of the Group’s own portfolio whereas certain other parks of </w:t>
      </w:r>
      <w:r w:rsidRPr="004829E8">
        <w:t>VGP Park Hamburg, VGP Park Berlin, and VGP Park Olomouc</w:t>
      </w:r>
      <w:r>
        <w:t xml:space="preserve"> are owned by the Joint Venture.</w:t>
      </w:r>
    </w:p>
  </w:footnote>
  <w:footnote w:id="16">
    <w:p w14:paraId="37C4AB2D" w14:textId="71E3C92C" w:rsidR="00ED34B9" w:rsidRDefault="00ED34B9" w:rsidP="00411069">
      <w:pPr>
        <w:pStyle w:val="VulcanIIFootnote"/>
      </w:pPr>
      <w:r>
        <w:rPr>
          <w:rStyle w:val="FootnoteReference"/>
          <w:sz w:val="16"/>
          <w:szCs w:val="16"/>
        </w:rPr>
        <w:footnoteRef/>
      </w:r>
      <w:r>
        <w:t xml:space="preserve"> Compared to 27 buildings reported in the 2015 annual report 2015. The difference is due to the building D in VGP Park Pilsen which was delivered during month of May 2016.</w:t>
      </w:r>
    </w:p>
  </w:footnote>
  <w:footnote w:id="17">
    <w:p w14:paraId="0EE7B325" w14:textId="0252C540" w:rsidR="00ED34B9" w:rsidRDefault="00ED34B9" w:rsidP="00411069">
      <w:pPr>
        <w:pStyle w:val="VulcanIIFootnote"/>
      </w:pPr>
      <w:r>
        <w:rPr>
          <w:rStyle w:val="FootnoteReference"/>
          <w:sz w:val="16"/>
          <w:szCs w:val="16"/>
        </w:rPr>
        <w:footnoteRef/>
      </w:r>
      <w:r>
        <w:t xml:space="preserve"> Compared to 505,662 m² reported in the annual report 2015. The difference is due to the building D in VGP Park Pilsen which was delivered during May 2016.</w:t>
      </w:r>
    </w:p>
  </w:footnote>
  <w:footnote w:id="18">
    <w:p w14:paraId="69D04517" w14:textId="43C52DA4" w:rsidR="00ED34B9" w:rsidRDefault="00ED34B9" w:rsidP="00411069">
      <w:pPr>
        <w:pStyle w:val="VulcanIIFootnote"/>
      </w:pPr>
      <w:r>
        <w:rPr>
          <w:rStyle w:val="FootnoteReference"/>
          <w:sz w:val="16"/>
          <w:szCs w:val="16"/>
        </w:rPr>
        <w:footnoteRef/>
      </w:r>
      <w:r>
        <w:t xml:space="preserve"> Compared to 163,566 m² reported in the annual report 2015. The difference is due to the building D in VGP Park Pilsen</w:t>
      </w:r>
      <w:r w:rsidRPr="00112D68">
        <w:t xml:space="preserve"> </w:t>
      </w:r>
      <w:r>
        <w:t>which was delivered during May 2016.</w:t>
      </w:r>
    </w:p>
  </w:footnote>
  <w:footnote w:id="19">
    <w:p w14:paraId="75F77B76" w14:textId="7DC0624E" w:rsidR="00ED34B9" w:rsidRDefault="00ED34B9" w:rsidP="00411069">
      <w:pPr>
        <w:pStyle w:val="VulcanIIFootnote"/>
      </w:pPr>
      <w:r>
        <w:rPr>
          <w:rStyle w:val="FootnoteReference"/>
          <w:sz w:val="16"/>
          <w:szCs w:val="16"/>
        </w:rPr>
        <w:footnoteRef/>
      </w:r>
      <w:r>
        <w:t xml:space="preserve"> Compared to 98.2% m² reported in the annual report 2015. The difference is due to the building D in VGP Park Pilsen</w:t>
      </w:r>
      <w:r w:rsidRPr="00112D68">
        <w:t xml:space="preserve"> </w:t>
      </w:r>
      <w:r>
        <w:t>which was delivered during May 2016.</w:t>
      </w:r>
    </w:p>
  </w:footnote>
  <w:footnote w:id="20">
    <w:p w14:paraId="32486497" w14:textId="676D3538" w:rsidR="00ED34B9" w:rsidRPr="00AA1862" w:rsidRDefault="00ED34B9" w:rsidP="00AA1862">
      <w:pPr>
        <w:pStyle w:val="VulcanIIFootnote"/>
      </w:pPr>
      <w:r w:rsidRPr="00AA1862">
        <w:footnoteRef/>
      </w:r>
      <w:r w:rsidRPr="00AA1862">
        <w:t xml:space="preserve"> Includes </w:t>
      </w:r>
      <w:r>
        <w:t>Annualised Committed Leases</w:t>
      </w:r>
      <w:r w:rsidRPr="00AA1862">
        <w:t xml:space="preserve"> for completed and pipeline assets and Joint Venture assets; Company information as of June 2017.</w:t>
      </w:r>
    </w:p>
  </w:footnote>
  <w:footnote w:id="21">
    <w:p w14:paraId="1E47BF1D" w14:textId="7C2C19B9" w:rsidR="00ED34B9" w:rsidRPr="00AA1862" w:rsidRDefault="00ED34B9" w:rsidP="00AA1862">
      <w:pPr>
        <w:pStyle w:val="VulcanIIFootnote"/>
      </w:pPr>
      <w:r w:rsidRPr="00AA1862">
        <w:footnoteRef/>
      </w:r>
      <w:r w:rsidRPr="00AA1862">
        <w:t xml:space="preserve"> Based on </w:t>
      </w:r>
      <w:r>
        <w:t>Annualised Committed Leases</w:t>
      </w:r>
      <w:r w:rsidRPr="00AA1862">
        <w:t>.</w:t>
      </w:r>
    </w:p>
  </w:footnote>
  <w:footnote w:id="22">
    <w:p w14:paraId="417B6F3C" w14:textId="35088B35" w:rsidR="00ED34B9" w:rsidRPr="00AA1862" w:rsidRDefault="00ED34B9" w:rsidP="00AA1862">
      <w:pPr>
        <w:pStyle w:val="VulcanIIFootnote"/>
      </w:pPr>
      <w:r w:rsidRPr="00AA1862">
        <w:footnoteRef/>
      </w:r>
      <w:r w:rsidRPr="00AA1862">
        <w:t xml:space="preserve"> Based on </w:t>
      </w:r>
      <w:r>
        <w:t>Annualised Committed Leases</w:t>
      </w:r>
      <w:r w:rsidRPr="00AA1862">
        <w:t>.</w:t>
      </w:r>
    </w:p>
  </w:footnote>
  <w:footnote w:id="23">
    <w:p w14:paraId="37673760" w14:textId="77777777" w:rsidR="00ED34B9" w:rsidRDefault="00ED34B9">
      <w:pPr>
        <w:pStyle w:val="FootnoteText"/>
        <w:rPr>
          <w:rFonts w:ascii="Times New Roman" w:hAnsi="Times New Roman"/>
          <w:sz w:val="14"/>
          <w:szCs w:val="14"/>
          <w:lang w:val="en-US"/>
        </w:rPr>
      </w:pPr>
      <w:r>
        <w:rPr>
          <w:rStyle w:val="FootnoteReference"/>
          <w:rFonts w:ascii="Times New Roman" w:hAnsi="Times New Roman"/>
          <w:sz w:val="14"/>
          <w:szCs w:val="14"/>
        </w:rPr>
        <w:footnoteRef/>
      </w:r>
      <w:r>
        <w:rPr>
          <w:rFonts w:ascii="Times New Roman" w:hAnsi="Times New Roman"/>
          <w:sz w:val="14"/>
          <w:szCs w:val="14"/>
          <w:lang w:val="en-US"/>
        </w:rPr>
        <w:t xml:space="preserve"> Western Europe includes the following countries: Andorra, Austria, Belgium, Cyprus, Denmark, Finland, France, Germany, Greece, Iceland, Ireland, Italy, Liechtenstein, Luxembourg, Malta, Netherlands, Norway, Portugal, Spain, Sweden, Switzerland and the United Kingdom.</w:t>
      </w:r>
    </w:p>
  </w:footnote>
  <w:footnote w:id="24">
    <w:p w14:paraId="0DC42AE8" w14:textId="77777777" w:rsidR="00ED34B9" w:rsidRDefault="00ED34B9">
      <w:pPr>
        <w:pStyle w:val="FootnoteText"/>
        <w:rPr>
          <w:rFonts w:ascii="Times New Roman" w:hAnsi="Times New Roman"/>
          <w:lang w:val="en-US"/>
        </w:rPr>
      </w:pPr>
      <w:r>
        <w:rPr>
          <w:rStyle w:val="FootnoteReference"/>
          <w:rFonts w:ascii="Times New Roman" w:hAnsi="Times New Roman"/>
          <w:sz w:val="14"/>
        </w:rPr>
        <w:footnoteRef/>
      </w:r>
      <w:r>
        <w:rPr>
          <w:rFonts w:ascii="Times New Roman" w:hAnsi="Times New Roman"/>
          <w:sz w:val="14"/>
          <w:lang w:val="en-US"/>
        </w:rPr>
        <w:t xml:space="preserve"> Eastern Europe includes the following countries: Albania, Bosnia, Bulgaria, Croatia, Czech Republic, Estonia, Georgia, Hungary, Kosovo, Latvia, Lithuania, Macedonia, Montenegro, Poland, Romania, Serbia, Slovakia, Slovenia and Turkey.</w:t>
      </w:r>
    </w:p>
  </w:footnote>
  <w:footnote w:id="25">
    <w:p w14:paraId="39AEAF45" w14:textId="77777777" w:rsidR="00ED34B9" w:rsidRDefault="00ED34B9" w:rsidP="00411069">
      <w:pPr>
        <w:pStyle w:val="VulcanIIFootnote"/>
      </w:pPr>
      <w:r>
        <w:rPr>
          <w:rStyle w:val="FootnoteReference"/>
        </w:rPr>
        <w:footnoteRef/>
      </w:r>
      <w:r>
        <w:t xml:space="preserve"> The </w:t>
      </w:r>
      <w:proofErr w:type="spellStart"/>
      <w:r>
        <w:t>Ifo</w:t>
      </w:r>
      <w:proofErr w:type="spellEnd"/>
      <w:r>
        <w:t xml:space="preserve"> Business Climate Index is a closely followed leading indicator for economic activity in Germany prepared by the </w:t>
      </w:r>
      <w:proofErr w:type="spellStart"/>
      <w:r>
        <w:t>Ifo</w:t>
      </w:r>
      <w:proofErr w:type="spellEnd"/>
      <w:r>
        <w:t xml:space="preserve"> Institute for Economic Research in Munich.</w:t>
      </w:r>
    </w:p>
  </w:footnote>
  <w:footnote w:id="26">
    <w:p w14:paraId="7D86AB40" w14:textId="77777777" w:rsidR="00ED34B9" w:rsidRDefault="00ED34B9" w:rsidP="00411069">
      <w:pPr>
        <w:pStyle w:val="VulcanIIFootnote"/>
        <w:rPr>
          <w:sz w:val="18"/>
        </w:rPr>
      </w:pPr>
      <w:r>
        <w:rPr>
          <w:rStyle w:val="FootnoteReference"/>
          <w:sz w:val="18"/>
        </w:rPr>
        <w:footnoteRef/>
      </w:r>
      <w:r>
        <w:rPr>
          <w:sz w:val="18"/>
        </w:rPr>
        <w:t xml:space="preserve"> </w:t>
      </w:r>
      <w:r>
        <w:t>Slovakia, Hungary, Romania and Latvia</w:t>
      </w:r>
    </w:p>
  </w:footnote>
  <w:footnote w:id="27">
    <w:p w14:paraId="48EA8E08" w14:textId="27BE7D17" w:rsidR="00ED34B9" w:rsidRPr="00081C45" w:rsidRDefault="00ED34B9">
      <w:pPr>
        <w:pStyle w:val="FootnoteText"/>
        <w:rPr>
          <w:rFonts w:ascii="Times New Roman" w:hAnsi="Times New Roman"/>
          <w:sz w:val="16"/>
          <w:szCs w:val="16"/>
          <w:lang w:val="en-GB"/>
        </w:rPr>
      </w:pPr>
      <w:r w:rsidRPr="00081C45">
        <w:rPr>
          <w:rStyle w:val="FootnoteReference"/>
          <w:rFonts w:ascii="Times New Roman" w:hAnsi="Times New Roman"/>
          <w:sz w:val="16"/>
          <w:szCs w:val="16"/>
        </w:rPr>
        <w:footnoteRef/>
      </w:r>
      <w:r w:rsidRPr="00081C45">
        <w:rPr>
          <w:rFonts w:ascii="Times New Roman" w:hAnsi="Times New Roman"/>
          <w:sz w:val="16"/>
          <w:szCs w:val="16"/>
          <w:lang w:val="en-GB"/>
        </w:rPr>
        <w:t xml:space="preserve"> As permanent representative of Jan Van Geet </w:t>
      </w:r>
      <w:proofErr w:type="spellStart"/>
      <w:r w:rsidRPr="00081C45">
        <w:rPr>
          <w:rFonts w:ascii="Times New Roman" w:hAnsi="Times New Roman"/>
          <w:sz w:val="16"/>
          <w:szCs w:val="16"/>
          <w:lang w:val="en-GB"/>
        </w:rPr>
        <w:t>s.r.o</w:t>
      </w:r>
      <w:proofErr w:type="spellEnd"/>
      <w:r w:rsidRPr="00081C45">
        <w:rPr>
          <w:rFonts w:ascii="Times New Roman" w:hAnsi="Times New Roman"/>
          <w:sz w:val="16"/>
          <w:szCs w:val="16"/>
          <w:lang w:val="en-GB"/>
        </w:rPr>
        <w:t>.</w:t>
      </w:r>
    </w:p>
  </w:footnote>
  <w:footnote w:id="28">
    <w:p w14:paraId="6044EEC3" w14:textId="015B896F" w:rsidR="00ED34B9" w:rsidRPr="00081C45" w:rsidRDefault="00ED34B9">
      <w:pPr>
        <w:pStyle w:val="FootnoteText"/>
        <w:rPr>
          <w:rFonts w:ascii="Times New Roman" w:hAnsi="Times New Roman"/>
          <w:sz w:val="16"/>
          <w:szCs w:val="16"/>
          <w:lang w:val="en-GB"/>
        </w:rPr>
      </w:pPr>
      <w:r w:rsidRPr="00081C45">
        <w:rPr>
          <w:rStyle w:val="FootnoteReference"/>
          <w:rFonts w:ascii="Times New Roman" w:hAnsi="Times New Roman"/>
          <w:sz w:val="16"/>
          <w:szCs w:val="16"/>
        </w:rPr>
        <w:footnoteRef/>
      </w:r>
      <w:r w:rsidRPr="00081C45">
        <w:rPr>
          <w:rFonts w:ascii="Times New Roman" w:hAnsi="Times New Roman"/>
          <w:sz w:val="16"/>
          <w:szCs w:val="16"/>
          <w:lang w:val="en-GB"/>
        </w:rPr>
        <w:t xml:space="preserve"> As permanent representative of Dirk Stoop BVBA</w:t>
      </w:r>
    </w:p>
  </w:footnote>
  <w:footnote w:id="29">
    <w:p w14:paraId="500362FF" w14:textId="1EE1CFEE" w:rsidR="00ED34B9" w:rsidRPr="00081C45" w:rsidRDefault="00ED34B9">
      <w:pPr>
        <w:pStyle w:val="FootnoteText"/>
        <w:rPr>
          <w:lang w:val="en-GB"/>
        </w:rPr>
      </w:pPr>
      <w:r w:rsidRPr="00081C45">
        <w:rPr>
          <w:rStyle w:val="FootnoteReference"/>
          <w:rFonts w:ascii="Times New Roman" w:hAnsi="Times New Roman"/>
          <w:sz w:val="16"/>
          <w:szCs w:val="16"/>
        </w:rPr>
        <w:footnoteRef/>
      </w:r>
      <w:r w:rsidRPr="00081C45">
        <w:rPr>
          <w:rFonts w:ascii="Times New Roman" w:hAnsi="Times New Roman"/>
          <w:sz w:val="16"/>
          <w:szCs w:val="16"/>
          <w:lang w:val="en-GB"/>
        </w:rPr>
        <w:t xml:space="preserve"> As permanent representative of Tomas Van Geet </w:t>
      </w:r>
      <w:proofErr w:type="spellStart"/>
      <w:r w:rsidRPr="00081C45">
        <w:rPr>
          <w:rFonts w:ascii="Times New Roman" w:hAnsi="Times New Roman"/>
          <w:sz w:val="16"/>
          <w:szCs w:val="16"/>
          <w:lang w:val="en-GB"/>
        </w:rPr>
        <w:t>s.r.o</w:t>
      </w:r>
      <w:proofErr w:type="spellEnd"/>
      <w:r w:rsidRPr="00081C45">
        <w:rPr>
          <w:rFonts w:ascii="Times New Roman" w:hAnsi="Times New Roman"/>
          <w:sz w:val="16"/>
          <w:szCs w:val="16"/>
          <w:lang w:val="en-GB"/>
        </w:rPr>
        <w:t>.</w:t>
      </w:r>
    </w:p>
  </w:footnote>
  <w:footnote w:id="30">
    <w:p w14:paraId="3264B781" w14:textId="77777777" w:rsidR="00ED34B9" w:rsidRDefault="00ED34B9" w:rsidP="00411069">
      <w:pPr>
        <w:pStyle w:val="VulcanIIFootnote"/>
      </w:pPr>
      <w:r>
        <w:rPr>
          <w:rStyle w:val="FootnoteReference"/>
          <w:sz w:val="16"/>
          <w:szCs w:val="16"/>
        </w:rPr>
        <w:footnoteRef/>
      </w:r>
      <w:r>
        <w:t xml:space="preserve"> The Belgian government has recently orally announced its intention to implement a new tax imputation mechanism upon repayments of capital according to which the said repayments would be subject to the Belgian 30% dividend withholding tax in proportion to the share of the taxed reserves incorporated in the paid-up capital increased by the taxed reserves. The portion of the capital repayment resulting from the paid-up capital would remain untaxed. This new tax measure shall in principle be implemented as from 1 January 2018. No official text has however been published yet.</w:t>
      </w:r>
    </w:p>
  </w:footnote>
  <w:footnote w:id="31">
    <w:p w14:paraId="5CE09013" w14:textId="77777777" w:rsidR="00ED34B9" w:rsidRDefault="00ED34B9" w:rsidP="00411069">
      <w:pPr>
        <w:pStyle w:val="VulcanIIFootnote"/>
        <w:rPr>
          <w:lang w:val="en-US"/>
        </w:rPr>
      </w:pPr>
      <w:r>
        <w:rPr>
          <w:rStyle w:val="FootnoteReference"/>
          <w:sz w:val="16"/>
          <w:szCs w:val="16"/>
        </w:rPr>
        <w:footnoteRef/>
      </w:r>
      <w:r>
        <w:t xml:space="preserve"> The Belgian government has recently orally announced its intention to gradually reduce the standard corporate income </w:t>
      </w:r>
      <w:proofErr w:type="spellStart"/>
      <w:r>
        <w:t>taks</w:t>
      </w:r>
      <w:proofErr w:type="spellEnd"/>
      <w:r>
        <w:t xml:space="preserve"> rate from 33% to 29% in 2018 et 25% in 2020. The 3% surcharge applicable to said corporate income </w:t>
      </w:r>
      <w:proofErr w:type="spellStart"/>
      <w:r>
        <w:t>taks</w:t>
      </w:r>
      <w:proofErr w:type="spellEnd"/>
      <w:r>
        <w:t xml:space="preserve"> rate (which currently results in an aggregate </w:t>
      </w:r>
      <w:proofErr w:type="spellStart"/>
      <w:r>
        <w:t>taks</w:t>
      </w:r>
      <w:proofErr w:type="spellEnd"/>
      <w:r>
        <w:t xml:space="preserve"> rate of 33.99%) would be decreased to 2% in 2018 and abolished in 2020. To prevent companies from shifting profits to taxable periods which would be subject to a lower corporate income tax rate, new anti-avoidance measures would be introduced. No official text has however been published yet.</w:t>
      </w:r>
    </w:p>
  </w:footnote>
  <w:footnote w:id="32">
    <w:p w14:paraId="2E041C4B" w14:textId="12BB72C0" w:rsidR="00ED34B9" w:rsidRDefault="00ED34B9" w:rsidP="00411069">
      <w:pPr>
        <w:pStyle w:val="VulcanIIFootnote"/>
        <w:rPr>
          <w:lang w:val="en-US"/>
        </w:rPr>
      </w:pPr>
      <w:r>
        <w:rPr>
          <w:rStyle w:val="FootnoteReference"/>
          <w:sz w:val="16"/>
          <w:szCs w:val="16"/>
        </w:rPr>
        <w:footnoteRef/>
      </w:r>
      <w:r>
        <w:t xml:space="preserve"> The Belgian government has recently orally announced its intention to abolish such a separate capital gain tax of 0.412%. However, the requirement relating to the holding of a participation representing at least 10% of the Company’s share capital or a participation in the Company with an acquisition value of at least € 2,500,000 (as applicable under the Belgian dividend received deduction) would now become fully applicable to the capital gain tax exemption on shares. The said changes would be effective as from 1 January 2018.No official text has however been published yet.</w:t>
      </w:r>
    </w:p>
  </w:footnote>
  <w:footnote w:id="33">
    <w:p w14:paraId="6EBE3898" w14:textId="77777777" w:rsidR="00ED34B9" w:rsidRDefault="00ED34B9" w:rsidP="00411069">
      <w:pPr>
        <w:pStyle w:val="VulcanIIFootnote"/>
        <w:rPr>
          <w:lang w:val="en-US"/>
        </w:rPr>
      </w:pPr>
      <w:r>
        <w:rPr>
          <w:rStyle w:val="FootnoteReference"/>
          <w:sz w:val="16"/>
          <w:szCs w:val="16"/>
        </w:rPr>
        <w:footnoteRef/>
      </w:r>
      <w:r>
        <w:t xml:space="preserve"> The Belgian government has recently orally announced its intention to increase the rate of the tax on stock </w:t>
      </w:r>
      <w:proofErr w:type="spellStart"/>
      <w:r>
        <w:t>echange</w:t>
      </w:r>
      <w:proofErr w:type="spellEnd"/>
      <w:r>
        <w:t xml:space="preserve"> transactions from 0.27% to 0.35%. The nominal caps as applicable per transaction and per party should however remain unchanged. This change would be effective as from 1 January 2018. No official text has however been published yet.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77279" w14:textId="77777777" w:rsidR="00ED34B9" w:rsidRDefault="00ED3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6C005" w14:textId="77777777" w:rsidR="00ED34B9" w:rsidRDefault="00ED34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2C39" w14:textId="77777777" w:rsidR="00ED34B9" w:rsidRDefault="00ED3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6BC70D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8C85AD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558A6"/>
    <w:multiLevelType w:val="hybridMultilevel"/>
    <w:tmpl w:val="64BAAC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2BE66A1"/>
    <w:multiLevelType w:val="multilevel"/>
    <w:tmpl w:val="6D108EA6"/>
    <w:lvl w:ilvl="0">
      <w:start w:val="1"/>
      <w:numFmt w:val="upperLetter"/>
      <w:pStyle w:val="ASpecialUpperCaseAlpha1"/>
      <w:lvlText w:val="%1."/>
      <w:lvlJc w:val="left"/>
      <w:pPr>
        <w:tabs>
          <w:tab w:val="num" w:pos="680"/>
        </w:tabs>
        <w:ind w:left="680" w:hanging="680"/>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3F6AE1E"/>
    <w:multiLevelType w:val="singleLevel"/>
    <w:tmpl w:val="164FF636"/>
    <w:lvl w:ilvl="0">
      <w:numFmt w:val="bullet"/>
      <w:lvlText w:val="·"/>
      <w:lvlJc w:val="left"/>
      <w:pPr>
        <w:tabs>
          <w:tab w:val="num" w:pos="1080"/>
        </w:tabs>
        <w:ind w:left="1080" w:hanging="360"/>
      </w:pPr>
      <w:rPr>
        <w:rFonts w:ascii="Symbol" w:hAnsi="Symbol"/>
        <w:snapToGrid/>
        <w:sz w:val="18"/>
      </w:rPr>
    </w:lvl>
  </w:abstractNum>
  <w:abstractNum w:abstractNumId="5" w15:restartNumberingAfterBreak="0">
    <w:nsid w:val="05DB4F2E"/>
    <w:multiLevelType w:val="hybridMultilevel"/>
    <w:tmpl w:val="B4F471A2"/>
    <w:lvl w:ilvl="0" w:tplc="08130001">
      <w:start w:val="1"/>
      <w:numFmt w:val="bullet"/>
      <w:lvlText w:val=""/>
      <w:lvlJc w:val="left"/>
      <w:pPr>
        <w:ind w:left="1577" w:hanging="360"/>
      </w:pPr>
      <w:rPr>
        <w:rFonts w:ascii="Symbol" w:hAnsi="Symbol" w:hint="default"/>
      </w:rPr>
    </w:lvl>
    <w:lvl w:ilvl="1" w:tplc="08130003" w:tentative="1">
      <w:start w:val="1"/>
      <w:numFmt w:val="bullet"/>
      <w:lvlText w:val="o"/>
      <w:lvlJc w:val="left"/>
      <w:pPr>
        <w:ind w:left="2297" w:hanging="360"/>
      </w:pPr>
      <w:rPr>
        <w:rFonts w:ascii="Courier New" w:hAnsi="Courier New" w:cs="Courier New" w:hint="default"/>
      </w:rPr>
    </w:lvl>
    <w:lvl w:ilvl="2" w:tplc="08130005" w:tentative="1">
      <w:start w:val="1"/>
      <w:numFmt w:val="bullet"/>
      <w:lvlText w:val=""/>
      <w:lvlJc w:val="left"/>
      <w:pPr>
        <w:ind w:left="3017" w:hanging="360"/>
      </w:pPr>
      <w:rPr>
        <w:rFonts w:ascii="Wingdings" w:hAnsi="Wingdings" w:hint="default"/>
      </w:rPr>
    </w:lvl>
    <w:lvl w:ilvl="3" w:tplc="08130001" w:tentative="1">
      <w:start w:val="1"/>
      <w:numFmt w:val="bullet"/>
      <w:lvlText w:val=""/>
      <w:lvlJc w:val="left"/>
      <w:pPr>
        <w:ind w:left="3737" w:hanging="360"/>
      </w:pPr>
      <w:rPr>
        <w:rFonts w:ascii="Symbol" w:hAnsi="Symbol" w:hint="default"/>
      </w:rPr>
    </w:lvl>
    <w:lvl w:ilvl="4" w:tplc="08130003" w:tentative="1">
      <w:start w:val="1"/>
      <w:numFmt w:val="bullet"/>
      <w:lvlText w:val="o"/>
      <w:lvlJc w:val="left"/>
      <w:pPr>
        <w:ind w:left="4457" w:hanging="360"/>
      </w:pPr>
      <w:rPr>
        <w:rFonts w:ascii="Courier New" w:hAnsi="Courier New" w:cs="Courier New" w:hint="default"/>
      </w:rPr>
    </w:lvl>
    <w:lvl w:ilvl="5" w:tplc="08130005" w:tentative="1">
      <w:start w:val="1"/>
      <w:numFmt w:val="bullet"/>
      <w:lvlText w:val=""/>
      <w:lvlJc w:val="left"/>
      <w:pPr>
        <w:ind w:left="5177" w:hanging="360"/>
      </w:pPr>
      <w:rPr>
        <w:rFonts w:ascii="Wingdings" w:hAnsi="Wingdings" w:hint="default"/>
      </w:rPr>
    </w:lvl>
    <w:lvl w:ilvl="6" w:tplc="08130001" w:tentative="1">
      <w:start w:val="1"/>
      <w:numFmt w:val="bullet"/>
      <w:lvlText w:val=""/>
      <w:lvlJc w:val="left"/>
      <w:pPr>
        <w:ind w:left="5897" w:hanging="360"/>
      </w:pPr>
      <w:rPr>
        <w:rFonts w:ascii="Symbol" w:hAnsi="Symbol" w:hint="default"/>
      </w:rPr>
    </w:lvl>
    <w:lvl w:ilvl="7" w:tplc="08130003" w:tentative="1">
      <w:start w:val="1"/>
      <w:numFmt w:val="bullet"/>
      <w:lvlText w:val="o"/>
      <w:lvlJc w:val="left"/>
      <w:pPr>
        <w:ind w:left="6617" w:hanging="360"/>
      </w:pPr>
      <w:rPr>
        <w:rFonts w:ascii="Courier New" w:hAnsi="Courier New" w:cs="Courier New" w:hint="default"/>
      </w:rPr>
    </w:lvl>
    <w:lvl w:ilvl="8" w:tplc="08130005" w:tentative="1">
      <w:start w:val="1"/>
      <w:numFmt w:val="bullet"/>
      <w:lvlText w:val=""/>
      <w:lvlJc w:val="left"/>
      <w:pPr>
        <w:ind w:left="7337" w:hanging="360"/>
      </w:pPr>
      <w:rPr>
        <w:rFonts w:ascii="Wingdings" w:hAnsi="Wingdings" w:hint="default"/>
      </w:rPr>
    </w:lvl>
  </w:abstractNum>
  <w:abstractNum w:abstractNumId="6" w15:restartNumberingAfterBreak="0">
    <w:nsid w:val="06CA2964"/>
    <w:multiLevelType w:val="hybridMultilevel"/>
    <w:tmpl w:val="1C1EFB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72A09F7"/>
    <w:multiLevelType w:val="hybridMultilevel"/>
    <w:tmpl w:val="2A682F1C"/>
    <w:lvl w:ilvl="0" w:tplc="08130001">
      <w:start w:val="1"/>
      <w:numFmt w:val="bullet"/>
      <w:lvlText w:val=""/>
      <w:lvlJc w:val="left"/>
      <w:pPr>
        <w:ind w:left="720" w:hanging="360"/>
      </w:pPr>
      <w:rPr>
        <w:rFonts w:ascii="Symbol" w:hAnsi="Symbol" w:hint="default"/>
      </w:rPr>
    </w:lvl>
    <w:lvl w:ilvl="1" w:tplc="BDB8F51E">
      <w:numFmt w:val="bullet"/>
      <w:lvlText w:val="—"/>
      <w:lvlJc w:val="left"/>
      <w:pPr>
        <w:ind w:left="1440" w:hanging="360"/>
      </w:pPr>
      <w:rPr>
        <w:rFonts w:ascii="Times New Roman" w:eastAsia="Times New Roman"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85B4BF5"/>
    <w:multiLevelType w:val="hybridMultilevel"/>
    <w:tmpl w:val="59AEF0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B25296C"/>
    <w:multiLevelType w:val="multilevel"/>
    <w:tmpl w:val="2684F522"/>
    <w:lvl w:ilvl="0">
      <w:start w:val="1"/>
      <w:numFmt w:val="bullet"/>
      <w:pStyle w:val="ASpecialDashBullet5"/>
      <w:lvlText w:val=""/>
      <w:lvlJc w:val="left"/>
      <w:pPr>
        <w:tabs>
          <w:tab w:val="num" w:pos="3288"/>
        </w:tabs>
        <w:ind w:left="3288" w:hanging="680"/>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432DC6"/>
    <w:multiLevelType w:val="hybridMultilevel"/>
    <w:tmpl w:val="A51CCC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B89377F"/>
    <w:multiLevelType w:val="multilevel"/>
    <w:tmpl w:val="D54670C8"/>
    <w:lvl w:ilvl="0">
      <w:start w:val="1"/>
      <w:numFmt w:val="decimal"/>
      <w:pStyle w:val="Appendix"/>
      <w:suff w:val="nothing"/>
      <w:lvlText w:val="Appendix %1"/>
      <w:lvlJc w:val="left"/>
      <w:pPr>
        <w:ind w:left="0" w:firstLine="0"/>
      </w:pPr>
      <w:rPr>
        <w:rFonts w:hint="default"/>
        <w:b/>
        <w:i w:val="0"/>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0E173C3D"/>
    <w:multiLevelType w:val="singleLevel"/>
    <w:tmpl w:val="300A38CC"/>
    <w:lvl w:ilvl="0">
      <w:start w:val="1"/>
      <w:numFmt w:val="decimal"/>
      <w:pStyle w:val="Parties"/>
      <w:lvlText w:val="(%1)"/>
      <w:lvlJc w:val="left"/>
      <w:pPr>
        <w:tabs>
          <w:tab w:val="num" w:pos="720"/>
        </w:tabs>
        <w:ind w:left="720" w:hanging="720"/>
      </w:pPr>
      <w:rPr>
        <w:rFonts w:hint="default"/>
        <w:b w:val="0"/>
        <w:i w:val="0"/>
      </w:rPr>
    </w:lvl>
  </w:abstractNum>
  <w:abstractNum w:abstractNumId="13" w15:restartNumberingAfterBreak="0">
    <w:nsid w:val="0F1A19FD"/>
    <w:multiLevelType w:val="singleLevel"/>
    <w:tmpl w:val="3DB265BC"/>
    <w:lvl w:ilvl="0">
      <w:start w:val="1"/>
      <w:numFmt w:val="upperLetter"/>
      <w:pStyle w:val="Recital"/>
      <w:lvlText w:val="%1"/>
      <w:lvlJc w:val="left"/>
      <w:pPr>
        <w:tabs>
          <w:tab w:val="num" w:pos="720"/>
        </w:tabs>
        <w:ind w:left="720" w:hanging="720"/>
      </w:pPr>
      <w:rPr>
        <w:rFonts w:hint="default"/>
        <w:b w:val="0"/>
        <w:i w:val="0"/>
      </w:rPr>
    </w:lvl>
  </w:abstractNum>
  <w:abstractNum w:abstractNumId="14" w15:restartNumberingAfterBreak="0">
    <w:nsid w:val="0FA60C79"/>
    <w:multiLevelType w:val="hybridMultilevel"/>
    <w:tmpl w:val="79A2BA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06F28FE"/>
    <w:multiLevelType w:val="singleLevel"/>
    <w:tmpl w:val="60145884"/>
    <w:lvl w:ilvl="0">
      <w:start w:val="1"/>
      <w:numFmt w:val="lowerLetter"/>
      <w:lvlText w:val="(%1)"/>
      <w:lvlJc w:val="left"/>
      <w:pPr>
        <w:tabs>
          <w:tab w:val="num" w:pos="1361"/>
        </w:tabs>
        <w:ind w:left="1361" w:hanging="681"/>
      </w:pPr>
      <w:rPr>
        <w:rFonts w:ascii="Times New Roman" w:hAnsi="Times New Roman" w:cs="Times New Roman" w:hint="default"/>
        <w:b w:val="0"/>
        <w:i w:val="0"/>
        <w:sz w:val="18"/>
        <w:szCs w:val="18"/>
      </w:rPr>
    </w:lvl>
  </w:abstractNum>
  <w:abstractNum w:abstractNumId="16" w15:restartNumberingAfterBreak="0">
    <w:nsid w:val="1134323D"/>
    <w:multiLevelType w:val="multilevel"/>
    <w:tmpl w:val="7F9CF974"/>
    <w:lvl w:ilvl="0">
      <w:start w:val="1"/>
      <w:numFmt w:val="decimal"/>
      <w:pStyle w:val="ASchedule1"/>
      <w:lvlText w:val="%1"/>
      <w:lvlJc w:val="left"/>
      <w:pPr>
        <w:tabs>
          <w:tab w:val="num" w:pos="680"/>
        </w:tabs>
        <w:ind w:left="680" w:hanging="680"/>
      </w:pPr>
      <w:rPr>
        <w:b/>
        <w:i w:val="0"/>
        <w:sz w:val="22"/>
      </w:rPr>
    </w:lvl>
    <w:lvl w:ilvl="1">
      <w:start w:val="1"/>
      <w:numFmt w:val="decimal"/>
      <w:pStyle w:val="ASchedule1"/>
      <w:lvlText w:val="%1.%2"/>
      <w:lvlJc w:val="left"/>
      <w:pPr>
        <w:tabs>
          <w:tab w:val="num" w:pos="680"/>
        </w:tabs>
        <w:ind w:left="680" w:hanging="680"/>
      </w:pPr>
      <w:rPr>
        <w:b/>
        <w:i w:val="0"/>
        <w:sz w:val="21"/>
      </w:rPr>
    </w:lvl>
    <w:lvl w:ilvl="2">
      <w:start w:val="1"/>
      <w:numFmt w:val="decimal"/>
      <w:lvlText w:val="%1.%2.%3"/>
      <w:lvlJc w:val="left"/>
      <w:pPr>
        <w:tabs>
          <w:tab w:val="num" w:pos="1361"/>
        </w:tabs>
        <w:ind w:left="1361" w:hanging="681"/>
      </w:pPr>
      <w:rPr>
        <w:b/>
        <w:i w:val="0"/>
        <w:sz w:val="17"/>
      </w:rPr>
    </w:lvl>
    <w:lvl w:ilvl="3">
      <w:start w:val="1"/>
      <w:numFmt w:val="lowerRoman"/>
      <w:lvlText w:val="(%4)"/>
      <w:lvlJc w:val="left"/>
      <w:pPr>
        <w:tabs>
          <w:tab w:val="num" w:pos="2041"/>
        </w:tabs>
        <w:ind w:left="2041" w:hanging="680"/>
      </w:pPr>
    </w:lvl>
    <w:lvl w:ilvl="4">
      <w:start w:val="1"/>
      <w:numFmt w:val="lowerLetter"/>
      <w:lvlText w:val="(%5)"/>
      <w:lvlJc w:val="left"/>
      <w:pPr>
        <w:tabs>
          <w:tab w:val="num" w:pos="2608"/>
        </w:tabs>
        <w:ind w:left="2608" w:hanging="567"/>
      </w:pPr>
    </w:lvl>
    <w:lvl w:ilvl="5">
      <w:start w:val="1"/>
      <w:numFmt w:val="upperRoman"/>
      <w:lvlText w:val="(%6)"/>
      <w:lvlJc w:val="left"/>
      <w:pPr>
        <w:tabs>
          <w:tab w:val="num" w:pos="3288"/>
        </w:tabs>
        <w:ind w:left="3288" w:hanging="680"/>
      </w:pPr>
    </w:lvl>
    <w:lvl w:ilvl="6">
      <w:start w:val="1"/>
      <w:numFmt w:val="none"/>
      <w:lvlText w:val=""/>
      <w:lvlJc w:val="left"/>
      <w:pPr>
        <w:tabs>
          <w:tab w:val="num" w:pos="3969"/>
        </w:tabs>
        <w:ind w:left="3969" w:hanging="680"/>
      </w:pPr>
    </w:lvl>
    <w:lvl w:ilvl="7">
      <w:start w:val="1"/>
      <w:numFmt w:val="none"/>
      <w:lvlText w:val=""/>
      <w:lvlJc w:val="left"/>
      <w:pPr>
        <w:tabs>
          <w:tab w:val="num" w:pos="3969"/>
        </w:tabs>
        <w:ind w:left="3969" w:hanging="680"/>
      </w:pPr>
    </w:lvl>
    <w:lvl w:ilvl="8">
      <w:start w:val="1"/>
      <w:numFmt w:val="none"/>
      <w:lvlText w:val=""/>
      <w:lvlJc w:val="left"/>
      <w:pPr>
        <w:tabs>
          <w:tab w:val="num" w:pos="3969"/>
        </w:tabs>
        <w:ind w:left="3969" w:hanging="680"/>
      </w:pPr>
    </w:lvl>
  </w:abstractNum>
  <w:abstractNum w:abstractNumId="17" w15:restartNumberingAfterBreak="0">
    <w:nsid w:val="116B7A43"/>
    <w:multiLevelType w:val="multilevel"/>
    <w:tmpl w:val="BA3E638A"/>
    <w:lvl w:ilvl="0">
      <w:start w:val="1"/>
      <w:numFmt w:val="decimal"/>
      <w:pStyle w:val="ATable1"/>
      <w:lvlText w:val="%1"/>
      <w:lvlJc w:val="left"/>
      <w:pPr>
        <w:tabs>
          <w:tab w:val="num" w:pos="680"/>
        </w:tabs>
        <w:ind w:left="680" w:hanging="680"/>
      </w:pPr>
      <w:rPr>
        <w:b/>
        <w:i w:val="0"/>
        <w:sz w:val="22"/>
      </w:rPr>
    </w:lvl>
    <w:lvl w:ilvl="1">
      <w:start w:val="1"/>
      <w:numFmt w:val="decimal"/>
      <w:pStyle w:val="ATable2"/>
      <w:lvlText w:val="%1.%2"/>
      <w:lvlJc w:val="left"/>
      <w:pPr>
        <w:tabs>
          <w:tab w:val="num" w:pos="680"/>
        </w:tabs>
        <w:ind w:left="680" w:hanging="680"/>
      </w:pPr>
      <w:rPr>
        <w:b/>
        <w:i w:val="0"/>
        <w:sz w:val="21"/>
      </w:rPr>
    </w:lvl>
    <w:lvl w:ilvl="2">
      <w:start w:val="1"/>
      <w:numFmt w:val="decimal"/>
      <w:pStyle w:val="ATable1"/>
      <w:lvlText w:val="%1.%2.%3"/>
      <w:lvlJc w:val="left"/>
      <w:pPr>
        <w:tabs>
          <w:tab w:val="num" w:pos="680"/>
        </w:tabs>
        <w:ind w:left="680" w:hanging="680"/>
      </w:pPr>
      <w:rPr>
        <w:b/>
        <w:i w:val="0"/>
        <w:sz w:val="17"/>
      </w:rPr>
    </w:lvl>
    <w:lvl w:ilvl="3">
      <w:start w:val="1"/>
      <w:numFmt w:val="lowerRoman"/>
      <w:pStyle w:val="ATable2"/>
      <w:lvlText w:val="(%4)"/>
      <w:lvlJc w:val="left"/>
      <w:pPr>
        <w:tabs>
          <w:tab w:val="num" w:pos="680"/>
        </w:tabs>
        <w:ind w:left="680" w:hanging="680"/>
      </w:pPr>
    </w:lvl>
    <w:lvl w:ilvl="4">
      <w:start w:val="1"/>
      <w:numFmt w:val="lowerLetter"/>
      <w:lvlText w:val="(%5)"/>
      <w:lvlJc w:val="left"/>
      <w:pPr>
        <w:tabs>
          <w:tab w:val="num" w:pos="680"/>
        </w:tabs>
        <w:ind w:left="680" w:hanging="680"/>
      </w:pPr>
    </w:lvl>
    <w:lvl w:ilvl="5">
      <w:start w:val="1"/>
      <w:numFmt w:val="upperRoman"/>
      <w:lvlText w:val="(%6)"/>
      <w:lvlJc w:val="left"/>
      <w:pPr>
        <w:tabs>
          <w:tab w:val="num" w:pos="680"/>
        </w:tabs>
        <w:ind w:left="680" w:hanging="680"/>
      </w:pPr>
    </w:lvl>
    <w:lvl w:ilvl="6">
      <w:start w:val="1"/>
      <w:numFmt w:val="none"/>
      <w:lvlText w:val=""/>
      <w:lvlJc w:val="left"/>
      <w:pPr>
        <w:tabs>
          <w:tab w:val="num" w:pos="680"/>
        </w:tabs>
        <w:ind w:left="680" w:hanging="680"/>
      </w:pPr>
    </w:lvl>
    <w:lvl w:ilvl="7">
      <w:start w:val="1"/>
      <w:numFmt w:val="none"/>
      <w:lvlText w:val=""/>
      <w:lvlJc w:val="left"/>
      <w:pPr>
        <w:tabs>
          <w:tab w:val="num" w:pos="30521"/>
        </w:tabs>
        <w:ind w:left="30161" w:firstLine="0"/>
      </w:pPr>
    </w:lvl>
    <w:lvl w:ilvl="8">
      <w:start w:val="1"/>
      <w:numFmt w:val="none"/>
      <w:lvlText w:val=""/>
      <w:lvlJc w:val="left"/>
      <w:pPr>
        <w:tabs>
          <w:tab w:val="num" w:pos="30521"/>
        </w:tabs>
        <w:ind w:left="30161" w:firstLine="0"/>
      </w:pPr>
    </w:lvl>
  </w:abstractNum>
  <w:abstractNum w:abstractNumId="18" w15:restartNumberingAfterBreak="0">
    <w:nsid w:val="139B4E02"/>
    <w:multiLevelType w:val="multilevel"/>
    <w:tmpl w:val="1AC8ADC0"/>
    <w:lvl w:ilvl="0">
      <w:start w:val="1"/>
      <w:numFmt w:val="bullet"/>
      <w:pStyle w:val="ASpecialDashBullet4"/>
      <w:lvlText w:val=""/>
      <w:lvlJc w:val="left"/>
      <w:pPr>
        <w:tabs>
          <w:tab w:val="num" w:pos="2608"/>
        </w:tabs>
        <w:ind w:left="2608" w:hanging="567"/>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8A18C7"/>
    <w:multiLevelType w:val="multilevel"/>
    <w:tmpl w:val="9CC0052E"/>
    <w:lvl w:ilvl="0">
      <w:start w:val="1"/>
      <w:numFmt w:val="decimal"/>
      <w:pStyle w:val="Level4"/>
      <w:lvlText w:val="%1"/>
      <w:lvlJc w:val="left"/>
      <w:pPr>
        <w:tabs>
          <w:tab w:val="num" w:pos="425"/>
        </w:tabs>
        <w:ind w:left="425" w:hanging="425"/>
      </w:pPr>
      <w:rPr>
        <w:rFonts w:hint="default"/>
        <w:sz w:val="22"/>
      </w:rPr>
    </w:lvl>
    <w:lvl w:ilvl="1">
      <w:start w:val="1"/>
      <w:numFmt w:val="decimal"/>
      <w:pStyle w:val="Level6"/>
      <w:lvlText w:val="%1.%2"/>
      <w:lvlJc w:val="left"/>
      <w:pPr>
        <w:tabs>
          <w:tab w:val="num" w:pos="1107"/>
        </w:tabs>
        <w:ind w:left="1107" w:hanging="567"/>
      </w:pPr>
      <w:rPr>
        <w:rFonts w:hint="default"/>
        <w:b/>
        <w:i w:val="0"/>
        <w:sz w:val="21"/>
      </w:rPr>
    </w:lvl>
    <w:lvl w:ilvl="2">
      <w:start w:val="1"/>
      <w:numFmt w:val="decimal"/>
      <w:pStyle w:val="Level3"/>
      <w:lvlText w:val="%1.%2.%3"/>
      <w:lvlJc w:val="left"/>
      <w:pPr>
        <w:tabs>
          <w:tab w:val="num" w:pos="1559"/>
        </w:tabs>
        <w:ind w:left="1559" w:hanging="567"/>
      </w:pPr>
      <w:rPr>
        <w:rFonts w:hint="default"/>
        <w:sz w:val="20"/>
        <w:szCs w:val="20"/>
      </w:rPr>
    </w:lvl>
    <w:lvl w:ilvl="3">
      <w:start w:val="1"/>
      <w:numFmt w:val="lowerLetter"/>
      <w:pStyle w:val="Level4"/>
      <w:lvlText w:val="(%4)"/>
      <w:lvlJc w:val="left"/>
      <w:pPr>
        <w:tabs>
          <w:tab w:val="num" w:pos="2126"/>
        </w:tabs>
        <w:ind w:left="2126" w:hanging="567"/>
      </w:pPr>
      <w:rPr>
        <w:rFonts w:hint="default"/>
        <w:sz w:val="20"/>
      </w:rPr>
    </w:lvl>
    <w:lvl w:ilvl="4">
      <w:start w:val="1"/>
      <w:numFmt w:val="upperRoman"/>
      <w:pStyle w:val="Level5"/>
      <w:lvlText w:val="(%5)"/>
      <w:lvlJc w:val="left"/>
      <w:pPr>
        <w:tabs>
          <w:tab w:val="num" w:pos="2846"/>
        </w:tabs>
        <w:ind w:left="2693" w:hanging="567"/>
      </w:pPr>
      <w:rPr>
        <w:rFonts w:hint="default"/>
        <w:sz w:val="20"/>
      </w:rPr>
    </w:lvl>
    <w:lvl w:ilvl="5">
      <w:start w:val="1"/>
      <w:numFmt w:val="upperLetter"/>
      <w:pStyle w:val="Level6"/>
      <w:lvlText w:val="(%6)"/>
      <w:lvlJc w:val="left"/>
      <w:pPr>
        <w:tabs>
          <w:tab w:val="num" w:pos="3260"/>
        </w:tabs>
        <w:ind w:left="3260" w:hanging="567"/>
      </w:pPr>
      <w:rPr>
        <w:rFonts w:hint="default"/>
        <w:sz w:val="2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20" w15:restartNumberingAfterBreak="0">
    <w:nsid w:val="15046AB9"/>
    <w:multiLevelType w:val="hybridMultilevel"/>
    <w:tmpl w:val="F314DFA0"/>
    <w:lvl w:ilvl="0" w:tplc="08130001">
      <w:start w:val="1"/>
      <w:numFmt w:val="bullet"/>
      <w:lvlText w:val=""/>
      <w:lvlJc w:val="left"/>
      <w:pPr>
        <w:ind w:left="1217" w:hanging="360"/>
      </w:pPr>
      <w:rPr>
        <w:rFonts w:ascii="Symbol" w:hAnsi="Symbol" w:hint="default"/>
      </w:rPr>
    </w:lvl>
    <w:lvl w:ilvl="1" w:tplc="08130001">
      <w:start w:val="1"/>
      <w:numFmt w:val="bullet"/>
      <w:lvlText w:val=""/>
      <w:lvlJc w:val="left"/>
      <w:pPr>
        <w:ind w:left="1937" w:hanging="360"/>
      </w:pPr>
      <w:rPr>
        <w:rFonts w:ascii="Symbol" w:hAnsi="Symbol" w:hint="default"/>
      </w:rPr>
    </w:lvl>
    <w:lvl w:ilvl="2" w:tplc="08130005" w:tentative="1">
      <w:start w:val="1"/>
      <w:numFmt w:val="bullet"/>
      <w:lvlText w:val=""/>
      <w:lvlJc w:val="left"/>
      <w:pPr>
        <w:ind w:left="2657" w:hanging="360"/>
      </w:pPr>
      <w:rPr>
        <w:rFonts w:ascii="Wingdings" w:hAnsi="Wingdings" w:hint="default"/>
      </w:rPr>
    </w:lvl>
    <w:lvl w:ilvl="3" w:tplc="08130001" w:tentative="1">
      <w:start w:val="1"/>
      <w:numFmt w:val="bullet"/>
      <w:lvlText w:val=""/>
      <w:lvlJc w:val="left"/>
      <w:pPr>
        <w:ind w:left="3377" w:hanging="360"/>
      </w:pPr>
      <w:rPr>
        <w:rFonts w:ascii="Symbol" w:hAnsi="Symbol" w:hint="default"/>
      </w:rPr>
    </w:lvl>
    <w:lvl w:ilvl="4" w:tplc="08130003" w:tentative="1">
      <w:start w:val="1"/>
      <w:numFmt w:val="bullet"/>
      <w:lvlText w:val="o"/>
      <w:lvlJc w:val="left"/>
      <w:pPr>
        <w:ind w:left="4097" w:hanging="360"/>
      </w:pPr>
      <w:rPr>
        <w:rFonts w:ascii="Courier New" w:hAnsi="Courier New" w:cs="Courier New" w:hint="default"/>
      </w:rPr>
    </w:lvl>
    <w:lvl w:ilvl="5" w:tplc="08130005" w:tentative="1">
      <w:start w:val="1"/>
      <w:numFmt w:val="bullet"/>
      <w:lvlText w:val=""/>
      <w:lvlJc w:val="left"/>
      <w:pPr>
        <w:ind w:left="4817" w:hanging="360"/>
      </w:pPr>
      <w:rPr>
        <w:rFonts w:ascii="Wingdings" w:hAnsi="Wingdings" w:hint="default"/>
      </w:rPr>
    </w:lvl>
    <w:lvl w:ilvl="6" w:tplc="08130001" w:tentative="1">
      <w:start w:val="1"/>
      <w:numFmt w:val="bullet"/>
      <w:lvlText w:val=""/>
      <w:lvlJc w:val="left"/>
      <w:pPr>
        <w:ind w:left="5537" w:hanging="360"/>
      </w:pPr>
      <w:rPr>
        <w:rFonts w:ascii="Symbol" w:hAnsi="Symbol" w:hint="default"/>
      </w:rPr>
    </w:lvl>
    <w:lvl w:ilvl="7" w:tplc="08130003" w:tentative="1">
      <w:start w:val="1"/>
      <w:numFmt w:val="bullet"/>
      <w:lvlText w:val="o"/>
      <w:lvlJc w:val="left"/>
      <w:pPr>
        <w:ind w:left="6257" w:hanging="360"/>
      </w:pPr>
      <w:rPr>
        <w:rFonts w:ascii="Courier New" w:hAnsi="Courier New" w:cs="Courier New" w:hint="default"/>
      </w:rPr>
    </w:lvl>
    <w:lvl w:ilvl="8" w:tplc="08130005" w:tentative="1">
      <w:start w:val="1"/>
      <w:numFmt w:val="bullet"/>
      <w:lvlText w:val=""/>
      <w:lvlJc w:val="left"/>
      <w:pPr>
        <w:ind w:left="6977" w:hanging="360"/>
      </w:pPr>
      <w:rPr>
        <w:rFonts w:ascii="Wingdings" w:hAnsi="Wingdings" w:hint="default"/>
      </w:rPr>
    </w:lvl>
  </w:abstractNum>
  <w:abstractNum w:abstractNumId="21" w15:restartNumberingAfterBreak="0">
    <w:nsid w:val="166966A5"/>
    <w:multiLevelType w:val="multilevel"/>
    <w:tmpl w:val="7410EC90"/>
    <w:lvl w:ilvl="0">
      <w:start w:val="1"/>
      <w:numFmt w:val="bullet"/>
      <w:pStyle w:val="ASpecialDashBullet6"/>
      <w:lvlText w:val=""/>
      <w:lvlJc w:val="left"/>
      <w:pPr>
        <w:tabs>
          <w:tab w:val="num" w:pos="3969"/>
        </w:tabs>
        <w:ind w:left="3969" w:hanging="681"/>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3574CD"/>
    <w:multiLevelType w:val="singleLevel"/>
    <w:tmpl w:val="8C52B132"/>
    <w:lvl w:ilvl="0">
      <w:start w:val="1"/>
      <w:numFmt w:val="lowerLetter"/>
      <w:pStyle w:val="ASpecialLowerCaseAlpha4"/>
      <w:lvlText w:val="(%1)"/>
      <w:lvlJc w:val="left"/>
      <w:pPr>
        <w:tabs>
          <w:tab w:val="num" w:pos="2608"/>
        </w:tabs>
        <w:ind w:left="2608" w:hanging="567"/>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3" w15:restartNumberingAfterBreak="0">
    <w:nsid w:val="1F913AA0"/>
    <w:multiLevelType w:val="hybridMultilevel"/>
    <w:tmpl w:val="9C501C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227F2D31"/>
    <w:multiLevelType w:val="singleLevel"/>
    <w:tmpl w:val="83388684"/>
    <w:lvl w:ilvl="0">
      <w:start w:val="1"/>
      <w:numFmt w:val="upperLetter"/>
      <w:pStyle w:val="TOCHead"/>
      <w:lvlText w:val="(%1)"/>
      <w:lvlJc w:val="left"/>
      <w:pPr>
        <w:tabs>
          <w:tab w:val="num" w:pos="425"/>
        </w:tabs>
        <w:ind w:left="425" w:hanging="425"/>
      </w:pPr>
      <w:rPr>
        <w:rFonts w:hint="default"/>
      </w:rPr>
    </w:lvl>
  </w:abstractNum>
  <w:abstractNum w:abstractNumId="25" w15:restartNumberingAfterBreak="0">
    <w:nsid w:val="22F708B8"/>
    <w:multiLevelType w:val="multilevel"/>
    <w:tmpl w:val="19AEB244"/>
    <w:lvl w:ilvl="0">
      <w:start w:val="1"/>
      <w:numFmt w:val="upperRoman"/>
      <w:pStyle w:val="ASpecialUpperCaseRoman1"/>
      <w:lvlText w:val="%1."/>
      <w:lvlJc w:val="left"/>
      <w:pPr>
        <w:tabs>
          <w:tab w:val="num" w:pos="680"/>
        </w:tabs>
        <w:ind w:left="680" w:hanging="680"/>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23971282"/>
    <w:multiLevelType w:val="multilevel"/>
    <w:tmpl w:val="3796FCE8"/>
    <w:lvl w:ilvl="0">
      <w:start w:val="1"/>
      <w:numFmt w:val="upperLetter"/>
      <w:pStyle w:val="ASpecialUpperCaseAlpha4"/>
      <w:lvlText w:val="%1."/>
      <w:lvlJc w:val="left"/>
      <w:pPr>
        <w:tabs>
          <w:tab w:val="num" w:pos="2608"/>
        </w:tabs>
        <w:ind w:left="2608" w:hanging="567"/>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5E6172F"/>
    <w:multiLevelType w:val="singleLevel"/>
    <w:tmpl w:val="7BA4E280"/>
    <w:lvl w:ilvl="0">
      <w:start w:val="1"/>
      <w:numFmt w:val="lowerLetter"/>
      <w:pStyle w:val="ATableAlpha"/>
      <w:lvlText w:val="(%1)"/>
      <w:lvlJc w:val="left"/>
      <w:pPr>
        <w:tabs>
          <w:tab w:val="num" w:pos="680"/>
        </w:tabs>
        <w:ind w:left="680" w:hanging="680"/>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8" w15:restartNumberingAfterBreak="0">
    <w:nsid w:val="26B11506"/>
    <w:multiLevelType w:val="hybridMultilevel"/>
    <w:tmpl w:val="9FBC9BA8"/>
    <w:lvl w:ilvl="0" w:tplc="5F8E32D6">
      <w:start w:val="2"/>
      <w:numFmt w:val="bullet"/>
      <w:lvlText w:val="-"/>
      <w:lvlJc w:val="left"/>
      <w:pPr>
        <w:ind w:left="785" w:hanging="360"/>
      </w:pPr>
      <w:rPr>
        <w:rFonts w:ascii="Times New Roman" w:eastAsia="Times New Roman" w:hAnsi="Times New Roman"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9" w15:restartNumberingAfterBreak="0">
    <w:nsid w:val="27B177C3"/>
    <w:multiLevelType w:val="hybridMultilevel"/>
    <w:tmpl w:val="8E385E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294A4636"/>
    <w:multiLevelType w:val="hybridMultilevel"/>
    <w:tmpl w:val="285EFEC0"/>
    <w:lvl w:ilvl="0" w:tplc="96BC397E">
      <w:start w:val="186"/>
      <w:numFmt w:val="bullet"/>
      <w:lvlText w:val="-"/>
      <w:lvlJc w:val="left"/>
      <w:pPr>
        <w:ind w:left="720" w:hanging="360"/>
      </w:pPr>
      <w:rPr>
        <w:rFonts w:ascii="Cambria" w:eastAsia="Times New Roman" w:hAnsi="Cambria" w:cs="Arabic Transpare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BEF2329"/>
    <w:multiLevelType w:val="multilevel"/>
    <w:tmpl w:val="CA8ACE86"/>
    <w:lvl w:ilvl="0">
      <w:start w:val="1"/>
      <w:numFmt w:val="bullet"/>
      <w:pStyle w:val="ATableBullet"/>
      <w:lvlText w:val=""/>
      <w:lvlJc w:val="left"/>
      <w:pPr>
        <w:tabs>
          <w:tab w:val="num" w:pos="680"/>
        </w:tabs>
        <w:ind w:left="680" w:hanging="68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EAC4551"/>
    <w:multiLevelType w:val="hybridMultilevel"/>
    <w:tmpl w:val="BAB4FB6E"/>
    <w:lvl w:ilvl="0" w:tplc="08090001">
      <w:start w:val="1"/>
      <w:numFmt w:val="bullet"/>
      <w:lvlText w:val=""/>
      <w:lvlJc w:val="left"/>
      <w:pPr>
        <w:ind w:left="720" w:hanging="360"/>
      </w:pPr>
      <w:rPr>
        <w:rFonts w:ascii="Symbol" w:hAnsi="Symbol" w:hint="default"/>
      </w:rPr>
    </w:lvl>
    <w:lvl w:ilvl="1" w:tplc="43463484">
      <w:numFmt w:val="bullet"/>
      <w:lvlText w:val="—"/>
      <w:lvlJc w:val="left"/>
      <w:pPr>
        <w:ind w:left="1440" w:hanging="360"/>
      </w:pPr>
      <w:rPr>
        <w:rFonts w:ascii="Times New Roman" w:eastAsia="PMingLiU"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CE270A"/>
    <w:multiLevelType w:val="multilevel"/>
    <w:tmpl w:val="589A603A"/>
    <w:lvl w:ilvl="0">
      <w:start w:val="1"/>
      <w:numFmt w:val="bullet"/>
      <w:pStyle w:val="ASpecialBullet3"/>
      <w:lvlText w:val=""/>
      <w:lvlJc w:val="left"/>
      <w:pPr>
        <w:tabs>
          <w:tab w:val="num" w:pos="2041"/>
        </w:tabs>
        <w:ind w:left="2041" w:hanging="68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0B01AB9"/>
    <w:multiLevelType w:val="hybridMultilevel"/>
    <w:tmpl w:val="D5AE0E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33A57D70"/>
    <w:multiLevelType w:val="hybridMultilevel"/>
    <w:tmpl w:val="EB387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5C6592"/>
    <w:multiLevelType w:val="hybridMultilevel"/>
    <w:tmpl w:val="C95EC7F6"/>
    <w:lvl w:ilvl="0" w:tplc="08130001">
      <w:start w:val="1"/>
      <w:numFmt w:val="bullet"/>
      <w:lvlText w:val=""/>
      <w:lvlJc w:val="left"/>
      <w:pPr>
        <w:ind w:left="1577" w:hanging="360"/>
      </w:pPr>
      <w:rPr>
        <w:rFonts w:ascii="Symbol" w:hAnsi="Symbol" w:hint="default"/>
      </w:rPr>
    </w:lvl>
    <w:lvl w:ilvl="1" w:tplc="08130003" w:tentative="1">
      <w:start w:val="1"/>
      <w:numFmt w:val="bullet"/>
      <w:lvlText w:val="o"/>
      <w:lvlJc w:val="left"/>
      <w:pPr>
        <w:ind w:left="2297" w:hanging="360"/>
      </w:pPr>
      <w:rPr>
        <w:rFonts w:ascii="Courier New" w:hAnsi="Courier New" w:cs="Courier New" w:hint="default"/>
      </w:rPr>
    </w:lvl>
    <w:lvl w:ilvl="2" w:tplc="08130005" w:tentative="1">
      <w:start w:val="1"/>
      <w:numFmt w:val="bullet"/>
      <w:lvlText w:val=""/>
      <w:lvlJc w:val="left"/>
      <w:pPr>
        <w:ind w:left="3017" w:hanging="360"/>
      </w:pPr>
      <w:rPr>
        <w:rFonts w:ascii="Wingdings" w:hAnsi="Wingdings" w:hint="default"/>
      </w:rPr>
    </w:lvl>
    <w:lvl w:ilvl="3" w:tplc="08130001" w:tentative="1">
      <w:start w:val="1"/>
      <w:numFmt w:val="bullet"/>
      <w:lvlText w:val=""/>
      <w:lvlJc w:val="left"/>
      <w:pPr>
        <w:ind w:left="3737" w:hanging="360"/>
      </w:pPr>
      <w:rPr>
        <w:rFonts w:ascii="Symbol" w:hAnsi="Symbol" w:hint="default"/>
      </w:rPr>
    </w:lvl>
    <w:lvl w:ilvl="4" w:tplc="08130003" w:tentative="1">
      <w:start w:val="1"/>
      <w:numFmt w:val="bullet"/>
      <w:lvlText w:val="o"/>
      <w:lvlJc w:val="left"/>
      <w:pPr>
        <w:ind w:left="4457" w:hanging="360"/>
      </w:pPr>
      <w:rPr>
        <w:rFonts w:ascii="Courier New" w:hAnsi="Courier New" w:cs="Courier New" w:hint="default"/>
      </w:rPr>
    </w:lvl>
    <w:lvl w:ilvl="5" w:tplc="08130005" w:tentative="1">
      <w:start w:val="1"/>
      <w:numFmt w:val="bullet"/>
      <w:lvlText w:val=""/>
      <w:lvlJc w:val="left"/>
      <w:pPr>
        <w:ind w:left="5177" w:hanging="360"/>
      </w:pPr>
      <w:rPr>
        <w:rFonts w:ascii="Wingdings" w:hAnsi="Wingdings" w:hint="default"/>
      </w:rPr>
    </w:lvl>
    <w:lvl w:ilvl="6" w:tplc="08130001" w:tentative="1">
      <w:start w:val="1"/>
      <w:numFmt w:val="bullet"/>
      <w:lvlText w:val=""/>
      <w:lvlJc w:val="left"/>
      <w:pPr>
        <w:ind w:left="5897" w:hanging="360"/>
      </w:pPr>
      <w:rPr>
        <w:rFonts w:ascii="Symbol" w:hAnsi="Symbol" w:hint="default"/>
      </w:rPr>
    </w:lvl>
    <w:lvl w:ilvl="7" w:tplc="08130003" w:tentative="1">
      <w:start w:val="1"/>
      <w:numFmt w:val="bullet"/>
      <w:lvlText w:val="o"/>
      <w:lvlJc w:val="left"/>
      <w:pPr>
        <w:ind w:left="6617" w:hanging="360"/>
      </w:pPr>
      <w:rPr>
        <w:rFonts w:ascii="Courier New" w:hAnsi="Courier New" w:cs="Courier New" w:hint="default"/>
      </w:rPr>
    </w:lvl>
    <w:lvl w:ilvl="8" w:tplc="08130005" w:tentative="1">
      <w:start w:val="1"/>
      <w:numFmt w:val="bullet"/>
      <w:lvlText w:val=""/>
      <w:lvlJc w:val="left"/>
      <w:pPr>
        <w:ind w:left="7337" w:hanging="360"/>
      </w:pPr>
      <w:rPr>
        <w:rFonts w:ascii="Wingdings" w:hAnsi="Wingdings" w:hint="default"/>
      </w:rPr>
    </w:lvl>
  </w:abstractNum>
  <w:abstractNum w:abstractNumId="37" w15:restartNumberingAfterBreak="0">
    <w:nsid w:val="34705D16"/>
    <w:multiLevelType w:val="singleLevel"/>
    <w:tmpl w:val="6038B2CC"/>
    <w:lvl w:ilvl="0">
      <w:start w:val="1"/>
      <w:numFmt w:val="lowerLetter"/>
      <w:pStyle w:val="ASpecialLowerCaseAlpha3"/>
      <w:lvlText w:val="(%1)"/>
      <w:lvlJc w:val="left"/>
      <w:pPr>
        <w:tabs>
          <w:tab w:val="num" w:pos="2041"/>
        </w:tabs>
        <w:ind w:left="2041" w:hanging="680"/>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8" w15:restartNumberingAfterBreak="0">
    <w:nsid w:val="34A5631E"/>
    <w:multiLevelType w:val="multilevel"/>
    <w:tmpl w:val="3424D940"/>
    <w:lvl w:ilvl="0">
      <w:start w:val="1"/>
      <w:numFmt w:val="upperLetter"/>
      <w:pStyle w:val="ASpecialUpperCaseAlpha2"/>
      <w:lvlText w:val="%1."/>
      <w:lvlJc w:val="left"/>
      <w:pPr>
        <w:tabs>
          <w:tab w:val="num" w:pos="1361"/>
        </w:tabs>
        <w:ind w:left="1361" w:hanging="681"/>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355A7EE4"/>
    <w:multiLevelType w:val="hybridMultilevel"/>
    <w:tmpl w:val="8F2E74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37614357"/>
    <w:multiLevelType w:val="hybridMultilevel"/>
    <w:tmpl w:val="DF2C2A00"/>
    <w:lvl w:ilvl="0" w:tplc="08130001">
      <w:start w:val="1"/>
      <w:numFmt w:val="bullet"/>
      <w:lvlText w:val=""/>
      <w:lvlJc w:val="left"/>
      <w:pPr>
        <w:ind w:left="1217" w:hanging="360"/>
      </w:pPr>
      <w:rPr>
        <w:rFonts w:ascii="Symbol" w:hAnsi="Symbol" w:hint="default"/>
      </w:rPr>
    </w:lvl>
    <w:lvl w:ilvl="1" w:tplc="151658D4">
      <w:start w:val="6"/>
      <w:numFmt w:val="bullet"/>
      <w:lvlText w:val="·"/>
      <w:lvlJc w:val="left"/>
      <w:pPr>
        <w:ind w:left="1937" w:hanging="360"/>
      </w:pPr>
      <w:rPr>
        <w:rFonts w:ascii="Times New Roman" w:eastAsia="Times New Roman" w:hAnsi="Times New Roman" w:cs="Times New Roman" w:hint="default"/>
      </w:rPr>
    </w:lvl>
    <w:lvl w:ilvl="2" w:tplc="B608E08C">
      <w:numFmt w:val="bullet"/>
      <w:lvlText w:val="•"/>
      <w:lvlJc w:val="left"/>
      <w:pPr>
        <w:ind w:left="2882" w:hanging="585"/>
      </w:pPr>
      <w:rPr>
        <w:rFonts w:ascii="Times New Roman" w:eastAsia="Times New Roman" w:hAnsi="Times New Roman" w:cs="Times New Roman" w:hint="default"/>
      </w:rPr>
    </w:lvl>
    <w:lvl w:ilvl="3" w:tplc="08130001" w:tentative="1">
      <w:start w:val="1"/>
      <w:numFmt w:val="bullet"/>
      <w:lvlText w:val=""/>
      <w:lvlJc w:val="left"/>
      <w:pPr>
        <w:ind w:left="3377" w:hanging="360"/>
      </w:pPr>
      <w:rPr>
        <w:rFonts w:ascii="Symbol" w:hAnsi="Symbol" w:hint="default"/>
      </w:rPr>
    </w:lvl>
    <w:lvl w:ilvl="4" w:tplc="08130003" w:tentative="1">
      <w:start w:val="1"/>
      <w:numFmt w:val="bullet"/>
      <w:lvlText w:val="o"/>
      <w:lvlJc w:val="left"/>
      <w:pPr>
        <w:ind w:left="4097" w:hanging="360"/>
      </w:pPr>
      <w:rPr>
        <w:rFonts w:ascii="Courier New" w:hAnsi="Courier New" w:cs="Courier New" w:hint="default"/>
      </w:rPr>
    </w:lvl>
    <w:lvl w:ilvl="5" w:tplc="08130005" w:tentative="1">
      <w:start w:val="1"/>
      <w:numFmt w:val="bullet"/>
      <w:lvlText w:val=""/>
      <w:lvlJc w:val="left"/>
      <w:pPr>
        <w:ind w:left="4817" w:hanging="360"/>
      </w:pPr>
      <w:rPr>
        <w:rFonts w:ascii="Wingdings" w:hAnsi="Wingdings" w:hint="default"/>
      </w:rPr>
    </w:lvl>
    <w:lvl w:ilvl="6" w:tplc="08130001" w:tentative="1">
      <w:start w:val="1"/>
      <w:numFmt w:val="bullet"/>
      <w:lvlText w:val=""/>
      <w:lvlJc w:val="left"/>
      <w:pPr>
        <w:ind w:left="5537" w:hanging="360"/>
      </w:pPr>
      <w:rPr>
        <w:rFonts w:ascii="Symbol" w:hAnsi="Symbol" w:hint="default"/>
      </w:rPr>
    </w:lvl>
    <w:lvl w:ilvl="7" w:tplc="08130003" w:tentative="1">
      <w:start w:val="1"/>
      <w:numFmt w:val="bullet"/>
      <w:lvlText w:val="o"/>
      <w:lvlJc w:val="left"/>
      <w:pPr>
        <w:ind w:left="6257" w:hanging="360"/>
      </w:pPr>
      <w:rPr>
        <w:rFonts w:ascii="Courier New" w:hAnsi="Courier New" w:cs="Courier New" w:hint="default"/>
      </w:rPr>
    </w:lvl>
    <w:lvl w:ilvl="8" w:tplc="08130005" w:tentative="1">
      <w:start w:val="1"/>
      <w:numFmt w:val="bullet"/>
      <w:lvlText w:val=""/>
      <w:lvlJc w:val="left"/>
      <w:pPr>
        <w:ind w:left="6977" w:hanging="360"/>
      </w:pPr>
      <w:rPr>
        <w:rFonts w:ascii="Wingdings" w:hAnsi="Wingdings" w:hint="default"/>
      </w:rPr>
    </w:lvl>
  </w:abstractNum>
  <w:abstractNum w:abstractNumId="41" w15:restartNumberingAfterBreak="0">
    <w:nsid w:val="386006ED"/>
    <w:multiLevelType w:val="singleLevel"/>
    <w:tmpl w:val="0F0487AA"/>
    <w:lvl w:ilvl="0">
      <w:start w:val="1"/>
      <w:numFmt w:val="lowerLetter"/>
      <w:pStyle w:val="ASpecialLowerCaseAlpha6"/>
      <w:lvlText w:val="(%1)"/>
      <w:lvlJc w:val="left"/>
      <w:pPr>
        <w:tabs>
          <w:tab w:val="num" w:pos="3969"/>
        </w:tabs>
        <w:ind w:left="3969" w:hanging="681"/>
      </w:pPr>
      <w:rPr>
        <w:rFonts w:asciiTheme="minorHAnsi" w:hAnsiTheme="minorHAnsi" w:cs="Times New Roman" w:hint="default"/>
        <w:b w:val="0"/>
        <w:i w:val="0"/>
        <w:sz w:val="20"/>
      </w:rPr>
    </w:lvl>
  </w:abstractNum>
  <w:abstractNum w:abstractNumId="42" w15:restartNumberingAfterBreak="0">
    <w:nsid w:val="3ACC5270"/>
    <w:multiLevelType w:val="multilevel"/>
    <w:tmpl w:val="8FD8E7EC"/>
    <w:lvl w:ilvl="0">
      <w:start w:val="1"/>
      <w:numFmt w:val="bullet"/>
      <w:pStyle w:val="ASpecialBullet1"/>
      <w:lvlText w:val=""/>
      <w:lvlJc w:val="left"/>
      <w:pPr>
        <w:tabs>
          <w:tab w:val="num" w:pos="680"/>
        </w:tabs>
        <w:ind w:left="680" w:hanging="68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B403D3F"/>
    <w:multiLevelType w:val="hybridMultilevel"/>
    <w:tmpl w:val="D8EED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4D6D45"/>
    <w:multiLevelType w:val="hybridMultilevel"/>
    <w:tmpl w:val="7C0408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3D745A4A"/>
    <w:multiLevelType w:val="multilevel"/>
    <w:tmpl w:val="4104CA64"/>
    <w:lvl w:ilvl="0">
      <w:start w:val="1"/>
      <w:numFmt w:val="decimal"/>
      <w:pStyle w:val="Schedule"/>
      <w:suff w:val="nothing"/>
      <w:lvlText w:val="Schedule %1"/>
      <w:lvlJc w:val="left"/>
      <w:pPr>
        <w:ind w:left="0" w:firstLine="0"/>
      </w:pPr>
      <w:rPr>
        <w:rFonts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3FBC403A"/>
    <w:multiLevelType w:val="multilevel"/>
    <w:tmpl w:val="1BC834F8"/>
    <w:lvl w:ilvl="0">
      <w:start w:val="1"/>
      <w:numFmt w:val="upperLetter"/>
      <w:pStyle w:val="ASpecialUpperCaseAlpha5"/>
      <w:lvlText w:val="%1."/>
      <w:lvlJc w:val="left"/>
      <w:pPr>
        <w:tabs>
          <w:tab w:val="num" w:pos="3288"/>
        </w:tabs>
        <w:ind w:left="3288" w:hanging="680"/>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418B20BF"/>
    <w:multiLevelType w:val="singleLevel"/>
    <w:tmpl w:val="60145884"/>
    <w:lvl w:ilvl="0">
      <w:start w:val="1"/>
      <w:numFmt w:val="lowerLetter"/>
      <w:lvlText w:val="(%1)"/>
      <w:lvlJc w:val="left"/>
      <w:pPr>
        <w:tabs>
          <w:tab w:val="num" w:pos="1361"/>
        </w:tabs>
        <w:ind w:left="1361" w:hanging="681"/>
      </w:pPr>
      <w:rPr>
        <w:rFonts w:ascii="Times New Roman" w:hAnsi="Times New Roman" w:cs="Times New Roman" w:hint="default"/>
        <w:b w:val="0"/>
        <w:i w:val="0"/>
        <w:sz w:val="18"/>
        <w:szCs w:val="18"/>
      </w:rPr>
    </w:lvl>
  </w:abstractNum>
  <w:abstractNum w:abstractNumId="48" w15:restartNumberingAfterBreak="0">
    <w:nsid w:val="42FA2C1B"/>
    <w:multiLevelType w:val="multilevel"/>
    <w:tmpl w:val="22E4E544"/>
    <w:lvl w:ilvl="0">
      <w:start w:val="1"/>
      <w:numFmt w:val="bullet"/>
      <w:pStyle w:val="ASpecialDashBullet3"/>
      <w:lvlText w:val=""/>
      <w:lvlJc w:val="left"/>
      <w:pPr>
        <w:tabs>
          <w:tab w:val="num" w:pos="2041"/>
        </w:tabs>
        <w:ind w:left="2041" w:hanging="680"/>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56C0A97"/>
    <w:multiLevelType w:val="hybridMultilevel"/>
    <w:tmpl w:val="FFA85E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48133497"/>
    <w:multiLevelType w:val="singleLevel"/>
    <w:tmpl w:val="60145884"/>
    <w:lvl w:ilvl="0">
      <w:start w:val="1"/>
      <w:numFmt w:val="lowerLetter"/>
      <w:lvlText w:val="(%1)"/>
      <w:lvlJc w:val="left"/>
      <w:pPr>
        <w:tabs>
          <w:tab w:val="num" w:pos="1361"/>
        </w:tabs>
        <w:ind w:left="1361" w:hanging="681"/>
      </w:pPr>
      <w:rPr>
        <w:rFonts w:ascii="Times New Roman" w:hAnsi="Times New Roman" w:cs="Times New Roman" w:hint="default"/>
        <w:b w:val="0"/>
        <w:i w:val="0"/>
        <w:sz w:val="18"/>
        <w:szCs w:val="18"/>
      </w:rPr>
    </w:lvl>
  </w:abstractNum>
  <w:abstractNum w:abstractNumId="51" w15:restartNumberingAfterBreak="0">
    <w:nsid w:val="489E2B64"/>
    <w:multiLevelType w:val="multilevel"/>
    <w:tmpl w:val="1A2ED6CC"/>
    <w:lvl w:ilvl="0">
      <w:start w:val="1"/>
      <w:numFmt w:val="bullet"/>
      <w:pStyle w:val="ASpecialDashBullet2"/>
      <w:lvlText w:val=""/>
      <w:lvlJc w:val="left"/>
      <w:pPr>
        <w:tabs>
          <w:tab w:val="num" w:pos="1361"/>
        </w:tabs>
        <w:ind w:left="1361" w:hanging="681"/>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8B45CA5"/>
    <w:multiLevelType w:val="hybridMultilevel"/>
    <w:tmpl w:val="D466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8B92F25"/>
    <w:multiLevelType w:val="hybridMultilevel"/>
    <w:tmpl w:val="B922BC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7E0A68"/>
    <w:multiLevelType w:val="hybridMultilevel"/>
    <w:tmpl w:val="E74A81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4A9748FD"/>
    <w:multiLevelType w:val="hybridMultilevel"/>
    <w:tmpl w:val="94A62A24"/>
    <w:lvl w:ilvl="0" w:tplc="CC72BD2A">
      <w:numFmt w:val="bullet"/>
      <w:pStyle w:val="VulcanIIbullet"/>
      <w:lvlText w:val="•"/>
      <w:lvlJc w:val="left"/>
      <w:pPr>
        <w:ind w:left="1701" w:hanging="360"/>
      </w:pPr>
      <w:rPr>
        <w:rFonts w:ascii="Times New Roman" w:eastAsia="Times New Roman" w:hAnsi="Times New Roman" w:cs="Times New Roman" w:hint="default"/>
      </w:rPr>
    </w:lvl>
    <w:lvl w:ilvl="1" w:tplc="08130003" w:tentative="1">
      <w:start w:val="1"/>
      <w:numFmt w:val="bullet"/>
      <w:lvlText w:val="o"/>
      <w:lvlJc w:val="left"/>
      <w:pPr>
        <w:ind w:left="2421" w:hanging="360"/>
      </w:pPr>
      <w:rPr>
        <w:rFonts w:ascii="Courier New" w:hAnsi="Courier New" w:cs="Courier New" w:hint="default"/>
      </w:rPr>
    </w:lvl>
    <w:lvl w:ilvl="2" w:tplc="08130005" w:tentative="1">
      <w:start w:val="1"/>
      <w:numFmt w:val="bullet"/>
      <w:lvlText w:val=""/>
      <w:lvlJc w:val="left"/>
      <w:pPr>
        <w:ind w:left="3141" w:hanging="360"/>
      </w:pPr>
      <w:rPr>
        <w:rFonts w:ascii="Wingdings" w:hAnsi="Wingdings" w:hint="default"/>
      </w:rPr>
    </w:lvl>
    <w:lvl w:ilvl="3" w:tplc="08130001" w:tentative="1">
      <w:start w:val="1"/>
      <w:numFmt w:val="bullet"/>
      <w:lvlText w:val=""/>
      <w:lvlJc w:val="left"/>
      <w:pPr>
        <w:ind w:left="3861" w:hanging="360"/>
      </w:pPr>
      <w:rPr>
        <w:rFonts w:ascii="Symbol" w:hAnsi="Symbol" w:hint="default"/>
      </w:rPr>
    </w:lvl>
    <w:lvl w:ilvl="4" w:tplc="08130003" w:tentative="1">
      <w:start w:val="1"/>
      <w:numFmt w:val="bullet"/>
      <w:lvlText w:val="o"/>
      <w:lvlJc w:val="left"/>
      <w:pPr>
        <w:ind w:left="4581" w:hanging="360"/>
      </w:pPr>
      <w:rPr>
        <w:rFonts w:ascii="Courier New" w:hAnsi="Courier New" w:cs="Courier New" w:hint="default"/>
      </w:rPr>
    </w:lvl>
    <w:lvl w:ilvl="5" w:tplc="08130005" w:tentative="1">
      <w:start w:val="1"/>
      <w:numFmt w:val="bullet"/>
      <w:lvlText w:val=""/>
      <w:lvlJc w:val="left"/>
      <w:pPr>
        <w:ind w:left="5301" w:hanging="360"/>
      </w:pPr>
      <w:rPr>
        <w:rFonts w:ascii="Wingdings" w:hAnsi="Wingdings" w:hint="default"/>
      </w:rPr>
    </w:lvl>
    <w:lvl w:ilvl="6" w:tplc="08130001" w:tentative="1">
      <w:start w:val="1"/>
      <w:numFmt w:val="bullet"/>
      <w:lvlText w:val=""/>
      <w:lvlJc w:val="left"/>
      <w:pPr>
        <w:ind w:left="6021" w:hanging="360"/>
      </w:pPr>
      <w:rPr>
        <w:rFonts w:ascii="Symbol" w:hAnsi="Symbol" w:hint="default"/>
      </w:rPr>
    </w:lvl>
    <w:lvl w:ilvl="7" w:tplc="08130003" w:tentative="1">
      <w:start w:val="1"/>
      <w:numFmt w:val="bullet"/>
      <w:lvlText w:val="o"/>
      <w:lvlJc w:val="left"/>
      <w:pPr>
        <w:ind w:left="6741" w:hanging="360"/>
      </w:pPr>
      <w:rPr>
        <w:rFonts w:ascii="Courier New" w:hAnsi="Courier New" w:cs="Courier New" w:hint="default"/>
      </w:rPr>
    </w:lvl>
    <w:lvl w:ilvl="8" w:tplc="08130005" w:tentative="1">
      <w:start w:val="1"/>
      <w:numFmt w:val="bullet"/>
      <w:lvlText w:val=""/>
      <w:lvlJc w:val="left"/>
      <w:pPr>
        <w:ind w:left="7461" w:hanging="360"/>
      </w:pPr>
      <w:rPr>
        <w:rFonts w:ascii="Wingdings" w:hAnsi="Wingdings" w:hint="default"/>
      </w:rPr>
    </w:lvl>
  </w:abstractNum>
  <w:abstractNum w:abstractNumId="56" w15:restartNumberingAfterBreak="0">
    <w:nsid w:val="4E6D7BFA"/>
    <w:multiLevelType w:val="singleLevel"/>
    <w:tmpl w:val="E84E7D0C"/>
    <w:lvl w:ilvl="0">
      <w:start w:val="1"/>
      <w:numFmt w:val="lowerLetter"/>
      <w:pStyle w:val="ASpecialLowerCaseAlpha5"/>
      <w:lvlText w:val="(%1)"/>
      <w:lvlJc w:val="left"/>
      <w:pPr>
        <w:tabs>
          <w:tab w:val="num" w:pos="3288"/>
        </w:tabs>
        <w:ind w:left="3288" w:hanging="680"/>
      </w:pPr>
      <w:rPr>
        <w:rFonts w:asciiTheme="minorHAnsi" w:hAnsiTheme="minorHAnsi" w:cs="Times New Roman" w:hint="default"/>
        <w:b w:val="0"/>
        <w:i w:val="0"/>
        <w:sz w:val="20"/>
      </w:rPr>
    </w:lvl>
  </w:abstractNum>
  <w:abstractNum w:abstractNumId="57" w15:restartNumberingAfterBreak="0">
    <w:nsid w:val="4F524937"/>
    <w:multiLevelType w:val="hybridMultilevel"/>
    <w:tmpl w:val="F5484D9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512A7C3C"/>
    <w:multiLevelType w:val="singleLevel"/>
    <w:tmpl w:val="A078A64A"/>
    <w:lvl w:ilvl="0">
      <w:start w:val="1"/>
      <w:numFmt w:val="lowerLetter"/>
      <w:pStyle w:val="ASpecialLowerCaseAlpha1"/>
      <w:lvlText w:val="(%1)"/>
      <w:lvlJc w:val="left"/>
      <w:pPr>
        <w:tabs>
          <w:tab w:val="num" w:pos="680"/>
        </w:tabs>
        <w:ind w:left="680" w:hanging="680"/>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9" w15:restartNumberingAfterBreak="0">
    <w:nsid w:val="55F728E2"/>
    <w:multiLevelType w:val="multilevel"/>
    <w:tmpl w:val="33EC5EA0"/>
    <w:lvl w:ilvl="0">
      <w:start w:val="1"/>
      <w:numFmt w:val="upperRoman"/>
      <w:pStyle w:val="ASpecialUpperCaseRoman2"/>
      <w:lvlText w:val="%1."/>
      <w:lvlJc w:val="left"/>
      <w:pPr>
        <w:tabs>
          <w:tab w:val="num" w:pos="1361"/>
        </w:tabs>
        <w:ind w:left="1361" w:hanging="681"/>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56E26FEF"/>
    <w:multiLevelType w:val="singleLevel"/>
    <w:tmpl w:val="5214277A"/>
    <w:lvl w:ilvl="0">
      <w:start w:val="1"/>
      <w:numFmt w:val="lowerRoman"/>
      <w:pStyle w:val="ASpecialLowerCaseRoman4"/>
      <w:lvlText w:val="(%1)"/>
      <w:lvlJc w:val="left"/>
      <w:pPr>
        <w:tabs>
          <w:tab w:val="num" w:pos="2835"/>
        </w:tabs>
        <w:ind w:left="2835" w:hanging="567"/>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1" w15:restartNumberingAfterBreak="0">
    <w:nsid w:val="57940BE1"/>
    <w:multiLevelType w:val="singleLevel"/>
    <w:tmpl w:val="FC447812"/>
    <w:lvl w:ilvl="0">
      <w:start w:val="1"/>
      <w:numFmt w:val="lowerRoman"/>
      <w:pStyle w:val="Roman2-i"/>
      <w:lvlText w:val="(%1)"/>
      <w:lvlJc w:val="left"/>
      <w:pPr>
        <w:tabs>
          <w:tab w:val="num" w:pos="1145"/>
        </w:tabs>
        <w:ind w:left="992" w:hanging="567"/>
      </w:pPr>
    </w:lvl>
  </w:abstractNum>
  <w:abstractNum w:abstractNumId="62" w15:restartNumberingAfterBreak="0">
    <w:nsid w:val="5AF711EC"/>
    <w:multiLevelType w:val="singleLevel"/>
    <w:tmpl w:val="B840F3E4"/>
    <w:lvl w:ilvl="0">
      <w:start w:val="1"/>
      <w:numFmt w:val="lowerRoman"/>
      <w:pStyle w:val="ASpecialLowerCaseRoman1"/>
      <w:lvlText w:val="(%1)"/>
      <w:lvlJc w:val="left"/>
      <w:pPr>
        <w:tabs>
          <w:tab w:val="num" w:pos="680"/>
        </w:tabs>
        <w:ind w:left="680" w:hanging="680"/>
      </w:pPr>
      <w:rPr>
        <w:rFonts w:asciiTheme="minorHAnsi" w:hAnsiTheme="minorHAnsi" w:cs="Times New Roman" w:hint="default"/>
        <w:b w:val="0"/>
        <w:i w:val="0"/>
        <w:sz w:val="20"/>
      </w:rPr>
    </w:lvl>
  </w:abstractNum>
  <w:abstractNum w:abstractNumId="63" w15:restartNumberingAfterBreak="0">
    <w:nsid w:val="5BBE5EFB"/>
    <w:multiLevelType w:val="hybridMultilevel"/>
    <w:tmpl w:val="FD9A8B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5BEC2601"/>
    <w:multiLevelType w:val="hybridMultilevel"/>
    <w:tmpl w:val="7E4C89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5DB40D3E"/>
    <w:multiLevelType w:val="multilevel"/>
    <w:tmpl w:val="36AE117C"/>
    <w:lvl w:ilvl="0">
      <w:start w:val="1"/>
      <w:numFmt w:val="none"/>
      <w:lvlRestart w:val="0"/>
      <w:pStyle w:val="Definition"/>
      <w:suff w:val="nothing"/>
      <w:lvlText w:val="%1"/>
      <w:lvlJc w:val="left"/>
      <w:pPr>
        <w:ind w:left="720" w:firstLine="0"/>
      </w:pPr>
      <w:rPr>
        <w:rFonts w:hint="default"/>
      </w:rPr>
    </w:lvl>
    <w:lvl w:ilvl="1">
      <w:start w:val="1"/>
      <w:numFmt w:val="lowerLetter"/>
      <w:pStyle w:val="Definitiona"/>
      <w:lvlText w:val="(%2)"/>
      <w:lvlJc w:val="left"/>
      <w:pPr>
        <w:tabs>
          <w:tab w:val="num" w:pos="1440"/>
        </w:tabs>
        <w:ind w:left="1440" w:hanging="720"/>
      </w:pPr>
      <w:rPr>
        <w:rFonts w:hint="default"/>
      </w:rPr>
    </w:lvl>
    <w:lvl w:ilvl="2">
      <w:start w:val="1"/>
      <w:numFmt w:val="lowerRoman"/>
      <w:pStyle w:val="Definitioni"/>
      <w:lvlText w:val="(%3)"/>
      <w:lvlJc w:val="left"/>
      <w:pPr>
        <w:tabs>
          <w:tab w:val="num" w:pos="2160"/>
        </w:tabs>
        <w:ind w:left="2160" w:hanging="720"/>
      </w:pPr>
      <w:rPr>
        <w:rFonts w:hint="default"/>
        <w:b w:val="0"/>
        <w:i w:val="0"/>
      </w:rPr>
    </w:lvl>
    <w:lvl w:ilvl="3">
      <w:start w:val="27"/>
      <w:numFmt w:val="none"/>
      <w:lvlText w:val=""/>
      <w:lvlJc w:val="left"/>
      <w:pPr>
        <w:tabs>
          <w:tab w:val="num" w:pos="360"/>
        </w:tabs>
        <w:ind w:left="0" w:firstLine="0"/>
      </w:pPr>
      <w:rPr>
        <w:rFonts w:hint="default"/>
      </w:rPr>
    </w:lvl>
    <w:lvl w:ilvl="4">
      <w:start w:val="1"/>
      <w:numFmt w:val="none"/>
      <w:lvlText w:val=""/>
      <w:lvlJc w:val="left"/>
      <w:pPr>
        <w:tabs>
          <w:tab w:val="num" w:pos="360"/>
        </w:tabs>
        <w:ind w:left="0" w:firstLine="0"/>
      </w:pPr>
      <w:rPr>
        <w:rFonts w:hint="default"/>
      </w:rPr>
    </w:lvl>
    <w:lvl w:ilvl="5">
      <w:start w:val="27"/>
      <w:numFmt w:val="none"/>
      <w:lvlText w:val=""/>
      <w:lvlJc w:val="left"/>
      <w:pPr>
        <w:tabs>
          <w:tab w:val="num" w:pos="357"/>
        </w:tabs>
        <w:ind w:left="0" w:firstLine="0"/>
      </w:pPr>
      <w:rPr>
        <w:rFonts w:hint="default"/>
      </w:rPr>
    </w:lvl>
    <w:lvl w:ilvl="6">
      <w:start w:val="1"/>
      <w:numFmt w:val="none"/>
      <w:lvlText w:val=""/>
      <w:lvlJc w:val="left"/>
      <w:pPr>
        <w:tabs>
          <w:tab w:val="num" w:pos="357"/>
        </w:tabs>
        <w:ind w:left="1296" w:hanging="1296"/>
      </w:pPr>
      <w:rPr>
        <w:rFonts w:hint="default"/>
      </w:rPr>
    </w:lvl>
    <w:lvl w:ilvl="7">
      <w:start w:val="1"/>
      <w:numFmt w:val="none"/>
      <w:lvlText w:val=""/>
      <w:lvlJc w:val="left"/>
      <w:pPr>
        <w:tabs>
          <w:tab w:val="num" w:pos="357"/>
        </w:tabs>
        <w:ind w:left="0" w:firstLine="0"/>
      </w:pPr>
      <w:rPr>
        <w:rFonts w:hint="default"/>
      </w:rPr>
    </w:lvl>
    <w:lvl w:ilvl="8">
      <w:start w:val="1"/>
      <w:numFmt w:val="none"/>
      <w:lvlText w:val="%1%9"/>
      <w:lvlJc w:val="left"/>
      <w:pPr>
        <w:tabs>
          <w:tab w:val="num" w:pos="357"/>
        </w:tabs>
        <w:ind w:left="0" w:firstLine="0"/>
      </w:pPr>
      <w:rPr>
        <w:rFonts w:hint="default"/>
      </w:rPr>
    </w:lvl>
  </w:abstractNum>
  <w:abstractNum w:abstractNumId="66" w15:restartNumberingAfterBreak="0">
    <w:nsid w:val="5FCB4379"/>
    <w:multiLevelType w:val="multilevel"/>
    <w:tmpl w:val="661EFFC8"/>
    <w:lvl w:ilvl="0">
      <w:start w:val="1"/>
      <w:numFmt w:val="upperLetter"/>
      <w:pStyle w:val="ARecitals"/>
      <w:lvlText w:val="(%1)"/>
      <w:lvlJc w:val="left"/>
      <w:pPr>
        <w:tabs>
          <w:tab w:val="num" w:pos="680"/>
        </w:tabs>
        <w:ind w:left="680" w:hanging="6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5FE51991"/>
    <w:multiLevelType w:val="multilevel"/>
    <w:tmpl w:val="033207DE"/>
    <w:lvl w:ilvl="0">
      <w:start w:val="1"/>
      <w:numFmt w:val="bullet"/>
      <w:pStyle w:val="ASpecialDashBullet1"/>
      <w:lvlText w:val=""/>
      <w:lvlJc w:val="left"/>
      <w:pPr>
        <w:tabs>
          <w:tab w:val="num" w:pos="680"/>
        </w:tabs>
        <w:ind w:left="680" w:hanging="680"/>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FF63CB0"/>
    <w:multiLevelType w:val="multilevel"/>
    <w:tmpl w:val="12A6CBB6"/>
    <w:lvl w:ilvl="0">
      <w:start w:val="1"/>
      <w:numFmt w:val="bullet"/>
      <w:pStyle w:val="ASpecialBullet2"/>
      <w:lvlText w:val=""/>
      <w:lvlJc w:val="left"/>
      <w:pPr>
        <w:tabs>
          <w:tab w:val="num" w:pos="1361"/>
        </w:tabs>
        <w:ind w:left="1361" w:hanging="681"/>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0100950"/>
    <w:multiLevelType w:val="hybridMultilevel"/>
    <w:tmpl w:val="2CDEAD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62215270"/>
    <w:multiLevelType w:val="singleLevel"/>
    <w:tmpl w:val="D0EC6CD0"/>
    <w:lvl w:ilvl="0">
      <w:start w:val="1"/>
      <w:numFmt w:val="lowerRoman"/>
      <w:pStyle w:val="ASpecialLowerCaseRoman3"/>
      <w:lvlText w:val="(%1)"/>
      <w:lvlJc w:val="left"/>
      <w:pPr>
        <w:tabs>
          <w:tab w:val="num" w:pos="2041"/>
        </w:tabs>
        <w:ind w:left="2041" w:hanging="680"/>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1" w15:restartNumberingAfterBreak="0">
    <w:nsid w:val="62B61F64"/>
    <w:multiLevelType w:val="multilevel"/>
    <w:tmpl w:val="D366950A"/>
    <w:lvl w:ilvl="0">
      <w:start w:val="1"/>
      <w:numFmt w:val="bullet"/>
      <w:pStyle w:val="ASpecialBullet6"/>
      <w:lvlText w:val=""/>
      <w:lvlJc w:val="left"/>
      <w:pPr>
        <w:tabs>
          <w:tab w:val="num" w:pos="3969"/>
        </w:tabs>
        <w:ind w:left="3969" w:hanging="681"/>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42C3D14"/>
    <w:multiLevelType w:val="hybridMultilevel"/>
    <w:tmpl w:val="45AA050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15:restartNumberingAfterBreak="0">
    <w:nsid w:val="64C47EA1"/>
    <w:multiLevelType w:val="singleLevel"/>
    <w:tmpl w:val="E57EB116"/>
    <w:lvl w:ilvl="0">
      <w:start w:val="1"/>
      <w:numFmt w:val="lowerRoman"/>
      <w:pStyle w:val="ATableRoman"/>
      <w:lvlText w:val="(%1)"/>
      <w:lvlJc w:val="left"/>
      <w:pPr>
        <w:tabs>
          <w:tab w:val="num" w:pos="680"/>
        </w:tabs>
        <w:ind w:left="680" w:hanging="680"/>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4" w15:restartNumberingAfterBreak="0">
    <w:nsid w:val="675F6901"/>
    <w:multiLevelType w:val="hybridMultilevel"/>
    <w:tmpl w:val="116CBC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5" w15:restartNumberingAfterBreak="0">
    <w:nsid w:val="68096D3A"/>
    <w:multiLevelType w:val="multilevel"/>
    <w:tmpl w:val="E26041BC"/>
    <w:lvl w:ilvl="0">
      <w:start w:val="1"/>
      <w:numFmt w:val="bullet"/>
      <w:pStyle w:val="ASpecialBullet5"/>
      <w:lvlText w:val=""/>
      <w:lvlJc w:val="left"/>
      <w:pPr>
        <w:tabs>
          <w:tab w:val="num" w:pos="3288"/>
        </w:tabs>
        <w:ind w:left="3288" w:hanging="68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84973F2"/>
    <w:multiLevelType w:val="multilevel"/>
    <w:tmpl w:val="F6CA6EB2"/>
    <w:lvl w:ilvl="0">
      <w:start w:val="1"/>
      <w:numFmt w:val="bullet"/>
      <w:pStyle w:val="ASpecialBullet4"/>
      <w:lvlText w:val=""/>
      <w:lvlJc w:val="left"/>
      <w:pPr>
        <w:tabs>
          <w:tab w:val="num" w:pos="2608"/>
        </w:tabs>
        <w:ind w:left="2608" w:hanging="567"/>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8875226"/>
    <w:multiLevelType w:val="hybridMultilevel"/>
    <w:tmpl w:val="1124E77E"/>
    <w:lvl w:ilvl="0" w:tplc="0C3472FE">
      <w:start w:val="5"/>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8" w15:restartNumberingAfterBreak="0">
    <w:nsid w:val="6A6D34CF"/>
    <w:multiLevelType w:val="hybridMultilevel"/>
    <w:tmpl w:val="547479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9" w15:restartNumberingAfterBreak="0">
    <w:nsid w:val="6A7F67AA"/>
    <w:multiLevelType w:val="multilevel"/>
    <w:tmpl w:val="3DFEB8C8"/>
    <w:lvl w:ilvl="0">
      <w:start w:val="1"/>
      <w:numFmt w:val="upperLetter"/>
      <w:pStyle w:val="ASpecialUpperCaseAlpha3"/>
      <w:lvlText w:val="%1."/>
      <w:lvlJc w:val="left"/>
      <w:pPr>
        <w:tabs>
          <w:tab w:val="num" w:pos="2041"/>
        </w:tabs>
        <w:ind w:left="2041" w:hanging="680"/>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6B1D1232"/>
    <w:multiLevelType w:val="multilevel"/>
    <w:tmpl w:val="78585A10"/>
    <w:lvl w:ilvl="0">
      <w:start w:val="1"/>
      <w:numFmt w:val="decimal"/>
      <w:pStyle w:val="ALevel1"/>
      <w:lvlText w:val="%1"/>
      <w:lvlJc w:val="left"/>
      <w:pPr>
        <w:tabs>
          <w:tab w:val="num" w:pos="680"/>
        </w:tabs>
        <w:ind w:left="680" w:hanging="680"/>
      </w:pPr>
      <w:rPr>
        <w:rFonts w:hint="default"/>
        <w:b/>
        <w:i w:val="0"/>
        <w:sz w:val="22"/>
      </w:rPr>
    </w:lvl>
    <w:lvl w:ilvl="1">
      <w:start w:val="1"/>
      <w:numFmt w:val="decimal"/>
      <w:pStyle w:val="ALevel2"/>
      <w:lvlText w:val="%1.%2"/>
      <w:lvlJc w:val="left"/>
      <w:pPr>
        <w:tabs>
          <w:tab w:val="num" w:pos="680"/>
        </w:tabs>
        <w:ind w:left="680" w:hanging="680"/>
      </w:pPr>
      <w:rPr>
        <w:rFonts w:hint="default"/>
        <w:b/>
        <w:i w:val="0"/>
        <w:sz w:val="21"/>
      </w:rPr>
    </w:lvl>
    <w:lvl w:ilvl="2">
      <w:start w:val="1"/>
      <w:numFmt w:val="decimal"/>
      <w:pStyle w:val="ALevel3"/>
      <w:lvlText w:val="%1.%2.%3"/>
      <w:lvlJc w:val="left"/>
      <w:pPr>
        <w:tabs>
          <w:tab w:val="num" w:pos="1361"/>
        </w:tabs>
        <w:ind w:left="1361" w:hanging="681"/>
      </w:pPr>
      <w:rPr>
        <w:rFonts w:hint="default"/>
        <w:b/>
        <w:i w:val="0"/>
        <w:sz w:val="20"/>
      </w:rPr>
    </w:lvl>
    <w:lvl w:ilvl="3">
      <w:start w:val="1"/>
      <w:numFmt w:val="lowerRoman"/>
      <w:pStyle w:val="ALevel3"/>
      <w:lvlText w:val="(%4)"/>
      <w:lvlJc w:val="left"/>
      <w:pPr>
        <w:tabs>
          <w:tab w:val="num" w:pos="2041"/>
        </w:tabs>
        <w:ind w:left="2041" w:hanging="680"/>
      </w:pPr>
      <w:rPr>
        <w:rFonts w:hint="default"/>
      </w:rPr>
    </w:lvl>
    <w:lvl w:ilvl="4">
      <w:start w:val="1"/>
      <w:numFmt w:val="lowerLetter"/>
      <w:lvlText w:val="(%5)"/>
      <w:lvlJc w:val="left"/>
      <w:pPr>
        <w:tabs>
          <w:tab w:val="num" w:pos="2608"/>
        </w:tabs>
        <w:ind w:left="2608" w:hanging="567"/>
      </w:pPr>
      <w:rPr>
        <w:rFonts w:hint="default"/>
      </w:rPr>
    </w:lvl>
    <w:lvl w:ilvl="5">
      <w:start w:val="1"/>
      <w:numFmt w:val="upperRoman"/>
      <w:lvlText w:val="(%6)"/>
      <w:lvlJc w:val="left"/>
      <w:pPr>
        <w:tabs>
          <w:tab w:val="num" w:pos="3288"/>
        </w:tabs>
        <w:ind w:left="3288" w:hanging="680"/>
      </w:pPr>
      <w:rPr>
        <w:rFonts w:hint="default"/>
      </w:rPr>
    </w:lvl>
    <w:lvl w:ilvl="6">
      <w:start w:val="1"/>
      <w:numFmt w:val="none"/>
      <w:lvlText w:val=""/>
      <w:lvlJc w:val="left"/>
      <w:pPr>
        <w:tabs>
          <w:tab w:val="num" w:pos="3288"/>
        </w:tabs>
        <w:ind w:left="3288" w:hanging="680"/>
      </w:pPr>
      <w:rPr>
        <w:rFonts w:hint="default"/>
      </w:rPr>
    </w:lvl>
    <w:lvl w:ilvl="7">
      <w:start w:val="1"/>
      <w:numFmt w:val="none"/>
      <w:lvlText w:val=""/>
      <w:lvlJc w:val="left"/>
      <w:pPr>
        <w:tabs>
          <w:tab w:val="num" w:pos="3288"/>
        </w:tabs>
        <w:ind w:left="3288" w:hanging="680"/>
      </w:pPr>
      <w:rPr>
        <w:rFonts w:hint="default"/>
      </w:rPr>
    </w:lvl>
    <w:lvl w:ilvl="8">
      <w:start w:val="1"/>
      <w:numFmt w:val="none"/>
      <w:lvlText w:val=""/>
      <w:lvlJc w:val="left"/>
      <w:pPr>
        <w:tabs>
          <w:tab w:val="num" w:pos="3288"/>
        </w:tabs>
        <w:ind w:left="3288" w:hanging="680"/>
      </w:pPr>
      <w:rPr>
        <w:rFonts w:hint="default"/>
      </w:rPr>
    </w:lvl>
  </w:abstractNum>
  <w:abstractNum w:abstractNumId="81" w15:restartNumberingAfterBreak="0">
    <w:nsid w:val="6B502D22"/>
    <w:multiLevelType w:val="multilevel"/>
    <w:tmpl w:val="A77E26E6"/>
    <w:lvl w:ilvl="0">
      <w:start w:val="27"/>
      <w:numFmt w:val="lowerLetter"/>
      <w:pStyle w:val="ASpecialDoubleAlpha"/>
      <w:lvlText w:val="(%1)"/>
      <w:lvlJc w:val="left"/>
      <w:pPr>
        <w:tabs>
          <w:tab w:val="num" w:pos="680"/>
        </w:tabs>
        <w:ind w:left="680" w:hanging="680"/>
      </w:pPr>
      <w:rPr>
        <w:rFonts w:asciiTheme="minorHAnsi" w:hAnsiTheme="minorHAnsi" w:cs="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6BEA4D3C"/>
    <w:multiLevelType w:val="multilevel"/>
    <w:tmpl w:val="22069D58"/>
    <w:lvl w:ilvl="0">
      <w:start w:val="1"/>
      <w:numFmt w:val="upperLetter"/>
      <w:pStyle w:val="ASpecialUpperCaseAlpha6"/>
      <w:lvlText w:val="%1."/>
      <w:lvlJc w:val="left"/>
      <w:pPr>
        <w:tabs>
          <w:tab w:val="num" w:pos="1400"/>
        </w:tabs>
        <w:ind w:left="1400" w:firstLine="1888"/>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6C5255B9"/>
    <w:multiLevelType w:val="singleLevel"/>
    <w:tmpl w:val="563EF98A"/>
    <w:lvl w:ilvl="0">
      <w:start w:val="1"/>
      <w:numFmt w:val="lowerRoman"/>
      <w:pStyle w:val="ASpecialLowerCaseRoman6"/>
      <w:lvlText w:val="(%1)"/>
      <w:lvlJc w:val="left"/>
      <w:pPr>
        <w:tabs>
          <w:tab w:val="num" w:pos="3969"/>
        </w:tabs>
        <w:ind w:left="3969" w:hanging="681"/>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84" w15:restartNumberingAfterBreak="0">
    <w:nsid w:val="7169173D"/>
    <w:multiLevelType w:val="singleLevel"/>
    <w:tmpl w:val="60145884"/>
    <w:lvl w:ilvl="0">
      <w:start w:val="1"/>
      <w:numFmt w:val="lowerLetter"/>
      <w:pStyle w:val="ASpecialLowerCaseAlpha2"/>
      <w:lvlText w:val="(%1)"/>
      <w:lvlJc w:val="left"/>
      <w:pPr>
        <w:tabs>
          <w:tab w:val="num" w:pos="1361"/>
        </w:tabs>
        <w:ind w:left="1361" w:hanging="681"/>
      </w:pPr>
      <w:rPr>
        <w:rFonts w:ascii="Times New Roman" w:hAnsi="Times New Roman" w:cs="Times New Roman" w:hint="default"/>
        <w:b w:val="0"/>
        <w:i w:val="0"/>
        <w:sz w:val="18"/>
        <w:szCs w:val="18"/>
      </w:rPr>
    </w:lvl>
  </w:abstractNum>
  <w:abstractNum w:abstractNumId="85" w15:restartNumberingAfterBreak="0">
    <w:nsid w:val="71D30242"/>
    <w:multiLevelType w:val="multilevel"/>
    <w:tmpl w:val="E6060564"/>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584"/>
        </w:tabs>
        <w:ind w:left="1584" w:hanging="864"/>
      </w:pPr>
    </w:lvl>
    <w:lvl w:ilvl="3">
      <w:start w:val="1"/>
      <w:numFmt w:val="decimal"/>
      <w:lvlText w:val="%1.%2.%3.%4"/>
      <w:lvlJc w:val="left"/>
      <w:pPr>
        <w:tabs>
          <w:tab w:val="num" w:pos="2592"/>
        </w:tabs>
        <w:ind w:left="2592" w:hanging="1008"/>
      </w:pPr>
    </w:lvl>
    <w:lvl w:ilvl="4">
      <w:start w:val="1"/>
      <w:numFmt w:val="decimal"/>
      <w:lvlText w:val="%1.%2.%3.%4.%5"/>
      <w:lvlJc w:val="left"/>
      <w:pPr>
        <w:tabs>
          <w:tab w:val="num" w:pos="3024"/>
        </w:tabs>
        <w:ind w:left="2592" w:hanging="1008"/>
      </w:pPr>
    </w:lvl>
    <w:lvl w:ilvl="5">
      <w:start w:val="1"/>
      <w:numFmt w:val="lowerRoman"/>
      <w:lvlText w:val="(%6)"/>
      <w:lvlJc w:val="left"/>
      <w:pPr>
        <w:tabs>
          <w:tab w:val="num" w:pos="3312"/>
        </w:tabs>
        <w:ind w:left="3067" w:hanging="475"/>
      </w:pPr>
    </w:lvl>
    <w:lvl w:ilvl="6">
      <w:start w:val="1"/>
      <w:numFmt w:val="lowerLetter"/>
      <w:lvlText w:val="(%7)"/>
      <w:lvlJc w:val="left"/>
      <w:pPr>
        <w:tabs>
          <w:tab w:val="num" w:pos="3096"/>
        </w:tabs>
        <w:ind w:left="3096" w:hanging="504"/>
      </w:pPr>
      <w:rPr>
        <w:sz w:val="22"/>
      </w:r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6" w15:restartNumberingAfterBreak="0">
    <w:nsid w:val="73455C00"/>
    <w:multiLevelType w:val="singleLevel"/>
    <w:tmpl w:val="613A6086"/>
    <w:lvl w:ilvl="0">
      <w:start w:val="1"/>
      <w:numFmt w:val="lowerRoman"/>
      <w:pStyle w:val="ASpecialLowerCaseRoman5"/>
      <w:lvlText w:val="(%1)"/>
      <w:lvlJc w:val="left"/>
      <w:pPr>
        <w:tabs>
          <w:tab w:val="num" w:pos="3288"/>
        </w:tabs>
        <w:ind w:left="3288" w:hanging="680"/>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87" w15:restartNumberingAfterBreak="0">
    <w:nsid w:val="74704717"/>
    <w:multiLevelType w:val="hybridMultilevel"/>
    <w:tmpl w:val="F1886E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785A5B88"/>
    <w:multiLevelType w:val="singleLevel"/>
    <w:tmpl w:val="43B4B068"/>
    <w:lvl w:ilvl="0">
      <w:start w:val="1"/>
      <w:numFmt w:val="lowerRoman"/>
      <w:pStyle w:val="ASpecialLowerCaseRoman2"/>
      <w:lvlText w:val="(%1)"/>
      <w:lvlJc w:val="left"/>
      <w:pPr>
        <w:tabs>
          <w:tab w:val="num" w:pos="1361"/>
        </w:tabs>
        <w:ind w:left="1361" w:hanging="681"/>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89" w15:restartNumberingAfterBreak="0">
    <w:nsid w:val="7ED04878"/>
    <w:multiLevelType w:val="multilevel"/>
    <w:tmpl w:val="91A260A2"/>
    <w:lvl w:ilvl="0">
      <w:start w:val="1"/>
      <w:numFmt w:val="decimal"/>
      <w:pStyle w:val="ASpecialListNumbers"/>
      <w:lvlText w:val="%1."/>
      <w:lvlJc w:val="left"/>
      <w:pPr>
        <w:tabs>
          <w:tab w:val="num" w:pos="680"/>
        </w:tabs>
        <w:ind w:left="680" w:hanging="680"/>
      </w:pPr>
      <w:rPr>
        <w:b w:val="0"/>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72"/>
  </w:num>
  <w:num w:numId="2">
    <w:abstractNumId w:val="74"/>
  </w:num>
  <w:num w:numId="3">
    <w:abstractNumId w:val="54"/>
  </w:num>
  <w:num w:numId="4">
    <w:abstractNumId w:val="6"/>
  </w:num>
  <w:num w:numId="5">
    <w:abstractNumId w:val="78"/>
  </w:num>
  <w:num w:numId="6">
    <w:abstractNumId w:val="80"/>
  </w:num>
  <w:num w:numId="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8"/>
    <w:lvlOverride w:ilvl="0">
      <w:startOverride w:val="1"/>
    </w:lvlOverride>
  </w:num>
  <w:num w:numId="9">
    <w:abstractNumId w:val="37"/>
    <w:lvlOverride w:ilvl="0">
      <w:startOverride w:val="1"/>
    </w:lvlOverride>
  </w:num>
  <w:num w:numId="10">
    <w:abstractNumId w:val="22"/>
    <w:lvlOverride w:ilvl="0">
      <w:startOverride w:val="1"/>
    </w:lvlOverride>
  </w:num>
  <w:num w:numId="11">
    <w:abstractNumId w:val="56"/>
    <w:lvlOverride w:ilvl="0">
      <w:startOverride w:val="1"/>
    </w:lvlOverride>
  </w:num>
  <w:num w:numId="12">
    <w:abstractNumId w:val="41"/>
    <w:lvlOverride w:ilvl="0">
      <w:startOverride w:val="1"/>
    </w:lvlOverride>
  </w:num>
  <w:num w:numId="13">
    <w:abstractNumId w:val="42"/>
  </w:num>
  <w:num w:numId="14">
    <w:abstractNumId w:val="68"/>
  </w:num>
  <w:num w:numId="15">
    <w:abstractNumId w:val="33"/>
  </w:num>
  <w:num w:numId="16">
    <w:abstractNumId w:val="76"/>
  </w:num>
  <w:num w:numId="17">
    <w:abstractNumId w:val="75"/>
  </w:num>
  <w:num w:numId="18">
    <w:abstractNumId w:val="71"/>
  </w:num>
  <w:num w:numId="19">
    <w:abstractNumId w:val="62"/>
    <w:lvlOverride w:ilvl="0">
      <w:startOverride w:val="1"/>
    </w:lvlOverride>
  </w:num>
  <w:num w:numId="20">
    <w:abstractNumId w:val="88"/>
    <w:lvlOverride w:ilvl="0">
      <w:startOverride w:val="1"/>
    </w:lvlOverride>
  </w:num>
  <w:num w:numId="21">
    <w:abstractNumId w:val="70"/>
    <w:lvlOverride w:ilvl="0">
      <w:startOverride w:val="1"/>
    </w:lvlOverride>
  </w:num>
  <w:num w:numId="22">
    <w:abstractNumId w:val="60"/>
    <w:lvlOverride w:ilvl="0">
      <w:startOverride w:val="1"/>
    </w:lvlOverride>
  </w:num>
  <w:num w:numId="23">
    <w:abstractNumId w:val="86"/>
    <w:lvlOverride w:ilvl="0">
      <w:startOverride w:val="1"/>
    </w:lvlOverride>
  </w:num>
  <w:num w:numId="24">
    <w:abstractNumId w:val="83"/>
    <w:lvlOverride w:ilvl="0">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9"/>
  </w:num>
  <w:num w:numId="37">
    <w:abstractNumId w:val="67"/>
  </w:num>
  <w:num w:numId="38">
    <w:abstractNumId w:val="51"/>
  </w:num>
  <w:num w:numId="39">
    <w:abstractNumId w:val="48"/>
  </w:num>
  <w:num w:numId="40">
    <w:abstractNumId w:val="18"/>
  </w:num>
  <w:num w:numId="41">
    <w:abstractNumId w:val="9"/>
  </w:num>
  <w:num w:numId="42">
    <w:abstractNumId w:val="21"/>
  </w:num>
  <w:num w:numId="43">
    <w:abstractNumId w:val="73"/>
    <w:lvlOverride w:ilvl="0">
      <w:startOverride w:val="1"/>
    </w:lvlOverride>
  </w:num>
  <w:num w:numId="44">
    <w:abstractNumId w:val="27"/>
    <w:lvlOverride w:ilvl="0">
      <w:startOverride w:val="1"/>
    </w:lvlOverride>
  </w:num>
  <w:num w:numId="4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4"/>
    <w:lvlOverride w:ilvl="0">
      <w:startOverride w:val="1"/>
    </w:lvlOverride>
  </w:num>
  <w:num w:numId="47">
    <w:abstractNumId w:val="19"/>
  </w:num>
  <w:num w:numId="48">
    <w:abstractNumId w:val="24"/>
  </w:num>
  <w:num w:numId="49">
    <w:abstractNumId w:val="84"/>
  </w:num>
  <w:num w:numId="50">
    <w:abstractNumId w:val="44"/>
  </w:num>
  <w:num w:numId="51">
    <w:abstractNumId w:val="14"/>
  </w:num>
  <w:num w:numId="52">
    <w:abstractNumId w:val="2"/>
  </w:num>
  <w:num w:numId="53">
    <w:abstractNumId w:val="8"/>
  </w:num>
  <w:num w:numId="54">
    <w:abstractNumId w:val="63"/>
  </w:num>
  <w:num w:numId="55">
    <w:abstractNumId w:val="39"/>
  </w:num>
  <w:num w:numId="56">
    <w:abstractNumId w:val="69"/>
  </w:num>
  <w:num w:numId="57">
    <w:abstractNumId w:val="10"/>
  </w:num>
  <w:num w:numId="58">
    <w:abstractNumId w:val="23"/>
  </w:num>
  <w:num w:numId="59">
    <w:abstractNumId w:val="34"/>
  </w:num>
  <w:num w:numId="60">
    <w:abstractNumId w:val="29"/>
  </w:num>
  <w:num w:numId="61">
    <w:abstractNumId w:val="36"/>
  </w:num>
  <w:num w:numId="62">
    <w:abstractNumId w:val="15"/>
  </w:num>
  <w:num w:numId="63">
    <w:abstractNumId w:val="50"/>
  </w:num>
  <w:num w:numId="64">
    <w:abstractNumId w:val="47"/>
  </w:num>
  <w:num w:numId="65">
    <w:abstractNumId w:val="7"/>
  </w:num>
  <w:num w:numId="66">
    <w:abstractNumId w:val="40"/>
  </w:num>
  <w:num w:numId="67">
    <w:abstractNumId w:val="20"/>
  </w:num>
  <w:num w:numId="68">
    <w:abstractNumId w:val="64"/>
  </w:num>
  <w:num w:numId="69">
    <w:abstractNumId w:val="5"/>
  </w:num>
  <w:num w:numId="70">
    <w:abstractNumId w:val="43"/>
  </w:num>
  <w:num w:numId="71">
    <w:abstractNumId w:val="32"/>
  </w:num>
  <w:num w:numId="72">
    <w:abstractNumId w:val="52"/>
  </w:num>
  <w:num w:numId="73">
    <w:abstractNumId w:val="53"/>
  </w:num>
  <w:num w:numId="74">
    <w:abstractNumId w:val="4"/>
  </w:num>
  <w:num w:numId="75">
    <w:abstractNumId w:val="4"/>
    <w:lvlOverride w:ilvl="0">
      <w:lvl w:ilvl="0">
        <w:numFmt w:val="bullet"/>
        <w:lvlText w:val="·"/>
        <w:lvlJc w:val="left"/>
        <w:pPr>
          <w:tabs>
            <w:tab w:val="num" w:pos="1080"/>
          </w:tabs>
          <w:ind w:left="1080" w:hanging="360"/>
        </w:pPr>
        <w:rPr>
          <w:rFonts w:ascii="Symbol" w:hAnsi="Symbol"/>
          <w:snapToGrid/>
          <w:sz w:val="18"/>
        </w:rPr>
      </w:lvl>
    </w:lvlOverride>
  </w:num>
  <w:num w:numId="76">
    <w:abstractNumId w:val="12"/>
  </w:num>
  <w:num w:numId="77">
    <w:abstractNumId w:val="13"/>
  </w:num>
  <w:num w:numId="78">
    <w:abstractNumId w:val="45"/>
  </w:num>
  <w:num w:numId="79">
    <w:abstractNumId w:val="85"/>
  </w:num>
  <w:num w:numId="80">
    <w:abstractNumId w:val="11"/>
  </w:num>
  <w:num w:numId="81">
    <w:abstractNumId w:val="65"/>
  </w:num>
  <w:num w:numId="82">
    <w:abstractNumId w:val="1"/>
  </w:num>
  <w:num w:numId="83">
    <w:abstractNumId w:val="0"/>
  </w:num>
  <w:num w:numId="84">
    <w:abstractNumId w:val="35"/>
  </w:num>
  <w:num w:numId="85">
    <w:abstractNumId w:val="28"/>
  </w:num>
  <w:num w:numId="86">
    <w:abstractNumId w:val="61"/>
  </w:num>
  <w:num w:numId="87">
    <w:abstractNumId w:val="30"/>
  </w:num>
  <w:num w:numId="88">
    <w:abstractNumId w:val="57"/>
  </w:num>
  <w:num w:numId="89">
    <w:abstractNumId w:val="55"/>
  </w:num>
  <w:num w:numId="90">
    <w:abstractNumId w:val="77"/>
  </w:num>
  <w:num w:numId="91">
    <w:abstractNumId w:val="87"/>
  </w:num>
  <w:num w:numId="92">
    <w:abstractNumId w:val="4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doNotValidateAgainstSchema/>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WAFVersion" w:val="5.0"/>
  </w:docVars>
  <w:rsids>
    <w:rsidRoot w:val="00F76607"/>
    <w:rsid w:val="00002719"/>
    <w:rsid w:val="000078A9"/>
    <w:rsid w:val="00023D4A"/>
    <w:rsid w:val="0003160C"/>
    <w:rsid w:val="00032866"/>
    <w:rsid w:val="00046D29"/>
    <w:rsid w:val="00063C78"/>
    <w:rsid w:val="00065025"/>
    <w:rsid w:val="00081C45"/>
    <w:rsid w:val="0008334F"/>
    <w:rsid w:val="00083D19"/>
    <w:rsid w:val="0009172E"/>
    <w:rsid w:val="00093CC8"/>
    <w:rsid w:val="000949E0"/>
    <w:rsid w:val="000979C5"/>
    <w:rsid w:val="000A117A"/>
    <w:rsid w:val="000A3CC8"/>
    <w:rsid w:val="000B1B63"/>
    <w:rsid w:val="000B7E5D"/>
    <w:rsid w:val="000E1FFD"/>
    <w:rsid w:val="000E243B"/>
    <w:rsid w:val="000E7FC9"/>
    <w:rsid w:val="000F1DAE"/>
    <w:rsid w:val="000F2F68"/>
    <w:rsid w:val="000F3102"/>
    <w:rsid w:val="00102B65"/>
    <w:rsid w:val="001076CA"/>
    <w:rsid w:val="00112D68"/>
    <w:rsid w:val="001146AD"/>
    <w:rsid w:val="00115A39"/>
    <w:rsid w:val="001237AF"/>
    <w:rsid w:val="00141B39"/>
    <w:rsid w:val="001453A8"/>
    <w:rsid w:val="0014652A"/>
    <w:rsid w:val="00156861"/>
    <w:rsid w:val="00156B0A"/>
    <w:rsid w:val="00166DBA"/>
    <w:rsid w:val="00177BC4"/>
    <w:rsid w:val="00182F66"/>
    <w:rsid w:val="001863F0"/>
    <w:rsid w:val="00195D01"/>
    <w:rsid w:val="001A62A9"/>
    <w:rsid w:val="001A72DA"/>
    <w:rsid w:val="001B698A"/>
    <w:rsid w:val="001C2B2C"/>
    <w:rsid w:val="001D1FD6"/>
    <w:rsid w:val="001D5E9B"/>
    <w:rsid w:val="001E2C36"/>
    <w:rsid w:val="001F2AD5"/>
    <w:rsid w:val="001F4F19"/>
    <w:rsid w:val="002020ED"/>
    <w:rsid w:val="00207559"/>
    <w:rsid w:val="00213FA3"/>
    <w:rsid w:val="00224CC9"/>
    <w:rsid w:val="00237662"/>
    <w:rsid w:val="0026328C"/>
    <w:rsid w:val="002761AD"/>
    <w:rsid w:val="00292EE6"/>
    <w:rsid w:val="002B3FDE"/>
    <w:rsid w:val="002C067A"/>
    <w:rsid w:val="002C7466"/>
    <w:rsid w:val="002D0B9E"/>
    <w:rsid w:val="00300A36"/>
    <w:rsid w:val="00301150"/>
    <w:rsid w:val="003108EB"/>
    <w:rsid w:val="00323E6A"/>
    <w:rsid w:val="003318EC"/>
    <w:rsid w:val="003327A1"/>
    <w:rsid w:val="0035208D"/>
    <w:rsid w:val="00357CAA"/>
    <w:rsid w:val="00361E08"/>
    <w:rsid w:val="003A4AD1"/>
    <w:rsid w:val="003C4D88"/>
    <w:rsid w:val="003D1784"/>
    <w:rsid w:val="003F4AAB"/>
    <w:rsid w:val="003F5D5C"/>
    <w:rsid w:val="00411069"/>
    <w:rsid w:val="00417682"/>
    <w:rsid w:val="00422C84"/>
    <w:rsid w:val="00423BFB"/>
    <w:rsid w:val="004242AB"/>
    <w:rsid w:val="004338CB"/>
    <w:rsid w:val="00433AAA"/>
    <w:rsid w:val="00434873"/>
    <w:rsid w:val="00452624"/>
    <w:rsid w:val="00477774"/>
    <w:rsid w:val="004829E8"/>
    <w:rsid w:val="00484735"/>
    <w:rsid w:val="004858EF"/>
    <w:rsid w:val="00495C29"/>
    <w:rsid w:val="004A14D8"/>
    <w:rsid w:val="004C1AEF"/>
    <w:rsid w:val="004C7044"/>
    <w:rsid w:val="004D1759"/>
    <w:rsid w:val="004D4E01"/>
    <w:rsid w:val="004F203C"/>
    <w:rsid w:val="0050406B"/>
    <w:rsid w:val="00504EC4"/>
    <w:rsid w:val="00506D69"/>
    <w:rsid w:val="00511985"/>
    <w:rsid w:val="00521876"/>
    <w:rsid w:val="00534CE6"/>
    <w:rsid w:val="005409D5"/>
    <w:rsid w:val="00540E9B"/>
    <w:rsid w:val="00556686"/>
    <w:rsid w:val="00560019"/>
    <w:rsid w:val="00560571"/>
    <w:rsid w:val="005622A5"/>
    <w:rsid w:val="00566A53"/>
    <w:rsid w:val="00573287"/>
    <w:rsid w:val="00573949"/>
    <w:rsid w:val="00577A36"/>
    <w:rsid w:val="00581A29"/>
    <w:rsid w:val="005827AC"/>
    <w:rsid w:val="00591C69"/>
    <w:rsid w:val="00594A71"/>
    <w:rsid w:val="005973F2"/>
    <w:rsid w:val="005A240B"/>
    <w:rsid w:val="005A2748"/>
    <w:rsid w:val="005A6542"/>
    <w:rsid w:val="005B313D"/>
    <w:rsid w:val="005B70E2"/>
    <w:rsid w:val="005D2975"/>
    <w:rsid w:val="005E025D"/>
    <w:rsid w:val="005F4FFF"/>
    <w:rsid w:val="0060016E"/>
    <w:rsid w:val="00600A69"/>
    <w:rsid w:val="0060104C"/>
    <w:rsid w:val="00607C03"/>
    <w:rsid w:val="00616709"/>
    <w:rsid w:val="00624F6B"/>
    <w:rsid w:val="006300F6"/>
    <w:rsid w:val="00631C1A"/>
    <w:rsid w:val="00646E23"/>
    <w:rsid w:val="006525D0"/>
    <w:rsid w:val="006575EA"/>
    <w:rsid w:val="006663B2"/>
    <w:rsid w:val="00673FBD"/>
    <w:rsid w:val="006967D0"/>
    <w:rsid w:val="00696D8C"/>
    <w:rsid w:val="006A2F74"/>
    <w:rsid w:val="006A3A49"/>
    <w:rsid w:val="006B106F"/>
    <w:rsid w:val="006B1C59"/>
    <w:rsid w:val="006C2358"/>
    <w:rsid w:val="006E15AC"/>
    <w:rsid w:val="00705573"/>
    <w:rsid w:val="00717810"/>
    <w:rsid w:val="00724DC6"/>
    <w:rsid w:val="007262E8"/>
    <w:rsid w:val="0072661D"/>
    <w:rsid w:val="0073107F"/>
    <w:rsid w:val="0075054B"/>
    <w:rsid w:val="00756572"/>
    <w:rsid w:val="00756F51"/>
    <w:rsid w:val="00762877"/>
    <w:rsid w:val="00764BF5"/>
    <w:rsid w:val="0077512C"/>
    <w:rsid w:val="00780624"/>
    <w:rsid w:val="00780FD9"/>
    <w:rsid w:val="007855F4"/>
    <w:rsid w:val="007951DF"/>
    <w:rsid w:val="007A139C"/>
    <w:rsid w:val="007A3C71"/>
    <w:rsid w:val="007B3602"/>
    <w:rsid w:val="007B5B87"/>
    <w:rsid w:val="007B6B42"/>
    <w:rsid w:val="007C0F8C"/>
    <w:rsid w:val="007D27AA"/>
    <w:rsid w:val="007D69EB"/>
    <w:rsid w:val="007F57CD"/>
    <w:rsid w:val="008022F2"/>
    <w:rsid w:val="008112D2"/>
    <w:rsid w:val="00821518"/>
    <w:rsid w:val="008236F1"/>
    <w:rsid w:val="00823A53"/>
    <w:rsid w:val="00831E6E"/>
    <w:rsid w:val="008427D7"/>
    <w:rsid w:val="00842A6C"/>
    <w:rsid w:val="00850DD8"/>
    <w:rsid w:val="008530BC"/>
    <w:rsid w:val="00855522"/>
    <w:rsid w:val="00892133"/>
    <w:rsid w:val="008A186E"/>
    <w:rsid w:val="008B73C6"/>
    <w:rsid w:val="008C16B5"/>
    <w:rsid w:val="008D2EA7"/>
    <w:rsid w:val="008E7B5D"/>
    <w:rsid w:val="008F1340"/>
    <w:rsid w:val="00932B9E"/>
    <w:rsid w:val="009331F6"/>
    <w:rsid w:val="009345EE"/>
    <w:rsid w:val="009346E5"/>
    <w:rsid w:val="00934A48"/>
    <w:rsid w:val="00940375"/>
    <w:rsid w:val="009448FE"/>
    <w:rsid w:val="0097398B"/>
    <w:rsid w:val="00991E32"/>
    <w:rsid w:val="009A2178"/>
    <w:rsid w:val="009B32EF"/>
    <w:rsid w:val="009E2376"/>
    <w:rsid w:val="009E6465"/>
    <w:rsid w:val="009F5626"/>
    <w:rsid w:val="00A01869"/>
    <w:rsid w:val="00A13B9E"/>
    <w:rsid w:val="00A2769C"/>
    <w:rsid w:val="00A32C44"/>
    <w:rsid w:val="00A37930"/>
    <w:rsid w:val="00A40882"/>
    <w:rsid w:val="00A41B7C"/>
    <w:rsid w:val="00A41FAC"/>
    <w:rsid w:val="00A4620A"/>
    <w:rsid w:val="00A5572A"/>
    <w:rsid w:val="00A6130B"/>
    <w:rsid w:val="00A71D2D"/>
    <w:rsid w:val="00A8264B"/>
    <w:rsid w:val="00A86EF9"/>
    <w:rsid w:val="00A90BAA"/>
    <w:rsid w:val="00A9517B"/>
    <w:rsid w:val="00AA1862"/>
    <w:rsid w:val="00AA22C0"/>
    <w:rsid w:val="00AA45BE"/>
    <w:rsid w:val="00AC4485"/>
    <w:rsid w:val="00AE1991"/>
    <w:rsid w:val="00AE7C9B"/>
    <w:rsid w:val="00AF0D76"/>
    <w:rsid w:val="00AF1A25"/>
    <w:rsid w:val="00AF7864"/>
    <w:rsid w:val="00B048A9"/>
    <w:rsid w:val="00B13701"/>
    <w:rsid w:val="00B22CEC"/>
    <w:rsid w:val="00B30887"/>
    <w:rsid w:val="00B322A7"/>
    <w:rsid w:val="00B7580E"/>
    <w:rsid w:val="00B848E4"/>
    <w:rsid w:val="00B86B53"/>
    <w:rsid w:val="00B91D8F"/>
    <w:rsid w:val="00BB3FFE"/>
    <w:rsid w:val="00BD04CD"/>
    <w:rsid w:val="00BD4338"/>
    <w:rsid w:val="00BE2976"/>
    <w:rsid w:val="00C01775"/>
    <w:rsid w:val="00C1317A"/>
    <w:rsid w:val="00C14CEE"/>
    <w:rsid w:val="00C17ECC"/>
    <w:rsid w:val="00C2417B"/>
    <w:rsid w:val="00C40695"/>
    <w:rsid w:val="00C516F9"/>
    <w:rsid w:val="00C56144"/>
    <w:rsid w:val="00C57545"/>
    <w:rsid w:val="00C57B27"/>
    <w:rsid w:val="00C62175"/>
    <w:rsid w:val="00C64D88"/>
    <w:rsid w:val="00C7302C"/>
    <w:rsid w:val="00C737E7"/>
    <w:rsid w:val="00C77BF1"/>
    <w:rsid w:val="00C92AC8"/>
    <w:rsid w:val="00CA4EA5"/>
    <w:rsid w:val="00CB7137"/>
    <w:rsid w:val="00CC4383"/>
    <w:rsid w:val="00CF41A0"/>
    <w:rsid w:val="00D06E94"/>
    <w:rsid w:val="00D112AC"/>
    <w:rsid w:val="00D11DE1"/>
    <w:rsid w:val="00D15A6D"/>
    <w:rsid w:val="00D27800"/>
    <w:rsid w:val="00D31BBC"/>
    <w:rsid w:val="00D3576A"/>
    <w:rsid w:val="00D443EA"/>
    <w:rsid w:val="00D4704E"/>
    <w:rsid w:val="00D5229D"/>
    <w:rsid w:val="00D52B9E"/>
    <w:rsid w:val="00D603C2"/>
    <w:rsid w:val="00D665D2"/>
    <w:rsid w:val="00D8552C"/>
    <w:rsid w:val="00D85BDE"/>
    <w:rsid w:val="00D91643"/>
    <w:rsid w:val="00D948BD"/>
    <w:rsid w:val="00D97740"/>
    <w:rsid w:val="00DA14C1"/>
    <w:rsid w:val="00DA3505"/>
    <w:rsid w:val="00DB66B3"/>
    <w:rsid w:val="00DD0B6E"/>
    <w:rsid w:val="00DD2858"/>
    <w:rsid w:val="00DD4528"/>
    <w:rsid w:val="00DD5987"/>
    <w:rsid w:val="00DD63B6"/>
    <w:rsid w:val="00DE1C28"/>
    <w:rsid w:val="00DE3564"/>
    <w:rsid w:val="00DE3AD3"/>
    <w:rsid w:val="00DE6F7D"/>
    <w:rsid w:val="00DF4532"/>
    <w:rsid w:val="00E03395"/>
    <w:rsid w:val="00E13626"/>
    <w:rsid w:val="00E13878"/>
    <w:rsid w:val="00E15018"/>
    <w:rsid w:val="00E25786"/>
    <w:rsid w:val="00E265C4"/>
    <w:rsid w:val="00E3089A"/>
    <w:rsid w:val="00E368FE"/>
    <w:rsid w:val="00E423FB"/>
    <w:rsid w:val="00E507BC"/>
    <w:rsid w:val="00E54F95"/>
    <w:rsid w:val="00E62200"/>
    <w:rsid w:val="00E62FE9"/>
    <w:rsid w:val="00E671E9"/>
    <w:rsid w:val="00E712C0"/>
    <w:rsid w:val="00E763DC"/>
    <w:rsid w:val="00E961C6"/>
    <w:rsid w:val="00EA2922"/>
    <w:rsid w:val="00EB07E7"/>
    <w:rsid w:val="00EB5A41"/>
    <w:rsid w:val="00ED004E"/>
    <w:rsid w:val="00ED3097"/>
    <w:rsid w:val="00ED34B9"/>
    <w:rsid w:val="00EF31B9"/>
    <w:rsid w:val="00EF7EB9"/>
    <w:rsid w:val="00F06E87"/>
    <w:rsid w:val="00F0739B"/>
    <w:rsid w:val="00F13DC1"/>
    <w:rsid w:val="00F142ED"/>
    <w:rsid w:val="00F214BB"/>
    <w:rsid w:val="00F27F6C"/>
    <w:rsid w:val="00F37025"/>
    <w:rsid w:val="00F43B88"/>
    <w:rsid w:val="00F479F2"/>
    <w:rsid w:val="00F5209E"/>
    <w:rsid w:val="00F52DE7"/>
    <w:rsid w:val="00F53F52"/>
    <w:rsid w:val="00F65890"/>
    <w:rsid w:val="00F66970"/>
    <w:rsid w:val="00F70450"/>
    <w:rsid w:val="00F73A77"/>
    <w:rsid w:val="00F76607"/>
    <w:rsid w:val="00F90491"/>
    <w:rsid w:val="00F93F69"/>
    <w:rsid w:val="00FC44CA"/>
    <w:rsid w:val="00FC66BC"/>
    <w:rsid w:val="00FD659C"/>
    <w:rsid w:val="00FF1688"/>
    <w:rsid w:val="00FF1CB1"/>
    <w:rsid w:val="00FF2ECC"/>
    <w:rsid w:val="00FF5B25"/>
    <w:rsid w:val="00FF66F1"/>
    <w:rsid w:val="00FF7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032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99"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pPr>
      <w:outlineLvl w:val="0"/>
    </w:pPr>
    <w:rPr>
      <w:rFonts w:ascii="Arial" w:hAnsi="Arial" w:cs="Arial"/>
      <w:bCs/>
      <w:sz w:val="20"/>
      <w:szCs w:val="32"/>
      <w:lang w:val="nl-BE"/>
    </w:rPr>
  </w:style>
  <w:style w:type="paragraph" w:styleId="Heading2">
    <w:name w:val="heading 2"/>
    <w:basedOn w:val="Normal"/>
    <w:next w:val="Normal"/>
    <w:link w:val="Heading2Char"/>
    <w:qFormat/>
    <w:pPr>
      <w:keepNext/>
      <w:keepLines/>
      <w:spacing w:before="40"/>
      <w:outlineLvl w:val="1"/>
    </w:pPr>
    <w:rPr>
      <w:rFonts w:asciiTheme="majorHAnsi" w:eastAsiaTheme="majorEastAsia" w:hAnsiTheme="majorHAnsi" w:cstheme="majorBidi"/>
      <w:color w:val="365F91" w:themeColor="accent1" w:themeShade="BF"/>
      <w:sz w:val="26"/>
      <w:szCs w:val="26"/>
      <w:lang w:val="nl-BE"/>
    </w:rPr>
  </w:style>
  <w:style w:type="paragraph" w:styleId="Heading3">
    <w:name w:val="heading 3"/>
    <w:basedOn w:val="BodyText"/>
    <w:next w:val="BodyText3"/>
    <w:link w:val="Heading3Char"/>
    <w:qFormat/>
    <w:pPr>
      <w:tabs>
        <w:tab w:val="num" w:pos="720"/>
      </w:tabs>
      <w:spacing w:after="240"/>
      <w:ind w:left="720" w:hanging="720"/>
      <w:jc w:val="both"/>
      <w:outlineLvl w:val="2"/>
    </w:pPr>
    <w:rPr>
      <w:rFonts w:ascii="Times New Roman" w:hAnsi="Times New Roman" w:cs="Arabic Transparent"/>
      <w:lang w:val="en-GB"/>
    </w:rPr>
  </w:style>
  <w:style w:type="paragraph" w:styleId="Heading4">
    <w:name w:val="heading 4"/>
    <w:basedOn w:val="BodyText"/>
    <w:link w:val="Heading4Char"/>
    <w:qFormat/>
    <w:pPr>
      <w:tabs>
        <w:tab w:val="num" w:pos="1440"/>
      </w:tabs>
      <w:spacing w:after="240"/>
      <w:ind w:left="1440" w:hanging="720"/>
      <w:jc w:val="both"/>
      <w:outlineLvl w:val="3"/>
    </w:pPr>
    <w:rPr>
      <w:rFonts w:ascii="Times New Roman" w:hAnsi="Times New Roman" w:cs="Arabic Transparent"/>
      <w:lang w:val="en-GB"/>
    </w:rPr>
  </w:style>
  <w:style w:type="paragraph" w:styleId="Heading5">
    <w:name w:val="heading 5"/>
    <w:basedOn w:val="BodyText"/>
    <w:link w:val="Heading5Char"/>
    <w:qFormat/>
    <w:pPr>
      <w:tabs>
        <w:tab w:val="num" w:pos="2160"/>
      </w:tabs>
      <w:spacing w:after="240"/>
      <w:ind w:left="2160" w:hanging="720"/>
      <w:jc w:val="both"/>
      <w:outlineLvl w:val="4"/>
    </w:pPr>
    <w:rPr>
      <w:rFonts w:ascii="Times New Roman" w:hAnsi="Times New Roman" w:cs="Arabic Transparent"/>
      <w:lang w:val="en-GB"/>
    </w:rPr>
  </w:style>
  <w:style w:type="paragraph" w:styleId="Heading6">
    <w:name w:val="heading 6"/>
    <w:basedOn w:val="BodyText"/>
    <w:link w:val="Heading6Char"/>
    <w:qFormat/>
    <w:pPr>
      <w:tabs>
        <w:tab w:val="num" w:pos="2880"/>
      </w:tabs>
      <w:spacing w:after="240"/>
      <w:ind w:left="2880" w:hanging="720"/>
      <w:jc w:val="both"/>
      <w:outlineLvl w:val="5"/>
    </w:pPr>
    <w:rPr>
      <w:rFonts w:ascii="Times New Roman" w:hAnsi="Times New Roman" w:cs="Arabic Transparent"/>
      <w:lang w:val="en-GB"/>
    </w:rPr>
  </w:style>
  <w:style w:type="paragraph" w:styleId="Heading7">
    <w:name w:val="heading 7"/>
    <w:basedOn w:val="Normal"/>
    <w:next w:val="Normal"/>
    <w:link w:val="Heading7Char"/>
    <w:unhideWhenUsed/>
    <w:qFormat/>
    <w:pPr>
      <w:keepNext/>
      <w:keepLines/>
      <w:spacing w:before="200"/>
      <w:outlineLvl w:val="6"/>
    </w:pPr>
    <w:rPr>
      <w:rFonts w:asciiTheme="majorHAnsi" w:eastAsiaTheme="majorEastAsia" w:hAnsiTheme="majorHAnsi" w:cstheme="majorBidi"/>
      <w:i/>
      <w:iCs/>
      <w:color w:val="404040" w:themeColor="text1" w:themeTint="BF"/>
      <w:sz w:val="20"/>
      <w:szCs w:val="24"/>
      <w:lang w:val="nl-BE"/>
    </w:rPr>
  </w:style>
  <w:style w:type="paragraph" w:styleId="Heading8">
    <w:name w:val="heading 8"/>
    <w:basedOn w:val="Normal"/>
    <w:next w:val="Normal"/>
    <w:link w:val="Heading8Char"/>
    <w:qFormat/>
    <w:pPr>
      <w:spacing w:before="120"/>
      <w:jc w:val="both"/>
      <w:outlineLvl w:val="7"/>
    </w:pPr>
    <w:rPr>
      <w:rFonts w:cs="Arabic Transparent"/>
      <w:b/>
      <w:szCs w:val="24"/>
      <w:lang w:val="en-GB"/>
    </w:rPr>
  </w:style>
  <w:style w:type="paragraph" w:styleId="Heading9">
    <w:name w:val="heading 9"/>
    <w:basedOn w:val="Normal"/>
    <w:next w:val="Normal"/>
    <w:link w:val="Heading9Char"/>
    <w:qFormat/>
    <w:pPr>
      <w:numPr>
        <w:ilvl w:val="8"/>
        <w:numId w:val="79"/>
      </w:numPr>
      <w:spacing w:before="240" w:after="60"/>
      <w:jc w:val="both"/>
      <w:outlineLvl w:val="8"/>
    </w:pPr>
    <w:rPr>
      <w:rFonts w:cs="Arabic Transparent"/>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w:hAnsi="Arial" w:cs="Arial"/>
      <w:bCs/>
      <w:szCs w:val="32"/>
      <w:lang w:val="nl-BE"/>
    </w:rPr>
  </w:style>
  <w:style w:type="paragraph" w:customStyle="1" w:styleId="H1">
    <w:name w:val="H1"/>
    <w:pPr>
      <w:spacing w:line="240" w:lineRule="exact"/>
      <w:jc w:val="center"/>
    </w:pPr>
    <w:rPr>
      <w:b/>
      <w:noProof/>
    </w:rPr>
  </w:style>
  <w:style w:type="paragraph" w:customStyle="1" w:styleId="H2">
    <w:name w:val="H2"/>
    <w:pPr>
      <w:spacing w:line="240" w:lineRule="exact"/>
    </w:pPr>
    <w:rPr>
      <w:b/>
      <w:noProof/>
    </w:rPr>
  </w:style>
  <w:style w:type="paragraph" w:customStyle="1" w:styleId="H3">
    <w:name w:val="H3"/>
    <w:pPr>
      <w:spacing w:line="240" w:lineRule="exact"/>
      <w:jc w:val="right"/>
    </w:pPr>
    <w:rPr>
      <w:b/>
      <w:noProof/>
    </w:rPr>
  </w:style>
  <w:style w:type="paragraph" w:customStyle="1" w:styleId="H4">
    <w:name w:val="H4"/>
    <w:pPr>
      <w:spacing w:line="240" w:lineRule="exact"/>
      <w:jc w:val="center"/>
    </w:pPr>
    <w:rPr>
      <w:i/>
      <w:noProof/>
    </w:rPr>
  </w:style>
  <w:style w:type="paragraph" w:customStyle="1" w:styleId="H4X">
    <w:name w:val="H4X"/>
    <w:pPr>
      <w:spacing w:line="240" w:lineRule="exact"/>
      <w:jc w:val="center"/>
    </w:pPr>
    <w:rPr>
      <w:b/>
      <w:i/>
      <w:noProof/>
    </w:rPr>
  </w:style>
  <w:style w:type="paragraph" w:customStyle="1" w:styleId="H5">
    <w:name w:val="H5"/>
    <w:pPr>
      <w:spacing w:line="240" w:lineRule="exact"/>
    </w:pPr>
    <w:rPr>
      <w:i/>
      <w:noProof/>
    </w:rPr>
  </w:style>
  <w:style w:type="paragraph" w:customStyle="1" w:styleId="H5X">
    <w:name w:val="H5X"/>
    <w:pPr>
      <w:spacing w:line="240" w:lineRule="exact"/>
    </w:pPr>
    <w:rPr>
      <w:b/>
      <w:i/>
      <w:noProof/>
    </w:rPr>
  </w:style>
  <w:style w:type="paragraph" w:customStyle="1" w:styleId="H6">
    <w:name w:val="H6"/>
    <w:pPr>
      <w:spacing w:line="240" w:lineRule="exact"/>
      <w:jc w:val="right"/>
    </w:pPr>
    <w:rPr>
      <w:i/>
      <w:noProof/>
    </w:rPr>
  </w:style>
  <w:style w:type="paragraph" w:customStyle="1" w:styleId="H6X">
    <w:name w:val="H6X"/>
    <w:pPr>
      <w:spacing w:line="240" w:lineRule="exact"/>
      <w:jc w:val="right"/>
    </w:pPr>
    <w:rPr>
      <w:b/>
      <w:i/>
      <w:noProof/>
    </w:rPr>
  </w:style>
  <w:style w:type="paragraph" w:customStyle="1" w:styleId="H7">
    <w:name w:val="H7"/>
    <w:pPr>
      <w:spacing w:line="240" w:lineRule="exact"/>
      <w:jc w:val="center"/>
    </w:pPr>
    <w:rPr>
      <w:noProof/>
    </w:rPr>
  </w:style>
  <w:style w:type="paragraph" w:customStyle="1" w:styleId="H8">
    <w:name w:val="H8"/>
    <w:pPr>
      <w:spacing w:line="240" w:lineRule="exact"/>
    </w:pPr>
    <w:rPr>
      <w:noProof/>
    </w:rPr>
  </w:style>
  <w:style w:type="paragraph" w:customStyle="1" w:styleId="H9">
    <w:name w:val="H9"/>
    <w:pPr>
      <w:spacing w:line="240" w:lineRule="exact"/>
      <w:jc w:val="right"/>
    </w:pPr>
    <w:rPr>
      <w:noProof/>
    </w:rPr>
  </w:style>
  <w:style w:type="paragraph" w:customStyle="1" w:styleId="I1">
    <w:name w:val="I1"/>
    <w:pPr>
      <w:spacing w:line="240" w:lineRule="exact"/>
      <w:ind w:left="240"/>
    </w:pPr>
    <w:rPr>
      <w:noProof/>
    </w:rPr>
  </w:style>
  <w:style w:type="paragraph" w:customStyle="1" w:styleId="I2">
    <w:name w:val="I2"/>
    <w:pPr>
      <w:spacing w:line="240" w:lineRule="exact"/>
      <w:ind w:left="480"/>
    </w:pPr>
    <w:rPr>
      <w:noProof/>
    </w:rPr>
  </w:style>
  <w:style w:type="paragraph" w:customStyle="1" w:styleId="I3">
    <w:name w:val="I3"/>
    <w:pPr>
      <w:spacing w:line="240" w:lineRule="exact"/>
      <w:ind w:left="720"/>
    </w:pPr>
    <w:rPr>
      <w:noProof/>
    </w:rPr>
  </w:style>
  <w:style w:type="paragraph" w:customStyle="1" w:styleId="I4">
    <w:name w:val="I4"/>
    <w:pPr>
      <w:spacing w:line="240" w:lineRule="exact"/>
      <w:ind w:left="960"/>
    </w:pPr>
    <w:rPr>
      <w:noProof/>
    </w:rPr>
  </w:style>
  <w:style w:type="paragraph" w:customStyle="1" w:styleId="IH1">
    <w:name w:val="IH1"/>
    <w:pPr>
      <w:spacing w:line="240" w:lineRule="exact"/>
      <w:ind w:left="200" w:hanging="200"/>
    </w:pPr>
    <w:rPr>
      <w:noProof/>
    </w:rPr>
  </w:style>
  <w:style w:type="paragraph" w:customStyle="1" w:styleId="IH2">
    <w:name w:val="IH2"/>
    <w:pPr>
      <w:ind w:left="400" w:hanging="400"/>
    </w:pPr>
    <w:rPr>
      <w:noProof/>
    </w:rPr>
  </w:style>
  <w:style w:type="paragraph" w:customStyle="1" w:styleId="IH3">
    <w:name w:val="IH3"/>
    <w:pPr>
      <w:tabs>
        <w:tab w:val="left" w:pos="2"/>
      </w:tabs>
      <w:spacing w:line="240" w:lineRule="exact"/>
      <w:ind w:left="500" w:hanging="500"/>
    </w:pPr>
    <w:rPr>
      <w:noProof/>
    </w:rPr>
  </w:style>
  <w:style w:type="paragraph" w:customStyle="1" w:styleId="P1">
    <w:name w:val="P1"/>
    <w:pPr>
      <w:spacing w:line="240" w:lineRule="exact"/>
    </w:pPr>
    <w:rPr>
      <w:noProof/>
    </w:rPr>
  </w:style>
  <w:style w:type="paragraph" w:customStyle="1" w:styleId="P2">
    <w:name w:val="P2"/>
    <w:pPr>
      <w:spacing w:line="240" w:lineRule="exact"/>
    </w:pPr>
    <w:rPr>
      <w:b/>
      <w:noProof/>
    </w:rPr>
  </w:style>
  <w:style w:type="paragraph" w:customStyle="1" w:styleId="P3">
    <w:name w:val="P3"/>
    <w:pPr>
      <w:spacing w:line="240" w:lineRule="exact"/>
    </w:pPr>
    <w:rPr>
      <w:i/>
      <w:noProof/>
    </w:rPr>
  </w:style>
  <w:style w:type="paragraph" w:customStyle="1" w:styleId="P4">
    <w:name w:val="P4"/>
    <w:pPr>
      <w:spacing w:line="240" w:lineRule="exact"/>
    </w:pPr>
    <w:rPr>
      <w:b/>
      <w:i/>
      <w:noProof/>
    </w:rPr>
  </w:style>
  <w:style w:type="paragraph" w:customStyle="1" w:styleId="LP10">
    <w:name w:val="LP10"/>
    <w:rPr>
      <w:noProof/>
    </w:rPr>
  </w:style>
  <w:style w:type="paragraph" w:customStyle="1" w:styleId="LP4">
    <w:name w:val="LP4"/>
    <w:rPr>
      <w:noProof/>
      <w:sz w:val="8"/>
    </w:rPr>
  </w:style>
  <w:style w:type="paragraph" w:customStyle="1" w:styleId="LP6">
    <w:name w:val="LP6"/>
    <w:pPr>
      <w:spacing w:line="120" w:lineRule="exact"/>
      <w:jc w:val="both"/>
    </w:pPr>
    <w:rPr>
      <w:noProof/>
      <w:sz w:val="12"/>
    </w:rPr>
  </w:style>
  <w:style w:type="paragraph" w:customStyle="1" w:styleId="LP8">
    <w:name w:val="LP8"/>
    <w:rPr>
      <w:noProof/>
      <w:sz w:val="16"/>
    </w:rPr>
  </w:style>
  <w:style w:type="paragraph" w:customStyle="1" w:styleId="LP12">
    <w:name w:val="LP12"/>
    <w:pPr>
      <w:spacing w:line="240" w:lineRule="exact"/>
      <w:jc w:val="both"/>
    </w:pPr>
    <w:rPr>
      <w:noProof/>
      <w:sz w:val="24"/>
    </w:rPr>
  </w:style>
  <w:style w:type="paragraph" w:customStyle="1" w:styleId="LP24">
    <w:name w:val="LP24"/>
    <w:pPr>
      <w:spacing w:line="480" w:lineRule="exact"/>
      <w:jc w:val="both"/>
    </w:pPr>
    <w:rPr>
      <w:noProof/>
      <w:sz w:val="48"/>
    </w:rPr>
  </w:style>
  <w:style w:type="paragraph" w:customStyle="1" w:styleId="LP18">
    <w:name w:val="LP18"/>
    <w:pPr>
      <w:spacing w:line="360" w:lineRule="exact"/>
      <w:jc w:val="both"/>
    </w:pPr>
    <w:rPr>
      <w:noProof/>
      <w:sz w:val="36"/>
    </w:rPr>
  </w:style>
  <w:style w:type="paragraph" w:customStyle="1" w:styleId="C8H">
    <w:name w:val="C8H"/>
    <w:pPr>
      <w:spacing w:line="160" w:lineRule="exact"/>
      <w:jc w:val="center"/>
    </w:pPr>
    <w:rPr>
      <w:b/>
      <w:noProof/>
      <w:sz w:val="16"/>
    </w:rPr>
  </w:style>
  <w:style w:type="paragraph" w:customStyle="1" w:styleId="ST10">
    <w:name w:val="ST10"/>
    <w:pPr>
      <w:spacing w:line="240" w:lineRule="exact"/>
    </w:pPr>
    <w:rPr>
      <w:noProof/>
    </w:rPr>
  </w:style>
  <w:style w:type="paragraph" w:customStyle="1" w:styleId="C10">
    <w:name w:val="C10"/>
    <w:pPr>
      <w:spacing w:line="240" w:lineRule="exact"/>
      <w:jc w:val="right"/>
    </w:pPr>
    <w:rPr>
      <w:noProof/>
    </w:rPr>
  </w:style>
  <w:style w:type="character" w:customStyle="1" w:styleId="doubleunderlines">
    <w:name w:val="doubleunderlines"/>
    <w:basedOn w:val="DefaultParagraphFont"/>
    <w:qFormat/>
    <w:rPr>
      <w:u w:val="double"/>
    </w:rPr>
  </w:style>
  <w:style w:type="character" w:customStyle="1" w:styleId="DefinedTerm">
    <w:name w:val="Defined Term"/>
  </w:style>
  <w:style w:type="paragraph" w:customStyle="1" w:styleId="TABLE">
    <w:name w:val="TABLE"/>
    <w:basedOn w:val="Normal"/>
    <w:pPr>
      <w:spacing w:line="240" w:lineRule="exact"/>
    </w:pPr>
    <w:rPr>
      <w:noProof/>
      <w:sz w:val="20"/>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8" w:space="1" w:color="auto"/>
      </w:pBdr>
      <w:spacing w:before="20" w:line="20" w:lineRule="exact"/>
      <w:jc w:val="center"/>
    </w:pPr>
    <w:rPr>
      <w:sz w:val="8"/>
      <w:szCs w:val="8"/>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Pr>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sz w:val="24"/>
    </w:rPr>
  </w:style>
  <w:style w:type="character" w:styleId="PageNumber">
    <w:name w:val="page number"/>
    <w:basedOn w:val="DefaultParagraphFont"/>
  </w:style>
  <w:style w:type="paragraph" w:styleId="NormalWeb">
    <w:name w:val="Normal (Web)"/>
    <w:basedOn w:val="Normal"/>
    <w:link w:val="NormalWebChar"/>
    <w:uiPriority w:val="99"/>
    <w:pPr>
      <w:spacing w:before="100" w:beforeAutospacing="1" w:after="100" w:afterAutospacing="1"/>
    </w:pPr>
    <w:rPr>
      <w:szCs w:val="24"/>
    </w:rPr>
  </w:style>
  <w:style w:type="paragraph" w:customStyle="1" w:styleId="rrddoublerule">
    <w:name w:val="rrddoublerule"/>
    <w:basedOn w:val="rrdsinglerule"/>
    <w:pPr>
      <w:pBdr>
        <w:top w:val="double" w:sz="6"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80" w:lineRule="exact"/>
      <w:ind w:left="4320" w:right="4320"/>
      <w:jc w:val="center"/>
    </w:pPr>
    <w:rPr>
      <w:noProof/>
      <w:sz w:val="12"/>
    </w:rPr>
  </w:style>
  <w:style w:type="paragraph" w:customStyle="1" w:styleId="rfn">
    <w:name w:val="rfn"/>
    <w:autoRedefine/>
    <w:pPr>
      <w:pBdr>
        <w:bottom w:val="single" w:sz="6" w:space="1" w:color="auto"/>
      </w:pBdr>
      <w:spacing w:line="120" w:lineRule="exact"/>
      <w:ind w:right="7201"/>
    </w:pPr>
    <w:rPr>
      <w:noProof/>
      <w:sz w:val="12"/>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customStyle="1" w:styleId="ATableCellBody">
    <w:name w:val="A_Table_Cell Body"/>
    <w:basedOn w:val="Normal"/>
    <w:qFormat/>
    <w:pPr>
      <w:spacing w:before="60" w:after="60" w:line="288" w:lineRule="auto"/>
    </w:pPr>
    <w:rPr>
      <w:rFonts w:ascii="Calibri" w:hAnsi="Calibri" w:cs="Calibri"/>
      <w:kern w:val="20"/>
      <w:sz w:val="20"/>
    </w:rPr>
  </w:style>
  <w:style w:type="paragraph" w:customStyle="1" w:styleId="ABody">
    <w:name w:val="A_Body"/>
    <w:basedOn w:val="Normal"/>
    <w:link w:val="ABodyChar"/>
    <w:qFormat/>
    <w:pPr>
      <w:spacing w:after="140" w:line="288" w:lineRule="auto"/>
      <w:jc w:val="both"/>
    </w:pPr>
    <w:rPr>
      <w:rFonts w:ascii="Calibri" w:hAnsi="Calibri" w:cs="Calibri"/>
      <w:kern w:val="20"/>
      <w:sz w:val="20"/>
      <w:szCs w:val="24"/>
      <w:lang w:val="en-GB"/>
    </w:rPr>
  </w:style>
  <w:style w:type="character" w:customStyle="1" w:styleId="ABodyChar">
    <w:name w:val="A_Body Char"/>
    <w:basedOn w:val="DefaultParagraphFont"/>
    <w:link w:val="ABody"/>
    <w:rPr>
      <w:rFonts w:ascii="Calibri" w:hAnsi="Calibri" w:cs="Calibri"/>
      <w:kern w:val="20"/>
      <w:szCs w:val="24"/>
      <w:lang w:val="en-GB"/>
    </w:rPr>
  </w:style>
  <w:style w:type="paragraph" w:styleId="FootnoteText">
    <w:name w:val="footnote text"/>
    <w:basedOn w:val="Normal"/>
    <w:link w:val="FootnoteTextChar"/>
    <w:unhideWhenUsed/>
    <w:rPr>
      <w:rFonts w:ascii="Arial" w:hAnsi="Arial"/>
      <w:sz w:val="20"/>
      <w:lang w:val="nl-BE"/>
    </w:rPr>
  </w:style>
  <w:style w:type="character" w:customStyle="1" w:styleId="FootnoteTextChar">
    <w:name w:val="Footnote Text Char"/>
    <w:basedOn w:val="DefaultParagraphFont"/>
    <w:link w:val="FootnoteText"/>
    <w:rPr>
      <w:rFonts w:ascii="Arial" w:hAnsi="Arial"/>
      <w:lang w:val="nl-BE"/>
    </w:rPr>
  </w:style>
  <w:style w:type="character" w:styleId="FootnoteReference">
    <w:name w:val="footnote reference"/>
    <w:basedOn w:val="DefaultParagraphFont"/>
    <w:unhideWhenUsed/>
    <w:rPr>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Pr>
      <w:rFonts w:asciiTheme="minorHAnsi" w:eastAsiaTheme="minorHAnsi" w:hAnsiTheme="minorHAnsi" w:cstheme="minorBidi"/>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Pr>
      <w:rFonts w:asciiTheme="majorHAnsi" w:eastAsiaTheme="majorEastAsia" w:hAnsiTheme="majorHAnsi" w:cstheme="majorBidi"/>
      <w:color w:val="365F91" w:themeColor="accent1" w:themeShade="BF"/>
      <w:sz w:val="26"/>
      <w:szCs w:val="26"/>
      <w:lang w:val="nl-BE"/>
    </w:rPr>
  </w:style>
  <w:style w:type="character" w:customStyle="1" w:styleId="Heading7Char">
    <w:name w:val="Heading 7 Char"/>
    <w:basedOn w:val="DefaultParagraphFont"/>
    <w:link w:val="Heading7"/>
    <w:rPr>
      <w:rFonts w:asciiTheme="majorHAnsi" w:eastAsiaTheme="majorEastAsia" w:hAnsiTheme="majorHAnsi" w:cstheme="majorBidi"/>
      <w:i/>
      <w:iCs/>
      <w:color w:val="404040" w:themeColor="text1" w:themeTint="BF"/>
      <w:szCs w:val="24"/>
      <w:lang w:val="nl-BE"/>
    </w:rPr>
  </w:style>
  <w:style w:type="paragraph" w:styleId="Title">
    <w:name w:val="Title"/>
    <w:basedOn w:val="Normal"/>
    <w:next w:val="Normal"/>
    <w:link w:val="TitleChar"/>
    <w:qFormat/>
    <w:pPr>
      <w:contextualSpacing/>
    </w:pPr>
    <w:rPr>
      <w:rFonts w:asciiTheme="majorHAnsi" w:eastAsiaTheme="majorEastAsia" w:hAnsiTheme="majorHAnsi" w:cstheme="majorBidi"/>
      <w:spacing w:val="-10"/>
      <w:kern w:val="28"/>
      <w:sz w:val="56"/>
      <w:szCs w:val="56"/>
      <w:lang w:val="nl-BE"/>
    </w:rPr>
  </w:style>
  <w:style w:type="character" w:customStyle="1" w:styleId="TitleChar">
    <w:name w:val="Title Char"/>
    <w:basedOn w:val="DefaultParagraphFont"/>
    <w:link w:val="Title"/>
    <w:rPr>
      <w:rFonts w:asciiTheme="majorHAnsi" w:eastAsiaTheme="majorEastAsia" w:hAnsiTheme="majorHAnsi" w:cstheme="majorBidi"/>
      <w:spacing w:val="-10"/>
      <w:kern w:val="28"/>
      <w:sz w:val="56"/>
      <w:szCs w:val="56"/>
      <w:lang w:val="nl-BE"/>
    </w:rPr>
  </w:style>
  <w:style w:type="paragraph" w:customStyle="1" w:styleId="AHeadCentred">
    <w:name w:val="A_Head_Centred"/>
    <w:basedOn w:val="Normal"/>
    <w:next w:val="ABody"/>
    <w:link w:val="AHeadCentredChar"/>
    <w:qFormat/>
    <w:pPr>
      <w:keepNext/>
      <w:spacing w:after="240" w:line="288" w:lineRule="auto"/>
      <w:jc w:val="center"/>
      <w:outlineLvl w:val="0"/>
    </w:pPr>
    <w:rPr>
      <w:rFonts w:ascii="Calibri" w:hAnsi="Calibri" w:cs="Calibri"/>
      <w:b/>
      <w:bCs/>
      <w:kern w:val="28"/>
      <w:sz w:val="25"/>
      <w:szCs w:val="32"/>
      <w:lang w:val="en-GB"/>
    </w:rPr>
  </w:style>
  <w:style w:type="character" w:customStyle="1" w:styleId="AHeadCentredChar">
    <w:name w:val="A_Head_Centred Char"/>
    <w:basedOn w:val="DefaultParagraphFont"/>
    <w:link w:val="AHeadCentred"/>
    <w:rPr>
      <w:rFonts w:ascii="Calibri" w:hAnsi="Calibri" w:cs="Calibri"/>
      <w:b/>
      <w:bCs/>
      <w:kern w:val="28"/>
      <w:sz w:val="25"/>
      <w:szCs w:val="32"/>
      <w:lang w:val="en-GB"/>
    </w:rPr>
  </w:style>
  <w:style w:type="paragraph" w:customStyle="1" w:styleId="AHeadRecitals">
    <w:name w:val="A_Head_Recitals"/>
    <w:basedOn w:val="Normal"/>
    <w:next w:val="ARecitals"/>
    <w:link w:val="AHeadRecitalsChar"/>
    <w:qFormat/>
    <w:pPr>
      <w:keepNext/>
      <w:spacing w:before="280" w:after="140" w:line="288" w:lineRule="auto"/>
      <w:jc w:val="both"/>
      <w:outlineLvl w:val="0"/>
    </w:pPr>
    <w:rPr>
      <w:rFonts w:ascii="Calibri" w:hAnsi="Calibri" w:cs="Calibri"/>
      <w:b/>
      <w:kern w:val="23"/>
      <w:sz w:val="23"/>
      <w:szCs w:val="24"/>
      <w:lang w:val="en-GB"/>
    </w:rPr>
  </w:style>
  <w:style w:type="paragraph" w:customStyle="1" w:styleId="ARecitals">
    <w:name w:val="A_Recitals"/>
    <w:basedOn w:val="Normal"/>
    <w:link w:val="ARecitalsChar"/>
    <w:qFormat/>
    <w:pPr>
      <w:numPr>
        <w:numId w:val="7"/>
      </w:numPr>
      <w:spacing w:after="140" w:line="288" w:lineRule="auto"/>
      <w:jc w:val="both"/>
    </w:pPr>
    <w:rPr>
      <w:rFonts w:ascii="Calibri" w:hAnsi="Calibri" w:cs="Calibri"/>
      <w:kern w:val="20"/>
      <w:sz w:val="20"/>
      <w:szCs w:val="24"/>
      <w:lang w:val="fr-BE"/>
    </w:rPr>
  </w:style>
  <w:style w:type="character" w:customStyle="1" w:styleId="ARecitalsChar">
    <w:name w:val="A_Recitals Char"/>
    <w:basedOn w:val="DefaultParagraphFont"/>
    <w:link w:val="ARecitals"/>
    <w:rPr>
      <w:rFonts w:ascii="Calibri" w:hAnsi="Calibri" w:cs="Calibri"/>
      <w:kern w:val="20"/>
      <w:szCs w:val="24"/>
      <w:lang w:val="fr-BE"/>
    </w:rPr>
  </w:style>
  <w:style w:type="character" w:customStyle="1" w:styleId="AHeadRecitalsChar">
    <w:name w:val="A_Head_Recitals Char"/>
    <w:basedOn w:val="DefaultParagraphFont"/>
    <w:link w:val="AHeadRecitals"/>
    <w:rPr>
      <w:rFonts w:ascii="Calibri" w:hAnsi="Calibri" w:cs="Calibri"/>
      <w:b/>
      <w:kern w:val="23"/>
      <w:sz w:val="23"/>
      <w:szCs w:val="24"/>
      <w:lang w:val="en-GB"/>
    </w:rPr>
  </w:style>
  <w:style w:type="paragraph" w:customStyle="1" w:styleId="ALevel1">
    <w:name w:val="A_Level 1"/>
    <w:basedOn w:val="Normal"/>
    <w:next w:val="ABody1"/>
    <w:link w:val="ALevel1Char"/>
    <w:qFormat/>
    <w:pPr>
      <w:keepNext/>
      <w:numPr>
        <w:numId w:val="6"/>
      </w:numPr>
      <w:spacing w:before="280" w:after="140" w:line="288" w:lineRule="auto"/>
      <w:jc w:val="both"/>
      <w:outlineLvl w:val="0"/>
    </w:pPr>
    <w:rPr>
      <w:rFonts w:ascii="Calibri" w:hAnsi="Calibri" w:cs="Calibri"/>
      <w:b/>
      <w:bCs/>
      <w:kern w:val="20"/>
      <w:sz w:val="22"/>
      <w:szCs w:val="32"/>
      <w:lang w:val="en-GB"/>
    </w:rPr>
  </w:style>
  <w:style w:type="paragraph" w:customStyle="1" w:styleId="ABody1">
    <w:name w:val="A_Body 1"/>
    <w:basedOn w:val="Normal"/>
    <w:link w:val="ABody1Char"/>
    <w:qFormat/>
    <w:pPr>
      <w:spacing w:after="140" w:line="288" w:lineRule="auto"/>
      <w:ind w:left="680"/>
      <w:jc w:val="both"/>
    </w:pPr>
    <w:rPr>
      <w:rFonts w:ascii="Calibri" w:hAnsi="Calibri" w:cs="Calibri"/>
      <w:kern w:val="20"/>
      <w:sz w:val="20"/>
      <w:szCs w:val="24"/>
      <w:lang w:val="en-GB"/>
    </w:rPr>
  </w:style>
  <w:style w:type="character" w:customStyle="1" w:styleId="ABody1Char">
    <w:name w:val="A_Body 1 Char"/>
    <w:basedOn w:val="DefaultParagraphFont"/>
    <w:link w:val="ABody1"/>
    <w:rPr>
      <w:rFonts w:ascii="Calibri" w:hAnsi="Calibri" w:cs="Calibri"/>
      <w:kern w:val="20"/>
      <w:szCs w:val="24"/>
      <w:lang w:val="en-GB"/>
    </w:rPr>
  </w:style>
  <w:style w:type="character" w:customStyle="1" w:styleId="ALevel1Char">
    <w:name w:val="A_Level 1 Char"/>
    <w:basedOn w:val="DefaultParagraphFont"/>
    <w:link w:val="ALevel1"/>
    <w:rPr>
      <w:rFonts w:ascii="Calibri" w:hAnsi="Calibri" w:cs="Calibri"/>
      <w:b/>
      <w:bCs/>
      <w:kern w:val="20"/>
      <w:sz w:val="22"/>
      <w:szCs w:val="32"/>
      <w:lang w:val="en-GB"/>
    </w:rPr>
  </w:style>
  <w:style w:type="paragraph" w:customStyle="1" w:styleId="ALevel2">
    <w:name w:val="A_Level 2"/>
    <w:basedOn w:val="Normal"/>
    <w:next w:val="ABody2"/>
    <w:link w:val="ALevel2Char"/>
    <w:qFormat/>
    <w:pPr>
      <w:keepNext/>
      <w:numPr>
        <w:ilvl w:val="1"/>
        <w:numId w:val="6"/>
      </w:numPr>
      <w:spacing w:before="280" w:after="60" w:line="288" w:lineRule="auto"/>
      <w:jc w:val="both"/>
      <w:outlineLvl w:val="1"/>
    </w:pPr>
    <w:rPr>
      <w:rFonts w:ascii="Calibri" w:hAnsi="Calibri" w:cs="Calibri"/>
      <w:b/>
      <w:bCs/>
      <w:kern w:val="20"/>
      <w:sz w:val="21"/>
      <w:szCs w:val="31"/>
      <w:lang w:val="en-GB"/>
    </w:rPr>
  </w:style>
  <w:style w:type="paragraph" w:customStyle="1" w:styleId="ABody2">
    <w:name w:val="A_Body 2"/>
    <w:basedOn w:val="Normal"/>
    <w:link w:val="ABody2Char"/>
    <w:qFormat/>
    <w:pPr>
      <w:spacing w:after="140" w:line="288" w:lineRule="auto"/>
      <w:ind w:left="680"/>
      <w:jc w:val="both"/>
    </w:pPr>
    <w:rPr>
      <w:rFonts w:ascii="Calibri" w:hAnsi="Calibri" w:cs="Calibri"/>
      <w:kern w:val="20"/>
      <w:sz w:val="20"/>
      <w:szCs w:val="24"/>
      <w:lang w:val="en-GB"/>
    </w:rPr>
  </w:style>
  <w:style w:type="character" w:customStyle="1" w:styleId="ABody2Char">
    <w:name w:val="A_Body 2 Char"/>
    <w:basedOn w:val="DefaultParagraphFont"/>
    <w:link w:val="ABody2"/>
    <w:rPr>
      <w:rFonts w:ascii="Calibri" w:hAnsi="Calibri" w:cs="Calibri"/>
      <w:kern w:val="20"/>
      <w:szCs w:val="24"/>
      <w:lang w:val="en-GB"/>
    </w:rPr>
  </w:style>
  <w:style w:type="character" w:customStyle="1" w:styleId="ALevel2Char">
    <w:name w:val="A_Level 2 Char"/>
    <w:basedOn w:val="DefaultParagraphFont"/>
    <w:link w:val="ALevel2"/>
    <w:rPr>
      <w:rFonts w:ascii="Calibri" w:hAnsi="Calibri" w:cs="Calibri"/>
      <w:b/>
      <w:bCs/>
      <w:kern w:val="20"/>
      <w:sz w:val="21"/>
      <w:szCs w:val="31"/>
      <w:lang w:val="en-GB"/>
    </w:rPr>
  </w:style>
  <w:style w:type="paragraph" w:customStyle="1" w:styleId="ALevel3">
    <w:name w:val="A_Level 3"/>
    <w:basedOn w:val="Normal"/>
    <w:link w:val="ALevel3Char"/>
    <w:qFormat/>
    <w:pPr>
      <w:keepNext/>
      <w:numPr>
        <w:ilvl w:val="2"/>
        <w:numId w:val="6"/>
      </w:numPr>
      <w:spacing w:after="140" w:line="288" w:lineRule="auto"/>
      <w:jc w:val="both"/>
      <w:outlineLvl w:val="2"/>
    </w:pPr>
    <w:rPr>
      <w:rFonts w:ascii="Calibri" w:eastAsiaTheme="minorHAnsi" w:hAnsi="Calibri" w:cs="Calibri"/>
      <w:b/>
      <w:kern w:val="20"/>
      <w:sz w:val="20"/>
      <w:szCs w:val="28"/>
      <w:lang w:val="fr-BE"/>
    </w:rPr>
  </w:style>
  <w:style w:type="character" w:customStyle="1" w:styleId="ALevel3Char">
    <w:name w:val="A_Level 3 Char"/>
    <w:basedOn w:val="DefaultParagraphFont"/>
    <w:link w:val="ALevel3"/>
    <w:rPr>
      <w:rFonts w:ascii="Calibri" w:eastAsiaTheme="minorHAnsi" w:hAnsi="Calibri" w:cs="Calibri"/>
      <w:b/>
      <w:kern w:val="20"/>
      <w:szCs w:val="28"/>
      <w:lang w:val="fr-BE"/>
    </w:rPr>
  </w:style>
  <w:style w:type="paragraph" w:customStyle="1" w:styleId="ALevel4">
    <w:name w:val="A_Level 4"/>
    <w:basedOn w:val="Normal"/>
    <w:link w:val="ALevel4Char"/>
    <w:qFormat/>
    <w:pPr>
      <w:tabs>
        <w:tab w:val="num" w:pos="2041"/>
      </w:tabs>
      <w:spacing w:after="140" w:line="288" w:lineRule="auto"/>
      <w:ind w:left="2041" w:hanging="680"/>
      <w:jc w:val="both"/>
    </w:pPr>
    <w:rPr>
      <w:rFonts w:ascii="Calibri" w:hAnsi="Calibri" w:cs="Calibri"/>
      <w:kern w:val="20"/>
      <w:sz w:val="20"/>
      <w:szCs w:val="24"/>
      <w:lang w:val="en-GB"/>
    </w:rPr>
  </w:style>
  <w:style w:type="character" w:customStyle="1" w:styleId="ALevel4Char">
    <w:name w:val="A_Level 4 Char"/>
    <w:basedOn w:val="DefaultParagraphFont"/>
    <w:link w:val="ALevel4"/>
    <w:rPr>
      <w:rFonts w:ascii="Calibri" w:hAnsi="Calibri" w:cs="Calibri"/>
      <w:kern w:val="20"/>
      <w:szCs w:val="24"/>
      <w:lang w:val="en-GB"/>
    </w:rPr>
  </w:style>
  <w:style w:type="paragraph" w:customStyle="1" w:styleId="ALevel5">
    <w:name w:val="A_Level 5"/>
    <w:basedOn w:val="Normal"/>
    <w:link w:val="ALevel5Char"/>
    <w:qFormat/>
    <w:pPr>
      <w:tabs>
        <w:tab w:val="num" w:pos="2608"/>
      </w:tabs>
      <w:spacing w:after="140" w:line="288" w:lineRule="auto"/>
      <w:ind w:left="2608" w:hanging="567"/>
      <w:jc w:val="both"/>
    </w:pPr>
    <w:rPr>
      <w:rFonts w:ascii="Calibri" w:hAnsi="Calibri" w:cs="Calibri"/>
      <w:kern w:val="20"/>
      <w:sz w:val="20"/>
      <w:szCs w:val="24"/>
      <w:lang w:val="fr-BE"/>
    </w:rPr>
  </w:style>
  <w:style w:type="character" w:customStyle="1" w:styleId="ALevel5Char">
    <w:name w:val="A_Level 5 Char"/>
    <w:basedOn w:val="DefaultParagraphFont"/>
    <w:link w:val="ALevel5"/>
    <w:rPr>
      <w:rFonts w:ascii="Calibri" w:hAnsi="Calibri" w:cs="Calibri"/>
      <w:kern w:val="20"/>
      <w:szCs w:val="24"/>
      <w:lang w:val="fr-BE"/>
    </w:rPr>
  </w:style>
  <w:style w:type="paragraph" w:customStyle="1" w:styleId="ALevel6">
    <w:name w:val="A_Level 6"/>
    <w:basedOn w:val="Normal"/>
    <w:link w:val="ALevel6Char"/>
    <w:qFormat/>
    <w:pPr>
      <w:tabs>
        <w:tab w:val="num" w:pos="3288"/>
      </w:tabs>
      <w:spacing w:after="140" w:line="288" w:lineRule="auto"/>
      <w:ind w:left="3288" w:hanging="680"/>
      <w:jc w:val="both"/>
    </w:pPr>
    <w:rPr>
      <w:rFonts w:ascii="Calibri" w:hAnsi="Calibri" w:cs="Calibri"/>
      <w:kern w:val="20"/>
      <w:sz w:val="20"/>
      <w:szCs w:val="24"/>
      <w:lang w:val="en-GB"/>
    </w:rPr>
  </w:style>
  <w:style w:type="character" w:customStyle="1" w:styleId="ALevel6Char">
    <w:name w:val="A_Level 6 Char"/>
    <w:basedOn w:val="DefaultParagraphFont"/>
    <w:link w:val="ALevel6"/>
    <w:rPr>
      <w:rFonts w:ascii="Calibri" w:hAnsi="Calibri" w:cs="Calibri"/>
      <w:kern w:val="20"/>
      <w:szCs w:val="24"/>
      <w:lang w:val="en-GB"/>
    </w:rPr>
  </w:style>
  <w:style w:type="paragraph" w:customStyle="1" w:styleId="ABody3">
    <w:name w:val="A_Body 3"/>
    <w:basedOn w:val="Normal"/>
    <w:link w:val="ABody3Char"/>
    <w:qFormat/>
    <w:pPr>
      <w:spacing w:after="140" w:line="288" w:lineRule="auto"/>
      <w:ind w:left="1361"/>
      <w:jc w:val="both"/>
    </w:pPr>
    <w:rPr>
      <w:rFonts w:ascii="Calibri" w:eastAsiaTheme="minorHAnsi" w:hAnsi="Calibri" w:cs="Calibri"/>
      <w:kern w:val="20"/>
      <w:sz w:val="20"/>
      <w:lang w:val="en-GB"/>
    </w:rPr>
  </w:style>
  <w:style w:type="character" w:customStyle="1" w:styleId="ABody3Char">
    <w:name w:val="A_Body 3 Char"/>
    <w:basedOn w:val="DefaultParagraphFont"/>
    <w:link w:val="ABody3"/>
    <w:rPr>
      <w:rFonts w:ascii="Calibri" w:eastAsiaTheme="minorHAnsi" w:hAnsi="Calibri" w:cs="Calibri"/>
      <w:kern w:val="20"/>
      <w:lang w:val="en-GB"/>
    </w:rPr>
  </w:style>
  <w:style w:type="paragraph" w:customStyle="1" w:styleId="ABody4">
    <w:name w:val="A_Body 4"/>
    <w:basedOn w:val="Normal"/>
    <w:link w:val="ABody4Char"/>
    <w:qFormat/>
    <w:pPr>
      <w:spacing w:after="140" w:line="288" w:lineRule="auto"/>
      <w:ind w:left="2041"/>
      <w:jc w:val="both"/>
    </w:pPr>
    <w:rPr>
      <w:rFonts w:ascii="Calibri" w:hAnsi="Calibri" w:cs="Calibri"/>
      <w:kern w:val="20"/>
      <w:sz w:val="20"/>
      <w:szCs w:val="24"/>
      <w:lang w:val="en-GB"/>
    </w:rPr>
  </w:style>
  <w:style w:type="character" w:customStyle="1" w:styleId="ABody4Char">
    <w:name w:val="A_Body 4 Char"/>
    <w:basedOn w:val="DefaultParagraphFont"/>
    <w:link w:val="ABody4"/>
    <w:rPr>
      <w:rFonts w:ascii="Calibri" w:hAnsi="Calibri" w:cs="Calibri"/>
      <w:kern w:val="20"/>
      <w:szCs w:val="24"/>
      <w:lang w:val="en-GB"/>
    </w:rPr>
  </w:style>
  <w:style w:type="paragraph" w:customStyle="1" w:styleId="ABody5">
    <w:name w:val="A_Body 5"/>
    <w:basedOn w:val="Normal"/>
    <w:link w:val="ABody5Char"/>
    <w:qFormat/>
    <w:pPr>
      <w:spacing w:after="140" w:line="288" w:lineRule="auto"/>
      <w:ind w:left="2608"/>
      <w:jc w:val="both"/>
    </w:pPr>
    <w:rPr>
      <w:rFonts w:ascii="Calibri" w:hAnsi="Calibri" w:cs="Calibri"/>
      <w:kern w:val="20"/>
      <w:sz w:val="20"/>
      <w:szCs w:val="24"/>
      <w:lang w:val="en-GB"/>
    </w:rPr>
  </w:style>
  <w:style w:type="character" w:customStyle="1" w:styleId="ABody5Char">
    <w:name w:val="A_Body 5 Char"/>
    <w:basedOn w:val="DefaultParagraphFont"/>
    <w:link w:val="ABody5"/>
    <w:rPr>
      <w:rFonts w:ascii="Calibri" w:hAnsi="Calibri" w:cs="Calibri"/>
      <w:kern w:val="20"/>
      <w:szCs w:val="24"/>
      <w:lang w:val="en-GB"/>
    </w:rPr>
  </w:style>
  <w:style w:type="paragraph" w:customStyle="1" w:styleId="ATitle">
    <w:name w:val="A_Title"/>
    <w:basedOn w:val="Normal"/>
    <w:next w:val="ABody"/>
    <w:link w:val="ATitleChar"/>
    <w:qFormat/>
    <w:pPr>
      <w:keepNext/>
      <w:spacing w:after="240" w:line="288" w:lineRule="auto"/>
      <w:jc w:val="both"/>
      <w:outlineLvl w:val="0"/>
    </w:pPr>
    <w:rPr>
      <w:rFonts w:ascii="Calibri" w:hAnsi="Calibri" w:cs="Calibri"/>
      <w:b/>
      <w:bCs/>
      <w:kern w:val="28"/>
      <w:sz w:val="25"/>
      <w:szCs w:val="32"/>
      <w:lang w:val="en-GB"/>
    </w:rPr>
  </w:style>
  <w:style w:type="character" w:customStyle="1" w:styleId="ATitleChar">
    <w:name w:val="A_Title Char"/>
    <w:basedOn w:val="DefaultParagraphFont"/>
    <w:link w:val="ATitle"/>
    <w:rPr>
      <w:rFonts w:ascii="Calibri" w:hAnsi="Calibri" w:cs="Calibri"/>
      <w:b/>
      <w:bCs/>
      <w:kern w:val="28"/>
      <w:sz w:val="25"/>
      <w:szCs w:val="32"/>
      <w:lang w:val="en-GB"/>
    </w:rPr>
  </w:style>
  <w:style w:type="paragraph" w:customStyle="1" w:styleId="AHeadNotarialDeed">
    <w:name w:val="A_Head_Notarial Deed"/>
    <w:basedOn w:val="Normal"/>
    <w:next w:val="ABody"/>
    <w:link w:val="AHeadNotarialDeedChar"/>
    <w:qFormat/>
    <w:pPr>
      <w:keepNext/>
      <w:spacing w:line="288" w:lineRule="auto"/>
      <w:jc w:val="both"/>
    </w:pPr>
    <w:rPr>
      <w:rFonts w:ascii="Calibri" w:eastAsiaTheme="minorHAnsi" w:hAnsi="Calibri" w:cs="Calibri"/>
      <w:b/>
      <w:caps/>
      <w:kern w:val="20"/>
      <w:szCs w:val="24"/>
      <w:lang w:val="en-GB"/>
    </w:rPr>
  </w:style>
  <w:style w:type="character" w:customStyle="1" w:styleId="AHeadNotarialDeedChar">
    <w:name w:val="A_Head_Notarial Deed Char"/>
    <w:basedOn w:val="DefaultParagraphFont"/>
    <w:link w:val="AHeadNotarialDeed"/>
    <w:rPr>
      <w:rFonts w:ascii="Calibri" w:eastAsiaTheme="minorHAnsi" w:hAnsi="Calibri" w:cs="Calibri"/>
      <w:b/>
      <w:caps/>
      <w:kern w:val="20"/>
      <w:sz w:val="24"/>
      <w:szCs w:val="24"/>
      <w:lang w:val="en-GB"/>
    </w:rPr>
  </w:style>
  <w:style w:type="paragraph" w:customStyle="1" w:styleId="AHead">
    <w:name w:val="A_Head"/>
    <w:basedOn w:val="Normal"/>
    <w:next w:val="ABody"/>
    <w:link w:val="AHeadChar"/>
    <w:qFormat/>
    <w:pPr>
      <w:keepNext/>
      <w:spacing w:before="280" w:after="140" w:line="288" w:lineRule="auto"/>
      <w:jc w:val="both"/>
      <w:outlineLvl w:val="0"/>
    </w:pPr>
    <w:rPr>
      <w:rFonts w:ascii="Calibri" w:hAnsi="Calibri" w:cs="Calibri"/>
      <w:b/>
      <w:kern w:val="23"/>
      <w:sz w:val="23"/>
      <w:szCs w:val="24"/>
      <w:lang w:val="en-GB"/>
    </w:rPr>
  </w:style>
  <w:style w:type="character" w:customStyle="1" w:styleId="AHeadChar">
    <w:name w:val="A_Head Char"/>
    <w:basedOn w:val="DefaultParagraphFont"/>
    <w:link w:val="AHead"/>
    <w:rPr>
      <w:rFonts w:ascii="Calibri" w:hAnsi="Calibri" w:cs="Calibri"/>
      <w:b/>
      <w:kern w:val="23"/>
      <w:sz w:val="23"/>
      <w:szCs w:val="24"/>
      <w:lang w:val="en-GB"/>
    </w:rPr>
  </w:style>
  <w:style w:type="paragraph" w:customStyle="1" w:styleId="AHead1">
    <w:name w:val="A_Head 1"/>
    <w:basedOn w:val="Normal"/>
    <w:next w:val="ABody1"/>
    <w:link w:val="AHead1Char"/>
    <w:qFormat/>
    <w:pPr>
      <w:keepNext/>
      <w:spacing w:before="280" w:after="140" w:line="288" w:lineRule="auto"/>
      <w:ind w:left="680"/>
      <w:jc w:val="both"/>
      <w:outlineLvl w:val="0"/>
    </w:pPr>
    <w:rPr>
      <w:rFonts w:ascii="Calibri" w:hAnsi="Calibri" w:cs="Calibri"/>
      <w:b/>
      <w:kern w:val="22"/>
      <w:sz w:val="22"/>
      <w:szCs w:val="24"/>
      <w:lang w:val="en-GB"/>
    </w:rPr>
  </w:style>
  <w:style w:type="character" w:customStyle="1" w:styleId="AHead1Char">
    <w:name w:val="A_Head 1 Char"/>
    <w:basedOn w:val="DefaultParagraphFont"/>
    <w:link w:val="AHead1"/>
    <w:rPr>
      <w:rFonts w:ascii="Calibri" w:hAnsi="Calibri" w:cs="Calibri"/>
      <w:b/>
      <w:kern w:val="22"/>
      <w:sz w:val="22"/>
      <w:szCs w:val="24"/>
      <w:lang w:val="en-GB"/>
    </w:rPr>
  </w:style>
  <w:style w:type="paragraph" w:customStyle="1" w:styleId="AHead2">
    <w:name w:val="A_Head 2"/>
    <w:basedOn w:val="Normal"/>
    <w:next w:val="ABody3"/>
    <w:link w:val="AHead2Char"/>
    <w:qFormat/>
    <w:pPr>
      <w:keepNext/>
      <w:spacing w:before="280" w:after="60" w:line="288" w:lineRule="auto"/>
      <w:ind w:left="1361"/>
      <w:jc w:val="both"/>
      <w:outlineLvl w:val="1"/>
    </w:pPr>
    <w:rPr>
      <w:rFonts w:ascii="Calibri" w:hAnsi="Calibri" w:cs="Calibri"/>
      <w:b/>
      <w:kern w:val="21"/>
      <w:sz w:val="21"/>
      <w:szCs w:val="24"/>
      <w:lang w:val="en-GB"/>
    </w:rPr>
  </w:style>
  <w:style w:type="character" w:customStyle="1" w:styleId="AHead2Char">
    <w:name w:val="A_Head 2 Char"/>
    <w:basedOn w:val="DefaultParagraphFont"/>
    <w:link w:val="AHead2"/>
    <w:rPr>
      <w:rFonts w:ascii="Calibri" w:hAnsi="Calibri" w:cs="Calibri"/>
      <w:b/>
      <w:kern w:val="21"/>
      <w:sz w:val="21"/>
      <w:szCs w:val="24"/>
      <w:lang w:val="en-GB"/>
    </w:rPr>
  </w:style>
  <w:style w:type="paragraph" w:customStyle="1" w:styleId="AHead3">
    <w:name w:val="A_Head 3"/>
    <w:basedOn w:val="Normal"/>
    <w:next w:val="ABody4"/>
    <w:link w:val="AHead3Char"/>
    <w:qFormat/>
    <w:pPr>
      <w:keepNext/>
      <w:spacing w:before="280" w:after="40" w:line="288" w:lineRule="auto"/>
      <w:ind w:left="2041"/>
      <w:jc w:val="both"/>
      <w:outlineLvl w:val="2"/>
    </w:pPr>
    <w:rPr>
      <w:rFonts w:ascii="Calibri" w:hAnsi="Calibri" w:cs="Calibri"/>
      <w:b/>
      <w:kern w:val="20"/>
      <w:sz w:val="20"/>
      <w:szCs w:val="24"/>
      <w:lang w:val="en-GB"/>
    </w:rPr>
  </w:style>
  <w:style w:type="character" w:customStyle="1" w:styleId="AHead3Char">
    <w:name w:val="A_Head 3 Char"/>
    <w:basedOn w:val="DefaultParagraphFont"/>
    <w:link w:val="AHead3"/>
    <w:rPr>
      <w:rFonts w:ascii="Calibri" w:hAnsi="Calibri" w:cs="Calibri"/>
      <w:b/>
      <w:kern w:val="20"/>
      <w:szCs w:val="24"/>
      <w:lang w:val="en-GB"/>
    </w:rPr>
  </w:style>
  <w:style w:type="paragraph" w:customStyle="1" w:styleId="AHeadSubhead">
    <w:name w:val="A_Head_Subhead"/>
    <w:basedOn w:val="Normal"/>
    <w:next w:val="ABody"/>
    <w:link w:val="AHeadSubheadChar"/>
    <w:qFormat/>
    <w:pPr>
      <w:keepNext/>
      <w:spacing w:before="120" w:after="60" w:line="288" w:lineRule="auto"/>
      <w:jc w:val="both"/>
      <w:outlineLvl w:val="0"/>
    </w:pPr>
    <w:rPr>
      <w:rFonts w:ascii="Calibri" w:hAnsi="Calibri" w:cs="Calibri"/>
      <w:b/>
      <w:kern w:val="21"/>
      <w:sz w:val="21"/>
      <w:szCs w:val="24"/>
      <w:lang w:val="en-GB"/>
    </w:rPr>
  </w:style>
  <w:style w:type="character" w:customStyle="1" w:styleId="AHeadSubheadChar">
    <w:name w:val="A_Head_Subhead Char"/>
    <w:basedOn w:val="DefaultParagraphFont"/>
    <w:link w:val="AHeadSubhead"/>
    <w:rPr>
      <w:rFonts w:ascii="Calibri" w:hAnsi="Calibri" w:cs="Calibri"/>
      <w:b/>
      <w:kern w:val="21"/>
      <w:sz w:val="21"/>
      <w:szCs w:val="24"/>
      <w:lang w:val="en-GB"/>
    </w:rPr>
  </w:style>
  <w:style w:type="paragraph" w:customStyle="1" w:styleId="ATable1">
    <w:name w:val="A_Table 1"/>
    <w:basedOn w:val="Normal"/>
    <w:qFormat/>
    <w:pPr>
      <w:numPr>
        <w:numId w:val="26"/>
      </w:numPr>
      <w:spacing w:before="60" w:after="60" w:line="288" w:lineRule="auto"/>
      <w:outlineLvl w:val="0"/>
    </w:pPr>
    <w:rPr>
      <w:rFonts w:ascii="Calibri" w:hAnsi="Calibri" w:cs="Calibri"/>
      <w:kern w:val="20"/>
      <w:sz w:val="20"/>
      <w:szCs w:val="24"/>
    </w:rPr>
  </w:style>
  <w:style w:type="paragraph" w:customStyle="1" w:styleId="ATable2">
    <w:name w:val="A_Table 2"/>
    <w:basedOn w:val="Normal"/>
    <w:qFormat/>
    <w:pPr>
      <w:numPr>
        <w:ilvl w:val="1"/>
        <w:numId w:val="26"/>
      </w:numPr>
      <w:spacing w:before="60" w:after="60" w:line="288" w:lineRule="auto"/>
      <w:outlineLvl w:val="1"/>
    </w:pPr>
    <w:rPr>
      <w:rFonts w:ascii="Calibri" w:hAnsi="Calibri" w:cs="Calibri"/>
      <w:kern w:val="20"/>
      <w:sz w:val="20"/>
      <w:szCs w:val="24"/>
    </w:rPr>
  </w:style>
  <w:style w:type="paragraph" w:customStyle="1" w:styleId="ATable3">
    <w:name w:val="A_Table 3"/>
    <w:basedOn w:val="Normal"/>
    <w:qFormat/>
    <w:pPr>
      <w:tabs>
        <w:tab w:val="num" w:pos="680"/>
      </w:tabs>
      <w:spacing w:before="60" w:after="60" w:line="288" w:lineRule="auto"/>
      <w:ind w:left="680" w:hanging="680"/>
      <w:outlineLvl w:val="2"/>
    </w:pPr>
    <w:rPr>
      <w:rFonts w:ascii="Calibri" w:hAnsi="Calibri" w:cs="Calibri"/>
      <w:kern w:val="20"/>
      <w:sz w:val="20"/>
      <w:szCs w:val="24"/>
    </w:rPr>
  </w:style>
  <w:style w:type="paragraph" w:customStyle="1" w:styleId="ATable4">
    <w:name w:val="A_Table 4"/>
    <w:basedOn w:val="Normal"/>
    <w:qFormat/>
    <w:pPr>
      <w:tabs>
        <w:tab w:val="num" w:pos="680"/>
      </w:tabs>
      <w:spacing w:before="60" w:after="60" w:line="288" w:lineRule="auto"/>
      <w:ind w:left="680" w:hanging="680"/>
      <w:outlineLvl w:val="3"/>
    </w:pPr>
    <w:rPr>
      <w:rFonts w:ascii="Calibri" w:hAnsi="Calibri" w:cs="Calibri"/>
      <w:kern w:val="20"/>
      <w:sz w:val="20"/>
      <w:szCs w:val="24"/>
    </w:rPr>
  </w:style>
  <w:style w:type="paragraph" w:customStyle="1" w:styleId="ATable5">
    <w:name w:val="A_Table 5"/>
    <w:basedOn w:val="Normal"/>
    <w:qFormat/>
    <w:pPr>
      <w:tabs>
        <w:tab w:val="num" w:pos="680"/>
      </w:tabs>
      <w:spacing w:before="60" w:after="60" w:line="288" w:lineRule="auto"/>
      <w:ind w:left="680" w:hanging="680"/>
      <w:outlineLvl w:val="4"/>
    </w:pPr>
    <w:rPr>
      <w:rFonts w:ascii="Calibri" w:hAnsi="Calibri" w:cs="Calibri"/>
      <w:kern w:val="20"/>
      <w:sz w:val="20"/>
      <w:szCs w:val="24"/>
    </w:rPr>
  </w:style>
  <w:style w:type="paragraph" w:customStyle="1" w:styleId="ATable6">
    <w:name w:val="A_Table 6"/>
    <w:basedOn w:val="Normal"/>
    <w:qFormat/>
    <w:pPr>
      <w:tabs>
        <w:tab w:val="num" w:pos="680"/>
      </w:tabs>
      <w:spacing w:before="60" w:after="60" w:line="288" w:lineRule="auto"/>
      <w:ind w:left="680" w:hanging="680"/>
      <w:outlineLvl w:val="5"/>
    </w:pPr>
    <w:rPr>
      <w:rFonts w:ascii="Calibri" w:hAnsi="Calibri" w:cs="Calibri"/>
      <w:kern w:val="20"/>
      <w:sz w:val="20"/>
      <w:szCs w:val="24"/>
    </w:rPr>
  </w:style>
  <w:style w:type="paragraph" w:customStyle="1" w:styleId="ATableCellHead">
    <w:name w:val="A_Table_Cell Head"/>
    <w:basedOn w:val="Normal"/>
    <w:next w:val="ATableCellBody"/>
    <w:qFormat/>
    <w:pPr>
      <w:keepNext/>
      <w:spacing w:before="60" w:after="60" w:line="256" w:lineRule="auto"/>
    </w:pPr>
    <w:rPr>
      <w:rFonts w:ascii="Calibri" w:hAnsi="Calibri" w:cs="Calibri"/>
      <w:b/>
      <w:kern w:val="20"/>
      <w:sz w:val="20"/>
      <w:szCs w:val="24"/>
    </w:rPr>
  </w:style>
  <w:style w:type="paragraph" w:customStyle="1" w:styleId="ATableAlpha">
    <w:name w:val="A_Table Alpha"/>
    <w:basedOn w:val="Normal"/>
    <w:qFormat/>
    <w:pPr>
      <w:numPr>
        <w:numId w:val="44"/>
      </w:numPr>
      <w:spacing w:before="60" w:after="60" w:line="288" w:lineRule="auto"/>
    </w:pPr>
    <w:rPr>
      <w:rFonts w:ascii="Calibri" w:hAnsi="Calibri" w:cs="Calibri"/>
      <w:kern w:val="20"/>
      <w:sz w:val="20"/>
    </w:rPr>
  </w:style>
  <w:style w:type="paragraph" w:customStyle="1" w:styleId="ATableBullet">
    <w:name w:val="A_Table Bullet"/>
    <w:basedOn w:val="Normal"/>
    <w:qFormat/>
    <w:pPr>
      <w:numPr>
        <w:numId w:val="27"/>
      </w:numPr>
      <w:spacing w:before="60" w:after="60" w:line="288" w:lineRule="auto"/>
    </w:pPr>
    <w:rPr>
      <w:rFonts w:ascii="Calibri" w:hAnsi="Calibri" w:cs="Calibri"/>
      <w:kern w:val="20"/>
      <w:sz w:val="20"/>
      <w:szCs w:val="24"/>
    </w:rPr>
  </w:style>
  <w:style w:type="paragraph" w:customStyle="1" w:styleId="ATableRoman">
    <w:name w:val="A_Table Roman"/>
    <w:basedOn w:val="Normal"/>
    <w:qFormat/>
    <w:pPr>
      <w:numPr>
        <w:numId w:val="43"/>
      </w:numPr>
      <w:spacing w:before="60" w:after="60" w:line="288" w:lineRule="auto"/>
    </w:pPr>
    <w:rPr>
      <w:rFonts w:ascii="Calibri" w:hAnsi="Calibri" w:cs="Calibri"/>
      <w:kern w:val="20"/>
      <w:sz w:val="20"/>
    </w:rPr>
  </w:style>
  <w:style w:type="paragraph" w:customStyle="1" w:styleId="ASchedApps">
    <w:name w:val="A_Sched/Apps"/>
    <w:basedOn w:val="Normal"/>
    <w:next w:val="ABody"/>
    <w:link w:val="ASchedAppsChar"/>
    <w:qFormat/>
    <w:pPr>
      <w:keepNext/>
      <w:pageBreakBefore/>
      <w:spacing w:after="240" w:line="288" w:lineRule="auto"/>
      <w:jc w:val="center"/>
      <w:outlineLvl w:val="3"/>
    </w:pPr>
    <w:rPr>
      <w:rFonts w:ascii="Calibri" w:hAnsi="Calibri" w:cs="Calibri"/>
      <w:b/>
      <w:kern w:val="23"/>
      <w:sz w:val="23"/>
      <w:szCs w:val="24"/>
      <w:lang w:val="en-GB"/>
    </w:rPr>
  </w:style>
  <w:style w:type="character" w:customStyle="1" w:styleId="ASchedAppsChar">
    <w:name w:val="A_Sched/Apps Char"/>
    <w:basedOn w:val="DefaultParagraphFont"/>
    <w:link w:val="ASchedApps"/>
    <w:rPr>
      <w:rFonts w:ascii="Calibri" w:hAnsi="Calibri" w:cs="Calibri"/>
      <w:b/>
      <w:kern w:val="23"/>
      <w:sz w:val="23"/>
      <w:szCs w:val="24"/>
      <w:lang w:val="en-GB"/>
    </w:rPr>
  </w:style>
  <w:style w:type="paragraph" w:customStyle="1" w:styleId="AScheduleHeading">
    <w:name w:val="A_Schedule Heading"/>
    <w:basedOn w:val="Normal"/>
    <w:next w:val="ABody"/>
    <w:link w:val="AScheduleHeadingChar"/>
    <w:qFormat/>
    <w:pPr>
      <w:keepNext/>
      <w:spacing w:before="280" w:after="140" w:line="288" w:lineRule="auto"/>
      <w:jc w:val="both"/>
      <w:outlineLvl w:val="0"/>
    </w:pPr>
    <w:rPr>
      <w:rFonts w:ascii="Calibri" w:hAnsi="Calibri" w:cs="Calibri"/>
      <w:b/>
      <w:kern w:val="20"/>
      <w:sz w:val="22"/>
      <w:szCs w:val="24"/>
      <w:lang w:val="en-GB"/>
    </w:rPr>
  </w:style>
  <w:style w:type="character" w:customStyle="1" w:styleId="AScheduleHeadingChar">
    <w:name w:val="A_Schedule Heading Char"/>
    <w:basedOn w:val="DefaultParagraphFont"/>
    <w:link w:val="AScheduleHeading"/>
    <w:rPr>
      <w:rFonts w:ascii="Calibri" w:hAnsi="Calibri" w:cs="Calibri"/>
      <w:b/>
      <w:kern w:val="20"/>
      <w:sz w:val="22"/>
      <w:szCs w:val="24"/>
      <w:lang w:val="en-GB"/>
    </w:rPr>
  </w:style>
  <w:style w:type="paragraph" w:customStyle="1" w:styleId="AScheduleHeading1">
    <w:name w:val="A_Schedule Heading 1"/>
    <w:basedOn w:val="Normal"/>
    <w:next w:val="ABody"/>
    <w:link w:val="AScheduleHeading1Char"/>
    <w:qFormat/>
    <w:pPr>
      <w:keepNext/>
      <w:spacing w:before="280" w:after="140" w:line="288" w:lineRule="auto"/>
      <w:jc w:val="both"/>
      <w:outlineLvl w:val="0"/>
    </w:pPr>
    <w:rPr>
      <w:rFonts w:ascii="Calibri" w:hAnsi="Calibri" w:cs="Calibri"/>
      <w:b/>
      <w:kern w:val="20"/>
      <w:sz w:val="22"/>
      <w:szCs w:val="24"/>
      <w:lang w:val="en-GB"/>
    </w:rPr>
  </w:style>
  <w:style w:type="character" w:customStyle="1" w:styleId="AScheduleHeading1Char">
    <w:name w:val="A_Schedule Heading 1 Char"/>
    <w:basedOn w:val="DefaultParagraphFont"/>
    <w:link w:val="AScheduleHeading1"/>
    <w:rPr>
      <w:rFonts w:ascii="Calibri" w:hAnsi="Calibri" w:cs="Calibri"/>
      <w:b/>
      <w:kern w:val="20"/>
      <w:sz w:val="22"/>
      <w:szCs w:val="24"/>
      <w:lang w:val="en-GB"/>
    </w:rPr>
  </w:style>
  <w:style w:type="paragraph" w:customStyle="1" w:styleId="AScheduleHeading2">
    <w:name w:val="A_Schedule Heading 2"/>
    <w:basedOn w:val="Normal"/>
    <w:next w:val="ABody"/>
    <w:link w:val="AScheduleHeading2Char"/>
    <w:qFormat/>
    <w:pPr>
      <w:keepNext/>
      <w:spacing w:before="280" w:after="60" w:line="288" w:lineRule="auto"/>
      <w:jc w:val="both"/>
      <w:outlineLvl w:val="1"/>
    </w:pPr>
    <w:rPr>
      <w:rFonts w:ascii="Calibri" w:hAnsi="Calibri" w:cs="Calibri"/>
      <w:b/>
      <w:kern w:val="20"/>
      <w:sz w:val="21"/>
      <w:szCs w:val="24"/>
      <w:lang w:val="en-GB"/>
    </w:rPr>
  </w:style>
  <w:style w:type="character" w:customStyle="1" w:styleId="AScheduleHeading2Char">
    <w:name w:val="A_Schedule Heading 2 Char"/>
    <w:basedOn w:val="DefaultParagraphFont"/>
    <w:link w:val="AScheduleHeading2"/>
    <w:rPr>
      <w:rFonts w:ascii="Calibri" w:hAnsi="Calibri" w:cs="Calibri"/>
      <w:b/>
      <w:kern w:val="20"/>
      <w:sz w:val="21"/>
      <w:szCs w:val="24"/>
      <w:lang w:val="en-GB"/>
    </w:rPr>
  </w:style>
  <w:style w:type="paragraph" w:customStyle="1" w:styleId="AScheduleHeading3">
    <w:name w:val="A_Schedule Heading 3"/>
    <w:basedOn w:val="Normal"/>
    <w:next w:val="ABody"/>
    <w:link w:val="AScheduleHeading3Char"/>
    <w:qFormat/>
    <w:pPr>
      <w:keepNext/>
      <w:spacing w:before="280" w:after="40" w:line="288" w:lineRule="auto"/>
      <w:jc w:val="both"/>
      <w:outlineLvl w:val="2"/>
    </w:pPr>
    <w:rPr>
      <w:rFonts w:ascii="Calibri" w:hAnsi="Calibri" w:cs="Calibri"/>
      <w:b/>
      <w:kern w:val="20"/>
      <w:sz w:val="20"/>
      <w:szCs w:val="24"/>
      <w:lang w:val="en-GB"/>
    </w:rPr>
  </w:style>
  <w:style w:type="character" w:customStyle="1" w:styleId="AScheduleHeading3Char">
    <w:name w:val="A_Schedule Heading 3 Char"/>
    <w:basedOn w:val="DefaultParagraphFont"/>
    <w:link w:val="AScheduleHeading3"/>
    <w:rPr>
      <w:rFonts w:ascii="Calibri" w:hAnsi="Calibri" w:cs="Calibri"/>
      <w:b/>
      <w:kern w:val="20"/>
      <w:szCs w:val="24"/>
      <w:lang w:val="en-GB"/>
    </w:rPr>
  </w:style>
  <w:style w:type="paragraph" w:customStyle="1" w:styleId="ASchedule1">
    <w:name w:val="A_Schedule 1"/>
    <w:basedOn w:val="Normal"/>
    <w:next w:val="ABody1"/>
    <w:link w:val="ASchedule1Char"/>
    <w:qFormat/>
    <w:pPr>
      <w:numPr>
        <w:numId w:val="25"/>
      </w:numPr>
      <w:spacing w:after="140" w:line="288" w:lineRule="auto"/>
      <w:jc w:val="both"/>
    </w:pPr>
    <w:rPr>
      <w:rFonts w:ascii="Calibri" w:hAnsi="Calibri" w:cs="Calibri"/>
      <w:kern w:val="20"/>
      <w:sz w:val="20"/>
      <w:szCs w:val="24"/>
      <w:lang w:val="fr-BE"/>
    </w:rPr>
  </w:style>
  <w:style w:type="character" w:customStyle="1" w:styleId="ASchedule1Char">
    <w:name w:val="A_Schedule 1 Char"/>
    <w:basedOn w:val="DefaultParagraphFont"/>
    <w:link w:val="ASchedule1"/>
    <w:rPr>
      <w:rFonts w:ascii="Calibri" w:hAnsi="Calibri" w:cs="Calibri"/>
      <w:kern w:val="20"/>
      <w:szCs w:val="24"/>
      <w:lang w:val="fr-BE"/>
    </w:rPr>
  </w:style>
  <w:style w:type="paragraph" w:customStyle="1" w:styleId="ASchedule2">
    <w:name w:val="A_Schedule 2"/>
    <w:basedOn w:val="Normal"/>
    <w:next w:val="ABody2"/>
    <w:link w:val="ASchedule2Char"/>
    <w:qFormat/>
    <w:pPr>
      <w:tabs>
        <w:tab w:val="num" w:pos="680"/>
      </w:tabs>
      <w:spacing w:after="140" w:line="288" w:lineRule="auto"/>
      <w:ind w:left="680" w:hanging="680"/>
      <w:jc w:val="both"/>
    </w:pPr>
    <w:rPr>
      <w:rFonts w:ascii="Calibri" w:hAnsi="Calibri" w:cs="Calibri"/>
      <w:kern w:val="20"/>
      <w:sz w:val="20"/>
      <w:szCs w:val="24"/>
      <w:lang w:val="en-GB"/>
    </w:rPr>
  </w:style>
  <w:style w:type="character" w:customStyle="1" w:styleId="ASchedule2Char">
    <w:name w:val="A_Schedule 2 Char"/>
    <w:basedOn w:val="DefaultParagraphFont"/>
    <w:link w:val="ASchedule2"/>
    <w:rPr>
      <w:rFonts w:ascii="Calibri" w:hAnsi="Calibri" w:cs="Calibri"/>
      <w:kern w:val="20"/>
      <w:szCs w:val="24"/>
      <w:lang w:val="en-GB"/>
    </w:rPr>
  </w:style>
  <w:style w:type="paragraph" w:customStyle="1" w:styleId="ASchedule3">
    <w:name w:val="A_Schedule 3"/>
    <w:basedOn w:val="Normal"/>
    <w:link w:val="ASchedule3Char"/>
    <w:qFormat/>
    <w:pPr>
      <w:tabs>
        <w:tab w:val="num" w:pos="1361"/>
      </w:tabs>
      <w:spacing w:after="140" w:line="288" w:lineRule="auto"/>
      <w:ind w:left="1361" w:hanging="681"/>
      <w:jc w:val="both"/>
    </w:pPr>
    <w:rPr>
      <w:rFonts w:ascii="Calibri" w:hAnsi="Calibri" w:cs="Calibri"/>
      <w:kern w:val="20"/>
      <w:sz w:val="20"/>
      <w:szCs w:val="24"/>
      <w:lang w:val="en-GB"/>
    </w:rPr>
  </w:style>
  <w:style w:type="character" w:customStyle="1" w:styleId="ASchedule3Char">
    <w:name w:val="A_Schedule 3 Char"/>
    <w:basedOn w:val="DefaultParagraphFont"/>
    <w:link w:val="ASchedule3"/>
    <w:rPr>
      <w:rFonts w:ascii="Calibri" w:hAnsi="Calibri" w:cs="Calibri"/>
      <w:kern w:val="20"/>
      <w:szCs w:val="24"/>
      <w:lang w:val="en-GB"/>
    </w:rPr>
  </w:style>
  <w:style w:type="paragraph" w:customStyle="1" w:styleId="ASchedule4">
    <w:name w:val="A_Schedule 4"/>
    <w:basedOn w:val="Normal"/>
    <w:link w:val="ASchedule4Char"/>
    <w:qFormat/>
    <w:pPr>
      <w:tabs>
        <w:tab w:val="num" w:pos="2041"/>
      </w:tabs>
      <w:spacing w:after="140" w:line="288" w:lineRule="auto"/>
      <w:ind w:left="2041" w:hanging="680"/>
      <w:jc w:val="both"/>
    </w:pPr>
    <w:rPr>
      <w:rFonts w:ascii="Calibri" w:hAnsi="Calibri" w:cs="Calibri"/>
      <w:kern w:val="20"/>
      <w:sz w:val="20"/>
      <w:szCs w:val="24"/>
      <w:lang w:val="en-GB"/>
    </w:rPr>
  </w:style>
  <w:style w:type="character" w:customStyle="1" w:styleId="ASchedule4Char">
    <w:name w:val="A_Schedule 4 Char"/>
    <w:basedOn w:val="DefaultParagraphFont"/>
    <w:link w:val="ASchedule4"/>
    <w:rPr>
      <w:rFonts w:ascii="Calibri" w:hAnsi="Calibri" w:cs="Calibri"/>
      <w:kern w:val="20"/>
      <w:szCs w:val="24"/>
      <w:lang w:val="en-GB"/>
    </w:rPr>
  </w:style>
  <w:style w:type="paragraph" w:customStyle="1" w:styleId="ASchedule5">
    <w:name w:val="A_Schedule 5"/>
    <w:basedOn w:val="Normal"/>
    <w:link w:val="ASchedule5Char"/>
    <w:qFormat/>
    <w:pPr>
      <w:tabs>
        <w:tab w:val="num" w:pos="2608"/>
      </w:tabs>
      <w:spacing w:after="140" w:line="288" w:lineRule="auto"/>
      <w:ind w:left="2608" w:hanging="567"/>
      <w:jc w:val="both"/>
    </w:pPr>
    <w:rPr>
      <w:rFonts w:ascii="Calibri" w:hAnsi="Calibri" w:cs="Calibri"/>
      <w:kern w:val="20"/>
      <w:sz w:val="20"/>
      <w:szCs w:val="24"/>
      <w:lang w:val="fr-BE"/>
    </w:rPr>
  </w:style>
  <w:style w:type="character" w:customStyle="1" w:styleId="ASchedule5Char">
    <w:name w:val="A_Schedule 5 Char"/>
    <w:basedOn w:val="DefaultParagraphFont"/>
    <w:link w:val="ASchedule5"/>
    <w:rPr>
      <w:rFonts w:ascii="Calibri" w:hAnsi="Calibri" w:cs="Calibri"/>
      <w:kern w:val="20"/>
      <w:szCs w:val="24"/>
      <w:lang w:val="fr-BE"/>
    </w:rPr>
  </w:style>
  <w:style w:type="paragraph" w:customStyle="1" w:styleId="ASchedule6">
    <w:name w:val="A_Schedule 6"/>
    <w:basedOn w:val="Normal"/>
    <w:link w:val="ASchedule6Char"/>
    <w:qFormat/>
    <w:pPr>
      <w:tabs>
        <w:tab w:val="num" w:pos="3288"/>
      </w:tabs>
      <w:spacing w:after="140" w:line="288" w:lineRule="auto"/>
      <w:ind w:left="3288" w:hanging="680"/>
      <w:jc w:val="both"/>
    </w:pPr>
    <w:rPr>
      <w:rFonts w:ascii="Calibri" w:hAnsi="Calibri" w:cs="Calibri"/>
      <w:kern w:val="20"/>
      <w:sz w:val="20"/>
      <w:szCs w:val="24"/>
      <w:lang w:val="en-GB"/>
    </w:rPr>
  </w:style>
  <w:style w:type="character" w:customStyle="1" w:styleId="ASchedule6Char">
    <w:name w:val="A_Schedule 6 Char"/>
    <w:basedOn w:val="DefaultParagraphFont"/>
    <w:link w:val="ASchedule6"/>
    <w:rPr>
      <w:rFonts w:ascii="Calibri" w:hAnsi="Calibri" w:cs="Calibri"/>
      <w:kern w:val="20"/>
      <w:szCs w:val="24"/>
      <w:lang w:val="en-GB"/>
    </w:rPr>
  </w:style>
  <w:style w:type="paragraph" w:customStyle="1" w:styleId="ASpecialUpperCaseRoman1">
    <w:name w:val="A_Special_Upper Case Roman 1"/>
    <w:basedOn w:val="Normal"/>
    <w:link w:val="ASpecialUpperCaseRoman1Char"/>
    <w:qFormat/>
    <w:pPr>
      <w:numPr>
        <w:numId w:val="33"/>
      </w:numPr>
      <w:spacing w:after="140" w:line="288" w:lineRule="auto"/>
      <w:jc w:val="both"/>
    </w:pPr>
    <w:rPr>
      <w:rFonts w:ascii="Calibri" w:hAnsi="Calibri" w:cs="Calibri"/>
      <w:kern w:val="20"/>
      <w:sz w:val="20"/>
      <w:szCs w:val="24"/>
      <w:lang w:val="en-GB"/>
    </w:rPr>
  </w:style>
  <w:style w:type="character" w:customStyle="1" w:styleId="ASpecialUpperCaseRoman1Char">
    <w:name w:val="A_Special_Upper Case Roman 1 Char"/>
    <w:basedOn w:val="DefaultParagraphFont"/>
    <w:link w:val="ASpecialUpperCaseRoman1"/>
    <w:rPr>
      <w:rFonts w:ascii="Calibri" w:hAnsi="Calibri" w:cs="Calibri"/>
      <w:kern w:val="20"/>
      <w:szCs w:val="24"/>
      <w:lang w:val="en-GB"/>
    </w:rPr>
  </w:style>
  <w:style w:type="paragraph" w:customStyle="1" w:styleId="ASpecialUpperCaseRoman2">
    <w:name w:val="A_Special_Upper Case Roman 2"/>
    <w:basedOn w:val="Normal"/>
    <w:link w:val="ASpecialUpperCaseRoman2Char"/>
    <w:qFormat/>
    <w:pPr>
      <w:numPr>
        <w:numId w:val="34"/>
      </w:numPr>
      <w:spacing w:after="140" w:line="288" w:lineRule="auto"/>
      <w:jc w:val="both"/>
    </w:pPr>
    <w:rPr>
      <w:rFonts w:ascii="Calibri" w:hAnsi="Calibri" w:cs="Calibri"/>
      <w:kern w:val="20"/>
      <w:sz w:val="20"/>
      <w:szCs w:val="24"/>
      <w:lang w:val="fr-BE"/>
    </w:rPr>
  </w:style>
  <w:style w:type="character" w:customStyle="1" w:styleId="ASpecialUpperCaseRoman2Char">
    <w:name w:val="A_Special_Upper Case Roman 2 Char"/>
    <w:basedOn w:val="DefaultParagraphFont"/>
    <w:link w:val="ASpecialUpperCaseRoman2"/>
    <w:rPr>
      <w:rFonts w:ascii="Calibri" w:hAnsi="Calibri" w:cs="Calibri"/>
      <w:kern w:val="20"/>
      <w:szCs w:val="24"/>
      <w:lang w:val="fr-BE"/>
    </w:rPr>
  </w:style>
  <w:style w:type="paragraph" w:customStyle="1" w:styleId="ASpecialLowerCaseRoman1">
    <w:name w:val="A_Special_Lower Case Roman 1"/>
    <w:basedOn w:val="Normal"/>
    <w:link w:val="ASpecialLowerCaseRoman1Char"/>
    <w:qFormat/>
    <w:pPr>
      <w:numPr>
        <w:numId w:val="19"/>
      </w:numPr>
      <w:spacing w:after="140" w:line="288" w:lineRule="auto"/>
      <w:jc w:val="both"/>
    </w:pPr>
    <w:rPr>
      <w:rFonts w:ascii="Calibri" w:hAnsi="Calibri" w:cs="Calibri"/>
      <w:kern w:val="20"/>
      <w:sz w:val="20"/>
      <w:lang w:val="en-GB"/>
    </w:rPr>
  </w:style>
  <w:style w:type="character" w:customStyle="1" w:styleId="ASpecialLowerCaseRoman1Char">
    <w:name w:val="A_Special_Lower Case Roman 1 Char"/>
    <w:basedOn w:val="DefaultParagraphFont"/>
    <w:link w:val="ASpecialLowerCaseRoman1"/>
    <w:rPr>
      <w:rFonts w:ascii="Calibri" w:hAnsi="Calibri" w:cs="Calibri"/>
      <w:kern w:val="20"/>
      <w:lang w:val="en-GB"/>
    </w:rPr>
  </w:style>
  <w:style w:type="paragraph" w:customStyle="1" w:styleId="ASpecialLowerCaseRoman2">
    <w:name w:val="A_Special_Lower Case Roman 2"/>
    <w:basedOn w:val="Normal"/>
    <w:link w:val="ASpecialLowerCaseRoman2Char"/>
    <w:qFormat/>
    <w:pPr>
      <w:numPr>
        <w:numId w:val="20"/>
      </w:numPr>
      <w:spacing w:after="140" w:line="288" w:lineRule="auto"/>
      <w:jc w:val="both"/>
    </w:pPr>
    <w:rPr>
      <w:rFonts w:ascii="Calibri" w:hAnsi="Calibri" w:cs="Calibri"/>
      <w:kern w:val="20"/>
      <w:sz w:val="20"/>
      <w:lang w:val="en-GB"/>
    </w:rPr>
  </w:style>
  <w:style w:type="character" w:customStyle="1" w:styleId="ASpecialLowerCaseRoman2Char">
    <w:name w:val="A_Special_Lower Case Roman 2 Char"/>
    <w:basedOn w:val="DefaultParagraphFont"/>
    <w:link w:val="ASpecialLowerCaseRoman2"/>
    <w:rPr>
      <w:rFonts w:ascii="Calibri" w:hAnsi="Calibri" w:cs="Calibri"/>
      <w:kern w:val="20"/>
      <w:lang w:val="en-GB"/>
    </w:rPr>
  </w:style>
  <w:style w:type="paragraph" w:customStyle="1" w:styleId="ASpecialLowerCaseRoman3">
    <w:name w:val="A_Special_Lower Case Roman 3"/>
    <w:basedOn w:val="Normal"/>
    <w:link w:val="ASpecialLowerCaseRoman3Char"/>
    <w:qFormat/>
    <w:pPr>
      <w:numPr>
        <w:numId w:val="21"/>
      </w:numPr>
      <w:spacing w:after="140" w:line="288" w:lineRule="auto"/>
      <w:jc w:val="both"/>
    </w:pPr>
    <w:rPr>
      <w:rFonts w:ascii="Calibri" w:hAnsi="Calibri" w:cs="Calibri"/>
      <w:kern w:val="20"/>
      <w:sz w:val="20"/>
      <w:lang w:val="en-GB"/>
    </w:rPr>
  </w:style>
  <w:style w:type="character" w:customStyle="1" w:styleId="ASpecialLowerCaseRoman3Char">
    <w:name w:val="A_Special_Lower Case Roman 3 Char"/>
    <w:basedOn w:val="DefaultParagraphFont"/>
    <w:link w:val="ASpecialLowerCaseRoman3"/>
    <w:rPr>
      <w:rFonts w:ascii="Calibri" w:hAnsi="Calibri" w:cs="Calibri"/>
      <w:kern w:val="20"/>
      <w:lang w:val="en-GB"/>
    </w:rPr>
  </w:style>
  <w:style w:type="paragraph" w:customStyle="1" w:styleId="ASpecialLowerCaseRoman4">
    <w:name w:val="A_Special_Lower Case Roman 4"/>
    <w:basedOn w:val="Normal"/>
    <w:link w:val="ASpecialLowerCaseRoman4Char"/>
    <w:qFormat/>
    <w:pPr>
      <w:numPr>
        <w:numId w:val="22"/>
      </w:numPr>
      <w:tabs>
        <w:tab w:val="clear" w:pos="2835"/>
        <w:tab w:val="num" w:pos="2608"/>
      </w:tabs>
      <w:spacing w:after="140" w:line="288" w:lineRule="auto"/>
      <w:ind w:left="2608"/>
      <w:jc w:val="both"/>
    </w:pPr>
    <w:rPr>
      <w:rFonts w:ascii="Calibri" w:hAnsi="Calibri" w:cs="Calibri"/>
      <w:kern w:val="20"/>
      <w:sz w:val="20"/>
      <w:lang w:val="en-GB"/>
    </w:rPr>
  </w:style>
  <w:style w:type="character" w:customStyle="1" w:styleId="ASpecialLowerCaseRoman4Char">
    <w:name w:val="A_Special_Lower Case Roman 4 Char"/>
    <w:basedOn w:val="DefaultParagraphFont"/>
    <w:link w:val="ASpecialLowerCaseRoman4"/>
    <w:rPr>
      <w:rFonts w:ascii="Calibri" w:hAnsi="Calibri" w:cs="Calibri"/>
      <w:kern w:val="20"/>
      <w:lang w:val="en-GB"/>
    </w:rPr>
  </w:style>
  <w:style w:type="paragraph" w:customStyle="1" w:styleId="ASpecialLowerCaseRoman5">
    <w:name w:val="A_Special_Lower Case Roman 5"/>
    <w:basedOn w:val="Normal"/>
    <w:link w:val="ASpecialLowerCaseRoman5Char"/>
    <w:qFormat/>
    <w:pPr>
      <w:numPr>
        <w:numId w:val="23"/>
      </w:numPr>
      <w:spacing w:after="140" w:line="288" w:lineRule="auto"/>
      <w:jc w:val="both"/>
    </w:pPr>
    <w:rPr>
      <w:rFonts w:ascii="Calibri" w:hAnsi="Calibri" w:cs="Calibri"/>
      <w:kern w:val="20"/>
      <w:sz w:val="20"/>
      <w:lang w:val="fr-BE"/>
    </w:rPr>
  </w:style>
  <w:style w:type="character" w:customStyle="1" w:styleId="ASpecialLowerCaseRoman5Char">
    <w:name w:val="A_Special_Lower Case Roman 5 Char"/>
    <w:basedOn w:val="DefaultParagraphFont"/>
    <w:link w:val="ASpecialLowerCaseRoman5"/>
    <w:rPr>
      <w:rFonts w:ascii="Calibri" w:hAnsi="Calibri" w:cs="Calibri"/>
      <w:kern w:val="20"/>
      <w:lang w:val="fr-BE"/>
    </w:rPr>
  </w:style>
  <w:style w:type="paragraph" w:customStyle="1" w:styleId="ASpecialLowerCaseRoman6">
    <w:name w:val="A_Special_Lower Case Roman 6"/>
    <w:basedOn w:val="Normal"/>
    <w:link w:val="ASpecialLowerCaseRoman6Char"/>
    <w:qFormat/>
    <w:pPr>
      <w:numPr>
        <w:numId w:val="24"/>
      </w:numPr>
      <w:spacing w:after="140" w:line="288" w:lineRule="auto"/>
      <w:jc w:val="both"/>
    </w:pPr>
    <w:rPr>
      <w:rFonts w:ascii="Calibri" w:hAnsi="Calibri" w:cs="Calibri"/>
      <w:kern w:val="20"/>
      <w:sz w:val="20"/>
      <w:lang w:val="en-GB"/>
    </w:rPr>
  </w:style>
  <w:style w:type="character" w:customStyle="1" w:styleId="ASpecialLowerCaseRoman6Char">
    <w:name w:val="A_Special_Lower Case Roman 6 Char"/>
    <w:basedOn w:val="DefaultParagraphFont"/>
    <w:link w:val="ASpecialLowerCaseRoman6"/>
    <w:rPr>
      <w:rFonts w:ascii="Calibri" w:hAnsi="Calibri" w:cs="Calibri"/>
      <w:kern w:val="20"/>
      <w:lang w:val="en-GB"/>
    </w:rPr>
  </w:style>
  <w:style w:type="paragraph" w:customStyle="1" w:styleId="ASpecialUpperCaseAlpha1">
    <w:name w:val="A_Special_Upper Case Alpha 1"/>
    <w:basedOn w:val="Normal"/>
    <w:link w:val="ASpecialUpperCaseAlpha1Char"/>
    <w:qFormat/>
    <w:pPr>
      <w:numPr>
        <w:numId w:val="28"/>
      </w:numPr>
      <w:spacing w:after="140" w:line="288" w:lineRule="auto"/>
      <w:jc w:val="both"/>
    </w:pPr>
    <w:rPr>
      <w:rFonts w:ascii="Calibri" w:hAnsi="Calibri" w:cs="Calibri"/>
      <w:kern w:val="20"/>
      <w:sz w:val="20"/>
      <w:szCs w:val="24"/>
      <w:lang w:val="en-GB"/>
    </w:rPr>
  </w:style>
  <w:style w:type="character" w:customStyle="1" w:styleId="ASpecialUpperCaseAlpha1Char">
    <w:name w:val="A_Special_Upper Case Alpha 1 Char"/>
    <w:basedOn w:val="DefaultParagraphFont"/>
    <w:link w:val="ASpecialUpperCaseAlpha1"/>
    <w:rPr>
      <w:rFonts w:ascii="Calibri" w:hAnsi="Calibri" w:cs="Calibri"/>
      <w:kern w:val="20"/>
      <w:szCs w:val="24"/>
      <w:lang w:val="en-GB"/>
    </w:rPr>
  </w:style>
  <w:style w:type="paragraph" w:customStyle="1" w:styleId="ASpecialUpperCaseAlpha2">
    <w:name w:val="A_Special_Upper Case Alpha 2"/>
    <w:basedOn w:val="Normal"/>
    <w:link w:val="ASpecialUpperCaseAlpha2Char"/>
    <w:qFormat/>
    <w:pPr>
      <w:numPr>
        <w:numId w:val="29"/>
      </w:numPr>
      <w:spacing w:after="140" w:line="288" w:lineRule="auto"/>
      <w:jc w:val="both"/>
    </w:pPr>
    <w:rPr>
      <w:rFonts w:ascii="Calibri" w:hAnsi="Calibri" w:cs="Calibri"/>
      <w:kern w:val="20"/>
      <w:sz w:val="20"/>
      <w:szCs w:val="24"/>
      <w:lang w:val="en-GB"/>
    </w:rPr>
  </w:style>
  <w:style w:type="character" w:customStyle="1" w:styleId="ASpecialUpperCaseAlpha2Char">
    <w:name w:val="A_Special_Upper Case Alpha 2 Char"/>
    <w:basedOn w:val="DefaultParagraphFont"/>
    <w:link w:val="ASpecialUpperCaseAlpha2"/>
    <w:rPr>
      <w:rFonts w:ascii="Calibri" w:hAnsi="Calibri" w:cs="Calibri"/>
      <w:kern w:val="20"/>
      <w:szCs w:val="24"/>
      <w:lang w:val="en-GB"/>
    </w:rPr>
  </w:style>
  <w:style w:type="paragraph" w:customStyle="1" w:styleId="ASpecialUpperCaseAlpha3">
    <w:name w:val="A_Special_Upper Case Alpha 3"/>
    <w:basedOn w:val="Normal"/>
    <w:link w:val="ASpecialUpperCaseAlpha3Char"/>
    <w:qFormat/>
    <w:pPr>
      <w:numPr>
        <w:numId w:val="30"/>
      </w:numPr>
      <w:spacing w:after="140" w:line="288" w:lineRule="auto"/>
      <w:jc w:val="both"/>
    </w:pPr>
    <w:rPr>
      <w:rFonts w:ascii="Calibri" w:hAnsi="Calibri" w:cs="Calibri"/>
      <w:kern w:val="20"/>
      <w:sz w:val="20"/>
      <w:szCs w:val="24"/>
      <w:lang w:val="en-GB"/>
    </w:rPr>
  </w:style>
  <w:style w:type="character" w:customStyle="1" w:styleId="ASpecialUpperCaseAlpha3Char">
    <w:name w:val="A_Special_Upper Case Alpha 3 Char"/>
    <w:basedOn w:val="DefaultParagraphFont"/>
    <w:link w:val="ASpecialUpperCaseAlpha3"/>
    <w:rPr>
      <w:rFonts w:ascii="Calibri" w:hAnsi="Calibri" w:cs="Calibri"/>
      <w:kern w:val="20"/>
      <w:szCs w:val="24"/>
      <w:lang w:val="en-GB"/>
    </w:rPr>
  </w:style>
  <w:style w:type="paragraph" w:customStyle="1" w:styleId="ASpecialUpperCaseAlpha4">
    <w:name w:val="A_Special_Upper Case Alpha 4"/>
    <w:basedOn w:val="Normal"/>
    <w:link w:val="ASpecialUpperCaseAlpha4Char"/>
    <w:qFormat/>
    <w:pPr>
      <w:numPr>
        <w:numId w:val="31"/>
      </w:numPr>
      <w:spacing w:after="140" w:line="288" w:lineRule="auto"/>
      <w:jc w:val="both"/>
    </w:pPr>
    <w:rPr>
      <w:rFonts w:ascii="Calibri" w:hAnsi="Calibri" w:cs="Calibri"/>
      <w:kern w:val="20"/>
      <w:sz w:val="20"/>
      <w:szCs w:val="24"/>
      <w:lang w:val="en-GB"/>
    </w:rPr>
  </w:style>
  <w:style w:type="character" w:customStyle="1" w:styleId="ASpecialUpperCaseAlpha4Char">
    <w:name w:val="A_Special_Upper Case Alpha 4 Char"/>
    <w:basedOn w:val="DefaultParagraphFont"/>
    <w:link w:val="ASpecialUpperCaseAlpha4"/>
    <w:rPr>
      <w:rFonts w:ascii="Calibri" w:hAnsi="Calibri" w:cs="Calibri"/>
      <w:kern w:val="20"/>
      <w:szCs w:val="24"/>
      <w:lang w:val="en-GB"/>
    </w:rPr>
  </w:style>
  <w:style w:type="paragraph" w:customStyle="1" w:styleId="ASpecialUpperCaseAlpha5">
    <w:name w:val="A_Special_Upper Case Alpha 5"/>
    <w:basedOn w:val="Normal"/>
    <w:link w:val="ASpecialUpperCaseAlpha5Char"/>
    <w:qFormat/>
    <w:pPr>
      <w:numPr>
        <w:numId w:val="32"/>
      </w:numPr>
      <w:spacing w:after="140" w:line="288" w:lineRule="auto"/>
      <w:jc w:val="both"/>
    </w:pPr>
    <w:rPr>
      <w:rFonts w:ascii="Calibri" w:hAnsi="Calibri" w:cs="Calibri"/>
      <w:kern w:val="20"/>
      <w:sz w:val="20"/>
      <w:szCs w:val="24"/>
      <w:lang w:val="en-GB"/>
    </w:rPr>
  </w:style>
  <w:style w:type="character" w:customStyle="1" w:styleId="ASpecialUpperCaseAlpha5Char">
    <w:name w:val="A_Special_Upper Case Alpha 5 Char"/>
    <w:basedOn w:val="DefaultParagraphFont"/>
    <w:link w:val="ASpecialUpperCaseAlpha5"/>
    <w:rPr>
      <w:rFonts w:ascii="Calibri" w:hAnsi="Calibri" w:cs="Calibri"/>
      <w:kern w:val="20"/>
      <w:szCs w:val="24"/>
      <w:lang w:val="en-GB"/>
    </w:rPr>
  </w:style>
  <w:style w:type="paragraph" w:customStyle="1" w:styleId="ASpecialUpperCaseAlpha6">
    <w:name w:val="A_Special_Upper Case Alpha 6"/>
    <w:basedOn w:val="Normal"/>
    <w:link w:val="ASpecialUpperCaseAlpha6Char"/>
    <w:qFormat/>
    <w:pPr>
      <w:numPr>
        <w:numId w:val="45"/>
      </w:numPr>
      <w:tabs>
        <w:tab w:val="clear" w:pos="1400"/>
        <w:tab w:val="num" w:pos="3969"/>
      </w:tabs>
      <w:spacing w:after="140" w:line="288" w:lineRule="auto"/>
      <w:ind w:left="3969" w:hanging="681"/>
      <w:jc w:val="both"/>
      <w:outlineLvl w:val="5"/>
    </w:pPr>
    <w:rPr>
      <w:rFonts w:ascii="Calibri" w:hAnsi="Calibri" w:cs="Calibri"/>
      <w:kern w:val="20"/>
      <w:sz w:val="20"/>
      <w:szCs w:val="24"/>
      <w:lang w:eastAsia="en-GB"/>
    </w:rPr>
  </w:style>
  <w:style w:type="character" w:customStyle="1" w:styleId="ASpecialUpperCaseAlpha6Char">
    <w:name w:val="A_Special_Upper Case Alpha 6 Char"/>
    <w:basedOn w:val="DefaultParagraphFont"/>
    <w:link w:val="ASpecialUpperCaseAlpha6"/>
    <w:rPr>
      <w:rFonts w:ascii="Calibri" w:hAnsi="Calibri" w:cs="Calibri"/>
      <w:kern w:val="20"/>
      <w:szCs w:val="24"/>
      <w:lang w:eastAsia="en-GB"/>
    </w:rPr>
  </w:style>
  <w:style w:type="paragraph" w:customStyle="1" w:styleId="ASpecialLowerCaseAlpha1">
    <w:name w:val="A_Special_Lower Case Alpha 1"/>
    <w:basedOn w:val="Normal"/>
    <w:link w:val="ASpecialLowerCaseAlpha1Char"/>
    <w:qFormat/>
    <w:pPr>
      <w:numPr>
        <w:numId w:val="8"/>
      </w:numPr>
      <w:spacing w:after="140" w:line="288" w:lineRule="auto"/>
      <w:jc w:val="both"/>
    </w:pPr>
    <w:rPr>
      <w:rFonts w:ascii="Calibri" w:hAnsi="Calibri" w:cs="Calibri"/>
      <w:kern w:val="20"/>
      <w:sz w:val="20"/>
      <w:lang w:val="en-GB"/>
    </w:rPr>
  </w:style>
  <w:style w:type="character" w:customStyle="1" w:styleId="ASpecialLowerCaseAlpha1Char">
    <w:name w:val="A_Special_Lower Case Alpha 1 Char"/>
    <w:basedOn w:val="DefaultParagraphFont"/>
    <w:link w:val="ASpecialLowerCaseAlpha1"/>
    <w:rPr>
      <w:rFonts w:ascii="Calibri" w:hAnsi="Calibri" w:cs="Calibri"/>
      <w:kern w:val="20"/>
      <w:lang w:val="en-GB"/>
    </w:rPr>
  </w:style>
  <w:style w:type="paragraph" w:customStyle="1" w:styleId="ASpecialLowerCaseAlpha2">
    <w:name w:val="A_Special_Lower Case Alpha 2"/>
    <w:basedOn w:val="Normal"/>
    <w:link w:val="ASpecialLowerCaseAlpha2Char"/>
    <w:qFormat/>
    <w:pPr>
      <w:numPr>
        <w:numId w:val="46"/>
      </w:numPr>
      <w:spacing w:after="140" w:line="288" w:lineRule="auto"/>
      <w:jc w:val="both"/>
    </w:pPr>
    <w:rPr>
      <w:rFonts w:ascii="Calibri" w:hAnsi="Calibri" w:cs="Calibri"/>
      <w:kern w:val="20"/>
      <w:sz w:val="20"/>
      <w:lang w:val="en-GB"/>
    </w:rPr>
  </w:style>
  <w:style w:type="character" w:customStyle="1" w:styleId="ASpecialLowerCaseAlpha2Char">
    <w:name w:val="A_Special_Lower Case Alpha 2 Char"/>
    <w:basedOn w:val="DefaultParagraphFont"/>
    <w:link w:val="ASpecialLowerCaseAlpha2"/>
    <w:rPr>
      <w:rFonts w:ascii="Calibri" w:hAnsi="Calibri" w:cs="Calibri"/>
      <w:kern w:val="20"/>
      <w:lang w:val="en-GB"/>
    </w:rPr>
  </w:style>
  <w:style w:type="paragraph" w:customStyle="1" w:styleId="ASpecialLowerCaseAlpha3">
    <w:name w:val="A_Special_Lower Case Alpha 3"/>
    <w:basedOn w:val="Normal"/>
    <w:link w:val="ASpecialLowerCaseAlpha3Char"/>
    <w:qFormat/>
    <w:pPr>
      <w:numPr>
        <w:numId w:val="9"/>
      </w:numPr>
      <w:spacing w:after="140" w:line="288" w:lineRule="auto"/>
      <w:jc w:val="both"/>
    </w:pPr>
    <w:rPr>
      <w:rFonts w:ascii="Calibri" w:hAnsi="Calibri" w:cs="Calibri"/>
      <w:kern w:val="20"/>
      <w:sz w:val="20"/>
      <w:lang w:val="en-GB"/>
    </w:rPr>
  </w:style>
  <w:style w:type="character" w:customStyle="1" w:styleId="ASpecialLowerCaseAlpha3Char">
    <w:name w:val="A_Special_Lower Case Alpha 3 Char"/>
    <w:basedOn w:val="DefaultParagraphFont"/>
    <w:link w:val="ASpecialLowerCaseAlpha3"/>
    <w:rPr>
      <w:rFonts w:ascii="Calibri" w:hAnsi="Calibri" w:cs="Calibri"/>
      <w:kern w:val="20"/>
      <w:lang w:val="en-GB"/>
    </w:rPr>
  </w:style>
  <w:style w:type="paragraph" w:customStyle="1" w:styleId="ASpecialLowerCaseAlpha4">
    <w:name w:val="A_Special_Lower Case Alpha 4"/>
    <w:basedOn w:val="Normal"/>
    <w:link w:val="ASpecialLowerCaseAlpha4Char"/>
    <w:qFormat/>
    <w:pPr>
      <w:numPr>
        <w:numId w:val="10"/>
      </w:numPr>
      <w:spacing w:after="140" w:line="288" w:lineRule="auto"/>
      <w:jc w:val="both"/>
    </w:pPr>
    <w:rPr>
      <w:rFonts w:ascii="Calibri" w:hAnsi="Calibri" w:cs="Calibri"/>
      <w:kern w:val="20"/>
      <w:sz w:val="20"/>
      <w:lang w:val="en-GB"/>
    </w:rPr>
  </w:style>
  <w:style w:type="character" w:customStyle="1" w:styleId="ASpecialLowerCaseAlpha4Char">
    <w:name w:val="A_Special_Lower Case Alpha 4 Char"/>
    <w:basedOn w:val="DefaultParagraphFont"/>
    <w:link w:val="ASpecialLowerCaseAlpha4"/>
    <w:rPr>
      <w:rFonts w:ascii="Calibri" w:hAnsi="Calibri" w:cs="Calibri"/>
      <w:kern w:val="20"/>
      <w:lang w:val="en-GB"/>
    </w:rPr>
  </w:style>
  <w:style w:type="paragraph" w:customStyle="1" w:styleId="ASpecialLowerCaseAlpha5">
    <w:name w:val="A_Special_Lower Case Alpha 5"/>
    <w:basedOn w:val="Normal"/>
    <w:link w:val="ASpecialLowerCaseAlpha5Char"/>
    <w:qFormat/>
    <w:pPr>
      <w:numPr>
        <w:numId w:val="11"/>
      </w:numPr>
      <w:spacing w:after="140" w:line="288" w:lineRule="auto"/>
      <w:jc w:val="both"/>
    </w:pPr>
    <w:rPr>
      <w:rFonts w:ascii="Calibri" w:hAnsi="Calibri" w:cs="Calibri"/>
      <w:kern w:val="20"/>
      <w:sz w:val="20"/>
      <w:lang w:val="en-GB"/>
    </w:rPr>
  </w:style>
  <w:style w:type="character" w:customStyle="1" w:styleId="ASpecialLowerCaseAlpha5Char">
    <w:name w:val="A_Special_Lower Case Alpha 5 Char"/>
    <w:basedOn w:val="DefaultParagraphFont"/>
    <w:link w:val="ASpecialLowerCaseAlpha5"/>
    <w:rPr>
      <w:rFonts w:ascii="Calibri" w:hAnsi="Calibri" w:cs="Calibri"/>
      <w:kern w:val="20"/>
      <w:lang w:val="en-GB"/>
    </w:rPr>
  </w:style>
  <w:style w:type="paragraph" w:customStyle="1" w:styleId="ASpecialLowerCaseAlpha6">
    <w:name w:val="A_Special_Lower Case Alpha 6"/>
    <w:basedOn w:val="Normal"/>
    <w:link w:val="ASpecialLowerCaseAlpha6Char"/>
    <w:qFormat/>
    <w:pPr>
      <w:numPr>
        <w:numId w:val="12"/>
      </w:numPr>
      <w:spacing w:after="140" w:line="288" w:lineRule="auto"/>
      <w:jc w:val="both"/>
    </w:pPr>
    <w:rPr>
      <w:rFonts w:ascii="Calibri" w:hAnsi="Calibri" w:cs="Calibri"/>
      <w:kern w:val="20"/>
      <w:sz w:val="20"/>
      <w:lang w:val="en-GB"/>
    </w:rPr>
  </w:style>
  <w:style w:type="character" w:customStyle="1" w:styleId="ASpecialLowerCaseAlpha6Char">
    <w:name w:val="A_Special_Lower Case Alpha 6 Char"/>
    <w:basedOn w:val="DefaultParagraphFont"/>
    <w:link w:val="ASpecialLowerCaseAlpha6"/>
    <w:rPr>
      <w:rFonts w:ascii="Calibri" w:hAnsi="Calibri" w:cs="Calibri"/>
      <w:kern w:val="20"/>
      <w:lang w:val="en-GB"/>
    </w:rPr>
  </w:style>
  <w:style w:type="paragraph" w:customStyle="1" w:styleId="ASpecialBullet1">
    <w:name w:val="A_Special_Bullet 1"/>
    <w:basedOn w:val="Normal"/>
    <w:link w:val="ASpecialBullet1Char"/>
    <w:qFormat/>
    <w:pPr>
      <w:numPr>
        <w:numId w:val="13"/>
      </w:numPr>
      <w:spacing w:after="140" w:line="288" w:lineRule="auto"/>
      <w:jc w:val="both"/>
    </w:pPr>
    <w:rPr>
      <w:rFonts w:ascii="Calibri" w:hAnsi="Calibri" w:cs="Calibri"/>
      <w:kern w:val="20"/>
      <w:sz w:val="20"/>
      <w:szCs w:val="24"/>
      <w:lang w:val="en-GB"/>
    </w:rPr>
  </w:style>
  <w:style w:type="character" w:customStyle="1" w:styleId="ASpecialBullet1Char">
    <w:name w:val="A_Special_Bullet 1 Char"/>
    <w:basedOn w:val="DefaultParagraphFont"/>
    <w:link w:val="ASpecialBullet1"/>
    <w:rPr>
      <w:rFonts w:ascii="Calibri" w:hAnsi="Calibri" w:cs="Calibri"/>
      <w:kern w:val="20"/>
      <w:szCs w:val="24"/>
      <w:lang w:val="en-GB"/>
    </w:rPr>
  </w:style>
  <w:style w:type="paragraph" w:customStyle="1" w:styleId="ASpecialBullet2">
    <w:name w:val="A_Special_Bullet 2"/>
    <w:basedOn w:val="Normal"/>
    <w:link w:val="ASpecialBullet2Char"/>
    <w:qFormat/>
    <w:pPr>
      <w:numPr>
        <w:numId w:val="14"/>
      </w:numPr>
      <w:spacing w:after="140" w:line="288" w:lineRule="auto"/>
      <w:jc w:val="both"/>
    </w:pPr>
    <w:rPr>
      <w:rFonts w:ascii="Calibri" w:hAnsi="Calibri" w:cs="Calibri"/>
      <w:kern w:val="20"/>
      <w:sz w:val="20"/>
      <w:szCs w:val="24"/>
      <w:lang w:val="fr-BE"/>
    </w:rPr>
  </w:style>
  <w:style w:type="character" w:customStyle="1" w:styleId="ASpecialBullet2Char">
    <w:name w:val="A_Special_Bullet 2 Char"/>
    <w:basedOn w:val="DefaultParagraphFont"/>
    <w:link w:val="ASpecialBullet2"/>
    <w:rPr>
      <w:rFonts w:ascii="Calibri" w:hAnsi="Calibri" w:cs="Calibri"/>
      <w:kern w:val="20"/>
      <w:szCs w:val="24"/>
      <w:lang w:val="fr-BE"/>
    </w:rPr>
  </w:style>
  <w:style w:type="paragraph" w:customStyle="1" w:styleId="ASpecialBullet3">
    <w:name w:val="A_Special_Bullet 3"/>
    <w:basedOn w:val="Normal"/>
    <w:link w:val="ASpecialBullet3Char"/>
    <w:qFormat/>
    <w:pPr>
      <w:numPr>
        <w:numId w:val="15"/>
      </w:numPr>
      <w:spacing w:after="140" w:line="288" w:lineRule="auto"/>
      <w:jc w:val="both"/>
    </w:pPr>
    <w:rPr>
      <w:rFonts w:ascii="Calibri" w:hAnsi="Calibri" w:cs="Calibri"/>
      <w:kern w:val="20"/>
      <w:sz w:val="20"/>
      <w:szCs w:val="24"/>
      <w:lang w:val="en-GB"/>
    </w:rPr>
  </w:style>
  <w:style w:type="character" w:customStyle="1" w:styleId="ASpecialBullet3Char">
    <w:name w:val="A_Special_Bullet 3 Char"/>
    <w:basedOn w:val="DefaultParagraphFont"/>
    <w:link w:val="ASpecialBullet3"/>
    <w:rPr>
      <w:rFonts w:ascii="Calibri" w:hAnsi="Calibri" w:cs="Calibri"/>
      <w:kern w:val="20"/>
      <w:szCs w:val="24"/>
      <w:lang w:val="en-GB"/>
    </w:rPr>
  </w:style>
  <w:style w:type="paragraph" w:customStyle="1" w:styleId="ASpecialBullet4">
    <w:name w:val="A_Special_Bullet 4"/>
    <w:basedOn w:val="Normal"/>
    <w:link w:val="ASpecialBullet4Char"/>
    <w:qFormat/>
    <w:pPr>
      <w:numPr>
        <w:numId w:val="16"/>
      </w:numPr>
      <w:spacing w:after="140" w:line="288" w:lineRule="auto"/>
      <w:jc w:val="both"/>
    </w:pPr>
    <w:rPr>
      <w:rFonts w:ascii="Calibri" w:hAnsi="Calibri" w:cs="Calibri"/>
      <w:kern w:val="20"/>
      <w:sz w:val="20"/>
      <w:szCs w:val="24"/>
      <w:lang w:val="en-GB"/>
    </w:rPr>
  </w:style>
  <w:style w:type="character" w:customStyle="1" w:styleId="ASpecialBullet4Char">
    <w:name w:val="A_Special_Bullet 4 Char"/>
    <w:basedOn w:val="DefaultParagraphFont"/>
    <w:link w:val="ASpecialBullet4"/>
    <w:rPr>
      <w:rFonts w:ascii="Calibri" w:hAnsi="Calibri" w:cs="Calibri"/>
      <w:kern w:val="20"/>
      <w:szCs w:val="24"/>
      <w:lang w:val="en-GB"/>
    </w:rPr>
  </w:style>
  <w:style w:type="paragraph" w:customStyle="1" w:styleId="ASpecialBullet5">
    <w:name w:val="A_Special_Bullet 5"/>
    <w:basedOn w:val="Normal"/>
    <w:link w:val="ASpecialBullet5Char"/>
    <w:qFormat/>
    <w:pPr>
      <w:numPr>
        <w:numId w:val="17"/>
      </w:numPr>
      <w:spacing w:after="140" w:line="288" w:lineRule="auto"/>
      <w:jc w:val="both"/>
    </w:pPr>
    <w:rPr>
      <w:rFonts w:ascii="Calibri" w:hAnsi="Calibri" w:cs="Calibri"/>
      <w:kern w:val="20"/>
      <w:sz w:val="20"/>
      <w:szCs w:val="24"/>
      <w:lang w:val="en-GB"/>
    </w:rPr>
  </w:style>
  <w:style w:type="character" w:customStyle="1" w:styleId="ASpecialBullet5Char">
    <w:name w:val="A_Special_Bullet 5 Char"/>
    <w:basedOn w:val="DefaultParagraphFont"/>
    <w:link w:val="ASpecialBullet5"/>
    <w:rPr>
      <w:rFonts w:ascii="Calibri" w:hAnsi="Calibri" w:cs="Calibri"/>
      <w:kern w:val="20"/>
      <w:szCs w:val="24"/>
      <w:lang w:val="en-GB"/>
    </w:rPr>
  </w:style>
  <w:style w:type="paragraph" w:customStyle="1" w:styleId="ASpecialBullet6">
    <w:name w:val="A_Special_Bullet 6"/>
    <w:basedOn w:val="Normal"/>
    <w:link w:val="ASpecialBullet6Char"/>
    <w:qFormat/>
    <w:pPr>
      <w:numPr>
        <w:numId w:val="18"/>
      </w:numPr>
      <w:spacing w:after="140" w:line="288" w:lineRule="auto"/>
      <w:jc w:val="both"/>
    </w:pPr>
    <w:rPr>
      <w:rFonts w:ascii="Calibri" w:hAnsi="Calibri" w:cs="Calibri"/>
      <w:kern w:val="20"/>
      <w:sz w:val="20"/>
      <w:szCs w:val="24"/>
      <w:lang w:val="fr-BE"/>
    </w:rPr>
  </w:style>
  <w:style w:type="character" w:customStyle="1" w:styleId="ASpecialBullet6Char">
    <w:name w:val="A_Special_Bullet 6 Char"/>
    <w:basedOn w:val="DefaultParagraphFont"/>
    <w:link w:val="ASpecialBullet6"/>
    <w:rPr>
      <w:rFonts w:ascii="Calibri" w:hAnsi="Calibri" w:cs="Calibri"/>
      <w:kern w:val="20"/>
      <w:szCs w:val="24"/>
      <w:lang w:val="fr-BE"/>
    </w:rPr>
  </w:style>
  <w:style w:type="paragraph" w:customStyle="1" w:styleId="ASpecialDashBullet1">
    <w:name w:val="A_Special_Dash Bullet 1"/>
    <w:basedOn w:val="Normal"/>
    <w:link w:val="ASpecialDashBullet1Char"/>
    <w:qFormat/>
    <w:pPr>
      <w:numPr>
        <w:numId w:val="37"/>
      </w:numPr>
      <w:spacing w:after="140" w:line="288" w:lineRule="auto"/>
      <w:jc w:val="both"/>
    </w:pPr>
    <w:rPr>
      <w:rFonts w:ascii="Calibri" w:hAnsi="Calibri" w:cs="Calibri"/>
      <w:kern w:val="20"/>
      <w:sz w:val="20"/>
      <w:szCs w:val="24"/>
      <w:lang w:val="en-GB"/>
    </w:rPr>
  </w:style>
  <w:style w:type="character" w:customStyle="1" w:styleId="ASpecialDashBullet1Char">
    <w:name w:val="A_Special_Dash Bullet 1 Char"/>
    <w:basedOn w:val="DefaultParagraphFont"/>
    <w:link w:val="ASpecialDashBullet1"/>
    <w:rPr>
      <w:rFonts w:ascii="Calibri" w:hAnsi="Calibri" w:cs="Calibri"/>
      <w:kern w:val="20"/>
      <w:szCs w:val="24"/>
      <w:lang w:val="en-GB"/>
    </w:rPr>
  </w:style>
  <w:style w:type="paragraph" w:customStyle="1" w:styleId="ASpecialDashBullet2">
    <w:name w:val="A_Special_Dash Bullet 2"/>
    <w:basedOn w:val="Normal"/>
    <w:link w:val="ASpecialDashBullet2Char"/>
    <w:qFormat/>
    <w:pPr>
      <w:numPr>
        <w:numId w:val="38"/>
      </w:numPr>
      <w:spacing w:after="140" w:line="288" w:lineRule="auto"/>
      <w:jc w:val="both"/>
    </w:pPr>
    <w:rPr>
      <w:rFonts w:ascii="Calibri" w:hAnsi="Calibri" w:cs="Calibri"/>
      <w:kern w:val="20"/>
      <w:sz w:val="20"/>
      <w:szCs w:val="24"/>
      <w:lang w:val="en-GB"/>
    </w:rPr>
  </w:style>
  <w:style w:type="character" w:customStyle="1" w:styleId="ASpecialDashBullet2Char">
    <w:name w:val="A_Special_Dash Bullet 2 Char"/>
    <w:basedOn w:val="DefaultParagraphFont"/>
    <w:link w:val="ASpecialDashBullet2"/>
    <w:rPr>
      <w:rFonts w:ascii="Calibri" w:hAnsi="Calibri" w:cs="Calibri"/>
      <w:kern w:val="20"/>
      <w:szCs w:val="24"/>
      <w:lang w:val="en-GB"/>
    </w:rPr>
  </w:style>
  <w:style w:type="paragraph" w:customStyle="1" w:styleId="ASpecialDashBullet3">
    <w:name w:val="A_Special_Dash Bullet 3"/>
    <w:basedOn w:val="Normal"/>
    <w:link w:val="ASpecialDashBullet3Char"/>
    <w:qFormat/>
    <w:pPr>
      <w:numPr>
        <w:numId w:val="39"/>
      </w:numPr>
      <w:spacing w:after="140" w:line="288" w:lineRule="auto"/>
      <w:jc w:val="both"/>
    </w:pPr>
    <w:rPr>
      <w:rFonts w:ascii="Calibri" w:hAnsi="Calibri" w:cs="Calibri"/>
      <w:kern w:val="20"/>
      <w:sz w:val="20"/>
      <w:szCs w:val="24"/>
      <w:lang w:val="en-GB"/>
    </w:rPr>
  </w:style>
  <w:style w:type="character" w:customStyle="1" w:styleId="ASpecialDashBullet3Char">
    <w:name w:val="A_Special_Dash Bullet 3 Char"/>
    <w:basedOn w:val="DefaultParagraphFont"/>
    <w:link w:val="ASpecialDashBullet3"/>
    <w:rPr>
      <w:rFonts w:ascii="Calibri" w:hAnsi="Calibri" w:cs="Calibri"/>
      <w:kern w:val="20"/>
      <w:szCs w:val="24"/>
      <w:lang w:val="en-GB"/>
    </w:rPr>
  </w:style>
  <w:style w:type="paragraph" w:customStyle="1" w:styleId="ASpecialDashBullet4">
    <w:name w:val="A_Special_Dash Bullet 4"/>
    <w:basedOn w:val="Normal"/>
    <w:link w:val="ASpecialDashBullet4Char"/>
    <w:qFormat/>
    <w:pPr>
      <w:numPr>
        <w:numId w:val="40"/>
      </w:numPr>
      <w:spacing w:after="140" w:line="288" w:lineRule="auto"/>
      <w:jc w:val="both"/>
    </w:pPr>
    <w:rPr>
      <w:rFonts w:ascii="Calibri" w:hAnsi="Calibri" w:cs="Calibri"/>
      <w:kern w:val="20"/>
      <w:sz w:val="20"/>
      <w:szCs w:val="24"/>
      <w:lang w:val="fr-BE"/>
    </w:rPr>
  </w:style>
  <w:style w:type="character" w:customStyle="1" w:styleId="ASpecialDashBullet4Char">
    <w:name w:val="A_Special_Dash Bullet 4 Char"/>
    <w:basedOn w:val="DefaultParagraphFont"/>
    <w:link w:val="ASpecialDashBullet4"/>
    <w:rPr>
      <w:rFonts w:ascii="Calibri" w:hAnsi="Calibri" w:cs="Calibri"/>
      <w:kern w:val="20"/>
      <w:szCs w:val="24"/>
      <w:lang w:val="fr-BE"/>
    </w:rPr>
  </w:style>
  <w:style w:type="paragraph" w:customStyle="1" w:styleId="ASpecialDashBullet5">
    <w:name w:val="A_Special_Dash Bullet 5"/>
    <w:basedOn w:val="Normal"/>
    <w:link w:val="ASpecialDashBullet5Char"/>
    <w:qFormat/>
    <w:pPr>
      <w:numPr>
        <w:numId w:val="41"/>
      </w:numPr>
      <w:spacing w:after="140" w:line="288" w:lineRule="auto"/>
      <w:jc w:val="both"/>
    </w:pPr>
    <w:rPr>
      <w:rFonts w:ascii="Calibri" w:hAnsi="Calibri" w:cs="Calibri"/>
      <w:kern w:val="20"/>
      <w:sz w:val="20"/>
      <w:szCs w:val="24"/>
      <w:lang w:val="en-GB"/>
    </w:rPr>
  </w:style>
  <w:style w:type="character" w:customStyle="1" w:styleId="ASpecialDashBullet5Char">
    <w:name w:val="A_Special_Dash Bullet 5 Char"/>
    <w:basedOn w:val="DefaultParagraphFont"/>
    <w:link w:val="ASpecialDashBullet5"/>
    <w:rPr>
      <w:rFonts w:ascii="Calibri" w:hAnsi="Calibri" w:cs="Calibri"/>
      <w:kern w:val="20"/>
      <w:szCs w:val="24"/>
      <w:lang w:val="en-GB"/>
    </w:rPr>
  </w:style>
  <w:style w:type="paragraph" w:customStyle="1" w:styleId="ASpecialDashBullet6">
    <w:name w:val="A_Special_Dash Bullet 6"/>
    <w:basedOn w:val="Normal"/>
    <w:link w:val="ASpecialDashBullet6Char"/>
    <w:qFormat/>
    <w:pPr>
      <w:numPr>
        <w:numId w:val="42"/>
      </w:numPr>
      <w:spacing w:after="140" w:line="288" w:lineRule="auto"/>
      <w:jc w:val="both"/>
    </w:pPr>
    <w:rPr>
      <w:rFonts w:ascii="Calibri" w:hAnsi="Calibri" w:cs="Calibri"/>
      <w:kern w:val="20"/>
      <w:sz w:val="20"/>
      <w:szCs w:val="24"/>
      <w:lang w:val="en-GB"/>
    </w:rPr>
  </w:style>
  <w:style w:type="character" w:customStyle="1" w:styleId="ASpecialDashBullet6Char">
    <w:name w:val="A_Special_Dash Bullet 6 Char"/>
    <w:basedOn w:val="DefaultParagraphFont"/>
    <w:link w:val="ASpecialDashBullet6"/>
    <w:rPr>
      <w:rFonts w:ascii="Calibri" w:hAnsi="Calibri" w:cs="Calibri"/>
      <w:kern w:val="20"/>
      <w:szCs w:val="24"/>
      <w:lang w:val="en-GB"/>
    </w:rPr>
  </w:style>
  <w:style w:type="paragraph" w:customStyle="1" w:styleId="ASpecialDoubleAlpha">
    <w:name w:val="A_Special_Double Alpha"/>
    <w:basedOn w:val="Normal"/>
    <w:link w:val="ASpecialDoubleAlphaChar"/>
    <w:qFormat/>
    <w:pPr>
      <w:numPr>
        <w:numId w:val="35"/>
      </w:numPr>
      <w:spacing w:after="140" w:line="288" w:lineRule="auto"/>
      <w:jc w:val="both"/>
    </w:pPr>
    <w:rPr>
      <w:rFonts w:ascii="Calibri" w:hAnsi="Calibri" w:cs="Calibri"/>
      <w:kern w:val="20"/>
      <w:sz w:val="20"/>
      <w:szCs w:val="24"/>
      <w:lang w:val="en-GB"/>
    </w:rPr>
  </w:style>
  <w:style w:type="character" w:customStyle="1" w:styleId="ASpecialDoubleAlphaChar">
    <w:name w:val="A_Special_Double Alpha Char"/>
    <w:basedOn w:val="DefaultParagraphFont"/>
    <w:link w:val="ASpecialDoubleAlpha"/>
    <w:rPr>
      <w:rFonts w:ascii="Calibri" w:hAnsi="Calibri" w:cs="Calibri"/>
      <w:kern w:val="20"/>
      <w:szCs w:val="24"/>
      <w:lang w:val="en-GB"/>
    </w:rPr>
  </w:style>
  <w:style w:type="paragraph" w:customStyle="1" w:styleId="ASpecialListNumbers">
    <w:name w:val="A_Special_List Numbers"/>
    <w:basedOn w:val="Normal"/>
    <w:link w:val="ASpecialListNumbersChar"/>
    <w:qFormat/>
    <w:pPr>
      <w:numPr>
        <w:numId w:val="36"/>
      </w:numPr>
      <w:spacing w:after="140" w:line="288" w:lineRule="auto"/>
      <w:jc w:val="both"/>
      <w:outlineLvl w:val="0"/>
    </w:pPr>
    <w:rPr>
      <w:rFonts w:ascii="Calibri" w:hAnsi="Calibri" w:cs="Calibri"/>
      <w:kern w:val="20"/>
      <w:sz w:val="20"/>
      <w:szCs w:val="24"/>
      <w:lang w:val="fr-BE"/>
    </w:rPr>
  </w:style>
  <w:style w:type="character" w:customStyle="1" w:styleId="ASpecialListNumbersChar">
    <w:name w:val="A_Special_List Numbers Char"/>
    <w:basedOn w:val="DefaultParagraphFont"/>
    <w:link w:val="ASpecialListNumbers"/>
    <w:rPr>
      <w:rFonts w:ascii="Calibri" w:hAnsi="Calibri" w:cs="Calibri"/>
      <w:kern w:val="20"/>
      <w:szCs w:val="24"/>
      <w:lang w:val="fr-BE"/>
    </w:rPr>
  </w:style>
  <w:style w:type="paragraph" w:customStyle="1" w:styleId="roman3">
    <w:name w:val="roman 3"/>
    <w:basedOn w:val="Normal"/>
    <w:pPr>
      <w:tabs>
        <w:tab w:val="num" w:pos="2041"/>
      </w:tabs>
      <w:spacing w:after="140" w:line="290" w:lineRule="auto"/>
      <w:ind w:left="2041" w:hanging="680"/>
      <w:jc w:val="both"/>
      <w:outlineLvl w:val="2"/>
    </w:pPr>
    <w:rPr>
      <w:rFonts w:ascii="Arial" w:hAnsi="Arial"/>
      <w:kern w:val="20"/>
      <w:sz w:val="20"/>
      <w:lang w:val="en-GB" w:eastAsia="en-GB"/>
    </w:rPr>
  </w:style>
  <w:style w:type="paragraph" w:styleId="TOC1">
    <w:name w:val="toc 1"/>
    <w:basedOn w:val="Normal"/>
    <w:next w:val="Normal"/>
    <w:autoRedefine/>
    <w:uiPriority w:val="39"/>
    <w:unhideWhenUsed/>
    <w:pPr>
      <w:tabs>
        <w:tab w:val="right" w:leader="dot" w:pos="9737"/>
      </w:tabs>
    </w:pPr>
    <w:rPr>
      <w:rFonts w:asciiTheme="majorHAnsi" w:hAnsiTheme="majorHAnsi"/>
      <w:b/>
      <w:bCs/>
      <w:caps/>
      <w:szCs w:val="24"/>
      <w:lang w:val="nl-BE"/>
    </w:rPr>
  </w:style>
  <w:style w:type="paragraph" w:styleId="TOC2">
    <w:name w:val="toc 2"/>
    <w:basedOn w:val="Normal"/>
    <w:next w:val="Normal"/>
    <w:autoRedefine/>
    <w:unhideWhenUsed/>
    <w:pPr>
      <w:spacing w:before="240"/>
    </w:pPr>
    <w:rPr>
      <w:rFonts w:asciiTheme="minorHAnsi" w:hAnsiTheme="minorHAnsi"/>
      <w:b/>
      <w:bCs/>
      <w:sz w:val="20"/>
      <w:lang w:val="nl-BE"/>
    </w:rPr>
  </w:style>
  <w:style w:type="paragraph" w:styleId="TOC3">
    <w:name w:val="toc 3"/>
    <w:basedOn w:val="Normal"/>
    <w:next w:val="Normal"/>
    <w:autoRedefine/>
    <w:unhideWhenUsed/>
    <w:pPr>
      <w:ind w:left="200"/>
    </w:pPr>
    <w:rPr>
      <w:rFonts w:asciiTheme="minorHAnsi" w:hAnsiTheme="minorHAnsi"/>
      <w:sz w:val="20"/>
      <w:lang w:val="nl-BE"/>
    </w:rPr>
  </w:style>
  <w:style w:type="paragraph" w:styleId="TOC4">
    <w:name w:val="toc 4"/>
    <w:basedOn w:val="Normal"/>
    <w:next w:val="Normal"/>
    <w:autoRedefine/>
    <w:unhideWhenUsed/>
    <w:pPr>
      <w:ind w:left="400"/>
    </w:pPr>
    <w:rPr>
      <w:rFonts w:asciiTheme="minorHAnsi" w:hAnsiTheme="minorHAnsi"/>
      <w:sz w:val="20"/>
      <w:lang w:val="nl-BE"/>
    </w:rPr>
  </w:style>
  <w:style w:type="paragraph" w:styleId="TOC5">
    <w:name w:val="toc 5"/>
    <w:basedOn w:val="Normal"/>
    <w:next w:val="Normal"/>
    <w:autoRedefine/>
    <w:unhideWhenUsed/>
    <w:pPr>
      <w:ind w:left="600"/>
    </w:pPr>
    <w:rPr>
      <w:rFonts w:asciiTheme="minorHAnsi" w:hAnsiTheme="minorHAnsi"/>
      <w:sz w:val="20"/>
      <w:lang w:val="nl-BE"/>
    </w:rPr>
  </w:style>
  <w:style w:type="paragraph" w:styleId="TOC6">
    <w:name w:val="toc 6"/>
    <w:basedOn w:val="Normal"/>
    <w:next w:val="Normal"/>
    <w:autoRedefine/>
    <w:unhideWhenUsed/>
    <w:pPr>
      <w:ind w:left="800"/>
    </w:pPr>
    <w:rPr>
      <w:rFonts w:asciiTheme="minorHAnsi" w:hAnsiTheme="minorHAnsi"/>
      <w:sz w:val="20"/>
      <w:lang w:val="nl-BE"/>
    </w:rPr>
  </w:style>
  <w:style w:type="paragraph" w:styleId="TOC7">
    <w:name w:val="toc 7"/>
    <w:basedOn w:val="Normal"/>
    <w:next w:val="Normal"/>
    <w:autoRedefine/>
    <w:unhideWhenUsed/>
    <w:pPr>
      <w:ind w:left="1000"/>
    </w:pPr>
    <w:rPr>
      <w:rFonts w:asciiTheme="minorHAnsi" w:hAnsiTheme="minorHAnsi"/>
      <w:sz w:val="20"/>
      <w:lang w:val="nl-BE"/>
    </w:rPr>
  </w:style>
  <w:style w:type="paragraph" w:styleId="TOC8">
    <w:name w:val="toc 8"/>
    <w:basedOn w:val="Normal"/>
    <w:next w:val="Normal"/>
    <w:autoRedefine/>
    <w:unhideWhenUsed/>
    <w:pPr>
      <w:ind w:left="1200"/>
    </w:pPr>
    <w:rPr>
      <w:rFonts w:asciiTheme="minorHAnsi" w:hAnsiTheme="minorHAnsi"/>
      <w:sz w:val="20"/>
      <w:lang w:val="nl-BE"/>
    </w:rPr>
  </w:style>
  <w:style w:type="paragraph" w:styleId="TOC9">
    <w:name w:val="toc 9"/>
    <w:basedOn w:val="Normal"/>
    <w:next w:val="Normal"/>
    <w:autoRedefine/>
    <w:unhideWhenUsed/>
    <w:pPr>
      <w:ind w:left="1400"/>
    </w:pPr>
    <w:rPr>
      <w:rFonts w:asciiTheme="minorHAnsi" w:hAnsiTheme="minorHAnsi"/>
      <w:sz w:val="20"/>
      <w:lang w:val="nl-BE"/>
    </w:rPr>
  </w:style>
  <w:style w:type="character" w:customStyle="1" w:styleId="CommentTextChar">
    <w:name w:val="Comment Text Char"/>
    <w:basedOn w:val="DefaultParagraphFont"/>
    <w:link w:val="CommentText"/>
    <w:rPr>
      <w:rFonts w:ascii="Arial" w:hAnsi="Arial"/>
      <w:lang w:val="nl-BE"/>
    </w:rPr>
  </w:style>
  <w:style w:type="paragraph" w:styleId="CommentText">
    <w:name w:val="annotation text"/>
    <w:basedOn w:val="Normal"/>
    <w:link w:val="CommentTextChar"/>
    <w:unhideWhenUsed/>
    <w:rPr>
      <w:rFonts w:ascii="Arial" w:hAnsi="Arial"/>
      <w:sz w:val="20"/>
      <w:lang w:val="nl-BE"/>
    </w:rPr>
  </w:style>
  <w:style w:type="character" w:customStyle="1" w:styleId="CommentSubjectChar">
    <w:name w:val="Comment Subject Char"/>
    <w:basedOn w:val="CommentTextChar"/>
    <w:link w:val="CommentSubject"/>
    <w:uiPriority w:val="99"/>
    <w:semiHidden/>
    <w:rPr>
      <w:rFonts w:ascii="Arial" w:hAnsi="Arial"/>
      <w:b/>
      <w:bCs/>
      <w:lang w:val="nl-BE"/>
    </w:rPr>
  </w:style>
  <w:style w:type="paragraph" w:styleId="CommentSubject">
    <w:name w:val="annotation subject"/>
    <w:basedOn w:val="CommentText"/>
    <w:next w:val="CommentText"/>
    <w:link w:val="CommentSubjectChar"/>
    <w:uiPriority w:val="99"/>
    <w:semiHidden/>
    <w:unhideWhenUsed/>
    <w:rPr>
      <w:b/>
      <w:bCs/>
    </w:rPr>
  </w:style>
  <w:style w:type="paragraph" w:customStyle="1" w:styleId="Body1">
    <w:name w:val="Body 1"/>
    <w:basedOn w:val="Normal"/>
    <w:link w:val="Body1Char"/>
    <w:pPr>
      <w:spacing w:after="140" w:line="290" w:lineRule="auto"/>
      <w:ind w:left="425"/>
      <w:jc w:val="both"/>
    </w:pPr>
    <w:rPr>
      <w:kern w:val="20"/>
      <w:sz w:val="20"/>
      <w:lang w:val="en-GB"/>
    </w:rPr>
  </w:style>
  <w:style w:type="character" w:customStyle="1" w:styleId="Body1Char">
    <w:name w:val="Body 1 Char"/>
    <w:link w:val="Body1"/>
    <w:rPr>
      <w:kern w:val="20"/>
      <w:lang w:val="en-GB"/>
    </w:rPr>
  </w:style>
  <w:style w:type="paragraph" w:customStyle="1" w:styleId="Default">
    <w:name w:val="Default"/>
    <w:pPr>
      <w:autoSpaceDE w:val="0"/>
      <w:autoSpaceDN w:val="0"/>
      <w:adjustRightInd w:val="0"/>
    </w:pPr>
    <w:rPr>
      <w:rFonts w:ascii="Arial" w:eastAsiaTheme="minorHAnsi" w:hAnsi="Arial" w:cs="Arial"/>
      <w:color w:val="000000"/>
      <w:sz w:val="24"/>
      <w:szCs w:val="24"/>
      <w:lang w:val="nl-NL"/>
    </w:rPr>
  </w:style>
  <w:style w:type="character" w:customStyle="1" w:styleId="A5">
    <w:name w:val="A5"/>
    <w:uiPriority w:val="99"/>
    <w:rPr>
      <w:rFonts w:cs="Aaux Next Regular"/>
      <w:color w:val="000000"/>
      <w:sz w:val="18"/>
      <w:szCs w:val="18"/>
    </w:rPr>
  </w:style>
  <w:style w:type="character" w:customStyle="1" w:styleId="EndnoteTextChar">
    <w:name w:val="Endnote Text Char"/>
    <w:basedOn w:val="DefaultParagraphFont"/>
    <w:link w:val="EndnoteText"/>
    <w:semiHidden/>
    <w:rPr>
      <w:rFonts w:ascii="Arial" w:hAnsi="Arial"/>
      <w:lang w:val="nl-BE"/>
    </w:rPr>
  </w:style>
  <w:style w:type="paragraph" w:styleId="EndnoteText">
    <w:name w:val="endnote text"/>
    <w:basedOn w:val="Normal"/>
    <w:link w:val="EndnoteTextChar"/>
    <w:semiHidden/>
    <w:unhideWhenUsed/>
    <w:rPr>
      <w:rFonts w:ascii="Arial" w:hAnsi="Arial"/>
      <w:sz w:val="20"/>
      <w:lang w:val="nl-BE"/>
    </w:rPr>
  </w:style>
  <w:style w:type="paragraph" w:customStyle="1" w:styleId="Title10R">
    <w:name w:val="Title 10R"/>
    <w:basedOn w:val="Title"/>
    <w:pPr>
      <w:keepNext/>
      <w:keepLines/>
      <w:spacing w:after="240" w:line="290" w:lineRule="auto"/>
      <w:contextualSpacing w:val="0"/>
      <w:jc w:val="right"/>
    </w:pPr>
    <w:rPr>
      <w:rFonts w:ascii="Times New Roman" w:eastAsia="Times New Roman" w:hAnsi="Times New Roman" w:cs="Times New Roman"/>
      <w:b/>
      <w:spacing w:val="0"/>
      <w:kern w:val="20"/>
      <w:sz w:val="20"/>
      <w:szCs w:val="20"/>
      <w:lang w:val="en-GB"/>
    </w:rPr>
  </w:style>
  <w:style w:type="paragraph" w:customStyle="1" w:styleId="Alpha1-Aitalic">
    <w:name w:val="Alpha 1-(A) italic"/>
    <w:basedOn w:val="Normal"/>
    <w:pPr>
      <w:tabs>
        <w:tab w:val="num" w:pos="680"/>
      </w:tabs>
      <w:spacing w:after="140" w:line="290" w:lineRule="auto"/>
      <w:ind w:left="680" w:hanging="680"/>
      <w:jc w:val="both"/>
    </w:pPr>
    <w:rPr>
      <w:i/>
      <w:kern w:val="20"/>
      <w:sz w:val="20"/>
      <w:lang w:val="en-GB"/>
    </w:rPr>
  </w:style>
  <w:style w:type="paragraph" w:customStyle="1" w:styleId="Body">
    <w:name w:val="Body"/>
    <w:basedOn w:val="Normal"/>
    <w:link w:val="BodyChar"/>
    <w:pPr>
      <w:spacing w:after="140" w:line="290" w:lineRule="auto"/>
      <w:ind w:left="425"/>
      <w:jc w:val="both"/>
    </w:pPr>
    <w:rPr>
      <w:kern w:val="20"/>
      <w:sz w:val="20"/>
      <w:lang w:val="en-GB"/>
    </w:rPr>
  </w:style>
  <w:style w:type="character" w:customStyle="1" w:styleId="BodyChar">
    <w:name w:val="Body Char"/>
    <w:link w:val="Body"/>
    <w:rPr>
      <w:kern w:val="20"/>
      <w:lang w:val="en-GB"/>
    </w:rPr>
  </w:style>
  <w:style w:type="paragraph" w:customStyle="1" w:styleId="ListNumbers">
    <w:name w:val="List Numbers"/>
    <w:basedOn w:val="Normal"/>
    <w:pPr>
      <w:tabs>
        <w:tab w:val="num" w:pos="680"/>
      </w:tabs>
      <w:spacing w:after="140" w:line="290" w:lineRule="auto"/>
      <w:ind w:left="680" w:hanging="680"/>
      <w:jc w:val="both"/>
      <w:outlineLvl w:val="0"/>
    </w:pPr>
    <w:rPr>
      <w:rFonts w:ascii="Arial" w:hAnsi="Arial"/>
      <w:kern w:val="20"/>
      <w:sz w:val="20"/>
      <w:szCs w:val="24"/>
      <w:lang w:val="nl-BE"/>
    </w:rPr>
  </w:style>
  <w:style w:type="paragraph" w:customStyle="1" w:styleId="Standaardtekst">
    <w:name w:val="Standaardtekst"/>
    <w:basedOn w:val="Normal"/>
    <w:rPr>
      <w:rFonts w:ascii="Arial" w:hAnsi="Arial"/>
      <w:snapToGrid w:val="0"/>
      <w:sz w:val="20"/>
      <w:lang w:val="nl-NL"/>
    </w:rPr>
  </w:style>
  <w:style w:type="paragraph" w:customStyle="1" w:styleId="Level1">
    <w:name w:val="Level 1"/>
    <w:basedOn w:val="Normal"/>
    <w:next w:val="Body1"/>
    <w:link w:val="Level1Char"/>
    <w:pPr>
      <w:tabs>
        <w:tab w:val="num" w:pos="425"/>
      </w:tabs>
      <w:spacing w:after="140"/>
      <w:ind w:left="425" w:hanging="425"/>
      <w:jc w:val="both"/>
      <w:outlineLvl w:val="0"/>
    </w:pPr>
    <w:rPr>
      <w:rFonts w:ascii="Times New Roman Bold" w:hAnsi="Times New Roman Bold"/>
      <w:b/>
      <w:bCs/>
      <w:kern w:val="20"/>
      <w:sz w:val="22"/>
    </w:rPr>
  </w:style>
  <w:style w:type="character" w:customStyle="1" w:styleId="Level1Char">
    <w:name w:val="Level 1 Char"/>
    <w:link w:val="Level1"/>
    <w:rPr>
      <w:rFonts w:ascii="Times New Roman Bold" w:hAnsi="Times New Roman Bold"/>
      <w:b/>
      <w:bCs/>
      <w:kern w:val="20"/>
      <w:sz w:val="22"/>
    </w:rPr>
  </w:style>
  <w:style w:type="paragraph" w:customStyle="1" w:styleId="Level2">
    <w:name w:val="Level 2"/>
    <w:basedOn w:val="Normal"/>
    <w:next w:val="Normal"/>
    <w:pPr>
      <w:tabs>
        <w:tab w:val="num" w:pos="1107"/>
      </w:tabs>
      <w:spacing w:after="140" w:line="290" w:lineRule="auto"/>
      <w:ind w:left="1107" w:hanging="567"/>
      <w:jc w:val="both"/>
      <w:outlineLvl w:val="1"/>
    </w:pPr>
    <w:rPr>
      <w:rFonts w:ascii="Times New Roman Bold" w:hAnsi="Times New Roman Bold"/>
      <w:b/>
      <w:kern w:val="20"/>
      <w:sz w:val="20"/>
      <w:lang w:val="en-GB"/>
    </w:rPr>
  </w:style>
  <w:style w:type="paragraph" w:customStyle="1" w:styleId="Level3">
    <w:name w:val="Level 3"/>
    <w:basedOn w:val="Normal"/>
    <w:next w:val="Normal"/>
    <w:pPr>
      <w:numPr>
        <w:ilvl w:val="2"/>
        <w:numId w:val="47"/>
      </w:numPr>
      <w:spacing w:after="140" w:line="290" w:lineRule="auto"/>
      <w:jc w:val="both"/>
      <w:outlineLvl w:val="2"/>
    </w:pPr>
    <w:rPr>
      <w:rFonts w:ascii="Times New Roman Bold" w:hAnsi="Times New Roman Bold"/>
      <w:b/>
      <w:kern w:val="20"/>
      <w:sz w:val="20"/>
      <w:lang w:val="en-GB"/>
    </w:rPr>
  </w:style>
  <w:style w:type="paragraph" w:customStyle="1" w:styleId="Level4">
    <w:name w:val="Level 4"/>
    <w:basedOn w:val="Normal"/>
    <w:pPr>
      <w:numPr>
        <w:ilvl w:val="3"/>
        <w:numId w:val="47"/>
      </w:numPr>
      <w:spacing w:after="140" w:line="290" w:lineRule="auto"/>
      <w:jc w:val="both"/>
    </w:pPr>
    <w:rPr>
      <w:kern w:val="20"/>
      <w:sz w:val="20"/>
      <w:lang w:val="en-GB"/>
    </w:rPr>
  </w:style>
  <w:style w:type="paragraph" w:customStyle="1" w:styleId="Level5">
    <w:name w:val="Level 5"/>
    <w:basedOn w:val="Normal"/>
    <w:pPr>
      <w:numPr>
        <w:ilvl w:val="4"/>
        <w:numId w:val="47"/>
      </w:numPr>
      <w:tabs>
        <w:tab w:val="left" w:pos="2694"/>
      </w:tabs>
      <w:spacing w:after="140" w:line="290" w:lineRule="auto"/>
      <w:jc w:val="both"/>
    </w:pPr>
    <w:rPr>
      <w:kern w:val="20"/>
      <w:sz w:val="20"/>
      <w:lang w:val="en-GB"/>
    </w:rPr>
  </w:style>
  <w:style w:type="paragraph" w:customStyle="1" w:styleId="Level6">
    <w:name w:val="Level 6"/>
    <w:basedOn w:val="Normal"/>
    <w:pPr>
      <w:numPr>
        <w:ilvl w:val="5"/>
        <w:numId w:val="47"/>
      </w:numPr>
      <w:spacing w:after="140" w:line="290" w:lineRule="auto"/>
      <w:jc w:val="both"/>
    </w:pPr>
    <w:rPr>
      <w:kern w:val="20"/>
      <w:sz w:val="20"/>
      <w:lang w:val="en-GB"/>
    </w:rPr>
  </w:style>
  <w:style w:type="paragraph" w:styleId="BodyText2">
    <w:name w:val="Body Text 2"/>
    <w:basedOn w:val="Normal"/>
    <w:link w:val="BodyText2Char"/>
    <w:pPr>
      <w:widowControl w:val="0"/>
      <w:overflowPunct w:val="0"/>
      <w:autoSpaceDE w:val="0"/>
      <w:autoSpaceDN w:val="0"/>
      <w:adjustRightInd w:val="0"/>
      <w:spacing w:after="240"/>
      <w:ind w:left="709"/>
      <w:jc w:val="both"/>
      <w:textAlignment w:val="baseline"/>
    </w:pPr>
  </w:style>
  <w:style w:type="character" w:customStyle="1" w:styleId="BodyText2Char">
    <w:name w:val="Body Text 2 Char"/>
    <w:basedOn w:val="DefaultParagraphFont"/>
    <w:link w:val="BodyText2"/>
    <w:rPr>
      <w:sz w:val="24"/>
    </w:rPr>
  </w:style>
  <w:style w:type="paragraph" w:customStyle="1" w:styleId="B12Ashurst">
    <w:name w:val="B1&amp;2Ashurst"/>
    <w:basedOn w:val="Normal"/>
    <w:pPr>
      <w:tabs>
        <w:tab w:val="left" w:pos="1406"/>
        <w:tab w:val="left" w:pos="2030"/>
        <w:tab w:val="left" w:pos="2654"/>
        <w:tab w:val="left" w:pos="3277"/>
        <w:tab w:val="left" w:pos="3901"/>
      </w:tabs>
      <w:suppressAutoHyphens/>
      <w:spacing w:after="220" w:line="264" w:lineRule="auto"/>
      <w:ind w:left="782"/>
      <w:jc w:val="both"/>
    </w:pPr>
    <w:rPr>
      <w:rFonts w:ascii="Verdana" w:hAnsi="Verdana"/>
      <w:sz w:val="18"/>
      <w:lang w:val="en-GB" w:eastAsia="en-GB"/>
    </w:rPr>
  </w:style>
  <w:style w:type="paragraph" w:customStyle="1" w:styleId="TOCHead">
    <w:name w:val="TOCHead"/>
    <w:basedOn w:val="Normal"/>
    <w:pPr>
      <w:keepNext/>
      <w:numPr>
        <w:numId w:val="48"/>
      </w:numPr>
      <w:tabs>
        <w:tab w:val="clear" w:pos="425"/>
      </w:tabs>
      <w:spacing w:before="295" w:after="175" w:line="290" w:lineRule="auto"/>
      <w:jc w:val="both"/>
    </w:pPr>
    <w:rPr>
      <w:b/>
      <w:kern w:val="20"/>
      <w:sz w:val="22"/>
      <w:lang w:val="en-GB"/>
    </w:rPr>
  </w:style>
  <w:style w:type="paragraph" w:customStyle="1" w:styleId="Body2">
    <w:name w:val="Body 2"/>
    <w:basedOn w:val="Normal"/>
    <w:link w:val="Body2Char"/>
    <w:pPr>
      <w:spacing w:after="140" w:line="290" w:lineRule="auto"/>
      <w:ind w:left="992"/>
      <w:jc w:val="both"/>
    </w:pPr>
    <w:rPr>
      <w:kern w:val="20"/>
      <w:sz w:val="20"/>
      <w:lang w:val="en-GB" w:eastAsia="en-GB"/>
    </w:rPr>
  </w:style>
  <w:style w:type="character" w:customStyle="1" w:styleId="Body2Char">
    <w:name w:val="Body 2 Char"/>
    <w:basedOn w:val="DefaultParagraphFont"/>
    <w:link w:val="Body2"/>
    <w:rPr>
      <w:kern w:val="20"/>
      <w:lang w:val="en-GB" w:eastAsia="en-GB"/>
    </w:rPr>
  </w:style>
  <w:style w:type="paragraph" w:styleId="NoSpacing">
    <w:name w:val="No Spacing"/>
    <w:uiPriority w:val="1"/>
    <w:qFormat/>
    <w:rPr>
      <w:rFonts w:ascii="Calibri" w:hAnsi="Calibri"/>
      <w:sz w:val="22"/>
      <w:szCs w:val="22"/>
      <w:lang w:val="en-GB" w:eastAsia="en-GB"/>
    </w:rPr>
  </w:style>
  <w:style w:type="paragraph" w:customStyle="1" w:styleId="ObjectSpacer">
    <w:name w:val="Object Spacer"/>
    <w:basedOn w:val="BodyText"/>
    <w:next w:val="BodyText"/>
    <w:pPr>
      <w:keepNext/>
      <w:keepLines/>
      <w:spacing w:after="0"/>
      <w:ind w:right="-452"/>
    </w:pPr>
    <w:rPr>
      <w:rFonts w:ascii="Credit Suisse Type Roman" w:eastAsia="MS PGothic" w:hAnsi="Credit Suisse Type Roman"/>
      <w:sz w:val="10"/>
      <w:lang w:val="en-GB" w:eastAsia="zh-TW"/>
    </w:rPr>
  </w:style>
  <w:style w:type="paragraph" w:styleId="BodyText">
    <w:name w:val="Body Text"/>
    <w:basedOn w:val="Normal"/>
    <w:link w:val="BodyTextChar"/>
    <w:semiHidden/>
    <w:unhideWhenUsed/>
    <w:pPr>
      <w:spacing w:after="120"/>
    </w:pPr>
    <w:rPr>
      <w:rFonts w:ascii="Arial" w:hAnsi="Arial"/>
      <w:sz w:val="20"/>
      <w:szCs w:val="24"/>
      <w:lang w:val="nl-BE"/>
    </w:rPr>
  </w:style>
  <w:style w:type="character" w:customStyle="1" w:styleId="BodyTextChar">
    <w:name w:val="Body Text Char"/>
    <w:basedOn w:val="DefaultParagraphFont"/>
    <w:link w:val="BodyText"/>
    <w:semiHidden/>
    <w:rPr>
      <w:rFonts w:ascii="Arial" w:hAnsi="Arial"/>
      <w:szCs w:val="24"/>
      <w:lang w:val="nl-BE"/>
    </w:rPr>
  </w:style>
  <w:style w:type="paragraph" w:customStyle="1" w:styleId="TableTitle">
    <w:name w:val="Table Title"/>
    <w:basedOn w:val="Normal"/>
    <w:pPr>
      <w:keepNext/>
      <w:keepLines/>
      <w:pBdr>
        <w:top w:val="single" w:sz="8" w:space="3" w:color="255B89"/>
        <w:left w:val="single" w:sz="8" w:space="0" w:color="255B89"/>
        <w:bottom w:val="single" w:sz="8" w:space="3" w:color="255B89"/>
        <w:right w:val="single" w:sz="8" w:space="0" w:color="255B89"/>
      </w:pBdr>
      <w:shd w:val="clear" w:color="auto" w:fill="255B89"/>
      <w:ind w:left="57" w:right="57"/>
    </w:pPr>
    <w:rPr>
      <w:rFonts w:ascii="Credit Suisse Type Roman" w:eastAsia="MS PGothic" w:hAnsi="Credit Suisse Type Roman"/>
      <w:b/>
      <w:color w:val="FFFFFF"/>
      <w:sz w:val="18"/>
      <w:szCs w:val="24"/>
      <w:lang w:eastAsia="zh-TW"/>
    </w:rPr>
  </w:style>
  <w:style w:type="paragraph" w:customStyle="1" w:styleId="TableText">
    <w:name w:val="Table Text"/>
    <w:basedOn w:val="Normal"/>
    <w:link w:val="TableTextChar"/>
    <w:pPr>
      <w:keepLines/>
      <w:spacing w:before="30" w:line="240" w:lineRule="atLeast"/>
      <w:ind w:left="57" w:right="57"/>
    </w:pPr>
    <w:rPr>
      <w:rFonts w:ascii="Credit Suisse Type Roman" w:eastAsia="MS PGothic" w:hAnsi="Credit Suisse Type Roman"/>
      <w:sz w:val="18"/>
      <w:szCs w:val="24"/>
      <w:lang w:val="en-GB" w:eastAsia="zh-TW"/>
    </w:rPr>
  </w:style>
  <w:style w:type="character" w:customStyle="1" w:styleId="TableTextChar">
    <w:name w:val="Table Text Char"/>
    <w:basedOn w:val="DefaultParagraphFont"/>
    <w:link w:val="TableText"/>
    <w:rPr>
      <w:rFonts w:ascii="Credit Suisse Type Roman" w:eastAsia="MS PGothic" w:hAnsi="Credit Suisse Type Roman"/>
      <w:sz w:val="18"/>
      <w:szCs w:val="24"/>
      <w:lang w:val="en-GB" w:eastAsia="zh-TW"/>
    </w:rPr>
  </w:style>
  <w:style w:type="paragraph" w:customStyle="1" w:styleId="Pa2">
    <w:name w:val="Pa2"/>
    <w:basedOn w:val="Normal"/>
    <w:next w:val="Normal"/>
    <w:uiPriority w:val="99"/>
    <w:pPr>
      <w:autoSpaceDE w:val="0"/>
      <w:autoSpaceDN w:val="0"/>
      <w:adjustRightInd w:val="0"/>
      <w:spacing w:line="201" w:lineRule="atLeast"/>
    </w:pPr>
    <w:rPr>
      <w:rFonts w:ascii="Source Sans Pro Light" w:eastAsiaTheme="minorHAnsi" w:hAnsi="Source Sans Pro Light" w:cstheme="minorBidi"/>
      <w:szCs w:val="24"/>
      <w:lang w:val="en-GB"/>
    </w:rPr>
  </w:style>
  <w:style w:type="character" w:customStyle="1" w:styleId="BodyTextIndentChar">
    <w:name w:val="Body Text Indent Char"/>
    <w:basedOn w:val="DefaultParagraphFont"/>
    <w:link w:val="BodyTextIndent"/>
    <w:uiPriority w:val="99"/>
    <w:semiHidden/>
    <w:rPr>
      <w:rFonts w:ascii="Arial" w:hAnsi="Arial"/>
      <w:szCs w:val="24"/>
      <w:lang w:val="nl-BE"/>
    </w:rPr>
  </w:style>
  <w:style w:type="paragraph" w:styleId="BodyTextIndent">
    <w:name w:val="Body Text Indent"/>
    <w:basedOn w:val="Normal"/>
    <w:link w:val="BodyTextIndentChar"/>
    <w:uiPriority w:val="99"/>
    <w:semiHidden/>
    <w:unhideWhenUsed/>
    <w:pPr>
      <w:spacing w:after="120"/>
      <w:ind w:left="283"/>
    </w:pPr>
    <w:rPr>
      <w:rFonts w:ascii="Arial" w:hAnsi="Arial"/>
      <w:sz w:val="20"/>
      <w:szCs w:val="24"/>
      <w:lang w:val="nl-BE"/>
    </w:rPr>
  </w:style>
  <w:style w:type="table" w:customStyle="1" w:styleId="TableGrid1">
    <w:name w:val="Table Grid1"/>
    <w:basedOn w:val="TableNormal"/>
    <w:next w:val="TableGrid"/>
    <w:uiPriority w:val="39"/>
    <w:rPr>
      <w:rFonts w:ascii="Calibri" w:eastAsia="Calibri" w:hAnsi="Calibri"/>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Pr>
      <w:rFonts w:ascii="Calibri" w:eastAsia="Calibri" w:hAnsi="Calibri"/>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Pr>
      <w:rFonts w:ascii="Calibri" w:eastAsia="Calibri" w:hAnsi="Calibri"/>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Pr>
      <w:rFonts w:ascii="Calibri" w:eastAsia="Calibri" w:hAnsi="Calibri"/>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Calibri" w:eastAsia="Calibri" w:hAnsi="Calibri"/>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Pr>
      <w:rFonts w:ascii="Calibri" w:eastAsia="Calibri" w:hAnsi="Calibri"/>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Pr>
      <w:rFonts w:ascii="Calibri" w:eastAsia="Calibri" w:hAnsi="Calibri"/>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rFonts w:asciiTheme="minorHAnsi" w:eastAsiaTheme="minorHAnsi" w:hAnsiTheme="minorHAnsi" w:cstheme="minorBidi"/>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character" w:customStyle="1" w:styleId="xbe">
    <w:name w:val="_xbe"/>
    <w:basedOn w:val="DefaultParagraphFont"/>
  </w:style>
  <w:style w:type="paragraph" w:styleId="Revision">
    <w:name w:val="Revision"/>
    <w:hidden/>
    <w:uiPriority w:val="99"/>
    <w:semiHidden/>
    <w:rPr>
      <w:sz w:val="24"/>
    </w:rPr>
  </w:style>
  <w:style w:type="paragraph" w:customStyle="1" w:styleId="VulcanIISectionTitle">
    <w:name w:val="Vulcan II_Section Title"/>
    <w:basedOn w:val="NormalWeb"/>
    <w:link w:val="VulcanIISectionTitleChar"/>
    <w:qFormat/>
    <w:pPr>
      <w:keepNext/>
      <w:pageBreakBefore/>
      <w:spacing w:before="0" w:beforeAutospacing="0" w:after="0" w:afterAutospacing="0"/>
      <w:jc w:val="center"/>
    </w:pPr>
    <w:rPr>
      <w:b/>
      <w:bCs/>
      <w:caps/>
      <w:sz w:val="18"/>
      <w:szCs w:val="18"/>
    </w:rPr>
  </w:style>
  <w:style w:type="paragraph" w:customStyle="1" w:styleId="VulcanIILevel1">
    <w:name w:val="Vulcan II_Level 1"/>
    <w:basedOn w:val="NormalWeb"/>
    <w:link w:val="VulcanIILevel1Char"/>
    <w:qFormat/>
    <w:pPr>
      <w:keepNext/>
      <w:spacing w:before="240" w:beforeAutospacing="0" w:after="0" w:afterAutospacing="0"/>
    </w:pPr>
    <w:rPr>
      <w:b/>
      <w:bCs/>
      <w:sz w:val="18"/>
      <w:szCs w:val="18"/>
    </w:rPr>
  </w:style>
  <w:style w:type="character" w:customStyle="1" w:styleId="NormalWebChar">
    <w:name w:val="Normal (Web) Char"/>
    <w:basedOn w:val="DefaultParagraphFont"/>
    <w:link w:val="NormalWeb"/>
    <w:uiPriority w:val="99"/>
    <w:rPr>
      <w:sz w:val="24"/>
      <w:szCs w:val="24"/>
    </w:rPr>
  </w:style>
  <w:style w:type="character" w:customStyle="1" w:styleId="VulcanIISectionTitleChar">
    <w:name w:val="Vulcan II_Section Title Char"/>
    <w:basedOn w:val="NormalWebChar"/>
    <w:link w:val="VulcanIISectionTitle"/>
    <w:rPr>
      <w:b/>
      <w:bCs/>
      <w:caps/>
      <w:sz w:val="18"/>
      <w:szCs w:val="18"/>
    </w:rPr>
  </w:style>
  <w:style w:type="paragraph" w:customStyle="1" w:styleId="VulcanIIbody">
    <w:name w:val="Vulcan II_body"/>
    <w:basedOn w:val="NormalWeb"/>
    <w:link w:val="VulcanIIbodyChar"/>
    <w:qFormat/>
    <w:pPr>
      <w:spacing w:before="240" w:beforeAutospacing="0" w:after="0" w:afterAutospacing="0"/>
      <w:ind w:firstLine="857"/>
    </w:pPr>
    <w:rPr>
      <w:sz w:val="18"/>
      <w:szCs w:val="18"/>
    </w:rPr>
  </w:style>
  <w:style w:type="character" w:customStyle="1" w:styleId="VulcanIILevel1Char">
    <w:name w:val="Vulcan II_Level 1 Char"/>
    <w:basedOn w:val="NormalWebChar"/>
    <w:link w:val="VulcanIILevel1"/>
    <w:rPr>
      <w:b/>
      <w:bCs/>
      <w:sz w:val="18"/>
      <w:szCs w:val="18"/>
    </w:rPr>
  </w:style>
  <w:style w:type="character" w:customStyle="1" w:styleId="VulcanIIbodyChar">
    <w:name w:val="Vulcan II_body Char"/>
    <w:basedOn w:val="NormalWebChar"/>
    <w:link w:val="VulcanIIbody"/>
    <w:rPr>
      <w:sz w:val="18"/>
      <w:szCs w:val="18"/>
    </w:rPr>
  </w:style>
  <w:style w:type="paragraph" w:customStyle="1" w:styleId="VulcanIIbullet">
    <w:name w:val="Vulcan II_bullet"/>
    <w:basedOn w:val="NormalWeb"/>
    <w:link w:val="VulcanIIbulletChar"/>
    <w:qFormat/>
    <w:pPr>
      <w:numPr>
        <w:numId w:val="89"/>
      </w:numPr>
      <w:spacing w:before="120" w:beforeAutospacing="0" w:after="0" w:afterAutospacing="0"/>
      <w:ind w:left="924" w:hanging="357"/>
    </w:pPr>
    <w:rPr>
      <w:sz w:val="18"/>
      <w:szCs w:val="18"/>
    </w:rPr>
  </w:style>
  <w:style w:type="paragraph" w:customStyle="1" w:styleId="VulcanIILevel2">
    <w:name w:val="Vulcan II_Level 2"/>
    <w:basedOn w:val="NormalWeb"/>
    <w:link w:val="VulcanIILevel2Char"/>
    <w:qFormat/>
    <w:pPr>
      <w:keepNext/>
    </w:pPr>
    <w:rPr>
      <w:b/>
      <w:bCs/>
      <w:i/>
      <w:sz w:val="18"/>
      <w:szCs w:val="18"/>
      <w:lang w:val="en-GB"/>
    </w:rPr>
  </w:style>
  <w:style w:type="character" w:customStyle="1" w:styleId="VulcanIIbulletChar">
    <w:name w:val="Vulcan II_bullet Char"/>
    <w:basedOn w:val="NormalWebChar"/>
    <w:link w:val="VulcanIIbullet"/>
    <w:rPr>
      <w:sz w:val="18"/>
      <w:szCs w:val="18"/>
    </w:rPr>
  </w:style>
  <w:style w:type="character" w:customStyle="1" w:styleId="VulcanIILevel2Char">
    <w:name w:val="Vulcan II_Level 2 Char"/>
    <w:basedOn w:val="NormalWebChar"/>
    <w:link w:val="VulcanIILevel2"/>
    <w:rPr>
      <w:b/>
      <w:bCs/>
      <w:i/>
      <w:sz w:val="18"/>
      <w:szCs w:val="18"/>
      <w:lang w:val="en-GB"/>
    </w:rPr>
  </w:style>
  <w:style w:type="character" w:customStyle="1" w:styleId="Heading3Char">
    <w:name w:val="Heading 3 Char"/>
    <w:basedOn w:val="DefaultParagraphFont"/>
    <w:link w:val="Heading3"/>
    <w:rPr>
      <w:rFonts w:cs="Arabic Transparent"/>
      <w:szCs w:val="24"/>
      <w:lang w:val="en-GB"/>
    </w:rPr>
  </w:style>
  <w:style w:type="character" w:customStyle="1" w:styleId="Heading4Char">
    <w:name w:val="Heading 4 Char"/>
    <w:basedOn w:val="DefaultParagraphFont"/>
    <w:link w:val="Heading4"/>
    <w:rPr>
      <w:rFonts w:cs="Arabic Transparent"/>
      <w:szCs w:val="24"/>
      <w:lang w:val="en-GB"/>
    </w:rPr>
  </w:style>
  <w:style w:type="character" w:customStyle="1" w:styleId="Heading5Char">
    <w:name w:val="Heading 5 Char"/>
    <w:basedOn w:val="DefaultParagraphFont"/>
    <w:link w:val="Heading5"/>
    <w:rPr>
      <w:rFonts w:cs="Arabic Transparent"/>
      <w:szCs w:val="24"/>
      <w:lang w:val="en-GB"/>
    </w:rPr>
  </w:style>
  <w:style w:type="character" w:customStyle="1" w:styleId="Heading6Char">
    <w:name w:val="Heading 6 Char"/>
    <w:basedOn w:val="DefaultParagraphFont"/>
    <w:link w:val="Heading6"/>
    <w:rPr>
      <w:rFonts w:cs="Arabic Transparent"/>
      <w:szCs w:val="24"/>
      <w:lang w:val="en-GB"/>
    </w:rPr>
  </w:style>
  <w:style w:type="character" w:customStyle="1" w:styleId="Heading8Char">
    <w:name w:val="Heading 8 Char"/>
    <w:basedOn w:val="DefaultParagraphFont"/>
    <w:link w:val="Heading8"/>
    <w:rPr>
      <w:rFonts w:cs="Arabic Transparent"/>
      <w:b/>
      <w:sz w:val="24"/>
      <w:szCs w:val="24"/>
      <w:lang w:val="en-GB"/>
    </w:rPr>
  </w:style>
  <w:style w:type="character" w:customStyle="1" w:styleId="Heading9Char">
    <w:name w:val="Heading 9 Char"/>
    <w:basedOn w:val="DefaultParagraphFont"/>
    <w:link w:val="Heading9"/>
    <w:rPr>
      <w:rFonts w:cs="Arabic Transparent"/>
      <w:b/>
      <w:i/>
      <w:sz w:val="18"/>
      <w:szCs w:val="24"/>
      <w:lang w:val="en-GB"/>
    </w:rPr>
  </w:style>
  <w:style w:type="numbering" w:customStyle="1" w:styleId="NoList1">
    <w:name w:val="No List1"/>
    <w:next w:val="NoList"/>
    <w:uiPriority w:val="99"/>
    <w:semiHidden/>
    <w:unhideWhenUsed/>
  </w:style>
  <w:style w:type="paragraph" w:customStyle="1" w:styleId="BodyText1">
    <w:name w:val="Body Text 1"/>
    <w:basedOn w:val="BodyText"/>
    <w:pPr>
      <w:spacing w:after="240"/>
      <w:ind w:left="720"/>
      <w:jc w:val="both"/>
    </w:pPr>
    <w:rPr>
      <w:rFonts w:ascii="Times New Roman" w:hAnsi="Times New Roman" w:cs="Arabic Transparent"/>
      <w:lang w:val="en-GB"/>
    </w:rPr>
  </w:style>
  <w:style w:type="paragraph" w:styleId="BodyText3">
    <w:name w:val="Body Text 3"/>
    <w:basedOn w:val="BodyText"/>
    <w:link w:val="BodyText3Char"/>
    <w:semiHidden/>
    <w:pPr>
      <w:spacing w:after="240"/>
      <w:ind w:left="720"/>
      <w:jc w:val="both"/>
    </w:pPr>
    <w:rPr>
      <w:rFonts w:ascii="Times New Roman" w:hAnsi="Times New Roman" w:cs="Arabic Transparent"/>
      <w:lang w:val="en-GB"/>
    </w:rPr>
  </w:style>
  <w:style w:type="character" w:customStyle="1" w:styleId="BodyText3Char">
    <w:name w:val="Body Text 3 Char"/>
    <w:basedOn w:val="DefaultParagraphFont"/>
    <w:link w:val="BodyText3"/>
    <w:semiHidden/>
    <w:rPr>
      <w:rFonts w:cs="Arabic Transparent"/>
      <w:szCs w:val="24"/>
      <w:lang w:val="en-GB"/>
    </w:rPr>
  </w:style>
  <w:style w:type="paragraph" w:customStyle="1" w:styleId="Address">
    <w:name w:val="Address"/>
    <w:basedOn w:val="Normal"/>
    <w:pPr>
      <w:jc w:val="both"/>
    </w:pPr>
    <w:rPr>
      <w:rFonts w:cs="Arabic Transparent"/>
      <w:b/>
      <w:sz w:val="18"/>
      <w:szCs w:val="24"/>
      <w:lang w:val="en-GB"/>
    </w:rPr>
  </w:style>
  <w:style w:type="paragraph" w:customStyle="1" w:styleId="BodyText4">
    <w:name w:val="Body Text 4"/>
    <w:basedOn w:val="BodyText"/>
    <w:pPr>
      <w:spacing w:after="240"/>
      <w:ind w:left="1440"/>
      <w:jc w:val="both"/>
    </w:pPr>
    <w:rPr>
      <w:rFonts w:ascii="Times New Roman" w:hAnsi="Times New Roman" w:cs="Arabic Transparent"/>
      <w:lang w:val="en-GB"/>
    </w:rPr>
  </w:style>
  <w:style w:type="paragraph" w:customStyle="1" w:styleId="BodyText5">
    <w:name w:val="Body Text 5"/>
    <w:basedOn w:val="BodyText"/>
    <w:pPr>
      <w:spacing w:after="240"/>
      <w:ind w:left="2160"/>
      <w:jc w:val="both"/>
    </w:pPr>
    <w:rPr>
      <w:rFonts w:ascii="Times New Roman" w:hAnsi="Times New Roman" w:cs="Arabic Transparent"/>
      <w:lang w:val="en-GB"/>
    </w:rPr>
  </w:style>
  <w:style w:type="paragraph" w:customStyle="1" w:styleId="BodyText6">
    <w:name w:val="Body Text 6"/>
    <w:basedOn w:val="BodyText"/>
    <w:pPr>
      <w:spacing w:after="240"/>
      <w:ind w:left="2880"/>
      <w:jc w:val="both"/>
    </w:pPr>
    <w:rPr>
      <w:rFonts w:ascii="Times New Roman" w:hAnsi="Times New Roman" w:cs="Arabic Transparent"/>
      <w:lang w:val="en-GB"/>
    </w:rPr>
  </w:style>
  <w:style w:type="paragraph" w:styleId="Caption">
    <w:name w:val="caption"/>
    <w:basedOn w:val="Normal"/>
    <w:next w:val="Normal"/>
    <w:qFormat/>
    <w:pPr>
      <w:spacing w:before="120" w:after="120"/>
      <w:jc w:val="both"/>
    </w:pPr>
    <w:rPr>
      <w:rFonts w:cs="Arabic Transparent"/>
      <w:b/>
      <w:sz w:val="20"/>
      <w:szCs w:val="24"/>
      <w:lang w:val="en-GB"/>
    </w:rPr>
  </w:style>
  <w:style w:type="paragraph" w:customStyle="1" w:styleId="Cover1">
    <w:name w:val="Cover1"/>
    <w:basedOn w:val="Normal"/>
    <w:next w:val="Cover2"/>
    <w:pPr>
      <w:jc w:val="both"/>
    </w:pPr>
    <w:rPr>
      <w:rFonts w:cs="Arabic Transparent"/>
      <w:b/>
      <w:bCs/>
      <w:sz w:val="22"/>
      <w:szCs w:val="26"/>
      <w:lang w:val="en-GB"/>
    </w:rPr>
  </w:style>
  <w:style w:type="paragraph" w:customStyle="1" w:styleId="Cover2">
    <w:name w:val="Cover2"/>
    <w:basedOn w:val="Normal"/>
    <w:next w:val="Cover1"/>
    <w:autoRedefine/>
    <w:pPr>
      <w:spacing w:after="240"/>
      <w:jc w:val="both"/>
    </w:pPr>
    <w:rPr>
      <w:rFonts w:cs="Arabic Transparent"/>
      <w:sz w:val="22"/>
      <w:szCs w:val="26"/>
      <w:lang w:val="en-GB"/>
    </w:rPr>
  </w:style>
  <w:style w:type="paragraph" w:styleId="Date">
    <w:name w:val="Date"/>
    <w:basedOn w:val="Normal"/>
    <w:next w:val="Normal"/>
    <w:link w:val="DateChar"/>
    <w:semiHidden/>
    <w:pPr>
      <w:jc w:val="both"/>
    </w:pPr>
    <w:rPr>
      <w:rFonts w:cs="Arabic Transparent"/>
      <w:sz w:val="20"/>
      <w:szCs w:val="24"/>
      <w:lang w:val="en-GB"/>
    </w:rPr>
  </w:style>
  <w:style w:type="character" w:customStyle="1" w:styleId="DateChar">
    <w:name w:val="Date Char"/>
    <w:basedOn w:val="DefaultParagraphFont"/>
    <w:link w:val="Date"/>
    <w:semiHidden/>
    <w:rPr>
      <w:rFonts w:cs="Arabic Transparent"/>
      <w:szCs w:val="24"/>
      <w:lang w:val="en-GB"/>
    </w:rPr>
  </w:style>
  <w:style w:type="paragraph" w:styleId="DocumentMap">
    <w:name w:val="Document Map"/>
    <w:basedOn w:val="Normal"/>
    <w:link w:val="DocumentMapChar"/>
    <w:semiHidden/>
    <w:pPr>
      <w:shd w:val="clear" w:color="auto" w:fill="000080"/>
      <w:jc w:val="both"/>
    </w:pPr>
    <w:rPr>
      <w:rFonts w:ascii="Tahoma" w:hAnsi="Tahoma" w:cs="Arabic Transparent"/>
      <w:sz w:val="20"/>
      <w:szCs w:val="24"/>
      <w:lang w:val="en-GB"/>
    </w:rPr>
  </w:style>
  <w:style w:type="character" w:customStyle="1" w:styleId="DocumentMapChar">
    <w:name w:val="Document Map Char"/>
    <w:basedOn w:val="DefaultParagraphFont"/>
    <w:link w:val="DocumentMap"/>
    <w:semiHidden/>
    <w:rPr>
      <w:rFonts w:ascii="Tahoma" w:hAnsi="Tahoma" w:cs="Arabic Transparent"/>
      <w:szCs w:val="24"/>
      <w:shd w:val="clear" w:color="auto" w:fill="000080"/>
      <w:lang w:val="en-GB"/>
    </w:rPr>
  </w:style>
  <w:style w:type="character" w:styleId="Emphasis">
    <w:name w:val="Emphasis"/>
    <w:basedOn w:val="DefaultParagraphFont"/>
    <w:qFormat/>
    <w:rPr>
      <w:i/>
    </w:rPr>
  </w:style>
  <w:style w:type="character" w:styleId="EndnoteReference">
    <w:name w:val="endnote reference"/>
    <w:basedOn w:val="DefaultParagraphFont"/>
    <w:semiHidden/>
    <w:rPr>
      <w:vertAlign w:val="superscript"/>
    </w:rPr>
  </w:style>
  <w:style w:type="paragraph" w:styleId="EnvelopeAddress">
    <w:name w:val="envelope address"/>
    <w:basedOn w:val="Normal"/>
    <w:semiHidden/>
    <w:pPr>
      <w:framePr w:w="7920" w:h="1980" w:hRule="exact" w:hSpace="180" w:wrap="auto" w:hAnchor="page" w:xAlign="center" w:yAlign="bottom"/>
      <w:ind w:left="2880"/>
      <w:jc w:val="both"/>
    </w:pPr>
    <w:rPr>
      <w:rFonts w:cs="Arabic Transparent"/>
      <w:szCs w:val="24"/>
      <w:lang w:val="en-GB"/>
    </w:rPr>
  </w:style>
  <w:style w:type="paragraph" w:styleId="EnvelopeReturn">
    <w:name w:val="envelope return"/>
    <w:basedOn w:val="Normal"/>
    <w:semiHidden/>
    <w:pPr>
      <w:jc w:val="both"/>
    </w:pPr>
    <w:rPr>
      <w:rFonts w:cs="Arabic Transparent"/>
      <w:sz w:val="20"/>
      <w:szCs w:val="24"/>
      <w:lang w:val="en-GB"/>
    </w:rPr>
  </w:style>
  <w:style w:type="character" w:styleId="FollowedHyperlink">
    <w:name w:val="FollowedHyperlink"/>
    <w:basedOn w:val="DefaultParagraphFont"/>
    <w:semiHidden/>
    <w:rPr>
      <w:color w:val="800080"/>
      <w:u w:val="single"/>
    </w:rPr>
  </w:style>
  <w:style w:type="paragraph" w:customStyle="1" w:styleId="Leader">
    <w:name w:val="Leader"/>
    <w:basedOn w:val="BodyText"/>
    <w:next w:val="BodyText"/>
    <w:pPr>
      <w:spacing w:before="120" w:after="240"/>
      <w:jc w:val="both"/>
    </w:pPr>
    <w:rPr>
      <w:rFonts w:ascii="Times New Roman" w:hAnsi="Times New Roman" w:cs="Arabic Transparent"/>
      <w:b/>
      <w:sz w:val="22"/>
      <w:lang w:val="en-GB"/>
    </w:rPr>
  </w:style>
  <w:style w:type="character" w:styleId="LineNumber">
    <w:name w:val="line number"/>
    <w:basedOn w:val="DefaultParagraphFont"/>
    <w:semiHidden/>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lang w:val="en-GB"/>
    </w:rPr>
  </w:style>
  <w:style w:type="character" w:customStyle="1" w:styleId="MacroTextChar">
    <w:name w:val="Macro Text Char"/>
    <w:basedOn w:val="DefaultParagraphFont"/>
    <w:link w:val="MacroText"/>
    <w:semiHidden/>
    <w:rPr>
      <w:rFonts w:ascii="Courier New" w:hAnsi="Courier New"/>
      <w:lang w:val="en-GB"/>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cs="Arabic Transparent"/>
      <w:szCs w:val="24"/>
      <w:lang w:val="en-GB"/>
    </w:rPr>
  </w:style>
  <w:style w:type="character" w:customStyle="1" w:styleId="MessageHeaderChar">
    <w:name w:val="Message Header Char"/>
    <w:basedOn w:val="DefaultParagraphFont"/>
    <w:link w:val="MessageHeader"/>
    <w:rPr>
      <w:rFonts w:cs="Arabic Transparent"/>
      <w:sz w:val="24"/>
      <w:szCs w:val="24"/>
      <w:shd w:val="pct20" w:color="auto" w:fill="auto"/>
      <w:lang w:val="en-GB"/>
    </w:rPr>
  </w:style>
  <w:style w:type="paragraph" w:customStyle="1" w:styleId="Note">
    <w:name w:val="Note"/>
    <w:basedOn w:val="BodyText"/>
    <w:link w:val="NoteChar"/>
    <w:uiPriority w:val="19"/>
    <w:pPr>
      <w:shd w:val="clear" w:color="auto" w:fill="F2DBDB" w:themeFill="accent2" w:themeFillTint="33"/>
      <w:spacing w:after="240"/>
      <w:ind w:left="720"/>
      <w:jc w:val="both"/>
    </w:pPr>
    <w:rPr>
      <w:rFonts w:ascii="Times New Roman" w:hAnsi="Times New Roman" w:cs="Arabic Transparent"/>
      <w:sz w:val="17"/>
      <w:szCs w:val="17"/>
      <w:lang w:val="en-GB"/>
    </w:rPr>
  </w:style>
  <w:style w:type="paragraph" w:customStyle="1" w:styleId="Parties">
    <w:name w:val="Parties"/>
    <w:basedOn w:val="BodyText"/>
    <w:pPr>
      <w:numPr>
        <w:numId w:val="76"/>
      </w:numPr>
      <w:spacing w:after="240"/>
      <w:jc w:val="both"/>
    </w:pPr>
    <w:rPr>
      <w:rFonts w:ascii="Times New Roman" w:hAnsi="Times New Roman" w:cs="Arabic Transparent"/>
      <w:lang w:val="en-GB"/>
    </w:rPr>
  </w:style>
  <w:style w:type="paragraph" w:styleId="PlainText">
    <w:name w:val="Plain Text"/>
    <w:basedOn w:val="Normal"/>
    <w:link w:val="PlainTextChar"/>
    <w:semiHidden/>
    <w:pPr>
      <w:jc w:val="both"/>
    </w:pPr>
    <w:rPr>
      <w:rFonts w:ascii="Courier New" w:hAnsi="Courier New" w:cs="Arabic Transparent"/>
      <w:sz w:val="20"/>
      <w:szCs w:val="24"/>
      <w:lang w:val="en-GB"/>
    </w:rPr>
  </w:style>
  <w:style w:type="character" w:customStyle="1" w:styleId="PlainTextChar">
    <w:name w:val="Plain Text Char"/>
    <w:basedOn w:val="DefaultParagraphFont"/>
    <w:link w:val="PlainText"/>
    <w:semiHidden/>
    <w:rPr>
      <w:rFonts w:ascii="Courier New" w:hAnsi="Courier New" w:cs="Arabic Transparent"/>
      <w:szCs w:val="24"/>
      <w:lang w:val="en-GB"/>
    </w:rPr>
  </w:style>
  <w:style w:type="paragraph" w:customStyle="1" w:styleId="Recital">
    <w:name w:val="Recital"/>
    <w:basedOn w:val="Normal"/>
    <w:pPr>
      <w:numPr>
        <w:numId w:val="77"/>
      </w:numPr>
      <w:spacing w:after="240"/>
      <w:jc w:val="both"/>
    </w:pPr>
    <w:rPr>
      <w:rFonts w:cs="Arabic Transparent"/>
      <w:sz w:val="20"/>
      <w:szCs w:val="24"/>
      <w:lang w:val="en-GB"/>
    </w:rPr>
  </w:style>
  <w:style w:type="paragraph" w:customStyle="1" w:styleId="Schedule">
    <w:name w:val="Schedule"/>
    <w:basedOn w:val="Normal"/>
    <w:next w:val="BodyText"/>
    <w:pPr>
      <w:numPr>
        <w:numId w:val="78"/>
      </w:numPr>
      <w:spacing w:after="240"/>
      <w:jc w:val="both"/>
    </w:pPr>
    <w:rPr>
      <w:rFonts w:cs="Arabic Transparent"/>
      <w:b/>
      <w:sz w:val="28"/>
      <w:szCs w:val="24"/>
      <w:lang w:val="en-GB"/>
    </w:rPr>
  </w:style>
  <w:style w:type="character" w:styleId="Strong">
    <w:name w:val="Strong"/>
    <w:basedOn w:val="DefaultParagraphFont"/>
    <w:qFormat/>
    <w:rPr>
      <w:b/>
    </w:rPr>
  </w:style>
  <w:style w:type="paragraph" w:styleId="Subtitle">
    <w:name w:val="Subtitle"/>
    <w:basedOn w:val="Normal"/>
    <w:link w:val="SubtitleChar"/>
    <w:qFormat/>
    <w:pPr>
      <w:spacing w:after="60"/>
      <w:jc w:val="center"/>
      <w:outlineLvl w:val="1"/>
    </w:pPr>
    <w:rPr>
      <w:rFonts w:cs="Arabic Transparent"/>
      <w:szCs w:val="24"/>
      <w:lang w:val="en-GB"/>
    </w:rPr>
  </w:style>
  <w:style w:type="character" w:customStyle="1" w:styleId="SubtitleChar">
    <w:name w:val="Subtitle Char"/>
    <w:basedOn w:val="DefaultParagraphFont"/>
    <w:link w:val="Subtitle"/>
    <w:rPr>
      <w:rFonts w:cs="Arabic Transparent"/>
      <w:sz w:val="24"/>
      <w:szCs w:val="24"/>
      <w:lang w:val="en-GB"/>
    </w:rPr>
  </w:style>
  <w:style w:type="paragraph" w:styleId="TableofAuthorities">
    <w:name w:val="table of authorities"/>
    <w:basedOn w:val="Normal"/>
    <w:next w:val="Normal"/>
    <w:semiHidden/>
    <w:pPr>
      <w:ind w:left="220" w:hanging="220"/>
      <w:jc w:val="both"/>
    </w:pPr>
    <w:rPr>
      <w:rFonts w:cs="Arabic Transparent"/>
      <w:sz w:val="20"/>
      <w:szCs w:val="24"/>
      <w:lang w:val="en-GB"/>
    </w:rPr>
  </w:style>
  <w:style w:type="paragraph" w:styleId="TableofFigures">
    <w:name w:val="table of figures"/>
    <w:basedOn w:val="Normal"/>
    <w:next w:val="Normal"/>
    <w:semiHidden/>
    <w:pPr>
      <w:ind w:left="440" w:hanging="440"/>
      <w:jc w:val="both"/>
    </w:pPr>
    <w:rPr>
      <w:rFonts w:cs="Arabic Transparent"/>
      <w:sz w:val="20"/>
      <w:szCs w:val="24"/>
      <w:lang w:val="en-GB"/>
    </w:rPr>
  </w:style>
  <w:style w:type="paragraph" w:styleId="TOAHeading">
    <w:name w:val="toa heading"/>
    <w:basedOn w:val="Normal"/>
    <w:next w:val="Normal"/>
    <w:pPr>
      <w:spacing w:before="120"/>
      <w:jc w:val="both"/>
    </w:pPr>
    <w:rPr>
      <w:rFonts w:cs="Arabic Transparent"/>
      <w:b/>
      <w:szCs w:val="24"/>
      <w:lang w:val="en-GB"/>
    </w:rPr>
  </w:style>
  <w:style w:type="paragraph" w:customStyle="1" w:styleId="Appendix">
    <w:name w:val="Appendix"/>
    <w:basedOn w:val="Normal"/>
    <w:next w:val="BodyText"/>
    <w:pPr>
      <w:numPr>
        <w:numId w:val="80"/>
      </w:numPr>
      <w:spacing w:after="240"/>
      <w:jc w:val="both"/>
    </w:pPr>
    <w:rPr>
      <w:rFonts w:cs="Arabic Transparent"/>
      <w:b/>
      <w:sz w:val="28"/>
      <w:szCs w:val="24"/>
      <w:lang w:val="en-GB"/>
    </w:rPr>
  </w:style>
  <w:style w:type="character" w:customStyle="1" w:styleId="Annotation">
    <w:name w:val="Annotation"/>
    <w:basedOn w:val="DefaultParagraphFont"/>
    <w:rPr>
      <w:b/>
      <w:bCs/>
      <w:i/>
      <w:iCs/>
      <w:bdr w:val="none" w:sz="0" w:space="0" w:color="auto"/>
      <w:shd w:val="clear" w:color="auto" w:fill="CDC6B6"/>
    </w:rPr>
  </w:style>
  <w:style w:type="character" w:customStyle="1" w:styleId="Mandatorytext">
    <w:name w:val="Mandatory text"/>
    <w:basedOn w:val="DefaultParagraphFont"/>
    <w:rPr>
      <w:b/>
      <w:bCs/>
      <w:bdr w:val="none" w:sz="0" w:space="0" w:color="auto"/>
      <w:shd w:val="clear" w:color="auto" w:fill="81E3D0"/>
    </w:rPr>
  </w:style>
  <w:style w:type="paragraph" w:styleId="BodyTextIndent2">
    <w:name w:val="Body Text Indent 2"/>
    <w:basedOn w:val="Normal"/>
    <w:link w:val="BodyTextIndent2Char"/>
    <w:semiHidden/>
    <w:pPr>
      <w:spacing w:after="120" w:line="480" w:lineRule="auto"/>
      <w:ind w:left="283"/>
      <w:jc w:val="both"/>
    </w:pPr>
    <w:rPr>
      <w:rFonts w:cs="Arabic Transparent"/>
      <w:sz w:val="20"/>
      <w:szCs w:val="24"/>
      <w:lang w:val="en-GB"/>
    </w:rPr>
  </w:style>
  <w:style w:type="character" w:customStyle="1" w:styleId="BodyTextIndent2Char">
    <w:name w:val="Body Text Indent 2 Char"/>
    <w:basedOn w:val="DefaultParagraphFont"/>
    <w:link w:val="BodyTextIndent2"/>
    <w:semiHidden/>
    <w:rPr>
      <w:rFonts w:cs="Arabic Transparent"/>
      <w:szCs w:val="24"/>
      <w:lang w:val="en-GB"/>
    </w:rPr>
  </w:style>
  <w:style w:type="paragraph" w:customStyle="1" w:styleId="Definition">
    <w:name w:val="Definition"/>
    <w:basedOn w:val="BodyText"/>
    <w:pPr>
      <w:numPr>
        <w:numId w:val="81"/>
      </w:numPr>
      <w:spacing w:after="240"/>
      <w:jc w:val="both"/>
    </w:pPr>
    <w:rPr>
      <w:rFonts w:ascii="Times New Roman" w:hAnsi="Times New Roman" w:cs="Arabic Transparent"/>
      <w:lang w:val="en-GB"/>
    </w:rPr>
  </w:style>
  <w:style w:type="paragraph" w:customStyle="1" w:styleId="Definitiona">
    <w:name w:val="Definition (a)"/>
    <w:basedOn w:val="BodyText"/>
    <w:pPr>
      <w:numPr>
        <w:ilvl w:val="1"/>
        <w:numId w:val="81"/>
      </w:numPr>
      <w:spacing w:after="240"/>
      <w:jc w:val="both"/>
    </w:pPr>
    <w:rPr>
      <w:rFonts w:ascii="Times New Roman" w:hAnsi="Times New Roman" w:cs="Arabic Transparent"/>
      <w:lang w:val="en-GB"/>
    </w:rPr>
  </w:style>
  <w:style w:type="paragraph" w:customStyle="1" w:styleId="Definitioni">
    <w:name w:val="Definition (i)"/>
    <w:basedOn w:val="BodyText"/>
    <w:pPr>
      <w:numPr>
        <w:ilvl w:val="2"/>
        <w:numId w:val="81"/>
      </w:numPr>
      <w:spacing w:after="240"/>
      <w:jc w:val="both"/>
    </w:pPr>
    <w:rPr>
      <w:rFonts w:ascii="Times New Roman" w:hAnsi="Times New Roman" w:cs="Arabic Transparent"/>
      <w:lang w:val="en-GB"/>
    </w:rPr>
  </w:style>
  <w:style w:type="paragraph" w:customStyle="1" w:styleId="Firm">
    <w:name w:val="Firm"/>
    <w:basedOn w:val="Normal"/>
    <w:pPr>
      <w:jc w:val="both"/>
    </w:pPr>
    <w:rPr>
      <w:rFonts w:cs="Arabic Transparent"/>
      <w:sz w:val="14"/>
      <w:szCs w:val="18"/>
      <w:lang w:val="en-GB"/>
    </w:rPr>
  </w:style>
  <w:style w:type="character" w:customStyle="1" w:styleId="NoteChar">
    <w:name w:val="Note Char"/>
    <w:basedOn w:val="DefaultParagraphFont"/>
    <w:link w:val="Note"/>
    <w:uiPriority w:val="19"/>
    <w:rPr>
      <w:rFonts w:cs="Arabic Transparent"/>
      <w:sz w:val="17"/>
      <w:szCs w:val="17"/>
      <w:shd w:val="clear" w:color="auto" w:fill="F2DBDB" w:themeFill="accent2" w:themeFillTint="33"/>
      <w:lang w:val="en-GB"/>
    </w:rPr>
  </w:style>
  <w:style w:type="table" w:customStyle="1" w:styleId="TableGrid8">
    <w:name w:val="Table Grid8"/>
    <w:basedOn w:val="TableNormal"/>
    <w:next w:val="TableGrid"/>
    <w:uiPriority w:val="39"/>
    <w:rPr>
      <w:rFonts w:eastAsia="PMingLiU"/>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pPr>
      <w:numPr>
        <w:numId w:val="82"/>
      </w:numPr>
      <w:spacing w:after="240"/>
      <w:jc w:val="both"/>
    </w:pPr>
    <w:rPr>
      <w:rFonts w:cs="Arabic Transparent"/>
      <w:sz w:val="20"/>
      <w:szCs w:val="24"/>
      <w:lang w:val="en-GB"/>
    </w:rPr>
  </w:style>
  <w:style w:type="paragraph" w:styleId="ListBullet2">
    <w:name w:val="List Bullet 2"/>
    <w:basedOn w:val="Normal"/>
    <w:uiPriority w:val="99"/>
    <w:unhideWhenUsed/>
    <w:pPr>
      <w:numPr>
        <w:numId w:val="83"/>
      </w:numPr>
      <w:spacing w:after="240"/>
      <w:ind w:left="648"/>
      <w:jc w:val="both"/>
    </w:pPr>
    <w:rPr>
      <w:rFonts w:cs="Arabic Transparent"/>
      <w:sz w:val="20"/>
      <w:szCs w:val="24"/>
      <w:lang w:val="en-GB"/>
    </w:rPr>
  </w:style>
  <w:style w:type="paragraph" w:customStyle="1" w:styleId="Roman2-i">
    <w:name w:val="Roman 2-(i)"/>
    <w:basedOn w:val="Normal"/>
    <w:pPr>
      <w:numPr>
        <w:numId w:val="86"/>
      </w:numPr>
      <w:tabs>
        <w:tab w:val="left" w:pos="992"/>
      </w:tabs>
      <w:spacing w:after="140" w:line="290" w:lineRule="auto"/>
      <w:jc w:val="both"/>
    </w:pPr>
    <w:rPr>
      <w:kern w:val="20"/>
      <w:sz w:val="20"/>
      <w:lang w:val="en-GB"/>
    </w:rPr>
  </w:style>
  <w:style w:type="character" w:customStyle="1" w:styleId="tgc">
    <w:name w:val="_tgc"/>
    <w:basedOn w:val="DefaultParagraphFont"/>
    <w:rsid w:val="00177BC4"/>
  </w:style>
  <w:style w:type="paragraph" w:customStyle="1" w:styleId="VulcanIIFootnote">
    <w:name w:val="Vulcan II_Footnote"/>
    <w:basedOn w:val="FootnoteText"/>
    <w:link w:val="VulcanIIFootnoteChar"/>
    <w:qFormat/>
    <w:rsid w:val="00411069"/>
    <w:rPr>
      <w:rFonts w:ascii="Times New Roman" w:hAnsi="Times New Roman"/>
      <w:sz w:val="14"/>
      <w:szCs w:val="14"/>
      <w:lang w:val="en-GB"/>
    </w:rPr>
  </w:style>
  <w:style w:type="character" w:customStyle="1" w:styleId="VulcanIIFootnoteChar">
    <w:name w:val="Vulcan II_Footnote Char"/>
    <w:basedOn w:val="FootnoteTextChar"/>
    <w:link w:val="VulcanIIFootnote"/>
    <w:rsid w:val="00411069"/>
    <w:rPr>
      <w:rFonts w:ascii="Arial" w:hAnsi="Arial"/>
      <w:sz w:val="14"/>
      <w:szCs w:val="1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545902">
      <w:bodyDiv w:val="1"/>
      <w:marLeft w:val="0"/>
      <w:marRight w:val="0"/>
      <w:marTop w:val="0"/>
      <w:marBottom w:val="0"/>
      <w:divBdr>
        <w:top w:val="none" w:sz="0" w:space="0" w:color="auto"/>
        <w:left w:val="none" w:sz="0" w:space="0" w:color="auto"/>
        <w:bottom w:val="none" w:sz="0" w:space="0" w:color="auto"/>
        <w:right w:val="none" w:sz="0" w:space="0" w:color="auto"/>
      </w:divBdr>
    </w:div>
    <w:div w:id="185339335">
      <w:bodyDiv w:val="1"/>
      <w:marLeft w:val="0"/>
      <w:marRight w:val="0"/>
      <w:marTop w:val="0"/>
      <w:marBottom w:val="0"/>
      <w:divBdr>
        <w:top w:val="none" w:sz="0" w:space="0" w:color="auto"/>
        <w:left w:val="none" w:sz="0" w:space="0" w:color="auto"/>
        <w:bottom w:val="none" w:sz="0" w:space="0" w:color="auto"/>
        <w:right w:val="none" w:sz="0" w:space="0" w:color="auto"/>
      </w:divBdr>
    </w:div>
    <w:div w:id="272057417">
      <w:bodyDiv w:val="1"/>
      <w:marLeft w:val="0"/>
      <w:marRight w:val="0"/>
      <w:marTop w:val="0"/>
      <w:marBottom w:val="0"/>
      <w:divBdr>
        <w:top w:val="none" w:sz="0" w:space="0" w:color="auto"/>
        <w:left w:val="none" w:sz="0" w:space="0" w:color="auto"/>
        <w:bottom w:val="none" w:sz="0" w:space="0" w:color="auto"/>
        <w:right w:val="none" w:sz="0" w:space="0" w:color="auto"/>
      </w:divBdr>
    </w:div>
    <w:div w:id="324165421">
      <w:bodyDiv w:val="1"/>
      <w:marLeft w:val="0"/>
      <w:marRight w:val="0"/>
      <w:marTop w:val="0"/>
      <w:marBottom w:val="0"/>
      <w:divBdr>
        <w:top w:val="none" w:sz="0" w:space="0" w:color="auto"/>
        <w:left w:val="none" w:sz="0" w:space="0" w:color="auto"/>
        <w:bottom w:val="none" w:sz="0" w:space="0" w:color="auto"/>
        <w:right w:val="none" w:sz="0" w:space="0" w:color="auto"/>
      </w:divBdr>
    </w:div>
    <w:div w:id="396051474">
      <w:bodyDiv w:val="1"/>
      <w:marLeft w:val="0"/>
      <w:marRight w:val="0"/>
      <w:marTop w:val="0"/>
      <w:marBottom w:val="0"/>
      <w:divBdr>
        <w:top w:val="none" w:sz="0" w:space="0" w:color="auto"/>
        <w:left w:val="none" w:sz="0" w:space="0" w:color="auto"/>
        <w:bottom w:val="none" w:sz="0" w:space="0" w:color="auto"/>
        <w:right w:val="none" w:sz="0" w:space="0" w:color="auto"/>
      </w:divBdr>
    </w:div>
    <w:div w:id="636643214">
      <w:bodyDiv w:val="1"/>
      <w:marLeft w:val="0"/>
      <w:marRight w:val="0"/>
      <w:marTop w:val="0"/>
      <w:marBottom w:val="0"/>
      <w:divBdr>
        <w:top w:val="none" w:sz="0" w:space="0" w:color="auto"/>
        <w:left w:val="none" w:sz="0" w:space="0" w:color="auto"/>
        <w:bottom w:val="none" w:sz="0" w:space="0" w:color="auto"/>
        <w:right w:val="none" w:sz="0" w:space="0" w:color="auto"/>
      </w:divBdr>
    </w:div>
    <w:div w:id="746194396">
      <w:bodyDiv w:val="1"/>
      <w:marLeft w:val="0"/>
      <w:marRight w:val="0"/>
      <w:marTop w:val="0"/>
      <w:marBottom w:val="0"/>
      <w:divBdr>
        <w:top w:val="none" w:sz="0" w:space="0" w:color="auto"/>
        <w:left w:val="none" w:sz="0" w:space="0" w:color="auto"/>
        <w:bottom w:val="none" w:sz="0" w:space="0" w:color="auto"/>
        <w:right w:val="none" w:sz="0" w:space="0" w:color="auto"/>
      </w:divBdr>
    </w:div>
    <w:div w:id="747271838">
      <w:bodyDiv w:val="1"/>
      <w:marLeft w:val="0"/>
      <w:marRight w:val="0"/>
      <w:marTop w:val="0"/>
      <w:marBottom w:val="0"/>
      <w:divBdr>
        <w:top w:val="none" w:sz="0" w:space="0" w:color="auto"/>
        <w:left w:val="none" w:sz="0" w:space="0" w:color="auto"/>
        <w:bottom w:val="none" w:sz="0" w:space="0" w:color="auto"/>
        <w:right w:val="none" w:sz="0" w:space="0" w:color="auto"/>
      </w:divBdr>
    </w:div>
    <w:div w:id="1175455242">
      <w:bodyDiv w:val="1"/>
      <w:marLeft w:val="0"/>
      <w:marRight w:val="0"/>
      <w:marTop w:val="0"/>
      <w:marBottom w:val="0"/>
      <w:divBdr>
        <w:top w:val="none" w:sz="0" w:space="0" w:color="auto"/>
        <w:left w:val="none" w:sz="0" w:space="0" w:color="auto"/>
        <w:bottom w:val="none" w:sz="0" w:space="0" w:color="auto"/>
        <w:right w:val="none" w:sz="0" w:space="0" w:color="auto"/>
      </w:divBdr>
    </w:div>
    <w:div w:id="1202593365">
      <w:bodyDiv w:val="1"/>
      <w:marLeft w:val="0"/>
      <w:marRight w:val="0"/>
      <w:marTop w:val="0"/>
      <w:marBottom w:val="0"/>
      <w:divBdr>
        <w:top w:val="none" w:sz="0" w:space="0" w:color="auto"/>
        <w:left w:val="none" w:sz="0" w:space="0" w:color="auto"/>
        <w:bottom w:val="none" w:sz="0" w:space="0" w:color="auto"/>
        <w:right w:val="none" w:sz="0" w:space="0" w:color="auto"/>
      </w:divBdr>
    </w:div>
    <w:div w:id="1228803531">
      <w:marLeft w:val="0"/>
      <w:marRight w:val="0"/>
      <w:marTop w:val="0"/>
      <w:marBottom w:val="0"/>
      <w:divBdr>
        <w:top w:val="single" w:sz="6" w:space="2" w:color="auto"/>
        <w:left w:val="single" w:sz="6" w:space="0" w:color="auto"/>
        <w:bottom w:val="single" w:sz="6" w:space="3" w:color="auto"/>
        <w:right w:val="single" w:sz="6" w:space="0" w:color="auto"/>
      </w:divBdr>
    </w:div>
    <w:div w:id="1645886789">
      <w:bodyDiv w:val="1"/>
      <w:marLeft w:val="0"/>
      <w:marRight w:val="0"/>
      <w:marTop w:val="0"/>
      <w:marBottom w:val="0"/>
      <w:divBdr>
        <w:top w:val="none" w:sz="0" w:space="0" w:color="auto"/>
        <w:left w:val="none" w:sz="0" w:space="0" w:color="auto"/>
        <w:bottom w:val="none" w:sz="0" w:space="0" w:color="auto"/>
        <w:right w:val="none" w:sz="0" w:space="0" w:color="auto"/>
      </w:divBdr>
    </w:div>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 w:id="203118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lero.be/nl/vgp" TargetMode="External"/><Relationship Id="rId18" Type="http://schemas.openxmlformats.org/officeDocument/2006/relationships/hyperlink" Target="http://www.ing.be/" TargetMode="External"/><Relationship Id="rId26" Type="http://schemas.openxmlformats.org/officeDocument/2006/relationships/chart" Target="charts/chart2.xml"/><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3.emf"/><Relationship Id="rId42" Type="http://schemas.openxmlformats.org/officeDocument/2006/relationships/image" Target="media/image20.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kbcsecurities.com/" TargetMode="External"/><Relationship Id="rId17" Type="http://schemas.openxmlformats.org/officeDocument/2006/relationships/hyperlink" Target="http://www.ing.be/aandelentransacties" TargetMode="External"/><Relationship Id="rId25" Type="http://schemas.openxmlformats.org/officeDocument/2006/relationships/chart" Target="charts/chart1.xm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g.be/transactionsdactions" TargetMode="External"/><Relationship Id="rId20" Type="http://schemas.openxmlformats.org/officeDocument/2006/relationships/image" Target="media/image3.png"/><Relationship Id="rId29"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bc.be/vgp"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hyperlink" Target="http://www.retailresearch.org/onlineretailing.php" TargetMode="External"/><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elfius.be/vgp" TargetMode="External"/><Relationship Id="rId23" Type="http://schemas.openxmlformats.org/officeDocument/2006/relationships/image" Target="media/image6.emf"/><Relationship Id="rId28" Type="http://schemas.openxmlformats.org/officeDocument/2006/relationships/image" Target="media/image8.png"/><Relationship Id="rId36" Type="http://schemas.openxmlformats.org/officeDocument/2006/relationships/image" Target="media/image15.emf"/><Relationship Id="rId49" Type="http://schemas.openxmlformats.org/officeDocument/2006/relationships/footer" Target="footer2.xml"/><Relationship Id="rId10" Type="http://schemas.openxmlformats.org/officeDocument/2006/relationships/hyperlink" Target="http://www.vgpparks.eu" TargetMode="External"/><Relationship Id="rId19" Type="http://schemas.openxmlformats.org/officeDocument/2006/relationships/image" Target="media/image2.png"/><Relationship Id="rId31" Type="http://schemas.openxmlformats.org/officeDocument/2006/relationships/image" Target="media/image10.emf"/><Relationship Id="rId44" Type="http://schemas.openxmlformats.org/officeDocument/2006/relationships/image" Target="media/image22.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www.retailresearch.org/onlineretailing.php" TargetMode="External"/><Relationship Id="rId14" Type="http://schemas.openxmlformats.org/officeDocument/2006/relationships/hyperlink" Target="http://www.bolero.be/fr/vgp" TargetMode="External"/><Relationship Id="rId22" Type="http://schemas.openxmlformats.org/officeDocument/2006/relationships/image" Target="media/image5.png"/><Relationship Id="rId27" Type="http://schemas.openxmlformats.org/officeDocument/2006/relationships/chart" Target="charts/chart3.xml"/><Relationship Id="rId30" Type="http://schemas.openxmlformats.org/officeDocument/2006/relationships/chart" Target="charts/chart4.xml"/><Relationship Id="rId35" Type="http://schemas.openxmlformats.org/officeDocument/2006/relationships/image" Target="media/image14.emf"/><Relationship Id="rId43" Type="http://schemas.openxmlformats.org/officeDocument/2006/relationships/image" Target="media/image21.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VBOXSVR\%7bFD34A37F%7d\EXT\G5\M&#178;%20Developed%2030.06.17%20EN.(Vulcan%20II)%20(2).xls"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V707628\Desktop\VGP\Data\20170718_VULCAN%20II%20IM%20DATABOOK_v6.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02744744429707E-2"/>
          <c:y val="0.12325527299258404"/>
          <c:w val="0.94489404766959828"/>
          <c:h val="0.58359677374729602"/>
        </c:manualLayout>
      </c:layout>
      <c:barChart>
        <c:barDir val="col"/>
        <c:grouping val="clustered"/>
        <c:varyColors val="0"/>
        <c:ser>
          <c:idx val="0"/>
          <c:order val="0"/>
          <c:tx>
            <c:strRef>
              <c:f>Summary_I!$B$372</c:f>
              <c:strCache>
                <c:ptCount val="1"/>
                <c:pt idx="0">
                  <c:v>Own portfolio</c:v>
                </c:pt>
              </c:strCache>
            </c:strRef>
          </c:tx>
          <c:spPr>
            <a:solidFill>
              <a:schemeClr val="accent2"/>
            </a:solidFill>
          </c:spPr>
          <c:invertIfNegative val="0"/>
          <c:dLbls>
            <c:dLbl>
              <c:idx val="4"/>
              <c:layout>
                <c:manualLayout>
                  <c:x val="-1.85047112589806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2B-4EF1-96EC-DD8377951764}"/>
                </c:ext>
              </c:extLst>
            </c:dLbl>
            <c:dLbl>
              <c:idx val="5"/>
              <c:layout>
                <c:manualLayout>
                  <c:x val="0"/>
                  <c:y val="-3.2535104609327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2B-4EF1-96EC-DD8377951764}"/>
                </c:ext>
              </c:extLst>
            </c:dLbl>
            <c:dLbl>
              <c:idx val="6"/>
              <c:layout>
                <c:manualLayout>
                  <c:x val="0"/>
                  <c:y val="-3.2535104609327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2B-4EF1-96EC-DD8377951764}"/>
                </c:ext>
              </c:extLst>
            </c:dLbl>
            <c:dLbl>
              <c:idx val="9"/>
              <c:layout>
                <c:manualLayout>
                  <c:x val="-1.32175022209566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2B-4EF1-96EC-DD8377951764}"/>
                </c:ext>
              </c:extLst>
            </c:dLbl>
            <c:numFmt formatCode="0%"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Summary_I!$C$371:$M$371</c:f>
              <c:numCache>
                <c:formatCode>yyyy</c:formatCode>
                <c:ptCount val="11"/>
                <c:pt idx="0">
                  <c:v>39447</c:v>
                </c:pt>
                <c:pt idx="1">
                  <c:v>39813</c:v>
                </c:pt>
                <c:pt idx="2">
                  <c:v>40178</c:v>
                </c:pt>
                <c:pt idx="3">
                  <c:v>40543</c:v>
                </c:pt>
                <c:pt idx="4">
                  <c:v>40908</c:v>
                </c:pt>
                <c:pt idx="5">
                  <c:v>41274</c:v>
                </c:pt>
                <c:pt idx="6">
                  <c:v>41639</c:v>
                </c:pt>
                <c:pt idx="7">
                  <c:v>42004</c:v>
                </c:pt>
                <c:pt idx="8">
                  <c:v>42369</c:v>
                </c:pt>
                <c:pt idx="9">
                  <c:v>42735</c:v>
                </c:pt>
                <c:pt idx="10">
                  <c:v>43100</c:v>
                </c:pt>
              </c:numCache>
            </c:numRef>
          </c:cat>
          <c:val>
            <c:numRef>
              <c:f>Summary_I!$C$372:$M$372</c:f>
              <c:numCache>
                <c:formatCode>0.0%</c:formatCode>
                <c:ptCount val="11"/>
                <c:pt idx="0">
                  <c:v>1</c:v>
                </c:pt>
                <c:pt idx="1">
                  <c:v>0.95</c:v>
                </c:pt>
                <c:pt idx="2">
                  <c:v>0.91</c:v>
                </c:pt>
                <c:pt idx="3">
                  <c:v>0.98799999999999999</c:v>
                </c:pt>
                <c:pt idx="4">
                  <c:v>0.94499999999999995</c:v>
                </c:pt>
                <c:pt idx="5">
                  <c:v>0.94899999999999995</c:v>
                </c:pt>
                <c:pt idx="6">
                  <c:v>0.96899999999999997</c:v>
                </c:pt>
                <c:pt idx="7">
                  <c:v>0.94</c:v>
                </c:pt>
                <c:pt idx="8">
                  <c:v>0.97299999999999998</c:v>
                </c:pt>
                <c:pt idx="9">
                  <c:v>0.97</c:v>
                </c:pt>
                <c:pt idx="10">
                  <c:v>1</c:v>
                </c:pt>
              </c:numCache>
            </c:numRef>
          </c:val>
          <c:extLst>
            <c:ext xmlns:c16="http://schemas.microsoft.com/office/drawing/2014/chart" uri="{C3380CC4-5D6E-409C-BE32-E72D297353CC}">
              <c16:uniqueId val="{00000004-602B-4EF1-96EC-DD8377951764}"/>
            </c:ext>
          </c:extLst>
        </c:ser>
        <c:ser>
          <c:idx val="1"/>
          <c:order val="1"/>
          <c:tx>
            <c:strRef>
              <c:f>Summary_I!$B$373</c:f>
              <c:strCache>
                <c:ptCount val="1"/>
                <c:pt idx="0">
                  <c:v>Associates portfolio</c:v>
                </c:pt>
              </c:strCache>
            </c:strRef>
          </c:tx>
          <c:spPr>
            <a:solidFill>
              <a:srgbClr val="547423">
                <a:lumMod val="40000"/>
                <a:lumOff val="60000"/>
              </a:srgbClr>
            </a:solidFill>
          </c:spPr>
          <c:invertIfNegative val="0"/>
          <c:dLbls>
            <c:dLbl>
              <c:idx val="5"/>
              <c:layout>
                <c:manualLayout>
                  <c:x val="0"/>
                  <c:y val="1.9521062765596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2B-4EF1-96EC-DD8377951764}"/>
                </c:ext>
              </c:extLst>
            </c:dLbl>
            <c:dLbl>
              <c:idx val="6"/>
              <c:layout>
                <c:manualLayout>
                  <c:x val="0"/>
                  <c:y val="1.3014041843731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2B-4EF1-96EC-DD8377951764}"/>
                </c:ext>
              </c:extLst>
            </c:dLbl>
            <c:dLbl>
              <c:idx val="10"/>
              <c:layout>
                <c:manualLayout>
                  <c:x val="2.6435004441913343E-3"/>
                  <c:y val="-1.6897759842765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2B-4EF1-96EC-DD8377951764}"/>
                </c:ext>
              </c:extLst>
            </c:dLbl>
            <c:dLbl>
              <c:idx val="11"/>
              <c:layout>
                <c:manualLayout>
                  <c:x val="2.35771098672088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2B-4EF1-96EC-DD8377951764}"/>
                </c:ext>
              </c:extLst>
            </c:dLbl>
            <c:numFmt formatCode="0%"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Summary_I!$C$371:$M$371</c:f>
              <c:numCache>
                <c:formatCode>yyyy</c:formatCode>
                <c:ptCount val="11"/>
                <c:pt idx="0">
                  <c:v>39447</c:v>
                </c:pt>
                <c:pt idx="1">
                  <c:v>39813</c:v>
                </c:pt>
                <c:pt idx="2">
                  <c:v>40178</c:v>
                </c:pt>
                <c:pt idx="3">
                  <c:v>40543</c:v>
                </c:pt>
                <c:pt idx="4">
                  <c:v>40908</c:v>
                </c:pt>
                <c:pt idx="5">
                  <c:v>41274</c:v>
                </c:pt>
                <c:pt idx="6">
                  <c:v>41639</c:v>
                </c:pt>
                <c:pt idx="7">
                  <c:v>42004</c:v>
                </c:pt>
                <c:pt idx="8">
                  <c:v>42369</c:v>
                </c:pt>
                <c:pt idx="9">
                  <c:v>42735</c:v>
                </c:pt>
                <c:pt idx="10">
                  <c:v>43100</c:v>
                </c:pt>
              </c:numCache>
            </c:numRef>
          </c:cat>
          <c:val>
            <c:numRef>
              <c:f>Summary_I!$C$373:$M$373</c:f>
              <c:numCache>
                <c:formatCode>0.0%</c:formatCode>
                <c:ptCount val="11"/>
                <c:pt idx="0">
                  <c:v>0</c:v>
                </c:pt>
                <c:pt idx="1">
                  <c:v>0</c:v>
                </c:pt>
                <c:pt idx="2">
                  <c:v>0</c:v>
                </c:pt>
                <c:pt idx="3">
                  <c:v>0</c:v>
                </c:pt>
                <c:pt idx="4">
                  <c:v>1</c:v>
                </c:pt>
                <c:pt idx="5">
                  <c:v>0.94499999999999995</c:v>
                </c:pt>
                <c:pt idx="6">
                  <c:v>0.96</c:v>
                </c:pt>
                <c:pt idx="7">
                  <c:v>0</c:v>
                </c:pt>
                <c:pt idx="8">
                  <c:v>0</c:v>
                </c:pt>
                <c:pt idx="9">
                  <c:v>0</c:v>
                </c:pt>
                <c:pt idx="10">
                  <c:v>0</c:v>
                </c:pt>
              </c:numCache>
            </c:numRef>
          </c:val>
          <c:extLst>
            <c:ext xmlns:c16="http://schemas.microsoft.com/office/drawing/2014/chart" uri="{C3380CC4-5D6E-409C-BE32-E72D297353CC}">
              <c16:uniqueId val="{00000009-602B-4EF1-96EC-DD8377951764}"/>
            </c:ext>
          </c:extLst>
        </c:ser>
        <c:ser>
          <c:idx val="2"/>
          <c:order val="2"/>
          <c:tx>
            <c:strRef>
              <c:f>Summary_I!$B$374</c:f>
              <c:strCache>
                <c:ptCount val="1"/>
                <c:pt idx="0">
                  <c:v>Joint Venture portfolio</c:v>
                </c:pt>
              </c:strCache>
            </c:strRef>
          </c:tx>
          <c:spPr>
            <a:solidFill>
              <a:srgbClr val="8A7554"/>
            </a:solidFill>
          </c:spPr>
          <c:invertIfNegative val="0"/>
          <c:dLbls>
            <c:dLbl>
              <c:idx val="9"/>
              <c:layout>
                <c:manualLayout>
                  <c:x val="-1.05740017767653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2B-4EF1-96EC-DD8377951764}"/>
                </c:ext>
              </c:extLst>
            </c:dLbl>
            <c:dLbl>
              <c:idx val="10"/>
              <c:layout>
                <c:manualLayout>
                  <c:x val="1.32175022209566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2B-4EF1-96EC-DD8377951764}"/>
                </c:ext>
              </c:extLst>
            </c:dLbl>
            <c:numFmt formatCode="0%"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Summary_I!$C$374:$M$374</c:f>
              <c:numCache>
                <c:formatCode>0.0%</c:formatCode>
                <c:ptCount val="11"/>
                <c:pt idx="0">
                  <c:v>0</c:v>
                </c:pt>
                <c:pt idx="1">
                  <c:v>0</c:v>
                </c:pt>
                <c:pt idx="2">
                  <c:v>0</c:v>
                </c:pt>
                <c:pt idx="3">
                  <c:v>0</c:v>
                </c:pt>
                <c:pt idx="4">
                  <c:v>0</c:v>
                </c:pt>
                <c:pt idx="5">
                  <c:v>0</c:v>
                </c:pt>
                <c:pt idx="6">
                  <c:v>0</c:v>
                </c:pt>
                <c:pt idx="7">
                  <c:v>0</c:v>
                </c:pt>
                <c:pt idx="8">
                  <c:v>0</c:v>
                </c:pt>
                <c:pt idx="9">
                  <c:v>1</c:v>
                </c:pt>
                <c:pt idx="10">
                  <c:v>1</c:v>
                </c:pt>
              </c:numCache>
            </c:numRef>
          </c:val>
          <c:extLst>
            <c:ext xmlns:c16="http://schemas.microsoft.com/office/drawing/2014/chart" uri="{C3380CC4-5D6E-409C-BE32-E72D297353CC}">
              <c16:uniqueId val="{0000000C-602B-4EF1-96EC-DD8377951764}"/>
            </c:ext>
          </c:extLst>
        </c:ser>
        <c:dLbls>
          <c:showLegendKey val="0"/>
          <c:showVal val="0"/>
          <c:showCatName val="0"/>
          <c:showSerName val="0"/>
          <c:showPercent val="0"/>
          <c:showBubbleSize val="0"/>
        </c:dLbls>
        <c:gapWidth val="150"/>
        <c:axId val="342455808"/>
        <c:axId val="342457728"/>
      </c:barChart>
      <c:dateAx>
        <c:axId val="342455808"/>
        <c:scaling>
          <c:orientation val="minMax"/>
        </c:scaling>
        <c:delete val="0"/>
        <c:axPos val="b"/>
        <c:numFmt formatCode="yyyy"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nl-BE"/>
          </a:p>
        </c:txPr>
        <c:crossAx val="342457728"/>
        <c:crosses val="autoZero"/>
        <c:auto val="1"/>
        <c:lblOffset val="100"/>
        <c:baseTimeUnit val="years"/>
      </c:dateAx>
      <c:valAx>
        <c:axId val="342457728"/>
        <c:scaling>
          <c:orientation val="minMax"/>
          <c:max val="1"/>
          <c:min val="0.5"/>
        </c:scaling>
        <c:delete val="0"/>
        <c:axPos val="l"/>
        <c:numFmt formatCode="0%" sourceLinked="0"/>
        <c:majorTickMark val="none"/>
        <c:minorTickMark val="none"/>
        <c:tickLblPos val="none"/>
        <c:spPr>
          <a:ln>
            <a:noFill/>
          </a:ln>
        </c:spPr>
        <c:crossAx val="342455808"/>
        <c:crosses val="autoZero"/>
        <c:crossBetween val="between"/>
      </c:valAx>
    </c:plotArea>
    <c:legend>
      <c:legendPos val="b"/>
      <c:layout>
        <c:manualLayout>
          <c:xMode val="edge"/>
          <c:yMode val="edge"/>
          <c:x val="0.15346789791342474"/>
          <c:y val="0.84483624338922547"/>
          <c:w val="0.69306420417315051"/>
          <c:h val="9.6600568313984767E-2"/>
        </c:manualLayout>
      </c:layout>
      <c:overlay val="0"/>
      <c:txPr>
        <a:bodyPr/>
        <a:lstStyle/>
        <a:p>
          <a:pPr>
            <a:defRPr>
              <a:latin typeface="Times New Roman" panose="02020603050405020304" pitchFamily="18" charset="0"/>
              <a:cs typeface="Times New Roman" panose="02020603050405020304" pitchFamily="18" charset="0"/>
            </a:defRPr>
          </a:pPr>
          <a:endParaRPr lang="nl-BE"/>
        </a:p>
      </c:txPr>
    </c:legend>
    <c:plotVisOnly val="1"/>
    <c:dispBlanksAs val="gap"/>
    <c:showDLblsOverMax val="0"/>
  </c:chart>
  <c:txPr>
    <a:bodyPr/>
    <a:lstStyle/>
    <a:p>
      <a:pPr>
        <a:defRPr sz="800"/>
      </a:pPr>
      <a:endParaRPr lang="nl-B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95962731369432E-2"/>
          <c:y val="9.3734725376729069E-2"/>
          <c:w val="0.9379881644298228"/>
          <c:h val="0.77321327345750734"/>
        </c:manualLayout>
      </c:layout>
      <c:barChart>
        <c:barDir val="col"/>
        <c:grouping val="stacked"/>
        <c:varyColors val="0"/>
        <c:ser>
          <c:idx val="0"/>
          <c:order val="0"/>
          <c:tx>
            <c:strRef>
              <c:f>Sheet1!$B$1</c:f>
              <c:strCache>
                <c:ptCount val="1"/>
                <c:pt idx="0">
                  <c:v>Full ownership</c:v>
                </c:pt>
              </c:strCache>
            </c:strRef>
          </c:tx>
          <c:spPr>
            <a:solidFill>
              <a:schemeClr val="accent1"/>
            </a:solidFill>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ED-4367-B71D-26DD39D20EAF}"/>
                </c:ext>
              </c:extLst>
            </c:dLbl>
            <c:spPr>
              <a:noFill/>
              <a:ln>
                <a:noFill/>
              </a:ln>
              <a:effectLst/>
            </c:spPr>
            <c:txPr>
              <a:bodyPr/>
              <a:lstStyle/>
              <a:p>
                <a:pPr>
                  <a:defRPr>
                    <a:solidFill>
                      <a:schemeClr val="bg1"/>
                    </a:solidFill>
                  </a:defRPr>
                </a:pPr>
                <a:endParaRPr lang="nl-BE"/>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Sheet1!$A$2:$A$6</c:f>
              <c:numCache>
                <c:formatCode>General</c:formatCode>
                <c:ptCount val="5"/>
                <c:pt idx="0">
                  <c:v>2013</c:v>
                </c:pt>
                <c:pt idx="1">
                  <c:v>2014</c:v>
                </c:pt>
                <c:pt idx="2">
                  <c:v>2015</c:v>
                </c:pt>
                <c:pt idx="3">
                  <c:v>2016</c:v>
                </c:pt>
                <c:pt idx="4" formatCode="mmm\-yy">
                  <c:v>42887</c:v>
                </c:pt>
              </c:numCache>
            </c:numRef>
          </c:cat>
          <c:val>
            <c:numRef>
              <c:f>Sheet1!$B$2:$B$6</c:f>
              <c:numCache>
                <c:formatCode>0.0</c:formatCode>
                <c:ptCount val="5"/>
                <c:pt idx="0">
                  <c:v>1.2822659999999999</c:v>
                </c:pt>
                <c:pt idx="1">
                  <c:v>2.2257509999999998</c:v>
                </c:pt>
                <c:pt idx="2">
                  <c:v>2.930212</c:v>
                </c:pt>
                <c:pt idx="3">
                  <c:v>4.09657903</c:v>
                </c:pt>
                <c:pt idx="4">
                  <c:v>4.28173403</c:v>
                </c:pt>
              </c:numCache>
            </c:numRef>
          </c:val>
          <c:extLst>
            <c:ext xmlns:c16="http://schemas.microsoft.com/office/drawing/2014/chart" uri="{C3380CC4-5D6E-409C-BE32-E72D297353CC}">
              <c16:uniqueId val="{00000001-06ED-4367-B71D-26DD39D20EAF}"/>
            </c:ext>
          </c:extLst>
        </c:ser>
        <c:ser>
          <c:idx val="1"/>
          <c:order val="1"/>
          <c:tx>
            <c:strRef>
              <c:f>Sheet1!$C$1</c:f>
              <c:strCache>
                <c:ptCount val="1"/>
                <c:pt idx="0">
                  <c:v>Under option</c:v>
                </c:pt>
              </c:strCache>
            </c:strRef>
          </c:tx>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ED-4367-B71D-26DD39D20EAF}"/>
                </c:ext>
              </c:extLst>
            </c:dLbl>
            <c:numFmt formatCode="#,##0.0" sourceLinked="0"/>
            <c:spPr>
              <a:noFill/>
              <a:ln>
                <a:noFill/>
              </a:ln>
              <a:effectLst/>
            </c:spPr>
            <c:txPr>
              <a:bodyPr/>
              <a:lstStyle/>
              <a:p>
                <a:pPr>
                  <a:defRPr>
                    <a:solidFill>
                      <a:schemeClr val="bg1"/>
                    </a:solidFill>
                  </a:defRPr>
                </a:pPr>
                <a:endParaRPr lang="nl-BE"/>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Sheet1!$A$2:$A$6</c:f>
              <c:numCache>
                <c:formatCode>General</c:formatCode>
                <c:ptCount val="5"/>
                <c:pt idx="0">
                  <c:v>2013</c:v>
                </c:pt>
                <c:pt idx="1">
                  <c:v>2014</c:v>
                </c:pt>
                <c:pt idx="2">
                  <c:v>2015</c:v>
                </c:pt>
                <c:pt idx="3">
                  <c:v>2016</c:v>
                </c:pt>
                <c:pt idx="4" formatCode="mmm\-yy">
                  <c:v>42887</c:v>
                </c:pt>
              </c:numCache>
            </c:numRef>
          </c:cat>
          <c:val>
            <c:numRef>
              <c:f>Sheet1!$C$2:$C$6</c:f>
              <c:numCache>
                <c:formatCode>General</c:formatCode>
                <c:ptCount val="5"/>
                <c:pt idx="4">
                  <c:v>0.580036</c:v>
                </c:pt>
              </c:numCache>
            </c:numRef>
          </c:val>
          <c:extLst>
            <c:ext xmlns:c16="http://schemas.microsoft.com/office/drawing/2014/chart" uri="{C3380CC4-5D6E-409C-BE32-E72D297353CC}">
              <c16:uniqueId val="{00000003-06ED-4367-B71D-26DD39D20EAF}"/>
            </c:ext>
          </c:extLst>
        </c:ser>
        <c:ser>
          <c:idx val="2"/>
          <c:order val="2"/>
          <c:tx>
            <c:strRef>
              <c:f>Sheet1!$D$1</c:f>
              <c:strCache>
                <c:ptCount val="1"/>
                <c:pt idx="0">
                  <c:v>Column1</c:v>
                </c:pt>
              </c:strCache>
            </c:strRef>
          </c:tx>
          <c:spPr>
            <a:noFill/>
          </c:spPr>
          <c:invertIfNegative val="0"/>
          <c:dLbls>
            <c:numFmt formatCode="#,##0.0" sourceLinked="0"/>
            <c:spPr>
              <a:noFill/>
              <a:ln>
                <a:noFill/>
              </a:ln>
              <a:effectLst/>
            </c:spPr>
            <c:txPr>
              <a:bodyPr/>
              <a:lstStyle/>
              <a:p>
                <a:pPr>
                  <a:defRPr b="1"/>
                </a:pPr>
                <a:endParaRPr lang="nl-BE"/>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2013</c:v>
                </c:pt>
                <c:pt idx="1">
                  <c:v>2014</c:v>
                </c:pt>
                <c:pt idx="2">
                  <c:v>2015</c:v>
                </c:pt>
                <c:pt idx="3">
                  <c:v>2016</c:v>
                </c:pt>
                <c:pt idx="4" formatCode="mmm\-yy">
                  <c:v>42887</c:v>
                </c:pt>
              </c:numCache>
            </c:numRef>
          </c:cat>
          <c:val>
            <c:numRef>
              <c:f>Sheet1!$D$2:$D$6</c:f>
              <c:numCache>
                <c:formatCode>General</c:formatCode>
                <c:ptCount val="5"/>
                <c:pt idx="0">
                  <c:v>1.2822659999999999</c:v>
                </c:pt>
                <c:pt idx="1">
                  <c:v>2.2257509999999998</c:v>
                </c:pt>
                <c:pt idx="2">
                  <c:v>2.930212</c:v>
                </c:pt>
                <c:pt idx="3">
                  <c:v>4.09657903</c:v>
                </c:pt>
                <c:pt idx="4">
                  <c:v>4.8617700299999997</c:v>
                </c:pt>
              </c:numCache>
            </c:numRef>
          </c:val>
          <c:extLst>
            <c:ext xmlns:c16="http://schemas.microsoft.com/office/drawing/2014/chart" uri="{C3380CC4-5D6E-409C-BE32-E72D297353CC}">
              <c16:uniqueId val="{00000004-06ED-4367-B71D-26DD39D20EAF}"/>
            </c:ext>
          </c:extLst>
        </c:ser>
        <c:dLbls>
          <c:showLegendKey val="0"/>
          <c:showVal val="0"/>
          <c:showCatName val="0"/>
          <c:showSerName val="0"/>
          <c:showPercent val="0"/>
          <c:showBubbleSize val="0"/>
        </c:dLbls>
        <c:gapWidth val="103"/>
        <c:overlap val="100"/>
        <c:axId val="416832896"/>
        <c:axId val="36270848"/>
      </c:barChart>
      <c:catAx>
        <c:axId val="416832896"/>
        <c:scaling>
          <c:orientation val="minMax"/>
        </c:scaling>
        <c:delete val="0"/>
        <c:axPos val="b"/>
        <c:numFmt formatCode="General" sourceLinked="1"/>
        <c:majorTickMark val="none"/>
        <c:minorTickMark val="none"/>
        <c:tickLblPos val="nextTo"/>
        <c:txPr>
          <a:bodyPr/>
          <a:lstStyle/>
          <a:p>
            <a:pPr>
              <a:defRPr sz="900" b="1"/>
            </a:pPr>
            <a:endParaRPr lang="nl-BE"/>
          </a:p>
        </c:txPr>
        <c:crossAx val="36270848"/>
        <c:crosses val="autoZero"/>
        <c:auto val="1"/>
        <c:lblAlgn val="ctr"/>
        <c:lblOffset val="100"/>
        <c:noMultiLvlLbl val="0"/>
      </c:catAx>
      <c:valAx>
        <c:axId val="36270848"/>
        <c:scaling>
          <c:orientation val="minMax"/>
          <c:max val="6"/>
        </c:scaling>
        <c:delete val="0"/>
        <c:axPos val="l"/>
        <c:numFmt formatCode="0.0" sourceLinked="1"/>
        <c:majorTickMark val="none"/>
        <c:minorTickMark val="none"/>
        <c:tickLblPos val="none"/>
        <c:spPr>
          <a:ln>
            <a:noFill/>
          </a:ln>
        </c:spPr>
        <c:crossAx val="416832896"/>
        <c:crosses val="autoZero"/>
        <c:crossBetween val="between"/>
      </c:valAx>
    </c:plotArea>
    <c:legend>
      <c:legendPos val="b"/>
      <c:legendEntry>
        <c:idx val="2"/>
        <c:delete val="1"/>
      </c:legendEntry>
      <c:overlay val="0"/>
    </c:legend>
    <c:plotVisOnly val="1"/>
    <c:dispBlanksAs val="gap"/>
    <c:showDLblsOverMax val="0"/>
  </c:chart>
  <c:spPr>
    <a:noFill/>
  </c:spPr>
  <c:txPr>
    <a:bodyPr/>
    <a:lstStyle/>
    <a:p>
      <a:pPr>
        <a:defRPr sz="900"/>
      </a:pPr>
      <a:endParaRPr lang="nl-BE"/>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31196850393701"/>
          <c:y val="0.13270620620620624"/>
          <c:w val="0.81723041198797519"/>
          <c:h val="0.56954204204204206"/>
        </c:manualLayout>
      </c:layout>
      <c:barChart>
        <c:barDir val="col"/>
        <c:grouping val="stacked"/>
        <c:varyColors val="0"/>
        <c:ser>
          <c:idx val="0"/>
          <c:order val="0"/>
          <c:tx>
            <c:strRef>
              <c:f>'[M² Developed 30.06.17 EN.(Vulcan II) (2).xls]CHARTS'!$K$1</c:f>
              <c:strCache>
                <c:ptCount val="1"/>
                <c:pt idx="0">
                  <c:v>Projects held by VGP</c:v>
                </c:pt>
              </c:strCache>
            </c:strRef>
          </c:tx>
          <c:spPr>
            <a:solidFill>
              <a:schemeClr val="accent1"/>
            </a:solidFill>
          </c:spPr>
          <c:invertIfNegative val="0"/>
          <c:dLbls>
            <c:spPr>
              <a:noFill/>
              <a:ln>
                <a:noFill/>
              </a:ln>
              <a:effectLst/>
            </c:spPr>
            <c:txPr>
              <a:bodyPr/>
              <a:lstStyle/>
              <a:p>
                <a:pPr>
                  <a:defRPr>
                    <a:solidFill>
                      <a:schemeClr val="bg1"/>
                    </a:solidFill>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'[M² Developed 30.06.17 EN.(Vulcan II) (2).xls]CHARTS'!$J$11:$J$15</c:f>
              <c:strCache>
                <c:ptCount val="5"/>
                <c:pt idx="0">
                  <c:v>2013</c:v>
                </c:pt>
                <c:pt idx="1">
                  <c:v>2014</c:v>
                </c:pt>
                <c:pt idx="2">
                  <c:v>2015</c:v>
                </c:pt>
                <c:pt idx="3">
                  <c:v>2016</c:v>
                </c:pt>
                <c:pt idx="4">
                  <c:v>Jun-17 (Incl Under constr)</c:v>
                </c:pt>
              </c:strCache>
            </c:strRef>
          </c:cat>
          <c:val>
            <c:numRef>
              <c:f>'[M² Developed 30.06.17 EN.(Vulcan II) (2).xls]CHARTS'!$K$11:$K$15</c:f>
              <c:numCache>
                <c:formatCode>#,##0</c:formatCode>
                <c:ptCount val="5"/>
                <c:pt idx="0">
                  <c:v>134.1</c:v>
                </c:pt>
                <c:pt idx="1">
                  <c:v>268.23200000000003</c:v>
                </c:pt>
                <c:pt idx="2">
                  <c:v>548.83600000000001</c:v>
                </c:pt>
                <c:pt idx="3">
                  <c:v>416.15800000000002</c:v>
                </c:pt>
                <c:pt idx="4">
                  <c:v>681.12138000000016</c:v>
                </c:pt>
              </c:numCache>
            </c:numRef>
          </c:val>
          <c:extLst>
            <c:ext xmlns:c16="http://schemas.microsoft.com/office/drawing/2014/chart" uri="{C3380CC4-5D6E-409C-BE32-E72D297353CC}">
              <c16:uniqueId val="{00000000-3B80-4723-B167-EAD40F5F1557}"/>
            </c:ext>
          </c:extLst>
        </c:ser>
        <c:ser>
          <c:idx val="1"/>
          <c:order val="1"/>
          <c:tx>
            <c:strRef>
              <c:f>'[M² Developed 30.06.17 EN.(Vulcan II) (2).xls]CHARTS'!$M$1</c:f>
              <c:strCache>
                <c:ptCount val="1"/>
                <c:pt idx="0">
                  <c:v>Projects held by JV</c:v>
                </c:pt>
              </c:strCache>
            </c:strRef>
          </c:tx>
          <c:spPr>
            <a:solidFill>
              <a:schemeClr val="accent2"/>
            </a:solidFill>
          </c:spPr>
          <c:invertIfNegative val="0"/>
          <c:dPt>
            <c:idx val="9"/>
            <c:invertIfNegative val="0"/>
            <c:bubble3D val="0"/>
            <c:extLst>
              <c:ext xmlns:c16="http://schemas.microsoft.com/office/drawing/2014/chart" uri="{C3380CC4-5D6E-409C-BE32-E72D297353CC}">
                <c16:uniqueId val="{00000001-3B80-4723-B167-EAD40F5F1557}"/>
              </c:ext>
            </c:extLst>
          </c:dPt>
          <c:dLbls>
            <c:spPr>
              <a:noFill/>
              <a:ln>
                <a:noFill/>
              </a:ln>
              <a:effectLst/>
            </c:spPr>
            <c:txPr>
              <a:bodyPr/>
              <a:lstStyle/>
              <a:p>
                <a:pPr>
                  <a:defRPr>
                    <a:solidFill>
                      <a:schemeClr val="bg1"/>
                    </a:solidFill>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'[M² Developed 30.06.17 EN.(Vulcan II) (2).xls]CHARTS'!$J$11:$J$15</c:f>
              <c:strCache>
                <c:ptCount val="5"/>
                <c:pt idx="0">
                  <c:v>2013</c:v>
                </c:pt>
                <c:pt idx="1">
                  <c:v>2014</c:v>
                </c:pt>
                <c:pt idx="2">
                  <c:v>2015</c:v>
                </c:pt>
                <c:pt idx="3">
                  <c:v>2016</c:v>
                </c:pt>
                <c:pt idx="4">
                  <c:v>Jun-17 (Incl Under constr)</c:v>
                </c:pt>
              </c:strCache>
            </c:strRef>
          </c:cat>
          <c:val>
            <c:numRef>
              <c:f>'[M² Developed 30.06.17 EN.(Vulcan II) (2).xls]CHARTS'!$M$11:$M$15</c:f>
              <c:numCache>
                <c:formatCode>General</c:formatCode>
                <c:ptCount val="5"/>
                <c:pt idx="3" formatCode="#,##0">
                  <c:v>593.45399999999995</c:v>
                </c:pt>
                <c:pt idx="4" formatCode="#,##0">
                  <c:v>1008.8650499999999</c:v>
                </c:pt>
              </c:numCache>
            </c:numRef>
          </c:val>
          <c:extLst>
            <c:ext xmlns:c16="http://schemas.microsoft.com/office/drawing/2014/chart" uri="{C3380CC4-5D6E-409C-BE32-E72D297353CC}">
              <c16:uniqueId val="{00000002-3B80-4723-B167-EAD40F5F1557}"/>
            </c:ext>
          </c:extLst>
        </c:ser>
        <c:ser>
          <c:idx val="2"/>
          <c:order val="2"/>
          <c:tx>
            <c:strRef>
              <c:f>'[M² Developed 30.06.17 EN.(Vulcan II) (2).xls]CHARTS'!$L$1</c:f>
              <c:strCache>
                <c:ptCount val="1"/>
                <c:pt idx="0">
                  <c:v>Projects held by associates, sold Oct-14</c:v>
                </c:pt>
              </c:strCache>
            </c:strRef>
          </c:tx>
          <c:spPr>
            <a:solidFill>
              <a:schemeClr val="accent3"/>
            </a:solidFill>
          </c:spPr>
          <c:invertIfNegative val="0"/>
          <c:dLbls>
            <c:dLbl>
              <c:idx val="4"/>
              <c:layout>
                <c:manualLayout>
                  <c:x val="0"/>
                  <c:y val="6.70016750418760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80-4723-B167-EAD40F5F1557}"/>
                </c:ext>
              </c:extLst>
            </c:dLbl>
            <c:spPr>
              <a:noFill/>
              <a:ln>
                <a:noFill/>
              </a:ln>
              <a:effectLst/>
            </c:spPr>
            <c:txPr>
              <a:bodyPr/>
              <a:lstStyle/>
              <a:p>
                <a:pPr>
                  <a:defRPr>
                    <a:solidFill>
                      <a:schemeClr val="bg1"/>
                    </a:solidFill>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'[M² Developed 30.06.17 EN.(Vulcan II) (2).xls]CHARTS'!$J$11:$J$15</c:f>
              <c:strCache>
                <c:ptCount val="5"/>
                <c:pt idx="0">
                  <c:v>2013</c:v>
                </c:pt>
                <c:pt idx="1">
                  <c:v>2014</c:v>
                </c:pt>
                <c:pt idx="2">
                  <c:v>2015</c:v>
                </c:pt>
                <c:pt idx="3">
                  <c:v>2016</c:v>
                </c:pt>
                <c:pt idx="4">
                  <c:v>Jun-17 (Incl Under constr)</c:v>
                </c:pt>
              </c:strCache>
            </c:strRef>
          </c:cat>
          <c:val>
            <c:numRef>
              <c:f>'[M² Developed 30.06.17 EN.(Vulcan II) (2).xls]CHARTS'!$L$11:$L$15</c:f>
              <c:numCache>
                <c:formatCode>#,##0</c:formatCode>
                <c:ptCount val="5"/>
                <c:pt idx="0">
                  <c:v>601.21659999999997</c:v>
                </c:pt>
                <c:pt idx="1">
                  <c:v>601.21659999999997</c:v>
                </c:pt>
                <c:pt idx="2">
                  <c:v>601.21699999999998</c:v>
                </c:pt>
                <c:pt idx="3">
                  <c:v>601.21699999999998</c:v>
                </c:pt>
                <c:pt idx="4">
                  <c:v>601.21699999999998</c:v>
                </c:pt>
              </c:numCache>
            </c:numRef>
          </c:val>
          <c:extLst>
            <c:ext xmlns:c16="http://schemas.microsoft.com/office/drawing/2014/chart" uri="{C3380CC4-5D6E-409C-BE32-E72D297353CC}">
              <c16:uniqueId val="{00000004-3B80-4723-B167-EAD40F5F1557}"/>
            </c:ext>
          </c:extLst>
        </c:ser>
        <c:ser>
          <c:idx val="3"/>
          <c:order val="3"/>
          <c:spPr>
            <a:no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'[M² Developed 30.06.17 EN.(Vulcan II) (2).xls]CHARTS'!$N$11:$N$15</c:f>
              <c:numCache>
                <c:formatCode>_(#,##0_)_%;_(\(#,##0\)_%;_("–"_)_%;@_(_%</c:formatCode>
                <c:ptCount val="5"/>
                <c:pt idx="0">
                  <c:v>735.31659999999999</c:v>
                </c:pt>
                <c:pt idx="1">
                  <c:v>869.44859999999994</c:v>
                </c:pt>
                <c:pt idx="2">
                  <c:v>1150.0529999999999</c:v>
                </c:pt>
                <c:pt idx="3">
                  <c:v>1610.829</c:v>
                </c:pt>
                <c:pt idx="4">
                  <c:v>2291.20343</c:v>
                </c:pt>
              </c:numCache>
            </c:numRef>
          </c:val>
          <c:extLst>
            <c:ext xmlns:c16="http://schemas.microsoft.com/office/drawing/2014/chart" uri="{C3380CC4-5D6E-409C-BE32-E72D297353CC}">
              <c16:uniqueId val="{00000005-3B80-4723-B167-EAD40F5F1557}"/>
            </c:ext>
          </c:extLst>
        </c:ser>
        <c:dLbls>
          <c:showLegendKey val="0"/>
          <c:showVal val="0"/>
          <c:showCatName val="0"/>
          <c:showSerName val="0"/>
          <c:showPercent val="0"/>
          <c:showBubbleSize val="0"/>
        </c:dLbls>
        <c:gapWidth val="55"/>
        <c:overlap val="100"/>
        <c:axId val="36302848"/>
        <c:axId val="36304384"/>
      </c:barChart>
      <c:catAx>
        <c:axId val="36302848"/>
        <c:scaling>
          <c:orientation val="minMax"/>
        </c:scaling>
        <c:delete val="0"/>
        <c:axPos val="b"/>
        <c:numFmt formatCode="General" sourceLinked="1"/>
        <c:majorTickMark val="none"/>
        <c:minorTickMark val="none"/>
        <c:tickLblPos val="nextTo"/>
        <c:txPr>
          <a:bodyPr rot="0" vert="horz"/>
          <a:lstStyle/>
          <a:p>
            <a:pPr>
              <a:defRPr/>
            </a:pPr>
            <a:endParaRPr lang="nl-BE"/>
          </a:p>
        </c:txPr>
        <c:crossAx val="36304384"/>
        <c:crosses val="autoZero"/>
        <c:auto val="1"/>
        <c:lblAlgn val="ctr"/>
        <c:lblOffset val="0"/>
        <c:tickLblSkip val="1"/>
        <c:tickMarkSkip val="1"/>
        <c:noMultiLvlLbl val="0"/>
      </c:catAx>
      <c:valAx>
        <c:axId val="36304384"/>
        <c:scaling>
          <c:orientation val="minMax"/>
          <c:max val="3000"/>
          <c:min val="0"/>
        </c:scaling>
        <c:delete val="0"/>
        <c:axPos val="l"/>
        <c:majorGridlines>
          <c:spPr>
            <a:ln w="9525"/>
          </c:spPr>
        </c:majorGridlines>
        <c:numFmt formatCode="#,##0" sourceLinked="1"/>
        <c:majorTickMark val="none"/>
        <c:minorTickMark val="none"/>
        <c:tickLblPos val="none"/>
        <c:spPr>
          <a:ln>
            <a:noFill/>
          </a:ln>
        </c:spPr>
        <c:crossAx val="36302848"/>
        <c:crosses val="autoZero"/>
        <c:crossBetween val="between"/>
        <c:majorUnit val="200000"/>
        <c:minorUnit val="40000"/>
      </c:valAx>
    </c:plotArea>
    <c:legend>
      <c:legendPos val="r"/>
      <c:legendEntry>
        <c:idx val="0"/>
        <c:delete val="1"/>
      </c:legendEntry>
      <c:layout>
        <c:manualLayout>
          <c:xMode val="edge"/>
          <c:yMode val="edge"/>
          <c:x val="0"/>
          <c:y val="0.81273923923923919"/>
          <c:w val="1"/>
          <c:h val="0.14276626626626626"/>
        </c:manualLayout>
      </c:layout>
      <c:overlay val="0"/>
    </c:legend>
    <c:plotVisOnly val="1"/>
    <c:dispBlanksAs val="gap"/>
    <c:showDLblsOverMax val="0"/>
  </c:chart>
  <c:txPr>
    <a:bodyPr/>
    <a:lstStyle/>
    <a:p>
      <a:pPr>
        <a:defRPr sz="800"/>
      </a:pPr>
      <a:endParaRPr lang="nl-BE"/>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0811423394314"/>
          <c:y val="9.8796107261717642E-2"/>
          <c:w val="0.63944126613264751"/>
          <c:h val="0.82451320909727754"/>
        </c:manualLayout>
      </c:layout>
      <c:barChart>
        <c:barDir val="bar"/>
        <c:grouping val="clustered"/>
        <c:varyColors val="0"/>
        <c:ser>
          <c:idx val="0"/>
          <c:order val="0"/>
          <c:spPr>
            <a:solidFill>
              <a:srgbClr val="8A7554"/>
            </a:solidFill>
            <a:ln w="12700">
              <a:solidFill>
                <a:srgbClr val="EBF2F5"/>
              </a:solidFill>
              <a:prstDash val="solid"/>
            </a:ln>
          </c:spPr>
          <c:invertIfNegative val="0"/>
          <c:dLbls>
            <c:dLbl>
              <c:idx val="0"/>
              <c:numFmt formatCode="0.0%" sourceLinked="0"/>
              <c:spPr>
                <a:noFill/>
                <a:extLst>
                  <a:ext uri="{909E8E84-426E-40DD-AFC4-6F175D3DCCD1}">
                    <a14:hiddenFill xmlns:a14="http://schemas.microsoft.com/office/drawing/2010/main">
                      <a:noFill/>
                    </a14:hiddenFill>
                  </a:ext>
                </a:extLst>
              </c:spPr>
              <c:txPr>
                <a:bodyPr/>
                <a:lstStyle/>
                <a:p>
                  <a:pPr>
                    <a:defRPr>
                      <a:solidFill>
                        <a:schemeClr val="tx1"/>
                      </a:solidFill>
                    </a:defRPr>
                  </a:pPr>
                  <a:endParaRPr lang="nl-BE"/>
                </a:p>
              </c:txPr>
              <c:dLblPos val="outEnd"/>
              <c:showLegendKey val="0"/>
              <c:showVal val="1"/>
              <c:showCatName val="0"/>
              <c:showSerName val="0"/>
              <c:showPercent val="0"/>
              <c:showBubbleSize val="0"/>
              <c:extLst>
                <c:ext xmlns:c16="http://schemas.microsoft.com/office/drawing/2014/chart" uri="{C3380CC4-5D6E-409C-BE32-E72D297353CC}">
                  <c16:uniqueId val="{00000000-D756-4E50-9ACC-82BE99E8C2C4}"/>
                </c:ext>
              </c:extLst>
            </c:dLbl>
            <c:dLbl>
              <c:idx val="1"/>
              <c:numFmt formatCode="0.0%" sourceLinked="0"/>
              <c:spPr>
                <a:noFill/>
                <a:extLst>
                  <a:ext uri="{909E8E84-426E-40DD-AFC4-6F175D3DCCD1}">
                    <a14:hiddenFill xmlns:a14="http://schemas.microsoft.com/office/drawing/2010/main">
                      <a:noFill/>
                    </a14:hiddenFill>
                  </a:ext>
                </a:extLst>
              </c:spPr>
              <c:txPr>
                <a:bodyPr/>
                <a:lstStyle/>
                <a:p>
                  <a:pPr>
                    <a:defRPr>
                      <a:solidFill>
                        <a:schemeClr val="tx1"/>
                      </a:solidFill>
                    </a:defRPr>
                  </a:pPr>
                  <a:endParaRPr lang="nl-BE"/>
                </a:p>
              </c:txPr>
              <c:dLblPos val="outEnd"/>
              <c:showLegendKey val="0"/>
              <c:showVal val="1"/>
              <c:showCatName val="0"/>
              <c:showSerName val="0"/>
              <c:showPercent val="0"/>
              <c:showBubbleSize val="0"/>
              <c:extLst>
                <c:ext xmlns:c16="http://schemas.microsoft.com/office/drawing/2014/chart" uri="{C3380CC4-5D6E-409C-BE32-E72D297353CC}">
                  <c16:uniqueId val="{00000001-D756-4E50-9ACC-82BE99E8C2C4}"/>
                </c:ext>
              </c:extLst>
            </c:dLbl>
            <c:dLbl>
              <c:idx val="2"/>
              <c:numFmt formatCode="0.0%" sourceLinked="0"/>
              <c:spPr>
                <a:noFill/>
                <a:extLst>
                  <a:ext uri="{909E8E84-426E-40DD-AFC4-6F175D3DCCD1}">
                    <a14:hiddenFill xmlns:a14="http://schemas.microsoft.com/office/drawing/2010/main">
                      <a:noFill/>
                    </a14:hiddenFill>
                  </a:ext>
                </a:extLst>
              </c:spPr>
              <c:txPr>
                <a:bodyPr/>
                <a:lstStyle/>
                <a:p>
                  <a:pPr>
                    <a:defRPr>
                      <a:solidFill>
                        <a:schemeClr val="tx1"/>
                      </a:solidFill>
                    </a:defRPr>
                  </a:pPr>
                  <a:endParaRPr lang="nl-BE"/>
                </a:p>
              </c:txPr>
              <c:dLblPos val="outEnd"/>
              <c:showLegendKey val="0"/>
              <c:showVal val="1"/>
              <c:showCatName val="0"/>
              <c:showSerName val="0"/>
              <c:showPercent val="0"/>
              <c:showBubbleSize val="0"/>
              <c:extLst>
                <c:ext xmlns:c16="http://schemas.microsoft.com/office/drawing/2014/chart" uri="{C3380CC4-5D6E-409C-BE32-E72D297353CC}">
                  <c16:uniqueId val="{00000002-D756-4E50-9ACC-82BE99E8C2C4}"/>
                </c:ext>
              </c:extLst>
            </c:dLbl>
            <c:dLbl>
              <c:idx val="3"/>
              <c:numFmt formatCode="0.0%" sourceLinked="0"/>
              <c:spPr>
                <a:noFill/>
                <a:extLst>
                  <a:ext uri="{909E8E84-426E-40DD-AFC4-6F175D3DCCD1}">
                    <a14:hiddenFill xmlns:a14="http://schemas.microsoft.com/office/drawing/2010/main">
                      <a:noFill/>
                    </a14:hiddenFill>
                  </a:ext>
                </a:extLst>
              </c:spPr>
              <c:txPr>
                <a:bodyPr/>
                <a:lstStyle/>
                <a:p>
                  <a:pPr>
                    <a:defRPr>
                      <a:solidFill>
                        <a:schemeClr val="tx1"/>
                      </a:solidFill>
                    </a:defRPr>
                  </a:pPr>
                  <a:endParaRPr lang="nl-BE"/>
                </a:p>
              </c:txPr>
              <c:dLblPos val="outEnd"/>
              <c:showLegendKey val="0"/>
              <c:showVal val="1"/>
              <c:showCatName val="0"/>
              <c:showSerName val="0"/>
              <c:showPercent val="0"/>
              <c:showBubbleSize val="0"/>
              <c:extLst>
                <c:ext xmlns:c16="http://schemas.microsoft.com/office/drawing/2014/chart" uri="{C3380CC4-5D6E-409C-BE32-E72D297353CC}">
                  <c16:uniqueId val="{00000003-D756-4E50-9ACC-82BE99E8C2C4}"/>
                </c:ext>
              </c:extLst>
            </c:dLbl>
            <c:numFmt formatCode="0.0%" sourceLinked="0"/>
            <c:spPr>
              <a:noFill/>
              <a:ln>
                <a:noFill/>
              </a:ln>
              <a:effectLst/>
            </c:spPr>
            <c:txPr>
              <a:bodyPr/>
              <a:lstStyle/>
              <a:p>
                <a:pPr>
                  <a:defRPr>
                    <a:solidFill>
                      <a:schemeClr val="tx1"/>
                    </a:solidFill>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Summary!$C$178:$C$187</c:f>
              <c:strCache>
                <c:ptCount val="10"/>
                <c:pt idx="0">
                  <c:v>Tenant 1</c:v>
                </c:pt>
                <c:pt idx="1">
                  <c:v>Tenant 2</c:v>
                </c:pt>
                <c:pt idx="2">
                  <c:v>Tenant 3</c:v>
                </c:pt>
                <c:pt idx="3">
                  <c:v>Tenant 4</c:v>
                </c:pt>
                <c:pt idx="4">
                  <c:v>Tenant 5</c:v>
                </c:pt>
                <c:pt idx="5">
                  <c:v>Tenant 6</c:v>
                </c:pt>
                <c:pt idx="6">
                  <c:v>Tenant 7</c:v>
                </c:pt>
                <c:pt idx="7">
                  <c:v>Tenant 8</c:v>
                </c:pt>
                <c:pt idx="8">
                  <c:v>Tenant 9</c:v>
                </c:pt>
                <c:pt idx="9">
                  <c:v>Tenant 10</c:v>
                </c:pt>
              </c:strCache>
            </c:strRef>
          </c:cat>
          <c:val>
            <c:numRef>
              <c:f>Summary!$E$178:$E$187</c:f>
              <c:numCache>
                <c:formatCode>0.0%</c:formatCode>
                <c:ptCount val="10"/>
                <c:pt idx="0">
                  <c:v>0.12201154681503661</c:v>
                </c:pt>
                <c:pt idx="1">
                  <c:v>9.8852239850930182E-2</c:v>
                </c:pt>
                <c:pt idx="2">
                  <c:v>6.78055739724579E-2</c:v>
                </c:pt>
                <c:pt idx="3">
                  <c:v>4.8980652695974534E-2</c:v>
                </c:pt>
                <c:pt idx="4">
                  <c:v>4.3480905613862711E-2</c:v>
                </c:pt>
                <c:pt idx="5">
                  <c:v>3.752566965954629E-2</c:v>
                </c:pt>
                <c:pt idx="6">
                  <c:v>2.7137438549613278E-2</c:v>
                </c:pt>
                <c:pt idx="7">
                  <c:v>2.4800523252792989E-2</c:v>
                </c:pt>
                <c:pt idx="8">
                  <c:v>2.1281699588844384E-2</c:v>
                </c:pt>
                <c:pt idx="9">
                  <c:v>1.9704802008109947E-2</c:v>
                </c:pt>
              </c:numCache>
            </c:numRef>
          </c:val>
          <c:extLst>
            <c:ext xmlns:c16="http://schemas.microsoft.com/office/drawing/2014/chart" uri="{C3380CC4-5D6E-409C-BE32-E72D297353CC}">
              <c16:uniqueId val="{00000004-A7CE-4C8F-BFC4-0972AB4E0E10}"/>
            </c:ext>
          </c:extLst>
        </c:ser>
        <c:dLbls>
          <c:dLblPos val="outEnd"/>
          <c:showLegendKey val="0"/>
          <c:showVal val="1"/>
          <c:showCatName val="0"/>
          <c:showSerName val="0"/>
          <c:showPercent val="0"/>
          <c:showBubbleSize val="0"/>
        </c:dLbls>
        <c:gapWidth val="75"/>
        <c:axId val="36380032"/>
        <c:axId val="36381824"/>
      </c:barChart>
      <c:catAx>
        <c:axId val="36380032"/>
        <c:scaling>
          <c:orientation val="maxMin"/>
        </c:scaling>
        <c:delete val="0"/>
        <c:axPos val="l"/>
        <c:numFmt formatCode="General" sourceLinked="1"/>
        <c:majorTickMark val="none"/>
        <c:minorTickMark val="none"/>
        <c:tickLblPos val="low"/>
        <c:spPr>
          <a:ln w="12700">
            <a:solidFill>
              <a:srgbClr val="808080"/>
            </a:solidFill>
            <a:prstDash val="solid"/>
          </a:ln>
        </c:spPr>
        <c:txPr>
          <a:bodyPr rot="60000" vert="horz"/>
          <a:lstStyle/>
          <a:p>
            <a:pPr>
              <a:defRPr>
                <a:solidFill>
                  <a:schemeClr val="tx1"/>
                </a:solidFill>
              </a:defRPr>
            </a:pPr>
            <a:endParaRPr lang="nl-BE"/>
          </a:p>
        </c:txPr>
        <c:crossAx val="36381824"/>
        <c:crosses val="autoZero"/>
        <c:auto val="1"/>
        <c:lblAlgn val="ctr"/>
        <c:lblOffset val="100"/>
        <c:noMultiLvlLbl val="0"/>
      </c:catAx>
      <c:valAx>
        <c:axId val="36381824"/>
        <c:scaling>
          <c:orientation val="minMax"/>
        </c:scaling>
        <c:delete val="1"/>
        <c:axPos val="b"/>
        <c:numFmt formatCode="0.0%" sourceLinked="1"/>
        <c:majorTickMark val="out"/>
        <c:minorTickMark val="none"/>
        <c:tickLblPos val="nextTo"/>
        <c:crossAx val="36380032"/>
        <c:crosses val="max"/>
        <c:crossBetween val="between"/>
      </c:valAx>
      <c:spPr>
        <a:noFill/>
      </c:spPr>
    </c:plotArea>
    <c:plotVisOnly val="1"/>
    <c:dispBlanksAs val="gap"/>
    <c:showDLblsOverMax val="0"/>
  </c:chart>
  <c:spPr>
    <a:noFill/>
    <a:ln w="9525">
      <a:noFill/>
    </a:ln>
    <a:extLst>
      <a:ext uri="{909E8E84-426E-40DD-AFC4-6F175D3DCCD1}">
        <a14:hiddenFill xmlns:a14="http://schemas.microsoft.com/office/drawing/2010/main">
          <a:solidFill>
            <a:srgbClr val="EBF2F5"/>
          </a:solidFill>
        </a14:hiddenFill>
      </a:ext>
    </a:extLst>
  </c:spPr>
  <c:txPr>
    <a:bodyPr/>
    <a:lstStyle/>
    <a:p>
      <a:pPr>
        <a:defRPr sz="900" b="0">
          <a:solidFill>
            <a:srgbClr val="000000"/>
          </a:solidFill>
          <a:latin typeface="Arial"/>
          <a:ea typeface="Arial"/>
          <a:cs typeface="Arial"/>
        </a:defRPr>
      </a:pPr>
      <a:endParaRPr lang="nl-BE"/>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0.10959</cdr:x>
      <cdr:y>0.60714</cdr:y>
    </cdr:from>
    <cdr:to>
      <cdr:x>0.13419</cdr:x>
      <cdr:y>0.67857</cdr:y>
    </cdr:to>
    <cdr:sp macro="" textlink="">
      <cdr:nvSpPr>
        <cdr:cNvPr id="4" name="Rectangle 3"/>
        <cdr:cNvSpPr/>
      </cdr:nvSpPr>
      <cdr:spPr>
        <a:xfrm xmlns:a="http://schemas.openxmlformats.org/drawingml/2006/main">
          <a:off x="1035158" y="1295400"/>
          <a:ext cx="232349" cy="152400"/>
        </a:xfrm>
        <a:prstGeom xmlns:a="http://schemas.openxmlformats.org/drawingml/2006/main" prst="rect">
          <a:avLst/>
        </a:prstGeom>
        <a:noFill xmlns:a="http://schemas.openxmlformats.org/drawingml/2006/main"/>
        <a:ln xmlns:a="http://schemas.openxmlformats.org/drawingml/2006/main" w="9525">
          <a:noFill/>
        </a:ln>
        <a:ex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dirty="0"/>
        </a:p>
      </cdr:txBody>
    </cdr:sp>
  </cdr:relSizeAnchor>
  <cdr:relSizeAnchor xmlns:cdr="http://schemas.openxmlformats.org/drawingml/2006/chartDrawing">
    <cdr:from>
      <cdr:x>0.92934</cdr:x>
      <cdr:y>0.11293</cdr:y>
    </cdr:from>
    <cdr:to>
      <cdr:x>0.96119</cdr:x>
      <cdr:y>0.18436</cdr:y>
    </cdr:to>
    <cdr:sp macro="" textlink="">
      <cdr:nvSpPr>
        <cdr:cNvPr id="5" name="Rectangle 4"/>
        <cdr:cNvSpPr/>
      </cdr:nvSpPr>
      <cdr:spPr>
        <a:xfrm xmlns:a="http://schemas.openxmlformats.org/drawingml/2006/main">
          <a:off x="8893348" y="222885"/>
          <a:ext cx="304800" cy="140970"/>
        </a:xfrm>
        <a:prstGeom xmlns:a="http://schemas.openxmlformats.org/drawingml/2006/main" prst="rect">
          <a:avLst/>
        </a:prstGeom>
        <a:noFill xmlns:a="http://schemas.openxmlformats.org/drawingml/2006/main"/>
        <a:ln xmlns:a="http://schemas.openxmlformats.org/drawingml/2006/main" w="9525">
          <a:noFill/>
        </a:ln>
        <a:ex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dirty="0"/>
        </a:p>
      </cdr:txBody>
    </cdr:sp>
  </cdr:relSizeAnchor>
  <cdr:relSizeAnchor xmlns:cdr="http://schemas.openxmlformats.org/drawingml/2006/chartDrawing">
    <cdr:from>
      <cdr:x>0.01057</cdr:x>
      <cdr:y>0.02603</cdr:y>
    </cdr:from>
    <cdr:to>
      <cdr:x>0.01057</cdr:x>
      <cdr:y>0.02603</cdr:y>
    </cdr:to>
    <cdr:sp macro="" textlink="">
      <cdr:nvSpPr>
        <cdr:cNvPr id="2" name="Oval 1" descr="58888795" title="PitchProPlusID"/>
        <cdr:cNvSpPr/>
      </cdr:nvSpPr>
      <cdr:spPr>
        <a:xfrm xmlns:a="http://schemas.openxmlformats.org/drawingml/2006/main">
          <a:off x="50800" y="50800"/>
          <a:ext cx="0" cy="0"/>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dirty="0"/>
        </a:p>
      </cdr:txBody>
    </cdr:sp>
  </cdr:relSizeAnchor>
</c:userShapes>
</file>

<file path=word/drawings/drawing2.xml><?xml version="1.0" encoding="utf-8"?>
<c:userShapes xmlns:c="http://schemas.openxmlformats.org/drawingml/2006/chart">
  <cdr:relSizeAnchor xmlns:cdr="http://schemas.openxmlformats.org/drawingml/2006/chartDrawing">
    <cdr:from>
      <cdr:x>0.09071</cdr:x>
      <cdr:y>0.18795</cdr:y>
    </cdr:from>
    <cdr:to>
      <cdr:x>0.78516</cdr:x>
      <cdr:y>0.57313</cdr:y>
    </cdr:to>
    <cdr:cxnSp macro="">
      <cdr:nvCxnSpPr>
        <cdr:cNvPr id="2" name="Straight Arrow Connector 1"/>
        <cdr:cNvCxnSpPr/>
      </cdr:nvCxnSpPr>
      <cdr:spPr>
        <a:xfrm xmlns:a="http://schemas.openxmlformats.org/drawingml/2006/main" flipV="1">
          <a:off x="398145" y="818017"/>
          <a:ext cx="3048000" cy="1676400"/>
        </a:xfrm>
        <a:prstGeom xmlns:a="http://schemas.openxmlformats.org/drawingml/2006/main" prst="straightConnector1">
          <a:avLst/>
        </a:prstGeom>
        <a:ln xmlns:a="http://schemas.openxmlformats.org/drawingml/2006/main" w="9525">
          <a:solidFill>
            <a:schemeClr val="bg1">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0.24981</cdr:x>
      <cdr:y>0.26224</cdr:y>
    </cdr:from>
    <cdr:to>
      <cdr:x>0.58813</cdr:x>
      <cdr:y>0.31881</cdr:y>
    </cdr:to>
    <cdr:sp macro="" textlink="">
      <cdr:nvSpPr>
        <cdr:cNvPr id="3" name="TextBox 71"/>
        <cdr:cNvSpPr txBox="1"/>
      </cdr:nvSpPr>
      <cdr:spPr>
        <a:xfrm xmlns:a="http://schemas.openxmlformats.org/drawingml/2006/main" rot="19878327">
          <a:off x="923217" y="924189"/>
          <a:ext cx="1250325" cy="199376"/>
        </a:xfrm>
        <a:prstGeom xmlns:a="http://schemas.openxmlformats.org/drawingml/2006/main" prst="rect">
          <a:avLst/>
        </a:prstGeom>
        <a:noFill xmlns:a="http://schemas.openxmlformats.org/drawingml/2006/main"/>
      </cdr:spPr>
      <cdr:txBody>
        <a:bodyPr xmlns:a="http://schemas.openxmlformats.org/drawingml/2006/main" vert="horz" wrap="square" lIns="91440" tIns="45720" rIns="91440" bIns="45720" rtlCol="0" anchor="t">
          <a:spAutoFit/>
        </a:bodyPr>
        <a:lstStyle xmlns:a="http://schemas.openxmlformats.org/drawingml/2006/main">
          <a:defPPr>
            <a:defRPr lang="fr-FR"/>
          </a:defPPr>
          <a:lvl1pPr marL="0" algn="l" defTabSz="914400" rtl="0" eaLnBrk="1" latinLnBrk="0" hangingPunct="1">
            <a:defRPr lang="en-US" sz="1100" kern="1200">
              <a:solidFill>
                <a:schemeClr val="tx1"/>
              </a:solidFill>
              <a:latin typeface="+mn-lt"/>
              <a:ea typeface="+mn-ea"/>
              <a:cs typeface="+mn-cs"/>
            </a:defRPr>
          </a:lvl1pPr>
          <a:lvl2pPr marL="457200" algn="l" defTabSz="914400" rtl="0" eaLnBrk="1" latinLnBrk="0" hangingPunct="1">
            <a:defRPr lang="en-US" sz="1100" kern="1200">
              <a:solidFill>
                <a:schemeClr val="tx1"/>
              </a:solidFill>
              <a:latin typeface="+mn-lt"/>
              <a:ea typeface="+mn-ea"/>
              <a:cs typeface="+mn-cs"/>
            </a:defRPr>
          </a:lvl2pPr>
          <a:lvl3pPr marL="914400" algn="l" defTabSz="914400" rtl="0" eaLnBrk="1" latinLnBrk="0" hangingPunct="1">
            <a:defRPr lang="en-US" sz="1100" kern="1200">
              <a:solidFill>
                <a:schemeClr val="tx1"/>
              </a:solidFill>
              <a:latin typeface="+mn-lt"/>
              <a:ea typeface="+mn-ea"/>
              <a:cs typeface="+mn-cs"/>
            </a:defRPr>
          </a:lvl3pPr>
          <a:lvl4pPr marL="1371600" algn="l" defTabSz="914400" rtl="0" eaLnBrk="1" latinLnBrk="0" hangingPunct="1">
            <a:defRPr lang="en-US" sz="1100" kern="1200">
              <a:solidFill>
                <a:schemeClr val="tx1"/>
              </a:solidFill>
              <a:latin typeface="+mn-lt"/>
              <a:ea typeface="+mn-ea"/>
              <a:cs typeface="+mn-cs"/>
            </a:defRPr>
          </a:lvl4pPr>
          <a:lvl5pPr marL="1828800" algn="l" defTabSz="914400" rtl="0" eaLnBrk="1" latinLnBrk="0" hangingPunct="1">
            <a:defRPr lang="en-US" sz="11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en-GB" sz="1000" b="1" i="0" dirty="0">
              <a:latin typeface="Arial Body"/>
            </a:rPr>
            <a:t>CAGR </a:t>
          </a:r>
          <a:r>
            <a:rPr lang="en-GB" sz="1000" b="1" dirty="0">
              <a:latin typeface="Arial Body"/>
            </a:rPr>
            <a:t>’13-’17: </a:t>
          </a:r>
          <a:r>
            <a:rPr lang="en-GB" sz="1000" b="1" i="0" dirty="0">
              <a:latin typeface="Arial Body"/>
            </a:rPr>
            <a:t>46.3%</a:t>
          </a:r>
          <a:endParaRPr lang="en-US" sz="1000" b="1" i="0" dirty="0">
            <a:latin typeface="Arial Body"/>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0.00879</cdr:x>
      <cdr:y>0.02303</cdr:y>
    </cdr:from>
    <cdr:to>
      <cdr:x>0.00879</cdr:x>
      <cdr:y>0.02303</cdr:y>
    </cdr:to>
    <cdr:sp macro="" textlink="">
      <cdr:nvSpPr>
        <cdr:cNvPr id="64513" name="tags" hidden="1"/>
        <cdr:cNvSpPr txBox="1">
          <a:spLocks xmlns:a="http://schemas.openxmlformats.org/drawingml/2006/main" noChangeArrowheads="1"/>
        </cdr:cNvSpPr>
      </cdr:nvSpPr>
      <cdr:spPr bwMode="auto">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18288" tIns="18288" rIns="0" bIns="0" anchor="t" upright="1"/>
        <a:lstStyle xmlns:a="http://schemas.openxmlformats.org/drawingml/2006/main"/>
        <a:p xmlns:a="http://schemas.openxmlformats.org/drawingml/2006/main">
          <a:pPr algn="l" rtl="0">
            <a:defRPr sz="1000"/>
          </a:pPr>
          <a:r>
            <a:rPr lang="en-US" sz="440" b="0" i="0" u="none" strike="noStrike" baseline="0" dirty="0">
              <a:solidFill>
                <a:srgbClr val="000000"/>
              </a:solidFill>
              <a:latin typeface="Credit Suisse Type Roman"/>
            </a:rPr>
            <a:t>&lt;tags&gt;&lt;tag n="AppId" v="1" /&gt;&lt;tag n="Type" v="0" /&gt;&lt;tag n="Id" v="1" /&gt;&lt;tag n="Palette" v="1" /&gt;&lt;/tags&gt;</a:t>
          </a:r>
        </a:p>
      </cdr:txBody>
    </cdr:sp>
  </cdr:relSizeAnchor>
  <cdr:relSizeAnchor xmlns:cdr="http://schemas.openxmlformats.org/drawingml/2006/chartDrawing">
    <cdr:from>
      <cdr:x>0.27831</cdr:x>
      <cdr:y>0.13195</cdr:y>
    </cdr:from>
    <cdr:to>
      <cdr:x>0.43566</cdr:x>
      <cdr:y>0.21688</cdr:y>
    </cdr:to>
    <cdr:sp macro="" textlink="">
      <cdr:nvSpPr>
        <cdr:cNvPr id="64521" name="Text Box 9"/>
        <cdr:cNvSpPr txBox="1">
          <a:spLocks xmlns:a="http://schemas.openxmlformats.org/drawingml/2006/main" noChangeArrowheads="1" noTextEdit="1"/>
        </cdr:cNvSpPr>
      </cdr:nvSpPr>
      <cdr:spPr bwMode="auto">
        <a:xfrm xmlns:a="http://schemas.openxmlformats.org/drawingml/2006/main">
          <a:off x="1701399" y="293878"/>
          <a:ext cx="953414" cy="18893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800" b="1" i="0" u="none" strike="noStrike" baseline="0" dirty="0">
              <a:solidFill>
                <a:srgbClr val="9D0E2D"/>
              </a:solidFill>
              <a:latin typeface="Credit Suisse Type Roman"/>
            </a:rPr>
            <a:t> </a:t>
          </a:r>
        </a:p>
      </cdr:txBody>
    </cdr:sp>
  </cdr:relSizeAnchor>
  <cdr:relSizeAnchor xmlns:cdr="http://schemas.openxmlformats.org/drawingml/2006/chartDrawing">
    <cdr:from>
      <cdr:x>0.3335</cdr:x>
      <cdr:y>0.83998</cdr:y>
    </cdr:from>
    <cdr:to>
      <cdr:x>0.37022</cdr:x>
      <cdr:y>0.97092</cdr:y>
    </cdr:to>
    <cdr:sp macro="" textlink="">
      <cdr:nvSpPr>
        <cdr:cNvPr id="3" name="TextBox 2"/>
        <cdr:cNvSpPr txBox="1"/>
      </cdr:nvSpPr>
      <cdr:spPr>
        <a:xfrm xmlns:a="http://schemas.openxmlformats.org/drawingml/2006/main">
          <a:off x="1487538" y="1678288"/>
          <a:ext cx="163784" cy="261610"/>
        </a:xfrm>
        <a:prstGeom xmlns:a="http://schemas.openxmlformats.org/drawingml/2006/main" prst="rect">
          <a:avLst/>
        </a:prstGeom>
        <a:noFill xmlns:a="http://schemas.openxmlformats.org/drawingml/2006/main"/>
      </cdr:spPr>
      <cdr:txBody>
        <a:bodyPr xmlns:a="http://schemas.openxmlformats.org/drawingml/2006/main" vertOverflow="clip" vert="horz" wrap="square" lIns="91440" tIns="45720" rIns="91440" bIns="45720" rtlCol="0" anchor="t">
          <a:spAutoFit/>
        </a:bodyPr>
        <a:lstStyle xmlns:a="http://schemas.openxmlformats.org/drawingml/2006/main"/>
        <a:p xmlns:a="http://schemas.openxmlformats.org/drawingml/2006/main">
          <a:pPr algn="l"/>
          <a:endParaRPr lang="en-GB" sz="1100" b="0" i="0" dirty="0">
            <a:solidFill>
              <a:srgbClr val="000000"/>
            </a:solidFill>
            <a:latin typeface="Arial"/>
          </a:endParaRPr>
        </a:p>
      </cdr:txBody>
    </cdr:sp>
  </cdr:relSizeAnchor>
  <cdr:relSizeAnchor xmlns:cdr="http://schemas.openxmlformats.org/drawingml/2006/chartDrawing">
    <cdr:from>
      <cdr:x>0.25705</cdr:x>
      <cdr:y>0.15679</cdr:y>
    </cdr:from>
    <cdr:to>
      <cdr:x>0.58998</cdr:x>
      <cdr:y>0.28004</cdr:y>
    </cdr:to>
    <cdr:sp macro="" textlink="">
      <cdr:nvSpPr>
        <cdr:cNvPr id="5" name="TextBox 24"/>
        <cdr:cNvSpPr txBox="1"/>
      </cdr:nvSpPr>
      <cdr:spPr>
        <a:xfrm xmlns:a="http://schemas.openxmlformats.org/drawingml/2006/main" rot="21138018">
          <a:off x="1146518" y="313215"/>
          <a:ext cx="1484922" cy="246221"/>
        </a:xfrm>
        <a:prstGeom xmlns:a="http://schemas.openxmlformats.org/drawingml/2006/main" prst="rect">
          <a:avLst/>
        </a:prstGeom>
        <a:noFill xmlns:a="http://schemas.openxmlformats.org/drawingml/2006/main"/>
      </cdr:spPr>
      <cdr:txBody>
        <a:bodyPr xmlns:a="http://schemas.openxmlformats.org/drawingml/2006/main" vert="horz" wrap="square" lIns="91440" tIns="45720" rIns="91440" bIns="45720" rtlCol="0" anchor="t">
          <a:spAutoFit/>
        </a:bodyPr>
        <a:lstStyle xmlns:a="http://schemas.openxmlformats.org/drawingml/2006/main">
          <a:defPPr>
            <a:defRPr lang="fr-FR"/>
          </a:defPPr>
          <a:lvl1pPr marL="0" algn="l" defTabSz="914400" rtl="0" eaLnBrk="1" latinLnBrk="0" hangingPunct="1">
            <a:defRPr lang="en-US" sz="1100" kern="1200">
              <a:solidFill>
                <a:schemeClr val="tx1"/>
              </a:solidFill>
              <a:latin typeface="+mn-lt"/>
              <a:ea typeface="+mn-ea"/>
              <a:cs typeface="+mn-cs"/>
            </a:defRPr>
          </a:lvl1pPr>
          <a:lvl2pPr marL="457200" algn="l" defTabSz="914400" rtl="0" eaLnBrk="1" latinLnBrk="0" hangingPunct="1">
            <a:defRPr lang="en-US" sz="1100" kern="1200">
              <a:solidFill>
                <a:schemeClr val="tx1"/>
              </a:solidFill>
              <a:latin typeface="+mn-lt"/>
              <a:ea typeface="+mn-ea"/>
              <a:cs typeface="+mn-cs"/>
            </a:defRPr>
          </a:lvl2pPr>
          <a:lvl3pPr marL="914400" algn="l" defTabSz="914400" rtl="0" eaLnBrk="1" latinLnBrk="0" hangingPunct="1">
            <a:defRPr lang="en-US" sz="1100" kern="1200">
              <a:solidFill>
                <a:schemeClr val="tx1"/>
              </a:solidFill>
              <a:latin typeface="+mn-lt"/>
              <a:ea typeface="+mn-ea"/>
              <a:cs typeface="+mn-cs"/>
            </a:defRPr>
          </a:lvl3pPr>
          <a:lvl4pPr marL="1371600" algn="l" defTabSz="914400" rtl="0" eaLnBrk="1" latinLnBrk="0" hangingPunct="1">
            <a:defRPr lang="en-US" sz="1100" kern="1200">
              <a:solidFill>
                <a:schemeClr val="tx1"/>
              </a:solidFill>
              <a:latin typeface="+mn-lt"/>
              <a:ea typeface="+mn-ea"/>
              <a:cs typeface="+mn-cs"/>
            </a:defRPr>
          </a:lvl4pPr>
          <a:lvl5pPr marL="1828800" algn="l" defTabSz="914400" rtl="0" eaLnBrk="1" latinLnBrk="0" hangingPunct="1">
            <a:defRPr lang="en-US" sz="11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en-GB" sz="1000" b="1" i="0" dirty="0">
              <a:latin typeface="Arial Body"/>
            </a:rPr>
            <a:t>CAGR </a:t>
          </a:r>
          <a:r>
            <a:rPr lang="en-GB" sz="1000" b="1" dirty="0">
              <a:latin typeface="Arial Body"/>
            </a:rPr>
            <a:t>’13-’17: </a:t>
          </a:r>
          <a:r>
            <a:rPr lang="en-GB" sz="1000" b="1" i="0" dirty="0">
              <a:latin typeface="Arial Body"/>
            </a:rPr>
            <a:t>38%</a:t>
          </a:r>
          <a:endParaRPr lang="en-US" sz="1000" b="1" i="0" dirty="0">
            <a:latin typeface="Arial Body"/>
          </a:endParaRPr>
        </a:p>
      </cdr:txBody>
    </cdr:sp>
  </cdr:relSizeAnchor>
  <cdr:relSizeAnchor xmlns:cdr="http://schemas.openxmlformats.org/drawingml/2006/chartDrawing">
    <cdr:from>
      <cdr:x>0.1402</cdr:x>
      <cdr:y>0.15198</cdr:y>
    </cdr:from>
    <cdr:to>
      <cdr:x>0.85265</cdr:x>
      <cdr:y>0.39924</cdr:y>
    </cdr:to>
    <cdr:cxnSp macro="">
      <cdr:nvCxnSpPr>
        <cdr:cNvPr id="6" name="Straight Arrow Connector 5"/>
        <cdr:cNvCxnSpPr/>
      </cdr:nvCxnSpPr>
      <cdr:spPr>
        <a:xfrm xmlns:a="http://schemas.openxmlformats.org/drawingml/2006/main" flipV="1">
          <a:off x="625318" y="303621"/>
          <a:ext cx="3177697" cy="493939"/>
        </a:xfrm>
        <a:prstGeom xmlns:a="http://schemas.openxmlformats.org/drawingml/2006/main" prst="straightConnector1">
          <a:avLst/>
        </a:prstGeom>
        <a:ln xmlns:a="http://schemas.openxmlformats.org/drawingml/2006/main" w="9525">
          <a:solidFill>
            <a:schemeClr val="bg1">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33">
    <a:dk1>
      <a:srgbClr val="594E32"/>
    </a:dk1>
    <a:lt1>
      <a:srgbClr val="FFFFFF"/>
    </a:lt1>
    <a:dk2>
      <a:srgbClr val="9D968E"/>
    </a:dk2>
    <a:lt2>
      <a:srgbClr val="FFFFFF"/>
    </a:lt2>
    <a:accent1>
      <a:srgbClr val="8A7554"/>
    </a:accent1>
    <a:accent2>
      <a:srgbClr val="547423"/>
    </a:accent2>
    <a:accent3>
      <a:srgbClr val="504B45"/>
    </a:accent3>
    <a:accent4>
      <a:srgbClr val="225989"/>
    </a:accent4>
    <a:accent5>
      <a:srgbClr val="93210A"/>
    </a:accent5>
    <a:accent6>
      <a:srgbClr val="865F01"/>
    </a:accent6>
    <a:hlink>
      <a:srgbClr val="3B4D24"/>
    </a:hlink>
    <a:folHlink>
      <a:srgbClr val="594E32"/>
    </a:folHlink>
  </a:clrScheme>
  <a:fontScheme name="Pitchbook-US">
    <a:majorFont>
      <a:latin typeface="Arial"/>
      <a:ea typeface="LF_Kai"/>
      <a:cs typeface=""/>
    </a:majorFont>
    <a:minorFont>
      <a:latin typeface="Arial"/>
      <a:ea typeface="LF_Kai"/>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33">
    <a:dk1>
      <a:srgbClr val="594E32"/>
    </a:dk1>
    <a:lt1>
      <a:srgbClr val="FFFFFF"/>
    </a:lt1>
    <a:dk2>
      <a:srgbClr val="9D968E"/>
    </a:dk2>
    <a:lt2>
      <a:srgbClr val="FFFFFF"/>
    </a:lt2>
    <a:accent1>
      <a:srgbClr val="8A7554"/>
    </a:accent1>
    <a:accent2>
      <a:srgbClr val="547423"/>
    </a:accent2>
    <a:accent3>
      <a:srgbClr val="504B45"/>
    </a:accent3>
    <a:accent4>
      <a:srgbClr val="225989"/>
    </a:accent4>
    <a:accent5>
      <a:srgbClr val="93210A"/>
    </a:accent5>
    <a:accent6>
      <a:srgbClr val="865F01"/>
    </a:accent6>
    <a:hlink>
      <a:srgbClr val="3B4D24"/>
    </a:hlink>
    <a:folHlink>
      <a:srgbClr val="594E32"/>
    </a:folHlink>
  </a:clrScheme>
  <a:fontScheme name="Pitchbook-US">
    <a:majorFont>
      <a:latin typeface="Arial"/>
      <a:ea typeface="LF_Kai"/>
      <a:cs typeface=""/>
    </a:majorFont>
    <a:minorFont>
      <a:latin typeface="Arial"/>
      <a:ea typeface="LF_Kai"/>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33">
    <a:dk1>
      <a:srgbClr val="594E32"/>
    </a:dk1>
    <a:lt1>
      <a:srgbClr val="FFFFFF"/>
    </a:lt1>
    <a:dk2>
      <a:srgbClr val="9D968E"/>
    </a:dk2>
    <a:lt2>
      <a:srgbClr val="FFFFFF"/>
    </a:lt2>
    <a:accent1>
      <a:srgbClr val="8A7554"/>
    </a:accent1>
    <a:accent2>
      <a:srgbClr val="547423"/>
    </a:accent2>
    <a:accent3>
      <a:srgbClr val="504B45"/>
    </a:accent3>
    <a:accent4>
      <a:srgbClr val="225989"/>
    </a:accent4>
    <a:accent5>
      <a:srgbClr val="93210A"/>
    </a:accent5>
    <a:accent6>
      <a:srgbClr val="865F01"/>
    </a:accent6>
    <a:hlink>
      <a:srgbClr val="3B4D24"/>
    </a:hlink>
    <a:folHlink>
      <a:srgbClr val="594E32"/>
    </a:folHlink>
  </a:clrScheme>
  <a:fontScheme name="Pitchbook-US">
    <a:majorFont>
      <a:latin typeface="Arial"/>
      <a:ea typeface="LF_Kai"/>
      <a:cs typeface=""/>
    </a:majorFont>
    <a:minorFont>
      <a:latin typeface="Arial"/>
      <a:ea typeface="LF_Kai"/>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CFFD8-934A-41FA-8B0E-77370C304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105980</Words>
  <Characters>582893</Characters>
  <Application>Microsoft Office Word</Application>
  <DocSecurity>0</DocSecurity>
  <Lines>4857</Lines>
  <Paragraphs>1374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2017-10-01T16:39:00Z</dcterms:created>
  <dcterms:modified xsi:type="dcterms:W3CDTF">2017-10-11T15:42:00Z</dcterms:modified>
</cp:coreProperties>
</file>